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5ADBD4">
      <w:pPr>
        <w:spacing w:before="165" w:beforeLines="50" w:line="360" w:lineRule="auto"/>
        <w:jc w:val="center"/>
        <w:rPr>
          <w:rFonts w:hint="eastAsia" w:ascii="宋体" w:hAnsi="宋体" w:cs="宋体"/>
          <w:color w:val="auto"/>
          <w:sz w:val="52"/>
          <w:szCs w:val="52"/>
          <w:highlight w:val="none"/>
          <w:lang w:bidi="ar"/>
        </w:rPr>
      </w:pPr>
    </w:p>
    <w:p w14:paraId="6FF6A9AD">
      <w:pPr>
        <w:spacing w:before="165" w:beforeLines="50" w:line="360" w:lineRule="auto"/>
        <w:jc w:val="center"/>
        <w:rPr>
          <w:rFonts w:hint="eastAsia" w:ascii="宋体" w:hAnsi="宋体" w:cs="宋体"/>
          <w:color w:val="auto"/>
          <w:sz w:val="52"/>
          <w:szCs w:val="52"/>
          <w:highlight w:val="none"/>
        </w:rPr>
      </w:pPr>
      <w:r>
        <w:rPr>
          <w:rFonts w:hint="eastAsia" w:ascii="宋体" w:hAnsi="宋体" w:cs="宋体"/>
          <w:color w:val="auto"/>
          <w:sz w:val="52"/>
          <w:szCs w:val="52"/>
          <w:highlight w:val="none"/>
          <w:lang w:bidi="ar"/>
        </w:rPr>
        <w:t>南宁市政府采购</w:t>
      </w:r>
      <w:permStart w:id="0" w:edGrp="everyone"/>
      <w:permEnd w:id="0"/>
    </w:p>
    <w:p w14:paraId="44C72FE8">
      <w:pPr>
        <w:spacing w:before="165" w:beforeLines="50" w:line="360" w:lineRule="auto"/>
        <w:jc w:val="center"/>
        <w:rPr>
          <w:rFonts w:hint="eastAsia" w:ascii="宋体" w:hAnsi="宋体" w:cs="宋体"/>
          <w:color w:val="auto"/>
          <w:sz w:val="52"/>
          <w:szCs w:val="52"/>
          <w:highlight w:val="none"/>
        </w:rPr>
      </w:pPr>
      <w:r>
        <w:rPr>
          <w:rFonts w:hint="eastAsia" w:ascii="宋体" w:hAnsi="宋体" w:cs="宋体"/>
          <w:color w:val="auto"/>
          <w:sz w:val="52"/>
          <w:szCs w:val="52"/>
          <w:highlight w:val="none"/>
          <w:lang w:bidi="ar"/>
        </w:rPr>
        <w:t>公开招标文件（货物类）</w:t>
      </w:r>
    </w:p>
    <w:p w14:paraId="5E01DD57">
      <w:pPr>
        <w:spacing w:before="165" w:beforeLines="50" w:line="360" w:lineRule="auto"/>
        <w:jc w:val="center"/>
        <w:rPr>
          <w:rFonts w:hint="eastAsia" w:ascii="宋体" w:hAnsi="宋体" w:cs="宋体"/>
          <w:b/>
          <w:color w:val="auto"/>
          <w:sz w:val="48"/>
          <w:szCs w:val="48"/>
          <w:highlight w:val="none"/>
        </w:rPr>
      </w:pPr>
    </w:p>
    <w:p w14:paraId="16FFF590">
      <w:pPr>
        <w:tabs>
          <w:tab w:val="left" w:pos="2824"/>
          <w:tab w:val="center" w:pos="4878"/>
        </w:tabs>
        <w:snapToGrid w:val="0"/>
        <w:spacing w:before="165" w:beforeLines="50" w:line="360" w:lineRule="auto"/>
        <w:jc w:val="center"/>
        <w:rPr>
          <w:rFonts w:hint="eastAsia" w:ascii="宋体" w:hAnsi="宋体" w:cs="宋体"/>
          <w:color w:val="auto"/>
          <w:sz w:val="72"/>
          <w:szCs w:val="72"/>
          <w:highlight w:val="none"/>
        </w:rPr>
      </w:pPr>
      <w:r>
        <w:rPr>
          <w:rFonts w:hint="eastAsia" w:ascii="宋体" w:hAnsi="宋体" w:cs="宋体"/>
          <w:color w:val="auto"/>
          <w:sz w:val="72"/>
          <w:szCs w:val="72"/>
          <w:highlight w:val="none"/>
          <w:lang w:bidi="ar"/>
        </w:rPr>
        <w:t>招 标 文 件</w:t>
      </w:r>
    </w:p>
    <w:p w14:paraId="3C6D0569">
      <w:pPr>
        <w:tabs>
          <w:tab w:val="center" w:pos="4878"/>
          <w:tab w:val="left" w:pos="7870"/>
        </w:tabs>
        <w:snapToGrid w:val="0"/>
        <w:spacing w:before="165" w:beforeLines="50" w:line="360" w:lineRule="auto"/>
        <w:jc w:val="left"/>
        <w:rPr>
          <w:rFonts w:hint="eastAsia" w:ascii="宋体" w:hAnsi="宋体" w:cs="宋体"/>
          <w:color w:val="auto"/>
          <w:sz w:val="30"/>
          <w:szCs w:val="72"/>
          <w:highlight w:val="none"/>
          <w:lang w:bidi="ar"/>
        </w:rPr>
      </w:pPr>
      <w:r>
        <w:rPr>
          <w:rFonts w:hint="eastAsia" w:ascii="宋体" w:hAnsi="宋体" w:cs="宋体"/>
          <w:color w:val="auto"/>
          <w:sz w:val="30"/>
          <w:szCs w:val="72"/>
          <w:highlight w:val="none"/>
          <w:lang w:bidi="ar"/>
        </w:rPr>
        <w:tab/>
      </w:r>
      <w:r>
        <w:rPr>
          <w:rFonts w:hint="eastAsia" w:ascii="宋体" w:hAnsi="宋体" w:cs="宋体"/>
          <w:color w:val="auto"/>
          <w:sz w:val="30"/>
          <w:szCs w:val="72"/>
          <w:highlight w:val="none"/>
          <w:lang w:bidi="ar"/>
        </w:rPr>
        <w:t>（全流程电子化评标）</w:t>
      </w:r>
    </w:p>
    <w:p w14:paraId="2AE39202">
      <w:pPr>
        <w:tabs>
          <w:tab w:val="center" w:pos="4878"/>
          <w:tab w:val="left" w:pos="7870"/>
        </w:tabs>
        <w:snapToGrid w:val="0"/>
        <w:spacing w:before="165" w:beforeLines="50" w:line="360" w:lineRule="auto"/>
        <w:jc w:val="left"/>
        <w:rPr>
          <w:rFonts w:hint="eastAsia" w:ascii="宋体" w:hAnsi="宋体" w:cs="宋体"/>
          <w:color w:val="auto"/>
          <w:sz w:val="30"/>
          <w:szCs w:val="72"/>
          <w:highlight w:val="none"/>
          <w:lang w:bidi="ar"/>
        </w:rPr>
      </w:pPr>
    </w:p>
    <w:p w14:paraId="151627CC">
      <w:pPr>
        <w:tabs>
          <w:tab w:val="center" w:pos="4878"/>
          <w:tab w:val="left" w:pos="7870"/>
        </w:tabs>
        <w:snapToGrid w:val="0"/>
        <w:spacing w:before="165" w:beforeLines="50" w:line="360" w:lineRule="auto"/>
        <w:jc w:val="left"/>
        <w:rPr>
          <w:rFonts w:hint="eastAsia" w:ascii="宋体" w:hAnsi="宋体" w:cs="宋体"/>
          <w:color w:val="auto"/>
          <w:sz w:val="30"/>
          <w:szCs w:val="72"/>
          <w:highlight w:val="none"/>
        </w:rPr>
      </w:pPr>
      <w:r>
        <w:drawing>
          <wp:anchor distT="0" distB="0" distL="114300" distR="114300" simplePos="0" relativeHeight="251660288" behindDoc="0" locked="0" layoutInCell="1" allowOverlap="1">
            <wp:simplePos x="0" y="0"/>
            <wp:positionH relativeFrom="column">
              <wp:posOffset>-171450</wp:posOffset>
            </wp:positionH>
            <wp:positionV relativeFrom="paragraph">
              <wp:posOffset>271780</wp:posOffset>
            </wp:positionV>
            <wp:extent cx="6466205" cy="3475355"/>
            <wp:effectExtent l="0" t="0" r="10795" b="10795"/>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6466205" cy="3475355"/>
                    </a:xfrm>
                    <a:prstGeom prst="rect">
                      <a:avLst/>
                    </a:prstGeom>
                    <a:noFill/>
                    <a:ln>
                      <a:noFill/>
                    </a:ln>
                  </pic:spPr>
                </pic:pic>
              </a:graphicData>
            </a:graphic>
          </wp:anchor>
        </w:drawing>
      </w:r>
      <w:r>
        <w:rPr>
          <w:rFonts w:hint="eastAsia" w:ascii="宋体" w:hAnsi="宋体" w:cs="宋体"/>
          <w:color w:val="auto"/>
          <w:sz w:val="30"/>
          <w:szCs w:val="72"/>
          <w:highlight w:val="none"/>
          <w:lang w:bidi="ar"/>
        </w:rPr>
        <w:tab/>
      </w:r>
    </w:p>
    <w:p w14:paraId="6B547552">
      <w:pPr>
        <w:snapToGrid w:val="0"/>
        <w:spacing w:before="165" w:beforeLines="50" w:line="360" w:lineRule="auto"/>
        <w:ind w:firstLine="643" w:firstLineChars="200"/>
        <w:rPr>
          <w:rFonts w:ascii="微软雅黑" w:hAnsi="微软雅黑" w:eastAsia="微软雅黑" w:cs="微软雅黑"/>
          <w:i w:val="0"/>
          <w:iCs w:val="0"/>
          <w:caps w:val="0"/>
          <w:color w:val="auto"/>
          <w:spacing w:val="0"/>
          <w:sz w:val="16"/>
          <w:szCs w:val="16"/>
          <w:highlight w:val="none"/>
        </w:rPr>
      </w:pPr>
      <w:r>
        <w:rPr>
          <w:rFonts w:hint="eastAsia" w:ascii="宋体" w:hAnsi="宋体" w:eastAsia="宋体" w:cs="宋体"/>
          <w:b/>
          <w:bCs/>
          <w:color w:val="auto"/>
          <w:sz w:val="32"/>
          <w:szCs w:val="96"/>
          <w:highlight w:val="none"/>
          <w:lang w:val="en-US" w:eastAsia="zh-CN"/>
        </w:rPr>
        <w:t>项目名称：</w:t>
      </w:r>
      <w:r>
        <w:rPr>
          <w:rFonts w:hint="eastAsia" w:ascii="宋体" w:hAnsi="宋体" w:cs="宋体"/>
          <w:b/>
          <w:bCs/>
          <w:color w:val="auto"/>
          <w:sz w:val="32"/>
          <w:szCs w:val="96"/>
          <w:highlight w:val="none"/>
          <w:lang w:val="en-US" w:eastAsia="zh-CN"/>
        </w:rPr>
        <w:t>业务视频终端</w:t>
      </w:r>
    </w:p>
    <w:p w14:paraId="363E643B">
      <w:pPr>
        <w:snapToGrid w:val="0"/>
        <w:spacing w:before="165" w:beforeLines="50" w:line="360" w:lineRule="auto"/>
        <w:ind w:firstLine="643" w:firstLineChars="200"/>
        <w:rPr>
          <w:rFonts w:hint="eastAsia" w:ascii="宋体" w:hAnsi="宋体" w:eastAsia="宋体" w:cs="宋体"/>
          <w:b/>
          <w:bCs/>
          <w:color w:val="auto"/>
          <w:sz w:val="32"/>
          <w:szCs w:val="96"/>
          <w:highlight w:val="none"/>
          <w:lang w:val="en-US" w:eastAsia="zh-CN"/>
        </w:rPr>
      </w:pPr>
      <w:r>
        <w:rPr>
          <w:rFonts w:hint="eastAsia" w:ascii="宋体" w:hAnsi="宋体" w:eastAsia="宋体" w:cs="宋体"/>
          <w:b/>
          <w:bCs/>
          <w:color w:val="auto"/>
          <w:sz w:val="32"/>
          <w:szCs w:val="96"/>
          <w:highlight w:val="none"/>
          <w:lang w:val="en-US" w:eastAsia="zh-CN"/>
        </w:rPr>
        <w:t>项目编号：</w:t>
      </w:r>
      <w:r>
        <w:rPr>
          <w:rFonts w:hint="eastAsia" w:ascii="宋体" w:hAnsi="宋体" w:cs="宋体"/>
          <w:b/>
          <w:bCs/>
          <w:color w:val="auto"/>
          <w:sz w:val="32"/>
          <w:szCs w:val="96"/>
          <w:highlight w:val="none"/>
          <w:lang w:val="en-US" w:eastAsia="zh-CN"/>
        </w:rPr>
        <w:t>NNZC2025-G1-991254-GXYZ</w:t>
      </w:r>
    </w:p>
    <w:p w14:paraId="7A77892E">
      <w:pPr>
        <w:snapToGrid w:val="0"/>
        <w:spacing w:before="165" w:beforeLines="50" w:line="360" w:lineRule="auto"/>
        <w:ind w:firstLine="643" w:firstLineChars="200"/>
        <w:rPr>
          <w:rFonts w:hint="eastAsia" w:ascii="宋体" w:hAnsi="宋体" w:eastAsia="宋体" w:cs="宋体"/>
          <w:b/>
          <w:bCs/>
          <w:color w:val="auto"/>
          <w:sz w:val="32"/>
          <w:szCs w:val="96"/>
          <w:highlight w:val="none"/>
          <w:lang w:val="en-US" w:eastAsia="zh-CN"/>
        </w:rPr>
      </w:pPr>
      <w:r>
        <w:rPr>
          <w:rFonts w:hint="eastAsia" w:ascii="宋体" w:hAnsi="宋体" w:eastAsia="宋体" w:cs="宋体"/>
          <w:b/>
          <w:bCs/>
          <w:color w:val="auto"/>
          <w:sz w:val="32"/>
          <w:szCs w:val="96"/>
          <w:highlight w:val="none"/>
          <w:lang w:val="en-US" w:eastAsia="zh-CN"/>
        </w:rPr>
        <w:t>项目所属区划：南宁市市本级</w:t>
      </w:r>
    </w:p>
    <w:p w14:paraId="22CD0752">
      <w:pPr>
        <w:snapToGrid w:val="0"/>
        <w:spacing w:before="165" w:beforeLines="50" w:line="360" w:lineRule="auto"/>
        <w:ind w:firstLine="643" w:firstLineChars="200"/>
        <w:rPr>
          <w:rFonts w:hint="eastAsia" w:ascii="宋体" w:hAnsi="宋体" w:eastAsia="宋体" w:cs="宋体"/>
          <w:b/>
          <w:bCs/>
          <w:color w:val="auto"/>
          <w:sz w:val="32"/>
          <w:szCs w:val="96"/>
          <w:highlight w:val="none"/>
          <w:lang w:val="en-US" w:eastAsia="zh-CN"/>
        </w:rPr>
      </w:pPr>
      <w:r>
        <w:rPr>
          <w:rFonts w:hint="eastAsia" w:ascii="宋体" w:hAnsi="宋体" w:eastAsia="宋体" w:cs="宋体"/>
          <w:b/>
          <w:bCs/>
          <w:color w:val="auto"/>
          <w:sz w:val="32"/>
          <w:szCs w:val="96"/>
          <w:highlight w:val="none"/>
          <w:lang w:val="en-US" w:eastAsia="zh-CN"/>
        </w:rPr>
        <w:t>采购人：</w:t>
      </w:r>
      <w:r>
        <w:rPr>
          <w:rFonts w:hint="eastAsia" w:ascii="宋体" w:hAnsi="宋体" w:cs="宋体"/>
          <w:b/>
          <w:bCs/>
          <w:color w:val="auto"/>
          <w:sz w:val="32"/>
          <w:szCs w:val="96"/>
          <w:highlight w:val="none"/>
          <w:lang w:val="en-US" w:eastAsia="zh-CN"/>
        </w:rPr>
        <w:t>广西壮族自治区南宁市人民检察院</w:t>
      </w:r>
    </w:p>
    <w:p w14:paraId="133E5966">
      <w:pPr>
        <w:snapToGrid w:val="0"/>
        <w:spacing w:before="165" w:beforeLines="50" w:line="360" w:lineRule="auto"/>
        <w:ind w:firstLine="643" w:firstLineChars="200"/>
        <w:rPr>
          <w:rFonts w:hint="eastAsia" w:ascii="宋体" w:hAnsi="宋体" w:eastAsia="宋体" w:cs="宋体"/>
          <w:b/>
          <w:bCs/>
          <w:color w:val="auto"/>
          <w:sz w:val="32"/>
          <w:szCs w:val="96"/>
          <w:highlight w:val="none"/>
          <w:lang w:val="en-US" w:eastAsia="zh-CN"/>
        </w:rPr>
      </w:pPr>
      <w:r>
        <w:rPr>
          <w:rFonts w:hint="eastAsia" w:ascii="宋体" w:hAnsi="宋体" w:eastAsia="宋体" w:cs="宋体"/>
          <w:b/>
          <w:bCs/>
          <w:color w:val="auto"/>
          <w:sz w:val="32"/>
          <w:szCs w:val="96"/>
          <w:highlight w:val="none"/>
          <w:lang w:val="en-US" w:eastAsia="zh-CN"/>
        </w:rPr>
        <w:t>采购代理机构：广西邕政采购代理有限公司</w:t>
      </w:r>
    </w:p>
    <w:p w14:paraId="0E397E8F">
      <w:pPr>
        <w:snapToGrid w:val="0"/>
        <w:spacing w:before="165" w:beforeLines="50" w:line="360" w:lineRule="auto"/>
        <w:ind w:firstLine="2891" w:firstLineChars="900"/>
        <w:rPr>
          <w:rFonts w:hint="default" w:ascii="宋体" w:hAnsi="宋体" w:eastAsia="宋体" w:cs="宋体"/>
          <w:b/>
          <w:bCs/>
          <w:color w:val="auto"/>
          <w:sz w:val="32"/>
          <w:szCs w:val="96"/>
          <w:highlight w:val="none"/>
          <w:lang w:val="en-US" w:eastAsia="zh-CN"/>
        </w:rPr>
      </w:pPr>
      <w:r>
        <w:rPr>
          <w:rFonts w:hint="eastAsia" w:ascii="宋体" w:hAnsi="宋体" w:eastAsia="宋体" w:cs="宋体"/>
          <w:b/>
          <w:bCs/>
          <w:color w:val="auto"/>
          <w:sz w:val="32"/>
          <w:szCs w:val="96"/>
          <w:highlight w:val="none"/>
          <w:lang w:val="en-US" w:eastAsia="zh-CN"/>
        </w:rPr>
        <w:t>2025年</w:t>
      </w:r>
      <w:r>
        <w:rPr>
          <w:rFonts w:hint="eastAsia" w:ascii="宋体" w:hAnsi="宋体" w:cs="宋体"/>
          <w:b/>
          <w:bCs/>
          <w:color w:val="auto"/>
          <w:sz w:val="32"/>
          <w:szCs w:val="96"/>
          <w:highlight w:val="none"/>
          <w:lang w:val="en-US" w:eastAsia="zh-CN"/>
        </w:rPr>
        <w:t>10</w:t>
      </w:r>
      <w:r>
        <w:rPr>
          <w:rFonts w:hint="eastAsia" w:ascii="宋体" w:hAnsi="宋体" w:eastAsia="宋体" w:cs="宋体"/>
          <w:b/>
          <w:bCs/>
          <w:color w:val="auto"/>
          <w:sz w:val="32"/>
          <w:szCs w:val="96"/>
          <w:highlight w:val="none"/>
          <w:lang w:val="en-US" w:eastAsia="zh-CN"/>
        </w:rPr>
        <w:t>月</w:t>
      </w:r>
    </w:p>
    <w:p w14:paraId="3A857E06">
      <w:pPr>
        <w:tabs>
          <w:tab w:val="center" w:pos="4153"/>
          <w:tab w:val="right" w:pos="8306"/>
        </w:tabs>
        <w:snapToGrid w:val="0"/>
        <w:jc w:val="left"/>
        <w:rPr>
          <w:rFonts w:hint="eastAsia" w:ascii="宋体" w:hAnsi="宋体" w:cs="宋体"/>
          <w:color w:val="auto"/>
          <w:sz w:val="18"/>
          <w:highlight w:val="none"/>
        </w:rPr>
      </w:pPr>
    </w:p>
    <w:p w14:paraId="328D4231">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br w:type="page"/>
      </w:r>
      <w:r>
        <w:rPr>
          <w:rFonts w:hint="eastAsia" w:ascii="宋体" w:hAnsi="宋体" w:cs="宋体"/>
          <w:b/>
          <w:bCs/>
          <w:color w:val="auto"/>
          <w:sz w:val="44"/>
          <w:szCs w:val="44"/>
          <w:highlight w:val="none"/>
        </w:rPr>
        <w:t>目  录</w:t>
      </w:r>
    </w:p>
    <w:p w14:paraId="0855A614">
      <w:pPr>
        <w:pStyle w:val="27"/>
        <w:tabs>
          <w:tab w:val="right" w:leader="dot" w:pos="9636"/>
        </w:tabs>
        <w:spacing w:before="0" w:after="0" w:line="360" w:lineRule="auto"/>
        <w:rPr>
          <w:rFonts w:hint="eastAsia" w:ascii="宋体" w:hAnsi="宋体" w:cs="宋体"/>
          <w:color w:val="auto"/>
          <w:sz w:val="24"/>
          <w:szCs w:val="24"/>
          <w:highlight w:val="none"/>
        </w:rPr>
      </w:pPr>
      <w:r>
        <w:rPr>
          <w:rFonts w:hint="eastAsia" w:ascii="宋体" w:hAnsi="宋体" w:cs="宋体"/>
          <w:b w:val="0"/>
          <w:bCs w:val="0"/>
          <w:caps w:val="0"/>
          <w:color w:val="auto"/>
          <w:sz w:val="24"/>
          <w:szCs w:val="24"/>
          <w:highlight w:val="none"/>
        </w:rPr>
        <w:fldChar w:fldCharType="begin"/>
      </w:r>
      <w:r>
        <w:rPr>
          <w:rFonts w:hint="eastAsia" w:ascii="宋体" w:hAnsi="宋体" w:cs="宋体"/>
          <w:b w:val="0"/>
          <w:bCs w:val="0"/>
          <w:caps w:val="0"/>
          <w:color w:val="auto"/>
          <w:sz w:val="24"/>
          <w:szCs w:val="24"/>
          <w:highlight w:val="none"/>
        </w:rPr>
        <w:instrText xml:space="preserve">TOC \o "1-2" \h \u </w:instrText>
      </w:r>
      <w:r>
        <w:rPr>
          <w:rFonts w:hint="eastAsia" w:ascii="宋体" w:hAnsi="宋体" w:cs="宋体"/>
          <w:b w:val="0"/>
          <w:bCs w:val="0"/>
          <w:caps w:val="0"/>
          <w:color w:val="auto"/>
          <w:sz w:val="24"/>
          <w:szCs w:val="24"/>
          <w:highlight w:val="none"/>
        </w:rPr>
        <w:fldChar w:fldCharType="separate"/>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_Toc2855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_Toc2855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26C210E">
      <w:pPr>
        <w:pStyle w:val="27"/>
        <w:tabs>
          <w:tab w:val="right" w:leader="dot" w:pos="9636"/>
        </w:tabs>
        <w:spacing w:before="0"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_Toc13142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第二章  采购需求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_Toc13142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1B96EEA">
      <w:pPr>
        <w:pStyle w:val="27"/>
        <w:tabs>
          <w:tab w:val="right" w:leader="dot" w:pos="9636"/>
        </w:tabs>
        <w:spacing w:before="0"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_Toc26088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第三章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_Toc26088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97E2318">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_Toc16360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第一节 投标人须知前附表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_Toc16360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7668D72">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_Toc3932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第二节 投标人须知正文</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_Toc3932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3FD6C74">
      <w:pPr>
        <w:pStyle w:val="27"/>
        <w:tabs>
          <w:tab w:val="right" w:leader="dot" w:pos="9636"/>
        </w:tabs>
        <w:spacing w:before="0"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_Toc7960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第四章  评标方法及评分标准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_Toc7960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3C48E6E">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_Toc29262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第一节 评标方法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_Toc29262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5ACD9A6">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_Toc15197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第二节 评标程序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_Toc15197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348F3DB">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_Toc31304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第三节 评分标准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_Toc31304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E81DB92">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_Toc2225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第四节 中标候选人推荐原则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_Toc2225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100E702">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_Toc28585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第五节 评标报告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_Toc28585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49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0F26851">
      <w:pPr>
        <w:pStyle w:val="27"/>
        <w:tabs>
          <w:tab w:val="right" w:leader="dot" w:pos="9636"/>
        </w:tabs>
        <w:spacing w:before="0"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_Toc26901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_Toc26901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F7A07F2">
      <w:pPr>
        <w:pStyle w:val="27"/>
        <w:tabs>
          <w:tab w:val="right" w:leader="dot" w:pos="9636"/>
        </w:tabs>
        <w:spacing w:before="0"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_Toc17308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_Toc17308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AA3F6E7">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_Toc15113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第一节 投标文件封面</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_Toc15113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5A49DE1">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_Toc6772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第二节 资格证明文件格式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_Toc6772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2688591">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_Toc7376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第三节 商务文件格式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_Toc7376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71ED230">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_Toc7889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第四节 技术文件格式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_Toc7889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9ED0583">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_Toc31932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第五节 报价文件格式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_Toc31932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57F8FDC">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_Toc31138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lang w:bidi="ar"/>
        </w:rPr>
        <w:t>第六节  其他文书、文件格式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_Toc31138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53FF844">
      <w:pPr>
        <w:pStyle w:val="27"/>
        <w:tabs>
          <w:tab w:val="right" w:leader="dot" w:pos="9636"/>
        </w:tabs>
        <w:spacing w:before="0" w:after="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_Toc14252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第七章 质疑、投诉证明材料格式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_Toc14252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96F5294">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_Toc13640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第一节 质疑函（格式）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_Toc13640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BC8478C">
      <w:pPr>
        <w:pStyle w:val="33"/>
        <w:tabs>
          <w:tab w:val="right" w:leader="dot" w:pos="9636"/>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_Toc21369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第二节 投诉书（格式）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_Toc21369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BFB59E6">
      <w:pPr>
        <w:spacing w:line="360" w:lineRule="auto"/>
        <w:rPr>
          <w:rFonts w:hint="eastAsia" w:ascii="宋体" w:hAnsi="宋体" w:cs="宋体"/>
          <w:color w:val="auto"/>
          <w:highlight w:val="none"/>
        </w:rPr>
      </w:pPr>
      <w:r>
        <w:rPr>
          <w:rFonts w:hint="eastAsia" w:ascii="宋体" w:hAnsi="宋体" w:cs="宋体"/>
          <w:color w:val="auto"/>
          <w:sz w:val="24"/>
          <w:highlight w:val="none"/>
        </w:rPr>
        <w:fldChar w:fldCharType="end"/>
      </w:r>
    </w:p>
    <w:p w14:paraId="6E02C579">
      <w:pPr>
        <w:widowControl/>
        <w:jc w:val="center"/>
        <w:rPr>
          <w:rFonts w:hint="eastAsia" w:ascii="宋体" w:hAnsi="宋体" w:cs="宋体"/>
          <w:color w:val="auto"/>
          <w:szCs w:val="20"/>
          <w:highlight w:val="none"/>
        </w:rPr>
      </w:pPr>
      <w:r>
        <w:rPr>
          <w:rFonts w:hint="eastAsia" w:ascii="宋体" w:hAnsi="宋体" w:cs="宋体"/>
          <w:color w:val="auto"/>
          <w:szCs w:val="20"/>
          <w:highlight w:val="none"/>
        </w:rPr>
        <w:tab/>
      </w:r>
      <w:bookmarkStart w:id="0" w:name="_Toc532545041"/>
    </w:p>
    <w:p w14:paraId="51FBCAF2">
      <w:pPr>
        <w:rPr>
          <w:rFonts w:hint="eastAsia" w:ascii="宋体" w:hAnsi="宋体" w:cs="宋体"/>
          <w:color w:val="auto"/>
          <w:szCs w:val="20"/>
          <w:highlight w:val="none"/>
          <w:lang w:bidi="ar"/>
        </w:rPr>
        <w:sectPr>
          <w:footerReference r:id="rId3" w:type="default"/>
          <w:pgSz w:w="11906" w:h="16838"/>
          <w:pgMar w:top="1135" w:right="1135" w:bottom="1135" w:left="1135" w:header="720" w:footer="720" w:gutter="0"/>
          <w:pgNumType w:start="1"/>
          <w:cols w:space="720" w:num="1"/>
          <w:docGrid w:type="lines" w:linePitch="331" w:charSpace="0"/>
        </w:sectPr>
      </w:pPr>
    </w:p>
    <w:bookmarkEnd w:id="0"/>
    <w:p w14:paraId="3032987B">
      <w:pPr>
        <w:widowControl/>
        <w:jc w:val="center"/>
        <w:outlineLvl w:val="0"/>
        <w:rPr>
          <w:rFonts w:hint="eastAsia" w:ascii="宋体" w:hAnsi="宋体" w:cs="宋体"/>
          <w:b/>
          <w:color w:val="auto"/>
          <w:sz w:val="36"/>
          <w:szCs w:val="36"/>
          <w:highlight w:val="none"/>
        </w:rPr>
      </w:pPr>
      <w:bookmarkStart w:id="1" w:name="_Toc3248"/>
      <w:bookmarkStart w:id="2" w:name="_Toc2855"/>
      <w:bookmarkStart w:id="3" w:name="_Toc532545042"/>
      <w:bookmarkStart w:id="4" w:name="_Toc1373"/>
      <w:r>
        <w:rPr>
          <w:rFonts w:hint="eastAsia" w:ascii="宋体" w:hAnsi="宋体" w:cs="宋体"/>
          <w:b/>
          <w:color w:val="auto"/>
          <w:sz w:val="36"/>
          <w:szCs w:val="20"/>
          <w:highlight w:val="none"/>
        </w:rPr>
        <w:t>第一章  招标公告</w:t>
      </w:r>
      <w:bookmarkEnd w:id="1"/>
      <w:bookmarkEnd w:id="2"/>
    </w:p>
    <w:p w14:paraId="5520F1A2">
      <w:pPr>
        <w:widowControl/>
        <w:jc w:val="center"/>
        <w:rPr>
          <w:rFonts w:hint="eastAsia" w:ascii="宋体" w:hAnsi="宋体" w:cs="宋体"/>
          <w:b/>
          <w:color w:val="auto"/>
          <w:szCs w:val="21"/>
          <w:highlight w:val="none"/>
        </w:rPr>
      </w:pPr>
      <w:bookmarkStart w:id="5" w:name="_Toc14874"/>
      <w:r>
        <w:rPr>
          <w:rFonts w:hint="eastAsia" w:ascii="宋体" w:hAnsi="宋体" w:cs="宋体"/>
          <w:b/>
          <w:color w:val="auto"/>
          <w:sz w:val="30"/>
          <w:szCs w:val="30"/>
          <w:highlight w:val="none"/>
        </w:rPr>
        <w:t>公开招标公告</w:t>
      </w:r>
      <w:bookmarkEnd w:id="5"/>
      <w:permStart w:id="1" w:edGrp="everyone"/>
      <w:permEnd w:id="1"/>
    </w:p>
    <w:p w14:paraId="042526DB">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4"/>
          <w:highlight w:val="none"/>
        </w:rPr>
      </w:pPr>
      <w:bookmarkStart w:id="6" w:name="_Toc28359079"/>
      <w:bookmarkStart w:id="7" w:name="_Toc35393621"/>
      <w:bookmarkStart w:id="8" w:name="_Toc35393790"/>
      <w:bookmarkStart w:id="9" w:name="_Toc28359002"/>
      <w:bookmarkStart w:id="10" w:name="_Hlk24379207"/>
      <w:r>
        <w:rPr>
          <w:rFonts w:hint="eastAsia" w:ascii="宋体" w:hAnsi="宋体" w:eastAsia="宋体" w:cs="宋体"/>
          <w:color w:val="auto"/>
          <w:sz w:val="24"/>
          <w:szCs w:val="24"/>
          <w:highlight w:val="none"/>
        </w:rPr>
        <w:t>项目概况</w:t>
      </w:r>
    </w:p>
    <w:p w14:paraId="7A6114F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业务视频终端</w:t>
      </w:r>
      <w:r>
        <w:rPr>
          <w:rFonts w:hint="eastAsia" w:ascii="宋体" w:hAnsi="宋体" w:eastAsia="宋体" w:cs="宋体"/>
          <w:color w:val="auto"/>
          <w:sz w:val="24"/>
          <w:szCs w:val="24"/>
          <w:highlight w:val="none"/>
        </w:rPr>
        <w:t>招标项目的潜在投标人应在“广西政府采购云”平台（https://login.gcy.zfcg.gxzf.gov.cn/）获取（下载）招标文件，并于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21</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时</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eastAsia="宋体" w:cs="宋体"/>
          <w:bCs/>
          <w:color w:val="auto"/>
          <w:sz w:val="24"/>
          <w:szCs w:val="24"/>
          <w:highlight w:val="none"/>
        </w:rPr>
        <w:t>（北京时间）前</w:t>
      </w:r>
      <w:r>
        <w:rPr>
          <w:rFonts w:hint="eastAsia" w:ascii="宋体" w:hAnsi="宋体" w:eastAsia="宋体" w:cs="宋体"/>
          <w:color w:val="auto"/>
          <w:sz w:val="24"/>
          <w:szCs w:val="24"/>
          <w:highlight w:val="none"/>
        </w:rPr>
        <w:t>递交（上传）投标文件。</w:t>
      </w:r>
    </w:p>
    <w:p w14:paraId="74C3C924">
      <w:pPr>
        <w:spacing w:line="360" w:lineRule="auto"/>
        <w:rPr>
          <w:rFonts w:hint="eastAsia" w:ascii="宋体" w:hAnsi="宋体" w:eastAsia="宋体" w:cs="宋体"/>
          <w:b/>
          <w:bCs/>
          <w:color w:val="auto"/>
          <w:sz w:val="24"/>
          <w:szCs w:val="24"/>
          <w:highlight w:val="none"/>
        </w:rPr>
      </w:pPr>
      <w:bookmarkStart w:id="11" w:name="_Toc24307"/>
      <w:r>
        <w:rPr>
          <w:rFonts w:hint="eastAsia" w:ascii="宋体" w:hAnsi="宋体" w:eastAsia="宋体" w:cs="宋体"/>
          <w:b/>
          <w:bCs/>
          <w:color w:val="auto"/>
          <w:sz w:val="24"/>
          <w:szCs w:val="24"/>
          <w:highlight w:val="none"/>
          <w:lang w:bidi="ar"/>
        </w:rPr>
        <w:t>一、项目基本情况</w:t>
      </w:r>
      <w:bookmarkEnd w:id="6"/>
      <w:bookmarkEnd w:id="7"/>
      <w:bookmarkEnd w:id="8"/>
      <w:bookmarkEnd w:id="9"/>
      <w:bookmarkEnd w:id="11"/>
    </w:p>
    <w:bookmarkEnd w:id="10"/>
    <w:p w14:paraId="1CFB356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NNZC2025-G1-991254-GXYZ</w:t>
      </w:r>
    </w:p>
    <w:p w14:paraId="2CB5053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val="en-US" w:eastAsia="zh-CN"/>
        </w:rPr>
        <w:t>业务视频终端</w:t>
      </w:r>
    </w:p>
    <w:p w14:paraId="779C561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采购计划文号：</w:t>
      </w:r>
      <w:bookmarkStart w:id="12" w:name="_Toc35393622"/>
      <w:bookmarkStart w:id="13" w:name="_Toc28359080"/>
      <w:bookmarkStart w:id="14" w:name="_Toc35393791"/>
      <w:bookmarkStart w:id="15" w:name="_Toc28359003"/>
      <w:r>
        <w:rPr>
          <w:rFonts w:hint="eastAsia" w:ascii="宋体" w:hAnsi="宋体" w:eastAsia="宋体" w:cs="宋体"/>
          <w:color w:val="auto"/>
          <w:sz w:val="24"/>
          <w:szCs w:val="24"/>
          <w:highlight w:val="none"/>
          <w:lang w:val="en-US" w:eastAsia="zh-CN"/>
        </w:rPr>
        <w:t>NNZC[2025]7343号</w:t>
      </w:r>
    </w:p>
    <w:p w14:paraId="3AC41B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人民币柒拾捌万元整（¥780000.00）。</w:t>
      </w:r>
    </w:p>
    <w:p w14:paraId="626052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人民币柒拾捌万元整（¥780000.00）。</w:t>
      </w:r>
    </w:p>
    <w:p w14:paraId="677C1CBE">
      <w:pPr>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采购需求：</w:t>
      </w:r>
    </w:p>
    <w:tbl>
      <w:tblPr>
        <w:tblStyle w:val="39"/>
        <w:tblW w:w="9281" w:type="dxa"/>
        <w:tblInd w:w="45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
        <w:gridCol w:w="1816"/>
        <w:gridCol w:w="934"/>
        <w:gridCol w:w="900"/>
        <w:gridCol w:w="4880"/>
      </w:tblGrid>
      <w:tr w14:paraId="183EE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14:paraId="1ABD87B8">
            <w:pPr>
              <w:snapToGrid w:val="0"/>
              <w:spacing w:line="3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71612FBA">
            <w:pPr>
              <w:snapToGrid w:val="0"/>
              <w:spacing w:line="3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标的的名称</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4CC327EE">
            <w:pPr>
              <w:snapToGrid w:val="0"/>
              <w:spacing w:line="3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0A79D65">
            <w:pPr>
              <w:snapToGrid w:val="0"/>
              <w:spacing w:line="3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47D9CBCF">
            <w:pPr>
              <w:snapToGrid w:val="0"/>
              <w:spacing w:line="3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简要技术需求或者服务要求</w:t>
            </w:r>
          </w:p>
        </w:tc>
      </w:tr>
      <w:tr w14:paraId="63A4C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4" w:hRule="atLeast"/>
        </w:trPr>
        <w:tc>
          <w:tcPr>
            <w:tcW w:w="751" w:type="dxa"/>
            <w:tcBorders>
              <w:top w:val="single" w:color="auto" w:sz="4" w:space="0"/>
              <w:left w:val="single" w:color="auto" w:sz="4" w:space="0"/>
              <w:bottom w:val="single" w:color="auto" w:sz="4" w:space="0"/>
              <w:right w:val="single" w:color="auto" w:sz="4" w:space="0"/>
            </w:tcBorders>
            <w:noWrap w:val="0"/>
            <w:vAlign w:val="center"/>
          </w:tcPr>
          <w:p w14:paraId="3A95B8C0">
            <w:pPr>
              <w:snapToGrid w:val="0"/>
              <w:spacing w:line="3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12D62B33">
            <w:pPr>
              <w:snapToGrid w:val="0"/>
              <w:spacing w:line="3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业务视频终端</w:t>
            </w:r>
            <w:r>
              <w:rPr>
                <w:rFonts w:hint="eastAsia" w:asciiTheme="minorEastAsia" w:hAnsiTheme="minorEastAsia" w:eastAsiaTheme="minorEastAsia" w:cstheme="minorEastAsia"/>
                <w:color w:val="auto"/>
                <w:kern w:val="0"/>
                <w:sz w:val="24"/>
                <w:szCs w:val="24"/>
                <w:highlight w:val="none"/>
                <w:lang w:eastAsia="zh-CN"/>
              </w:rPr>
              <w:t>（大型）</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B4EE6FD">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12</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FE4E8FF">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台</w:t>
            </w:r>
          </w:p>
        </w:tc>
        <w:tc>
          <w:tcPr>
            <w:tcW w:w="4880" w:type="dxa"/>
            <w:tcBorders>
              <w:top w:val="single" w:color="auto" w:sz="4" w:space="0"/>
              <w:left w:val="single" w:color="auto" w:sz="4" w:space="0"/>
              <w:bottom w:val="single" w:color="auto" w:sz="4" w:space="0"/>
              <w:right w:val="single" w:color="auto" w:sz="4" w:space="0"/>
            </w:tcBorders>
            <w:noWrap w:val="0"/>
            <w:vAlign w:val="center"/>
          </w:tcPr>
          <w:p w14:paraId="06ED3C6A">
            <w:pPr>
              <w:keepNext w:val="0"/>
              <w:keepLines w:val="0"/>
              <w:pageBreakBefore w:val="0"/>
              <w:widowControl/>
              <w:numPr>
                <w:ilvl w:val="0"/>
                <w:numId w:val="0"/>
              </w:numPr>
              <w:kinsoku/>
              <w:wordWrap/>
              <w:overflowPunct/>
              <w:topLinePunct w:val="0"/>
              <w:autoSpaceDE/>
              <w:autoSpaceDN/>
              <w:bidi w:val="0"/>
              <w:adjustRightInd/>
              <w:snapToGrid/>
              <w:spacing w:beforeLines="0" w:line="360" w:lineRule="auto"/>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采用分体式设计，嵌入式操作系统，非PC架构，终端CPU处理单元、音视频解码芯片采用国产芯片。</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2．支持H.323/SIP通信协议，包括H.239、BFCP、RTP、RTCP</w:t>
            </w:r>
            <w:r>
              <w:rPr>
                <w:rFonts w:hint="eastAsia" w:asciiTheme="minorEastAsia" w:hAnsiTheme="minorEastAsia" w:eastAsiaTheme="minorEastAsia" w:cstheme="minorEastAsia"/>
                <w:color w:val="auto"/>
                <w:kern w:val="0"/>
                <w:sz w:val="24"/>
                <w:szCs w:val="24"/>
                <w:highlight w:val="none"/>
                <w:lang w:eastAsia="zh-CN"/>
              </w:rPr>
              <w:t>协议</w:t>
            </w:r>
            <w:r>
              <w:rPr>
                <w:rFonts w:hint="eastAsia" w:asciiTheme="minorEastAsia" w:hAnsiTheme="minorEastAsia" w:eastAsiaTheme="minorEastAsia" w:cstheme="minorEastAsia"/>
                <w:color w:val="auto"/>
                <w:kern w:val="0"/>
                <w:sz w:val="24"/>
                <w:szCs w:val="24"/>
                <w:highlight w:val="none"/>
              </w:rPr>
              <w:t>。</w:t>
            </w:r>
          </w:p>
          <w:p w14:paraId="199A446A">
            <w:pPr>
              <w:widowControl/>
              <w:snapToGrid w:val="0"/>
              <w:spacing w:line="360" w:lineRule="exact"/>
              <w:ind w:firstLine="720" w:firstLineChars="3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……具体详见第二章 采购需求</w:t>
            </w:r>
          </w:p>
        </w:tc>
      </w:tr>
    </w:tbl>
    <w:p w14:paraId="39842EE5">
      <w:pPr>
        <w:pStyle w:val="9"/>
        <w:ind w:left="0" w:leftChars="0" w:firstLine="0" w:firstLineChars="0"/>
        <w:rPr>
          <w:rFonts w:hint="eastAsia"/>
          <w:color w:val="auto"/>
          <w:highlight w:val="none"/>
          <w:lang w:val="en-US" w:eastAsia="zh-CN"/>
        </w:rPr>
      </w:pPr>
    </w:p>
    <w:p w14:paraId="486E7FFA">
      <w:pPr>
        <w:spacing w:line="360" w:lineRule="auto"/>
        <w:ind w:firstLine="482" w:firstLineChars="200"/>
        <w:rPr>
          <w:rFonts w:hint="eastAsia" w:ascii="宋体" w:hAnsi="宋体" w:eastAsia="宋体" w:cs="宋体"/>
          <w:b/>
          <w:bCs/>
          <w:color w:val="auto"/>
          <w:sz w:val="24"/>
          <w:szCs w:val="24"/>
          <w:highlight w:val="none"/>
        </w:rPr>
      </w:pPr>
      <w:bookmarkStart w:id="16" w:name="_Toc31073"/>
      <w:r>
        <w:rPr>
          <w:rFonts w:hint="eastAsia" w:ascii="宋体" w:hAnsi="宋体" w:eastAsia="宋体" w:cs="宋体"/>
          <w:b/>
          <w:bCs/>
          <w:color w:val="auto"/>
          <w:sz w:val="24"/>
          <w:szCs w:val="24"/>
          <w:highlight w:val="none"/>
          <w:lang w:bidi="ar"/>
        </w:rPr>
        <w:t>二、投标人的资格要求：</w:t>
      </w:r>
      <w:bookmarkEnd w:id="12"/>
      <w:bookmarkEnd w:id="13"/>
      <w:bookmarkEnd w:id="14"/>
      <w:bookmarkEnd w:id="15"/>
      <w:bookmarkEnd w:id="16"/>
    </w:p>
    <w:p w14:paraId="5F96FB21">
      <w:pPr>
        <w:spacing w:line="360" w:lineRule="auto"/>
        <w:ind w:firstLine="480" w:firstLineChars="200"/>
        <w:rPr>
          <w:rFonts w:hint="eastAsia" w:ascii="宋体" w:hAnsi="宋体" w:eastAsia="宋体" w:cs="宋体"/>
          <w:color w:val="auto"/>
          <w:sz w:val="24"/>
          <w:szCs w:val="24"/>
          <w:highlight w:val="none"/>
          <w:lang w:bidi="ar"/>
        </w:rPr>
      </w:pPr>
      <w:bookmarkStart w:id="17" w:name="_Toc28359004"/>
      <w:bookmarkStart w:id="18" w:name="_Toc28359081"/>
      <w:r>
        <w:rPr>
          <w:rFonts w:hint="eastAsia" w:ascii="宋体" w:hAnsi="宋体" w:eastAsia="宋体" w:cs="宋体"/>
          <w:color w:val="auto"/>
          <w:sz w:val="24"/>
          <w:szCs w:val="24"/>
          <w:highlight w:val="none"/>
          <w:lang w:bidi="ar"/>
        </w:rPr>
        <w:t>1.满足《中华人民共和国政府采购法》第二十二条规定；</w:t>
      </w:r>
    </w:p>
    <w:p w14:paraId="7C9DFDCE">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lang w:bidi="ar"/>
        </w:rPr>
        <w:t>2.落实政府采购政策需满足的资格要求：</w:t>
      </w:r>
      <w:r>
        <w:rPr>
          <w:rFonts w:hint="eastAsia" w:ascii="宋体" w:hAnsi="宋体" w:eastAsia="宋体" w:cs="宋体"/>
          <w:color w:val="auto"/>
          <w:sz w:val="24"/>
          <w:szCs w:val="24"/>
          <w:highlight w:val="none"/>
          <w:lang w:val="en-US" w:eastAsia="zh-CN"/>
        </w:rPr>
        <w:t>非</w:t>
      </w:r>
      <w:r>
        <w:rPr>
          <w:rFonts w:hint="eastAsia" w:ascii="宋体" w:hAnsi="宋体" w:eastAsia="宋体" w:cs="宋体"/>
          <w:color w:val="auto"/>
          <w:sz w:val="24"/>
          <w:szCs w:val="24"/>
          <w:highlight w:val="none"/>
        </w:rPr>
        <w:t>专门面向</w:t>
      </w:r>
      <w:r>
        <w:rPr>
          <w:rFonts w:hint="eastAsia" w:ascii="宋体" w:hAnsi="宋体" w:eastAsia="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企业采购的项目</w:t>
      </w:r>
      <w:r>
        <w:rPr>
          <w:rFonts w:hint="eastAsia" w:ascii="宋体" w:hAnsi="宋体" w:eastAsia="宋体" w:cs="宋体"/>
          <w:color w:val="auto"/>
          <w:sz w:val="24"/>
          <w:szCs w:val="24"/>
          <w:highlight w:val="none"/>
          <w:lang w:eastAsia="zh-CN"/>
        </w:rPr>
        <w:t>。</w:t>
      </w:r>
    </w:p>
    <w:p w14:paraId="2B5243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bidi="ar"/>
        </w:rPr>
        <w:t>无；</w:t>
      </w:r>
    </w:p>
    <w:p w14:paraId="1582ED06">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4.本项目的特定条件：无；</w:t>
      </w:r>
    </w:p>
    <w:p w14:paraId="6924156F">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D825F28">
      <w:pPr>
        <w:spacing w:line="360" w:lineRule="auto"/>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29F1A90">
      <w:pPr>
        <w:spacing w:line="360" w:lineRule="auto"/>
        <w:rPr>
          <w:rFonts w:hint="eastAsia" w:ascii="宋体" w:hAnsi="宋体" w:eastAsia="宋体" w:cs="宋体"/>
          <w:b/>
          <w:bCs/>
          <w:color w:val="auto"/>
          <w:sz w:val="24"/>
          <w:szCs w:val="24"/>
          <w:highlight w:val="none"/>
        </w:rPr>
      </w:pPr>
      <w:bookmarkStart w:id="19" w:name="_Toc35393623"/>
      <w:bookmarkStart w:id="20" w:name="_Toc15771"/>
      <w:bookmarkStart w:id="21" w:name="_Toc35393792"/>
      <w:r>
        <w:rPr>
          <w:rFonts w:hint="eastAsia" w:ascii="宋体" w:hAnsi="宋体" w:eastAsia="宋体" w:cs="宋体"/>
          <w:b/>
          <w:bCs/>
          <w:color w:val="auto"/>
          <w:sz w:val="24"/>
          <w:szCs w:val="24"/>
          <w:highlight w:val="none"/>
          <w:lang w:bidi="ar"/>
        </w:rPr>
        <w:t>三、获取招标文件</w:t>
      </w:r>
      <w:bookmarkEnd w:id="17"/>
      <w:bookmarkEnd w:id="18"/>
      <w:bookmarkEnd w:id="19"/>
      <w:bookmarkEnd w:id="20"/>
      <w:bookmarkEnd w:id="21"/>
    </w:p>
    <w:p w14:paraId="752D95FD">
      <w:pPr>
        <w:snapToGrid w:val="0"/>
        <w:spacing w:line="360" w:lineRule="auto"/>
        <w:ind w:firstLine="540" w:firstLineChars="225"/>
        <w:rPr>
          <w:rFonts w:hint="eastAsia" w:ascii="宋体" w:hAnsi="宋体" w:eastAsia="宋体" w:cs="宋体"/>
          <w:color w:val="auto"/>
          <w:sz w:val="24"/>
          <w:szCs w:val="24"/>
          <w:highlight w:val="none"/>
        </w:rPr>
      </w:pPr>
      <w:bookmarkStart w:id="22" w:name="_Toc28359005"/>
      <w:bookmarkStart w:id="23" w:name="_Toc28359082"/>
      <w:bookmarkStart w:id="24" w:name="_Toc35393624"/>
      <w:bookmarkStart w:id="25" w:name="_Toc35393793"/>
      <w:r>
        <w:rPr>
          <w:rFonts w:hint="eastAsia" w:ascii="宋体" w:hAnsi="宋体" w:eastAsia="宋体" w:cs="宋体"/>
          <w:color w:val="auto"/>
          <w:sz w:val="24"/>
          <w:szCs w:val="24"/>
          <w:highlight w:val="none"/>
          <w:lang w:bidi="ar"/>
        </w:rPr>
        <w:t>时间：自公告发布之日起。</w:t>
      </w:r>
    </w:p>
    <w:p w14:paraId="3EAFA034">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获取方式:网上下载。本项目不发放纸质文件，供应商可自行在</w:t>
      </w:r>
      <w:r>
        <w:rPr>
          <w:rFonts w:hint="eastAsia" w:ascii="宋体" w:hAnsi="宋体" w:eastAsia="宋体" w:cs="宋体"/>
          <w:color w:val="auto"/>
          <w:sz w:val="24"/>
          <w:szCs w:val="24"/>
          <w:highlight w:val="none"/>
          <w:lang w:bidi="ar"/>
        </w:rPr>
        <w:fldChar w:fldCharType="begin"/>
      </w:r>
      <w:r>
        <w:rPr>
          <w:rFonts w:hint="eastAsia" w:ascii="宋体" w:hAnsi="宋体" w:eastAsia="宋体" w:cs="宋体"/>
          <w:color w:val="auto"/>
          <w:sz w:val="24"/>
          <w:szCs w:val="24"/>
          <w:highlight w:val="none"/>
          <w:lang w:bidi="ar"/>
        </w:rPr>
        <w:instrText xml:space="preserve"> HYPERLINK "" </w:instrText>
      </w:r>
      <w:r>
        <w:rPr>
          <w:rFonts w:hint="eastAsia" w:ascii="宋体" w:hAnsi="宋体" w:eastAsia="宋体" w:cs="宋体"/>
          <w:color w:val="auto"/>
          <w:sz w:val="24"/>
          <w:szCs w:val="24"/>
          <w:highlight w:val="none"/>
          <w:lang w:bidi="ar"/>
        </w:rPr>
        <w:fldChar w:fldCharType="separate"/>
      </w:r>
      <w:r>
        <w:rPr>
          <w:rFonts w:hint="eastAsia" w:ascii="宋体" w:hAnsi="宋体" w:eastAsia="宋体" w:cs="宋体"/>
          <w:color w:val="auto"/>
          <w:sz w:val="24"/>
          <w:szCs w:val="24"/>
          <w:highlight w:val="none"/>
          <w:lang w:bidi="ar"/>
        </w:rPr>
        <w:fldChar w:fldCharType="end"/>
      </w:r>
      <w:r>
        <w:rPr>
          <w:rFonts w:hint="eastAsia" w:ascii="宋体" w:hAnsi="宋体" w:eastAsia="宋体" w:cs="宋体"/>
          <w:color w:val="auto"/>
          <w:sz w:val="24"/>
          <w:szCs w:val="24"/>
          <w:highlight w:val="none"/>
          <w:lang w:bidi="ar"/>
        </w:rPr>
        <w:t>“广西政府采购云”平台（</w:t>
      </w:r>
      <w:r>
        <w:rPr>
          <w:rFonts w:hint="eastAsia" w:ascii="宋体" w:hAnsi="宋体" w:eastAsia="宋体" w:cs="宋体"/>
          <w:color w:val="auto"/>
          <w:sz w:val="24"/>
          <w:szCs w:val="24"/>
          <w:highlight w:val="none"/>
        </w:rPr>
        <w:t>https://login.gcy.zfcg.gxzf.gov.cn/</w:t>
      </w:r>
      <w:r>
        <w:rPr>
          <w:rFonts w:hint="eastAsia" w:ascii="宋体" w:hAnsi="宋体" w:eastAsia="宋体" w:cs="宋体"/>
          <w:color w:val="auto"/>
          <w:sz w:val="24"/>
          <w:szCs w:val="24"/>
          <w:highlight w:val="none"/>
          <w:lang w:bidi="ar"/>
        </w:rPr>
        <w:t>）下载招标文件（操作路径：登录“广西政府采购云”平台-项目采购-获取采购文件-找到本项目-点击“申请获取采购文件”），电子投标文件制作需要基于“广西政府采购云”平台（</w:t>
      </w:r>
      <w:r>
        <w:rPr>
          <w:rFonts w:hint="eastAsia" w:ascii="宋体" w:hAnsi="宋体" w:eastAsia="宋体" w:cs="宋体"/>
          <w:color w:val="auto"/>
          <w:sz w:val="24"/>
          <w:szCs w:val="24"/>
          <w:highlight w:val="none"/>
        </w:rPr>
        <w:t>https://login.gcy.zfcg.gxzf.gov.cn/</w:t>
      </w:r>
      <w:r>
        <w:rPr>
          <w:rFonts w:hint="eastAsia" w:ascii="宋体" w:hAnsi="宋体" w:eastAsia="宋体" w:cs="宋体"/>
          <w:color w:val="auto"/>
          <w:sz w:val="24"/>
          <w:szCs w:val="24"/>
          <w:highlight w:val="none"/>
          <w:lang w:bidi="ar"/>
        </w:rPr>
        <w:t>）获取的招标文件编制。</w:t>
      </w:r>
    </w:p>
    <w:p w14:paraId="33C79C1E">
      <w:pPr>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7216A39">
      <w:pPr>
        <w:spacing w:line="360" w:lineRule="auto"/>
        <w:rPr>
          <w:rFonts w:hint="eastAsia" w:ascii="宋体" w:hAnsi="宋体" w:eastAsia="宋体" w:cs="宋体"/>
          <w:b/>
          <w:bCs/>
          <w:color w:val="auto"/>
          <w:sz w:val="24"/>
          <w:szCs w:val="24"/>
          <w:highlight w:val="none"/>
        </w:rPr>
      </w:pPr>
      <w:bookmarkStart w:id="26" w:name="_Toc27404"/>
      <w:r>
        <w:rPr>
          <w:rFonts w:hint="eastAsia" w:ascii="宋体" w:hAnsi="宋体" w:eastAsia="宋体" w:cs="宋体"/>
          <w:b/>
          <w:bCs/>
          <w:color w:val="auto"/>
          <w:sz w:val="24"/>
          <w:szCs w:val="24"/>
          <w:highlight w:val="none"/>
          <w:lang w:bidi="ar"/>
        </w:rPr>
        <w:t>四、提交投标文件</w:t>
      </w:r>
      <w:bookmarkEnd w:id="22"/>
      <w:bookmarkEnd w:id="23"/>
      <w:r>
        <w:rPr>
          <w:rFonts w:hint="eastAsia" w:ascii="宋体" w:hAnsi="宋体" w:eastAsia="宋体" w:cs="宋体"/>
          <w:b/>
          <w:bCs/>
          <w:color w:val="auto"/>
          <w:sz w:val="24"/>
          <w:szCs w:val="24"/>
          <w:highlight w:val="none"/>
          <w:lang w:bidi="ar"/>
        </w:rPr>
        <w:t>截止时间、开标时间和地点</w:t>
      </w:r>
      <w:bookmarkEnd w:id="24"/>
      <w:bookmarkEnd w:id="25"/>
      <w:bookmarkEnd w:id="26"/>
    </w:p>
    <w:p w14:paraId="4F2C1264">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lang w:bidi="ar"/>
        </w:rPr>
        <w:t>1、提交投标文件截止时间和开标时间：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21</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时</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eastAsia="宋体" w:cs="宋体"/>
          <w:bCs/>
          <w:color w:val="auto"/>
          <w:sz w:val="24"/>
          <w:szCs w:val="24"/>
          <w:highlight w:val="none"/>
          <w:lang w:bidi="ar"/>
        </w:rPr>
        <w:t>（北京时间）</w:t>
      </w:r>
    </w:p>
    <w:p w14:paraId="4871CC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2、投标和开标地点：</w:t>
      </w:r>
    </w:p>
    <w:p w14:paraId="7CCFB4D1">
      <w:pPr>
        <w:widowControl/>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（1）投标文件提交方式：本项目为南宁市全流程电子化项目，通过“广西政府采购云”平台（</w:t>
      </w:r>
      <w:r>
        <w:rPr>
          <w:rFonts w:hint="eastAsia" w:ascii="宋体" w:hAnsi="宋体" w:eastAsia="宋体" w:cs="宋体"/>
          <w:color w:val="auto"/>
          <w:sz w:val="24"/>
          <w:szCs w:val="24"/>
          <w:highlight w:val="none"/>
        </w:rPr>
        <w:t>https://login.gcy.zfcg.gxzf.gov.cn/</w:t>
      </w:r>
      <w:r>
        <w:rPr>
          <w:rFonts w:hint="eastAsia" w:ascii="宋体" w:hAnsi="宋体" w:eastAsia="宋体" w:cs="宋体"/>
          <w:color w:val="auto"/>
          <w:sz w:val="24"/>
          <w:szCs w:val="24"/>
          <w:highlight w:val="none"/>
          <w:lang w:bidi="ar"/>
        </w:rPr>
        <w:t>）实行在线电子投标，供应商应先安装“广西政府采购云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eastAsia="宋体" w:cs="宋体"/>
          <w:b/>
          <w:color w:val="auto"/>
          <w:sz w:val="24"/>
          <w:szCs w:val="24"/>
          <w:highlight w:val="none"/>
          <w:lang w:bidi="ar"/>
        </w:rPr>
        <w:t>供应商在“广西政府采购云”平台提交电子版投标文件时，请填写参加远程开标活动经办人联系方式，</w:t>
      </w:r>
      <w:r>
        <w:rPr>
          <w:rFonts w:hint="eastAsia" w:ascii="宋体" w:hAnsi="宋体" w:eastAsia="宋体" w:cs="宋体"/>
          <w:color w:val="auto"/>
          <w:sz w:val="24"/>
          <w:szCs w:val="24"/>
          <w:highlight w:val="none"/>
          <w:lang w:bidi="ar"/>
        </w:rPr>
        <w:t>电子投标具体操作流程详见本公告附件。</w:t>
      </w:r>
    </w:p>
    <w:p w14:paraId="5E730E2E">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6BF442B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（3）为确保网上操作合法、有效和安全，请投标供应商确保在电子投标过程中能够对相关数据电文进行加密和使用电子签章，妥善保管CA数字证书并使用有效的CA数字证书参与整个招标活动。</w:t>
      </w:r>
    </w:p>
    <w:p w14:paraId="1B160A8A">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3B97B3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（4）开标地点：在“广西政府采购云”平台电子开标大厅开标。</w:t>
      </w:r>
    </w:p>
    <w:p w14:paraId="15C19347">
      <w:pPr>
        <w:wordWrap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CA证书在线解密：供应商投标时，需携带制作投标文件时用来加密的有效数字证书（CA认证）登录“广西政府采购云”平台电子开标大厅现场按规定时间对加密的投标文件进行解密，未能按要求进行解密的，由此产生的后果由投标人自行承担。</w:t>
      </w:r>
    </w:p>
    <w:p w14:paraId="581D82AA">
      <w:pPr>
        <w:spacing w:line="360" w:lineRule="auto"/>
        <w:rPr>
          <w:rFonts w:hint="eastAsia" w:ascii="宋体" w:hAnsi="宋体" w:eastAsia="宋体" w:cs="宋体"/>
          <w:b/>
          <w:bCs/>
          <w:color w:val="auto"/>
          <w:sz w:val="24"/>
          <w:szCs w:val="24"/>
          <w:highlight w:val="none"/>
        </w:rPr>
      </w:pPr>
      <w:bookmarkStart w:id="27" w:name="_Toc35393625"/>
      <w:bookmarkStart w:id="28" w:name="_Toc28359007"/>
      <w:bookmarkStart w:id="29" w:name="_Toc28359084"/>
      <w:bookmarkStart w:id="30" w:name="_Toc35393794"/>
      <w:bookmarkStart w:id="31" w:name="_Toc5705"/>
      <w:r>
        <w:rPr>
          <w:rFonts w:hint="eastAsia" w:ascii="宋体" w:hAnsi="宋体" w:eastAsia="宋体" w:cs="宋体"/>
          <w:b/>
          <w:bCs/>
          <w:color w:val="auto"/>
          <w:sz w:val="24"/>
          <w:szCs w:val="24"/>
          <w:highlight w:val="none"/>
          <w:lang w:bidi="ar"/>
        </w:rPr>
        <w:t>五、公告期限</w:t>
      </w:r>
      <w:bookmarkEnd w:id="27"/>
      <w:bookmarkEnd w:id="28"/>
      <w:bookmarkEnd w:id="29"/>
      <w:bookmarkEnd w:id="30"/>
      <w:bookmarkEnd w:id="31"/>
    </w:p>
    <w:p w14:paraId="25D0BC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自本公告发布之日起5个工作日。</w:t>
      </w:r>
    </w:p>
    <w:p w14:paraId="13A5440D">
      <w:pPr>
        <w:spacing w:line="360" w:lineRule="auto"/>
        <w:rPr>
          <w:rFonts w:hint="eastAsia" w:ascii="宋体" w:hAnsi="宋体" w:eastAsia="宋体" w:cs="宋体"/>
          <w:b/>
          <w:bCs/>
          <w:color w:val="auto"/>
          <w:sz w:val="24"/>
          <w:szCs w:val="24"/>
          <w:highlight w:val="none"/>
        </w:rPr>
      </w:pPr>
      <w:bookmarkStart w:id="32" w:name="_Toc35393795"/>
      <w:bookmarkStart w:id="33" w:name="_Toc35393626"/>
      <w:bookmarkStart w:id="34" w:name="_Toc21520"/>
      <w:r>
        <w:rPr>
          <w:rFonts w:hint="eastAsia" w:ascii="宋体" w:hAnsi="宋体" w:eastAsia="宋体" w:cs="宋体"/>
          <w:b/>
          <w:bCs/>
          <w:color w:val="auto"/>
          <w:sz w:val="24"/>
          <w:szCs w:val="24"/>
          <w:highlight w:val="none"/>
          <w:lang w:bidi="ar"/>
        </w:rPr>
        <w:t>六、其他补充事宜</w:t>
      </w:r>
      <w:bookmarkEnd w:id="32"/>
      <w:bookmarkEnd w:id="33"/>
      <w:bookmarkEnd w:id="34"/>
    </w:p>
    <w:p w14:paraId="335D98C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1.投标保证金：本项目不收取投标保证金</w:t>
      </w:r>
    </w:p>
    <w:p w14:paraId="1BC2622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2.采购意向公开链接：</w:t>
      </w:r>
      <w:bookmarkStart w:id="35" w:name="_Hlk37429585"/>
      <w:r>
        <w:rPr>
          <w:rFonts w:hint="eastAsia" w:ascii="宋体" w:hAnsi="宋体" w:eastAsia="宋体" w:cs="宋体"/>
          <w:color w:val="auto"/>
          <w:kern w:val="0"/>
          <w:sz w:val="24"/>
          <w:szCs w:val="24"/>
          <w:highlight w:val="none"/>
          <w:lang w:bidi="ar"/>
        </w:rPr>
        <w:t>广西壮族自治区南宁市人民检察院2025年5月至6月政府采购意向</w:t>
      </w:r>
      <w:r>
        <w:rPr>
          <w:rFonts w:hint="eastAsia" w:ascii="宋体" w:hAnsi="宋体" w:eastAsia="宋体" w:cs="宋体"/>
          <w:color w:val="auto"/>
          <w:kern w:val="0"/>
          <w:sz w:val="24"/>
          <w:szCs w:val="24"/>
          <w:highlight w:val="none"/>
          <w:lang w:eastAsia="zh-CN" w:bidi="ar"/>
        </w:rPr>
        <w:t>：https://zfcg.gxzf.gov.cn/site/detail?categoryCode=ZcyAnnouncement&amp;parentId=66485&amp;articleId=s9KXNtmuWK2+3hgbp/hnkA==</w:t>
      </w:r>
    </w:p>
    <w:p w14:paraId="0D18522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3.</w:t>
      </w:r>
      <w:bookmarkStart w:id="36" w:name="_Hlk37429595"/>
      <w:r>
        <w:rPr>
          <w:rFonts w:hint="eastAsia" w:ascii="宋体" w:hAnsi="宋体" w:eastAsia="宋体" w:cs="宋体"/>
          <w:color w:val="auto"/>
          <w:kern w:val="0"/>
          <w:sz w:val="24"/>
          <w:szCs w:val="24"/>
          <w:highlight w:val="none"/>
          <w:lang w:bidi="ar"/>
        </w:rPr>
        <w:t>网上查询地址</w:t>
      </w:r>
    </w:p>
    <w:bookmarkEnd w:id="35"/>
    <w:bookmarkEnd w:id="36"/>
    <w:p w14:paraId="4DECB19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bookmarkStart w:id="37" w:name="_Hlk37429674"/>
      <w:r>
        <w:rPr>
          <w:rFonts w:hint="eastAsia" w:ascii="宋体" w:hAnsi="宋体" w:eastAsia="宋体" w:cs="宋体"/>
          <w:color w:val="auto"/>
          <w:kern w:val="0"/>
          <w:sz w:val="24"/>
          <w:szCs w:val="24"/>
          <w:highlight w:val="none"/>
          <w:lang w:bidi="ar"/>
        </w:rPr>
        <w:t>中国政府采购网（www.ccgp.gov.cn）、广西壮族自治区政府采购网（http://zfcg.gxzf.gov.cn/）、</w:t>
      </w:r>
      <w:r>
        <w:rPr>
          <w:rFonts w:hint="eastAsia" w:ascii="宋体" w:hAnsi="宋体" w:eastAsia="宋体" w:cs="宋体"/>
          <w:color w:val="auto"/>
          <w:kern w:val="0"/>
          <w:sz w:val="24"/>
          <w:szCs w:val="24"/>
          <w:highlight w:val="none"/>
        </w:rPr>
        <w:t>http://ggzy.jgswj.gxzf.gov.cn/nnggzy/(全国公共资源交易平台（广西·南宁）)</w:t>
      </w:r>
    </w:p>
    <w:p w14:paraId="30D76F5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4.本项目需要落实的政府采购政</w:t>
      </w:r>
      <w:r>
        <w:rPr>
          <w:rFonts w:hint="eastAsia" w:ascii="宋体" w:hAnsi="宋体" w:eastAsia="宋体" w:cs="宋体"/>
          <w:color w:val="auto"/>
          <w:kern w:val="0"/>
          <w:sz w:val="24"/>
          <w:szCs w:val="24"/>
          <w:highlight w:val="none"/>
        </w:rPr>
        <w:t>策：</w:t>
      </w:r>
    </w:p>
    <w:p w14:paraId="00D34E0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（1）政府采购促进中小企业发展。</w:t>
      </w:r>
    </w:p>
    <w:p w14:paraId="03DC283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（2）政府采购支持采用本国产品的政策。</w:t>
      </w:r>
    </w:p>
    <w:p w14:paraId="7FFA6E4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（3）强制采购节能产品；优先采购节能产品、环境标志产品。</w:t>
      </w:r>
    </w:p>
    <w:p w14:paraId="72B5575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（4）政府采购促进残疾人就业政策。</w:t>
      </w:r>
    </w:p>
    <w:p w14:paraId="1CBE012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（5）政府采购支持监狱企业发展。</w:t>
      </w:r>
    </w:p>
    <w:p w14:paraId="513C731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（6）扶持不发达地区和少数民族地区政策。</w:t>
      </w:r>
    </w:p>
    <w:bookmarkEnd w:id="37"/>
    <w:p w14:paraId="4B474C9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365EEC2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6. 若对项目采购电子交易系统操作有疑问，可登录“广西政府采购云”平台（https://login.gcy.zfcg.gxzf.gov.cn/），点击右侧咨询小采，获取采小蜜智能服务管家帮助，或拨打广西政府采购云服务热线95763获取热线服务帮助。</w:t>
      </w:r>
    </w:p>
    <w:p w14:paraId="5BB172F9">
      <w:pPr>
        <w:spacing w:line="360" w:lineRule="auto"/>
        <w:jc w:val="left"/>
        <w:rPr>
          <w:rFonts w:hint="eastAsia" w:ascii="宋体" w:hAnsi="宋体" w:eastAsia="宋体" w:cs="宋体"/>
          <w:b/>
          <w:bCs/>
          <w:color w:val="auto"/>
          <w:sz w:val="24"/>
          <w:szCs w:val="24"/>
          <w:highlight w:val="none"/>
          <w:lang w:bidi="ar"/>
        </w:rPr>
      </w:pPr>
      <w:bookmarkStart w:id="38" w:name="_Toc3508"/>
      <w:bookmarkStart w:id="39" w:name="_Toc35393627"/>
      <w:bookmarkStart w:id="40" w:name="_Toc28359008"/>
      <w:bookmarkStart w:id="41" w:name="_Toc28359085"/>
      <w:bookmarkStart w:id="42" w:name="_Toc35393796"/>
      <w:r>
        <w:rPr>
          <w:rFonts w:hint="eastAsia" w:ascii="宋体" w:hAnsi="宋体" w:eastAsia="宋体" w:cs="宋体"/>
          <w:b/>
          <w:bCs/>
          <w:color w:val="auto"/>
          <w:sz w:val="24"/>
          <w:szCs w:val="24"/>
          <w:highlight w:val="none"/>
          <w:lang w:bidi="ar"/>
        </w:rPr>
        <w:t>七、对本次招标提出询问，请按以下方式联系</w:t>
      </w:r>
      <w:bookmarkEnd w:id="38"/>
      <w:bookmarkEnd w:id="39"/>
      <w:bookmarkEnd w:id="40"/>
      <w:bookmarkEnd w:id="41"/>
      <w:bookmarkEnd w:id="42"/>
    </w:p>
    <w:p w14:paraId="78F87B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1.采购人信息</w:t>
      </w:r>
    </w:p>
    <w:p w14:paraId="66F37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名 称：</w:t>
      </w:r>
      <w:r>
        <w:rPr>
          <w:rFonts w:hint="eastAsia" w:ascii="宋体" w:hAnsi="宋体" w:cs="宋体"/>
          <w:color w:val="auto"/>
          <w:sz w:val="24"/>
          <w:szCs w:val="24"/>
          <w:highlight w:val="none"/>
          <w:lang w:eastAsia="zh-CN" w:bidi="ar"/>
        </w:rPr>
        <w:t>广西壮族自治区南宁市人民检察院</w:t>
      </w:r>
    </w:p>
    <w:p w14:paraId="2B8AA1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地址：</w:t>
      </w:r>
      <w:r>
        <w:rPr>
          <w:rFonts w:hint="eastAsia" w:ascii="宋体" w:hAnsi="宋体" w:cs="宋体"/>
          <w:color w:val="auto"/>
          <w:sz w:val="24"/>
          <w:szCs w:val="24"/>
          <w:highlight w:val="none"/>
          <w:lang w:val="en-US" w:eastAsia="zh-CN" w:bidi="ar"/>
        </w:rPr>
        <w:t>南宁市民族大道72号</w:t>
      </w:r>
      <w:r>
        <w:rPr>
          <w:rFonts w:hint="eastAsia" w:ascii="宋体" w:hAnsi="宋体" w:eastAsia="宋体" w:cs="宋体"/>
          <w:color w:val="auto"/>
          <w:sz w:val="24"/>
          <w:szCs w:val="24"/>
          <w:highlight w:val="none"/>
          <w:lang w:val="en-US" w:eastAsia="zh-CN" w:bidi="ar"/>
        </w:rPr>
        <w:t xml:space="preserve">  </w:t>
      </w:r>
    </w:p>
    <w:p w14:paraId="0F3951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项目联系人：农艺</w:t>
      </w:r>
      <w:r>
        <w:rPr>
          <w:rFonts w:hint="eastAsia" w:ascii="宋体" w:hAnsi="宋体" w:cs="宋体"/>
          <w:color w:val="auto"/>
          <w:sz w:val="24"/>
          <w:szCs w:val="24"/>
          <w:highlight w:val="none"/>
          <w:lang w:val="en-US" w:eastAsia="zh-CN" w:bidi="ar"/>
        </w:rPr>
        <w:tab/>
      </w:r>
    </w:p>
    <w:p w14:paraId="1F3B8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联系电话： 13517667809</w:t>
      </w:r>
    </w:p>
    <w:p w14:paraId="7CEEF5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2.采购代理机构信息</w:t>
      </w:r>
    </w:p>
    <w:p w14:paraId="4EA22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名 称：</w:t>
      </w:r>
      <w:bookmarkStart w:id="43" w:name="PO_3000001867_PM031_1"/>
      <w:r>
        <w:rPr>
          <w:rFonts w:hint="eastAsia" w:ascii="宋体" w:hAnsi="宋体" w:eastAsia="宋体" w:cs="宋体"/>
          <w:color w:val="auto"/>
          <w:sz w:val="24"/>
          <w:szCs w:val="24"/>
          <w:highlight w:val="none"/>
          <w:lang w:bidi="ar"/>
        </w:rPr>
        <w:t>广西邕政采购代理有限公司</w:t>
      </w:r>
      <w:bookmarkEnd w:id="43"/>
    </w:p>
    <w:p w14:paraId="76926C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地　址：广西壮族自治区南宁市青秀区民族大道180号（</w:t>
      </w:r>
      <w:r>
        <w:rPr>
          <w:rFonts w:hint="eastAsia" w:ascii="宋体" w:hAnsi="宋体" w:eastAsia="宋体" w:cs="宋体"/>
          <w:color w:val="auto"/>
          <w:sz w:val="24"/>
          <w:szCs w:val="24"/>
          <w:highlight w:val="none"/>
          <w:lang w:eastAsia="zh-CN" w:bidi="ar"/>
        </w:rPr>
        <w:t>威壮</w:t>
      </w:r>
      <w:r>
        <w:rPr>
          <w:rFonts w:hint="eastAsia" w:ascii="宋体" w:hAnsi="宋体" w:eastAsia="宋体" w:cs="宋体"/>
          <w:color w:val="auto"/>
          <w:sz w:val="24"/>
          <w:szCs w:val="24"/>
          <w:highlight w:val="none"/>
          <w:lang w:bidi="ar"/>
        </w:rPr>
        <w:t>大厦）22层2210～2217室</w:t>
      </w:r>
    </w:p>
    <w:p w14:paraId="178C78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联系电话：0771-2225338</w:t>
      </w:r>
    </w:p>
    <w:p w14:paraId="3A75D0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3.项目联系方式</w:t>
      </w:r>
    </w:p>
    <w:p w14:paraId="052E5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bidi="ar"/>
        </w:rPr>
        <w:t>项目联系人：</w:t>
      </w:r>
      <w:r>
        <w:rPr>
          <w:rFonts w:hint="eastAsia" w:ascii="宋体" w:hAnsi="宋体" w:eastAsia="宋体" w:cs="宋体"/>
          <w:color w:val="auto"/>
          <w:sz w:val="24"/>
          <w:szCs w:val="24"/>
          <w:highlight w:val="none"/>
          <w:lang w:val="en-US" w:eastAsia="zh-CN" w:bidi="ar"/>
        </w:rPr>
        <w:t>欧昌梅、李霞</w:t>
      </w:r>
    </w:p>
    <w:p w14:paraId="2B6748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电    话：0771-2225338</w:t>
      </w:r>
    </w:p>
    <w:p w14:paraId="3A6F70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bidi="ar"/>
        </w:rPr>
      </w:pPr>
      <w:bookmarkStart w:id="44" w:name="PO_3000001867_PM031_2"/>
      <w:r>
        <w:rPr>
          <w:rFonts w:hint="eastAsia" w:ascii="宋体" w:hAnsi="宋体" w:eastAsia="宋体" w:cs="宋体"/>
          <w:color w:val="auto"/>
          <w:sz w:val="24"/>
          <w:szCs w:val="24"/>
          <w:highlight w:val="none"/>
          <w:lang w:bidi="ar"/>
        </w:rPr>
        <w:t>附件： 1.CA证书申请方式及操作指南下载地址（登陆http://nncz.nanning.gov.cn/（南宁市财政局官网）-业务专题-政府采购监督管理-资料下载-“广西政采云西部CA办理方式”或“南宁市政采云CA证书办理操作指南”）</w:t>
      </w:r>
    </w:p>
    <w:p w14:paraId="644212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2.电子投标文件制作与投送教程（在此网址下载：http://nncz.nanning.gov.cn/（南宁市财政局官网）-业务专题-政府采购监督管理-资料下载-南宁市政府采购项目全流程电子化交易操作指南）</w:t>
      </w:r>
    </w:p>
    <w:p w14:paraId="6400F6F8">
      <w:pPr>
        <w:spacing w:line="360" w:lineRule="auto"/>
        <w:ind w:firstLine="240" w:firstLineChars="100"/>
        <w:jc w:val="left"/>
        <w:rPr>
          <w:rFonts w:hint="eastAsia" w:ascii="宋体" w:hAnsi="宋体" w:eastAsia="宋体" w:cs="宋体"/>
          <w:color w:val="auto"/>
          <w:sz w:val="24"/>
          <w:szCs w:val="24"/>
          <w:highlight w:val="none"/>
          <w:lang w:bidi="ar"/>
        </w:rPr>
      </w:pPr>
    </w:p>
    <w:p w14:paraId="12E75BA3">
      <w:pPr>
        <w:spacing w:line="360" w:lineRule="auto"/>
        <w:ind w:firstLine="240" w:firstLineChars="1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广西邕政采购代理有限公司</w:t>
      </w:r>
      <w:bookmarkEnd w:id="44"/>
    </w:p>
    <w:p w14:paraId="5A50C690">
      <w:pPr>
        <w:spacing w:line="360" w:lineRule="auto"/>
        <w:ind w:firstLine="240" w:firstLineChars="100"/>
        <w:jc w:val="right"/>
        <w:rPr>
          <w:rFonts w:hint="eastAsia" w:ascii="宋体" w:hAnsi="宋体" w:cs="宋体"/>
          <w:color w:val="auto"/>
          <w:szCs w:val="21"/>
          <w:highlight w:val="non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lang w:bidi="ar"/>
        </w:rPr>
        <w:t>年</w:t>
      </w:r>
      <w:r>
        <w:rPr>
          <w:rFonts w:hint="eastAsia" w:ascii="宋体" w:hAnsi="宋体" w:cs="宋体"/>
          <w:color w:val="auto"/>
          <w:sz w:val="24"/>
          <w:szCs w:val="24"/>
          <w:highlight w:val="none"/>
          <w:u w:val="single"/>
          <w:lang w:val="en-US" w:eastAsia="zh-CN" w:bidi="ar"/>
        </w:rPr>
        <w:t>10</w:t>
      </w:r>
      <w:r>
        <w:rPr>
          <w:rFonts w:hint="eastAsia" w:ascii="宋体" w:hAnsi="宋体" w:eastAsia="宋体" w:cs="宋体"/>
          <w:color w:val="auto"/>
          <w:sz w:val="24"/>
          <w:szCs w:val="24"/>
          <w:highlight w:val="none"/>
          <w:lang w:bidi="ar"/>
        </w:rPr>
        <w:t>月</w:t>
      </w:r>
      <w:r>
        <w:rPr>
          <w:rFonts w:hint="eastAsia" w:ascii="宋体" w:hAnsi="宋体" w:cs="宋体"/>
          <w:color w:val="auto"/>
          <w:sz w:val="24"/>
          <w:szCs w:val="24"/>
          <w:highlight w:val="none"/>
          <w:u w:val="single"/>
          <w:lang w:val="en-US" w:eastAsia="zh-CN" w:bidi="ar"/>
        </w:rPr>
        <w:t>31</w:t>
      </w:r>
      <w:r>
        <w:rPr>
          <w:rFonts w:hint="eastAsia" w:ascii="宋体" w:hAnsi="宋体" w:eastAsia="宋体" w:cs="宋体"/>
          <w:color w:val="auto"/>
          <w:sz w:val="24"/>
          <w:szCs w:val="24"/>
          <w:highlight w:val="none"/>
          <w:lang w:bidi="ar"/>
        </w:rPr>
        <w:t>日</w:t>
      </w:r>
    </w:p>
    <w:p w14:paraId="6100BA5E">
      <w:pPr>
        <w:spacing w:line="360" w:lineRule="auto"/>
        <w:rPr>
          <w:rFonts w:hint="eastAsia" w:ascii="宋体" w:hAnsi="宋体" w:cs="宋体"/>
          <w:color w:val="auto"/>
          <w:szCs w:val="21"/>
          <w:highlight w:val="none"/>
          <w:lang w:val="zh-CN" w:bidi="ar"/>
        </w:rPr>
        <w:sectPr>
          <w:footerReference r:id="rId4" w:type="default"/>
          <w:pgSz w:w="11906" w:h="16838"/>
          <w:pgMar w:top="1135" w:right="1135" w:bottom="1135" w:left="1135" w:header="720" w:footer="720" w:gutter="0"/>
          <w:pgNumType w:fmt="decimal" w:start="1"/>
          <w:cols w:space="720" w:num="1"/>
          <w:docGrid w:type="lines" w:linePitch="331" w:charSpace="0"/>
        </w:sectPr>
      </w:pPr>
    </w:p>
    <w:p w14:paraId="039994D3">
      <w:pPr>
        <w:widowControl/>
        <w:jc w:val="center"/>
        <w:outlineLvl w:val="0"/>
        <w:rPr>
          <w:rFonts w:hint="eastAsia" w:ascii="宋体" w:hAnsi="宋体" w:cs="宋体"/>
          <w:b/>
          <w:color w:val="auto"/>
          <w:sz w:val="36"/>
          <w:szCs w:val="20"/>
          <w:highlight w:val="none"/>
        </w:rPr>
      </w:pPr>
      <w:bookmarkStart w:id="45" w:name="_Toc13142"/>
      <w:bookmarkStart w:id="46" w:name="_Toc21707"/>
      <w:r>
        <w:rPr>
          <w:rFonts w:hint="eastAsia" w:ascii="宋体" w:hAnsi="宋体" w:cs="宋体"/>
          <w:b/>
          <w:color w:val="auto"/>
          <w:sz w:val="36"/>
          <w:szCs w:val="20"/>
          <w:highlight w:val="none"/>
        </w:rPr>
        <w:t xml:space="preserve">第二章  </w:t>
      </w:r>
      <w:bookmarkEnd w:id="3"/>
      <w:r>
        <w:rPr>
          <w:rFonts w:hint="eastAsia" w:ascii="宋体" w:hAnsi="宋体" w:cs="宋体"/>
          <w:b/>
          <w:color w:val="auto"/>
          <w:sz w:val="36"/>
          <w:szCs w:val="20"/>
          <w:highlight w:val="none"/>
        </w:rPr>
        <w:t>采购需求</w:t>
      </w:r>
      <w:bookmarkEnd w:id="4"/>
      <w:bookmarkEnd w:id="45"/>
      <w:bookmarkEnd w:id="46"/>
    </w:p>
    <w:p w14:paraId="4B5558EF">
      <w:pPr>
        <w:adjustRightInd w:val="0"/>
        <w:spacing w:line="3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说明：</w:t>
      </w:r>
    </w:p>
    <w:p w14:paraId="5FBC44AC">
      <w:pPr>
        <w:spacing w:line="360" w:lineRule="auto"/>
        <w:ind w:left="420" w:leftChars="200"/>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1.为落实政府采购政策需满足的要求</w:t>
      </w:r>
    </w:p>
    <w:p w14:paraId="519A0F96">
      <w:pPr>
        <w:spacing w:line="360" w:lineRule="auto"/>
        <w:ind w:left="420" w:left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（1）本招标文件所称中小企业必须符合《政府采购促进中小企业发展管理办法》（财库〔2020〕46号）的规定。</w:t>
      </w:r>
    </w:p>
    <w:p w14:paraId="4C637E5C">
      <w:pPr>
        <w:spacing w:line="360" w:lineRule="auto"/>
        <w:ind w:firstLine="484" w:firstLineChars="202"/>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cs="宋体"/>
          <w:b/>
          <w:bCs/>
          <w:color w:val="auto"/>
          <w:sz w:val="24"/>
          <w:szCs w:val="24"/>
          <w:highlight w:val="none"/>
          <w:lang w:bidi="ar"/>
        </w:rPr>
        <w:t>否则投标文件作无效处理</w:t>
      </w:r>
      <w:r>
        <w:rPr>
          <w:rFonts w:hint="eastAsia" w:ascii="宋体" w:hAnsi="宋体" w:cs="宋体"/>
          <w:color w:val="auto"/>
          <w:sz w:val="24"/>
          <w:szCs w:val="24"/>
          <w:highlight w:val="none"/>
          <w:lang w:bidi="ar"/>
        </w:rPr>
        <w:t xml:space="preserve">。如本项目包含的货物属于品目清单内非标注“★”的产品时，应优先采购，具体详见“第四章 评标方法及评标标准”。  </w:t>
      </w:r>
    </w:p>
    <w:p w14:paraId="41A52F44">
      <w:pPr>
        <w:spacing w:line="360" w:lineRule="auto"/>
        <w:ind w:firstLine="487" w:firstLineChars="202"/>
        <w:jc w:val="left"/>
        <w:rPr>
          <w:rFonts w:hint="eastAsia" w:ascii="宋体" w:hAnsi="宋体" w:cs="宋体"/>
          <w:color w:val="auto"/>
          <w:sz w:val="24"/>
          <w:szCs w:val="24"/>
          <w:highlight w:val="none"/>
        </w:rPr>
      </w:pPr>
      <w:r>
        <w:rPr>
          <w:rFonts w:hint="eastAsia" w:ascii="宋体" w:hAnsi="宋体" w:cs="宋体"/>
          <w:b/>
          <w:color w:val="auto"/>
          <w:sz w:val="24"/>
          <w:szCs w:val="24"/>
          <w:highlight w:val="none"/>
          <w:lang w:bidi="ar"/>
        </w:rPr>
        <w:t>（3）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0376E0DB">
      <w:pPr>
        <w:spacing w:line="360" w:lineRule="auto"/>
        <w:ind w:firstLine="487" w:firstLineChars="202"/>
        <w:jc w:val="left"/>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2.“实质性要求”是指招标文件中已经指明不满足则投标无效的条款，或者不能负偏离的条款，或者采购需求中带“▲”的条款。</w:t>
      </w:r>
    </w:p>
    <w:p w14:paraId="5CF2FBD8">
      <w:pPr>
        <w:spacing w:line="360" w:lineRule="auto"/>
        <w:ind w:firstLine="484" w:firstLineChars="202"/>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3.如投标人投标产品存在侵犯他人的知识产权或者专利成果行为的，应承担相应法律责任。</w:t>
      </w:r>
    </w:p>
    <w:p w14:paraId="09D00149">
      <w:pPr>
        <w:spacing w:line="360" w:lineRule="auto"/>
        <w:ind w:firstLine="482" w:firstLineChars="200"/>
        <w:rPr>
          <w:rFonts w:hint="eastAsia" w:ascii="宋体" w:hAnsi="宋体" w:cs="宋体"/>
          <w:b/>
          <w:bCs/>
          <w:color w:val="auto"/>
          <w:sz w:val="24"/>
          <w:szCs w:val="24"/>
          <w:highlight w:val="none"/>
          <w:lang w:bidi="ar"/>
        </w:rPr>
      </w:pPr>
      <w:r>
        <w:rPr>
          <w:rFonts w:hint="eastAsia" w:ascii="宋体" w:hAnsi="宋体" w:cs="宋体"/>
          <w:b/>
          <w:bCs/>
          <w:color w:val="auto"/>
          <w:sz w:val="24"/>
          <w:szCs w:val="24"/>
          <w:highlight w:val="none"/>
          <w:lang w:val="en-US" w:eastAsia="zh-CN" w:bidi="ar"/>
        </w:rPr>
        <w:t>4</w:t>
      </w:r>
      <w:r>
        <w:rPr>
          <w:rFonts w:hint="eastAsia" w:ascii="宋体" w:hAnsi="宋体" w:cs="宋体"/>
          <w:b/>
          <w:bCs/>
          <w:color w:val="auto"/>
          <w:sz w:val="24"/>
          <w:szCs w:val="24"/>
          <w:highlight w:val="none"/>
          <w:lang w:bidi="ar"/>
        </w:rPr>
        <w:t>.标注“</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bidi="ar"/>
        </w:rPr>
        <w:t>”号的为重要参数和要求，将作为设备性能评审依据。</w:t>
      </w:r>
    </w:p>
    <w:p w14:paraId="1D1169FC">
      <w:pPr>
        <w:rPr>
          <w:rFonts w:hint="eastAsia" w:asciiTheme="minorEastAsia" w:hAnsiTheme="minorEastAsia" w:eastAsiaTheme="minorEastAsia" w:cstheme="minorEastAsia"/>
          <w:b/>
          <w:color w:val="auto"/>
          <w:sz w:val="24"/>
          <w:szCs w:val="24"/>
          <w:highlight w:val="none"/>
          <w:shd w:val="clear" w:color="auto" w:fill="FFFFFF"/>
        </w:rPr>
      </w:pPr>
      <w:r>
        <w:rPr>
          <w:rFonts w:hint="eastAsia" w:asciiTheme="minorEastAsia" w:hAnsiTheme="minorEastAsia" w:eastAsiaTheme="minorEastAsia" w:cstheme="minorEastAsia"/>
          <w:b/>
          <w:color w:val="auto"/>
          <w:sz w:val="24"/>
          <w:szCs w:val="24"/>
          <w:highlight w:val="none"/>
          <w:shd w:val="clear" w:color="auto" w:fill="FFFFFF"/>
        </w:rPr>
        <w:br w:type="page"/>
      </w:r>
    </w:p>
    <w:p w14:paraId="134347E7">
      <w:pPr>
        <w:spacing w:line="360" w:lineRule="auto"/>
        <w:ind w:firstLine="482" w:firstLineChars="200"/>
        <w:rPr>
          <w:rFonts w:hint="eastAsia" w:ascii="宋体" w:hAnsi="宋体" w:cs="宋体"/>
          <w:b/>
          <w:bCs/>
          <w:color w:val="auto"/>
          <w:sz w:val="24"/>
          <w:szCs w:val="24"/>
          <w:highlight w:val="none"/>
          <w:lang w:bidi="ar"/>
        </w:rPr>
      </w:pPr>
      <w:r>
        <w:rPr>
          <w:rFonts w:hint="eastAsia" w:ascii="宋体" w:hAnsi="宋体" w:cs="宋体"/>
          <w:b/>
          <w:bCs/>
          <w:color w:val="auto"/>
          <w:sz w:val="24"/>
          <w:szCs w:val="24"/>
          <w:highlight w:val="none"/>
          <w:lang w:bidi="ar"/>
        </w:rPr>
        <w:t>项目需求概述：</w:t>
      </w:r>
    </w:p>
    <w:p w14:paraId="7560C273">
      <w:pPr>
        <w:spacing w:line="360" w:lineRule="auto"/>
        <w:ind w:firstLine="480" w:firstLineChars="200"/>
        <w:rPr>
          <w:rFonts w:hint="eastAsia" w:ascii="宋体" w:hAnsi="宋体" w:cs="宋体"/>
          <w:b w:val="0"/>
          <w:bCs w:val="0"/>
          <w:color w:val="auto"/>
          <w:sz w:val="24"/>
          <w:szCs w:val="24"/>
          <w:highlight w:val="none"/>
          <w:lang w:bidi="ar"/>
        </w:rPr>
      </w:pPr>
      <w:r>
        <w:rPr>
          <w:rFonts w:hint="eastAsia" w:ascii="宋体" w:hAnsi="宋体" w:cs="宋体"/>
          <w:b w:val="0"/>
          <w:bCs w:val="0"/>
          <w:color w:val="auto"/>
          <w:sz w:val="24"/>
          <w:szCs w:val="24"/>
          <w:highlight w:val="none"/>
          <w:lang w:bidi="ar"/>
        </w:rPr>
        <w:t>为加快开展基于检察工作网的各类非涉密视频应用，广西壮族自治区人民检察院已建成适用于检察机关的非涉密视频一体化应用平台（又称“检察机关非涉密视频系统”），系统平台在检察工作网（广西电子政务外网检察专用域）部署，支持检务业务应用集成，实现与全国检察业务应用系统、最高检认罪认罚元数据中心系统、广西检察机关检务综合平台等对接，实现业务数据共享应用，相关系统调用非涉密视频系统的视频音频能力，快速实现视频业务的应用。系统为全区检察机关提供统一的视频接入能力，支持各类标准的视频终端通过检察工作网接入应用，构建全区检察机关横向与同级党政机关互联、纵向与全区各级检察院互通的非涉密视频互通，从而满足全区检察机关视频会议、远程会商、远程培训、远程指挥、远程提讯、远程认罪认罚等非涉密视频业务需求。</w:t>
      </w:r>
    </w:p>
    <w:p w14:paraId="6A5995CA">
      <w:pPr>
        <w:spacing w:line="360" w:lineRule="auto"/>
        <w:ind w:firstLine="480" w:firstLineChars="200"/>
        <w:rPr>
          <w:rFonts w:hint="eastAsia" w:ascii="宋体" w:hAnsi="宋体" w:cs="宋体"/>
          <w:b w:val="0"/>
          <w:bCs w:val="0"/>
          <w:color w:val="auto"/>
          <w:sz w:val="24"/>
          <w:szCs w:val="24"/>
          <w:highlight w:val="none"/>
          <w:lang w:bidi="ar"/>
        </w:rPr>
      </w:pPr>
      <w:r>
        <w:rPr>
          <w:rFonts w:hint="eastAsia" w:ascii="宋体" w:hAnsi="宋体" w:cs="宋体"/>
          <w:b w:val="0"/>
          <w:bCs w:val="0"/>
          <w:color w:val="auto"/>
          <w:sz w:val="24"/>
          <w:szCs w:val="24"/>
          <w:highlight w:val="none"/>
          <w:lang w:bidi="ar"/>
        </w:rPr>
        <w:t>本次项目建设的设备要求能够接入检察机关非涉密视频系统平台（以下简称“平台”），满足检察院的远程提讯应用要求。支持通过平台对设备进行集中化统一管理，对提讯室场景中的设备状态进行监控、远程控制等功能。通过本次项目建设，满足从检察机关非涉密视频系统开展远程提讯和认罪认罚业务应用，实现办案录音录像存储数据与检察业务应用系统2.0案件关联、与最高检认罪认罚元数据中心对接并上传元数据的应用需求。</w:t>
      </w:r>
    </w:p>
    <w:tbl>
      <w:tblPr>
        <w:tblStyle w:val="39"/>
        <w:tblW w:w="10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540"/>
        <w:gridCol w:w="1485"/>
        <w:gridCol w:w="1013"/>
        <w:gridCol w:w="562"/>
        <w:gridCol w:w="4009"/>
        <w:gridCol w:w="1191"/>
        <w:gridCol w:w="1079"/>
      </w:tblGrid>
      <w:tr w14:paraId="4ED4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369" w:type="dxa"/>
            <w:gridSpan w:val="8"/>
            <w:noWrap w:val="0"/>
            <w:vAlign w:val="top"/>
          </w:tcPr>
          <w:p w14:paraId="7D9B3542">
            <w:pPr>
              <w:keepNext w:val="0"/>
              <w:keepLines w:val="0"/>
              <w:pageBreakBefore w:val="0"/>
              <w:kinsoku/>
              <w:wordWrap w:val="0"/>
              <w:overflowPunct/>
              <w:topLinePunct w:val="0"/>
              <w:bidi w:val="0"/>
              <w:snapToGrid/>
              <w:spacing w:line="360" w:lineRule="auto"/>
              <w:jc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color w:val="auto"/>
                <w:sz w:val="24"/>
                <w:szCs w:val="24"/>
                <w:highlight w:val="none"/>
              </w:rPr>
              <w:t>货物需求一览表</w:t>
            </w:r>
          </w:p>
        </w:tc>
      </w:tr>
      <w:tr w14:paraId="0E4F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490" w:type="dxa"/>
            <w:vMerge w:val="restart"/>
            <w:noWrap w:val="0"/>
            <w:vAlign w:val="center"/>
          </w:tcPr>
          <w:p w14:paraId="78A9DA22">
            <w:pPr>
              <w:keepNext w:val="0"/>
              <w:keepLines w:val="0"/>
              <w:pageBreakBefore w:val="0"/>
              <w:widowControl/>
              <w:suppressLineNumbers w:val="0"/>
              <w:kinsoku/>
              <w:overflowPunct/>
              <w:topLinePunct w:val="0"/>
              <w:bidi w:val="0"/>
              <w:snapToGrid/>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color w:val="auto"/>
                <w:sz w:val="24"/>
                <w:szCs w:val="24"/>
                <w:highlight w:val="none"/>
              </w:rPr>
              <w:t>采购清单及货物参数</w:t>
            </w:r>
          </w:p>
        </w:tc>
        <w:tc>
          <w:tcPr>
            <w:tcW w:w="540" w:type="dxa"/>
            <w:noWrap w:val="0"/>
            <w:vAlign w:val="center"/>
          </w:tcPr>
          <w:p w14:paraId="06DA1144">
            <w:pPr>
              <w:keepNext w:val="0"/>
              <w:keepLines w:val="0"/>
              <w:pageBreakBefore w:val="0"/>
              <w:widowControl/>
              <w:suppressLineNumbers w:val="0"/>
              <w:kinsoku/>
              <w:overflowPunct/>
              <w:topLinePunct w:val="0"/>
              <w:bidi w:val="0"/>
              <w:snapToGrid/>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1485" w:type="dxa"/>
            <w:noWrap w:val="0"/>
            <w:vAlign w:val="center"/>
          </w:tcPr>
          <w:p w14:paraId="68D6C341">
            <w:pPr>
              <w:keepNext w:val="0"/>
              <w:keepLines w:val="0"/>
              <w:pageBreakBefore w:val="0"/>
              <w:widowControl/>
              <w:suppressLineNumbers w:val="0"/>
              <w:kinsoku/>
              <w:overflowPunct/>
              <w:topLinePunct w:val="0"/>
              <w:bidi w:val="0"/>
              <w:snapToGrid/>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标的名称</w:t>
            </w:r>
          </w:p>
        </w:tc>
        <w:tc>
          <w:tcPr>
            <w:tcW w:w="1013" w:type="dxa"/>
            <w:noWrap w:val="0"/>
            <w:vAlign w:val="center"/>
          </w:tcPr>
          <w:p w14:paraId="6D0F1B1B">
            <w:pPr>
              <w:keepNext w:val="0"/>
              <w:keepLines w:val="0"/>
              <w:pageBreakBefore w:val="0"/>
              <w:widowControl/>
              <w:suppressLineNumbers w:val="0"/>
              <w:kinsoku/>
              <w:overflowPunct/>
              <w:topLinePunct w:val="0"/>
              <w:bidi w:val="0"/>
              <w:snapToGrid/>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数量</w:t>
            </w:r>
          </w:p>
        </w:tc>
        <w:tc>
          <w:tcPr>
            <w:tcW w:w="562" w:type="dxa"/>
            <w:noWrap w:val="0"/>
            <w:vAlign w:val="center"/>
          </w:tcPr>
          <w:p w14:paraId="5D6CC415">
            <w:pPr>
              <w:keepNext w:val="0"/>
              <w:keepLines w:val="0"/>
              <w:pageBreakBefore w:val="0"/>
              <w:widowControl/>
              <w:suppressLineNumbers w:val="0"/>
              <w:kinsoku/>
              <w:overflowPunct/>
              <w:topLinePunct w:val="0"/>
              <w:bidi w:val="0"/>
              <w:snapToGrid/>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单位</w:t>
            </w:r>
          </w:p>
        </w:tc>
        <w:tc>
          <w:tcPr>
            <w:tcW w:w="4009" w:type="dxa"/>
            <w:noWrap w:val="0"/>
            <w:vAlign w:val="center"/>
          </w:tcPr>
          <w:p w14:paraId="4829AAB9">
            <w:pPr>
              <w:keepNext w:val="0"/>
              <w:keepLines w:val="0"/>
              <w:pageBreakBefore w:val="0"/>
              <w:widowControl/>
              <w:suppressLineNumbers w:val="0"/>
              <w:kinsoku/>
              <w:overflowPunct/>
              <w:topLinePunct w:val="0"/>
              <w:bidi w:val="0"/>
              <w:snapToGrid/>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货物参数</w:t>
            </w:r>
          </w:p>
        </w:tc>
        <w:tc>
          <w:tcPr>
            <w:tcW w:w="1191" w:type="dxa"/>
            <w:noWrap w:val="0"/>
            <w:vAlign w:val="center"/>
          </w:tcPr>
          <w:p w14:paraId="099015D1">
            <w:pPr>
              <w:keepNext w:val="0"/>
              <w:keepLines w:val="0"/>
              <w:pageBreakBefore w:val="0"/>
              <w:widowControl/>
              <w:suppressLineNumbers w:val="0"/>
              <w:kinsoku/>
              <w:overflowPunct/>
              <w:topLinePunct w:val="0"/>
              <w:bidi w:val="0"/>
              <w:snapToGrid/>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color w:val="auto"/>
                <w:sz w:val="24"/>
                <w:szCs w:val="24"/>
                <w:highlight w:val="none"/>
              </w:rPr>
              <w:t>分项预算合计（元）</w:t>
            </w:r>
          </w:p>
        </w:tc>
        <w:tc>
          <w:tcPr>
            <w:tcW w:w="1079" w:type="dxa"/>
            <w:noWrap w:val="0"/>
            <w:vAlign w:val="center"/>
          </w:tcPr>
          <w:p w14:paraId="1217AC26">
            <w:pPr>
              <w:keepNext w:val="0"/>
              <w:keepLines w:val="0"/>
              <w:pageBreakBefore w:val="0"/>
              <w:widowControl/>
              <w:suppressLineNumbers w:val="0"/>
              <w:kinsoku/>
              <w:overflowPunct/>
              <w:topLinePunct w:val="0"/>
              <w:bidi w:val="0"/>
              <w:snapToGrid/>
              <w:spacing w:line="360" w:lineRule="auto"/>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中小企业划分标准所属行业名称（行业名称及划分见本章附件2）</w:t>
            </w:r>
          </w:p>
        </w:tc>
      </w:tr>
      <w:tr w14:paraId="494B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0" w:type="dxa"/>
            <w:vMerge w:val="continue"/>
            <w:noWrap w:val="0"/>
            <w:vAlign w:val="center"/>
          </w:tcPr>
          <w:p w14:paraId="11FDE960">
            <w:pPr>
              <w:keepNext w:val="0"/>
              <w:keepLines w:val="0"/>
              <w:pageBreakBefore w:val="0"/>
              <w:widowControl/>
              <w:suppressLineNumbers w:val="0"/>
              <w:kinsoku/>
              <w:overflowPunct/>
              <w:topLinePunct w:val="0"/>
              <w:bidi w:val="0"/>
              <w:snapToGrid/>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p>
        </w:tc>
        <w:tc>
          <w:tcPr>
            <w:tcW w:w="540" w:type="dxa"/>
            <w:noWrap w:val="0"/>
            <w:vAlign w:val="center"/>
          </w:tcPr>
          <w:p w14:paraId="5FB1F9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b w:val="0"/>
                <w:bCs w:val="0"/>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u w:val="none"/>
                <w:lang w:val="en-US" w:eastAsia="zh-CN" w:bidi="ar-SA"/>
              </w:rPr>
              <w:t>1</w:t>
            </w:r>
          </w:p>
        </w:tc>
        <w:tc>
          <w:tcPr>
            <w:tcW w:w="1485" w:type="dxa"/>
            <w:noWrap w:val="0"/>
            <w:vAlign w:val="center"/>
          </w:tcPr>
          <w:p w14:paraId="74AD5CBE">
            <w:pPr>
              <w:keepNext w:val="0"/>
              <w:keepLines w:val="0"/>
              <w:pageBreakBefore w:val="0"/>
              <w:widowControl/>
              <w:suppressLineNumbers w:val="0"/>
              <w:kinsoku/>
              <w:overflowPunct/>
              <w:topLinePunct w:val="0"/>
              <w:bidi w:val="0"/>
              <w:snapToGrid/>
              <w:spacing w:line="360" w:lineRule="auto"/>
              <w:jc w:val="center"/>
              <w:textAlignment w:val="center"/>
              <w:rPr>
                <w:rFonts w:hint="eastAsia" w:asciiTheme="minorEastAsia" w:hAnsiTheme="minorEastAsia" w:eastAsiaTheme="minorEastAsia" w:cstheme="minorEastAsia"/>
                <w:b w:val="0"/>
                <w:bCs w:val="0"/>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rPr>
              <w:t>业务视频终端</w:t>
            </w:r>
            <w:r>
              <w:rPr>
                <w:rFonts w:hint="eastAsia" w:asciiTheme="minorEastAsia" w:hAnsiTheme="minorEastAsia" w:eastAsiaTheme="minorEastAsia" w:cstheme="minorEastAsia"/>
                <w:color w:val="auto"/>
                <w:kern w:val="0"/>
                <w:sz w:val="24"/>
                <w:szCs w:val="24"/>
                <w:highlight w:val="none"/>
                <w:lang w:eastAsia="zh-CN"/>
              </w:rPr>
              <w:t>（大型）</w:t>
            </w:r>
          </w:p>
        </w:tc>
        <w:tc>
          <w:tcPr>
            <w:tcW w:w="1013" w:type="dxa"/>
            <w:noWrap w:val="0"/>
            <w:vAlign w:val="center"/>
          </w:tcPr>
          <w:p w14:paraId="7F0906D1">
            <w:pPr>
              <w:keepNext w:val="0"/>
              <w:keepLines w:val="0"/>
              <w:pageBreakBefore w:val="0"/>
              <w:widowControl/>
              <w:suppressLineNumbers w:val="0"/>
              <w:kinsoku/>
              <w:overflowPunct/>
              <w:topLinePunct w:val="0"/>
              <w:bidi w:val="0"/>
              <w:snapToGrid/>
              <w:spacing w:line="360" w:lineRule="auto"/>
              <w:jc w:val="center"/>
              <w:textAlignment w:val="center"/>
              <w:rPr>
                <w:rFonts w:hint="default" w:asciiTheme="minorEastAsia" w:hAnsiTheme="minorEastAsia" w:eastAsiaTheme="minorEastAsia" w:cstheme="minorEastAsia"/>
                <w:b w:val="0"/>
                <w:bCs w:val="0"/>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u w:val="none"/>
                <w:lang w:val="en-US" w:eastAsia="zh-CN" w:bidi="ar-SA"/>
              </w:rPr>
              <w:t>12</w:t>
            </w:r>
          </w:p>
        </w:tc>
        <w:tc>
          <w:tcPr>
            <w:tcW w:w="562" w:type="dxa"/>
            <w:noWrap w:val="0"/>
            <w:vAlign w:val="center"/>
          </w:tcPr>
          <w:p w14:paraId="5BEBC695">
            <w:pPr>
              <w:keepNext w:val="0"/>
              <w:keepLines w:val="0"/>
              <w:pageBreakBefore w:val="0"/>
              <w:widowControl/>
              <w:suppressLineNumbers w:val="0"/>
              <w:kinsoku/>
              <w:overflowPunct/>
              <w:topLinePunct w:val="0"/>
              <w:bidi w:val="0"/>
              <w:snapToGrid/>
              <w:spacing w:line="360" w:lineRule="auto"/>
              <w:jc w:val="center"/>
              <w:textAlignment w:val="center"/>
              <w:rPr>
                <w:rFonts w:hint="eastAsia" w:asciiTheme="minorEastAsia" w:hAnsiTheme="minorEastAsia" w:eastAsiaTheme="minorEastAsia" w:cstheme="minorEastAsia"/>
                <w:b w:val="0"/>
                <w:bCs w:val="0"/>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24"/>
                <w:szCs w:val="24"/>
                <w:highlight w:val="none"/>
                <w:u w:val="none"/>
                <w:lang w:val="en-US" w:eastAsia="zh-CN" w:bidi="ar-SA"/>
              </w:rPr>
              <w:t>台</w:t>
            </w:r>
          </w:p>
        </w:tc>
        <w:tc>
          <w:tcPr>
            <w:tcW w:w="4009" w:type="dxa"/>
            <w:noWrap w:val="0"/>
            <w:vAlign w:val="top"/>
          </w:tcPr>
          <w:p w14:paraId="033E2ED0">
            <w:pPr>
              <w:keepNext w:val="0"/>
              <w:keepLines w:val="0"/>
              <w:pageBreakBefore w:val="0"/>
              <w:widowControl/>
              <w:numPr>
                <w:ilvl w:val="0"/>
                <w:numId w:val="0"/>
              </w:numPr>
              <w:kinsoku/>
              <w:wordWrap/>
              <w:overflowPunct/>
              <w:topLinePunct w:val="0"/>
              <w:autoSpaceDE/>
              <w:autoSpaceDN/>
              <w:bidi w:val="0"/>
              <w:adjustRightInd/>
              <w:snapToGrid/>
              <w:spacing w:beforeLines="0" w:line="360" w:lineRule="auto"/>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采用分体式设计，嵌入式操作系统，非PC架构，终端CPU处理单元、音视频解码芯片采用国产芯片。</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2．支持H.323/SIP通信协议，包括H.239、BFCP、RTP、RTCP</w:t>
            </w:r>
            <w:r>
              <w:rPr>
                <w:rFonts w:hint="eastAsia" w:asciiTheme="minorEastAsia" w:hAnsiTheme="minorEastAsia" w:eastAsiaTheme="minorEastAsia" w:cstheme="minorEastAsia"/>
                <w:color w:val="auto"/>
                <w:kern w:val="0"/>
                <w:sz w:val="24"/>
                <w:szCs w:val="24"/>
                <w:highlight w:val="none"/>
                <w:lang w:eastAsia="zh-CN"/>
              </w:rPr>
              <w:t>协议</w:t>
            </w:r>
            <w:r>
              <w:rPr>
                <w:rFonts w:hint="eastAsia" w:asciiTheme="minorEastAsia" w:hAnsiTheme="minorEastAsia" w:eastAsiaTheme="minorEastAsia" w:cstheme="minorEastAsia"/>
                <w:color w:val="auto"/>
                <w:kern w:val="0"/>
                <w:sz w:val="24"/>
                <w:szCs w:val="24"/>
                <w:highlight w:val="none"/>
              </w:rPr>
              <w:t>。</w:t>
            </w:r>
          </w:p>
          <w:p w14:paraId="34B733C7">
            <w:pPr>
              <w:keepNext w:val="0"/>
              <w:keepLines w:val="0"/>
              <w:pageBreakBefore w:val="0"/>
              <w:widowControl/>
              <w:numPr>
                <w:ilvl w:val="0"/>
                <w:numId w:val="0"/>
              </w:numPr>
              <w:kinsoku/>
              <w:wordWrap/>
              <w:overflowPunct/>
              <w:topLinePunct w:val="0"/>
              <w:autoSpaceDE/>
              <w:autoSpaceDN/>
              <w:bidi w:val="0"/>
              <w:adjustRightInd/>
              <w:snapToGrid/>
              <w:spacing w:beforeLines="0" w:line="360" w:lineRule="auto"/>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支持</w:t>
            </w:r>
            <w:r>
              <w:rPr>
                <w:rFonts w:hint="eastAsia" w:asciiTheme="minorEastAsia" w:hAnsiTheme="minorEastAsia" w:eastAsiaTheme="minorEastAsia" w:cstheme="minorEastAsia"/>
                <w:color w:val="auto"/>
                <w:kern w:val="0"/>
                <w:sz w:val="24"/>
                <w:szCs w:val="24"/>
                <w:highlight w:val="none"/>
                <w:lang w:eastAsia="zh-CN"/>
              </w:rPr>
              <w:t>通过</w:t>
            </w:r>
            <w:r>
              <w:rPr>
                <w:rFonts w:hint="eastAsia" w:asciiTheme="minorEastAsia" w:hAnsiTheme="minorEastAsia" w:eastAsiaTheme="minorEastAsia" w:cstheme="minorEastAsia"/>
                <w:color w:val="auto"/>
                <w:kern w:val="0"/>
                <w:sz w:val="24"/>
                <w:szCs w:val="24"/>
                <w:highlight w:val="none"/>
              </w:rPr>
              <w:t>H.264 BP、H.264 HP、H.264 SVC、H.265</w:t>
            </w:r>
            <w:r>
              <w:rPr>
                <w:rFonts w:hint="eastAsia" w:asciiTheme="minorEastAsia" w:hAnsiTheme="minorEastAsia" w:eastAsiaTheme="minorEastAsia" w:cstheme="minorEastAsia"/>
                <w:color w:val="auto"/>
                <w:kern w:val="0"/>
                <w:sz w:val="24"/>
                <w:szCs w:val="24"/>
                <w:highlight w:val="none"/>
                <w:lang w:eastAsia="zh-CN"/>
              </w:rPr>
              <w:t>协议进行视频的编解码。</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远程提讯</w:t>
            </w:r>
            <w:r>
              <w:rPr>
                <w:rFonts w:hint="eastAsia" w:asciiTheme="minorEastAsia" w:hAnsiTheme="minorEastAsia" w:eastAsiaTheme="minorEastAsia" w:cstheme="minorEastAsia"/>
                <w:color w:val="auto"/>
                <w:kern w:val="0"/>
                <w:sz w:val="24"/>
                <w:szCs w:val="24"/>
                <w:highlight w:val="none"/>
              </w:rPr>
              <w:t>视频</w:t>
            </w:r>
            <w:r>
              <w:rPr>
                <w:rFonts w:hint="eastAsia" w:asciiTheme="minorEastAsia" w:hAnsiTheme="minorEastAsia" w:eastAsiaTheme="minorEastAsia" w:cstheme="minorEastAsia"/>
                <w:color w:val="auto"/>
                <w:kern w:val="0"/>
                <w:sz w:val="24"/>
                <w:szCs w:val="24"/>
                <w:highlight w:val="none"/>
                <w:lang w:eastAsia="zh-CN"/>
              </w:rPr>
              <w:t>效果可达</w:t>
            </w:r>
            <w:r>
              <w:rPr>
                <w:rFonts w:hint="eastAsia" w:asciiTheme="minorEastAsia" w:hAnsiTheme="minorEastAsia" w:eastAsiaTheme="minorEastAsia" w:cstheme="minorEastAsia"/>
                <w:color w:val="auto"/>
                <w:kern w:val="0"/>
                <w:sz w:val="24"/>
                <w:szCs w:val="24"/>
                <w:highlight w:val="none"/>
              </w:rPr>
              <w:t>4K、1080P、720P高清视频并可向下兼容，视频帧率不低于25帧/秒。</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．支持G.711、G.722、OPUS</w:t>
            </w:r>
            <w:r>
              <w:rPr>
                <w:rFonts w:hint="eastAsia" w:asciiTheme="minorEastAsia" w:hAnsiTheme="minorEastAsia" w:eastAsiaTheme="minorEastAsia" w:cstheme="minorEastAsia"/>
                <w:color w:val="auto"/>
                <w:kern w:val="0"/>
                <w:sz w:val="24"/>
                <w:szCs w:val="24"/>
                <w:highlight w:val="none"/>
                <w:lang w:eastAsia="zh-CN"/>
              </w:rPr>
              <w:t>协议</w:t>
            </w:r>
            <w:r>
              <w:rPr>
                <w:rFonts w:hint="eastAsia" w:asciiTheme="minorEastAsia" w:hAnsiTheme="minorEastAsia" w:eastAsiaTheme="minorEastAsia" w:cstheme="minorEastAsia"/>
                <w:color w:val="auto"/>
                <w:kern w:val="0"/>
                <w:sz w:val="24"/>
                <w:szCs w:val="24"/>
                <w:highlight w:val="none"/>
              </w:rPr>
              <w:t>进行</w:t>
            </w:r>
            <w:r>
              <w:rPr>
                <w:rFonts w:hint="eastAsia" w:asciiTheme="minorEastAsia" w:hAnsiTheme="minorEastAsia" w:eastAsiaTheme="minorEastAsia" w:cstheme="minorEastAsia"/>
                <w:color w:val="auto"/>
                <w:kern w:val="0"/>
                <w:sz w:val="24"/>
                <w:szCs w:val="24"/>
                <w:highlight w:val="none"/>
                <w:lang w:eastAsia="zh-CN"/>
              </w:rPr>
              <w:t>音</w:t>
            </w:r>
            <w:r>
              <w:rPr>
                <w:rFonts w:hint="eastAsia" w:asciiTheme="minorEastAsia" w:hAnsiTheme="minorEastAsia" w:eastAsiaTheme="minorEastAsia" w:cstheme="minorEastAsia"/>
                <w:color w:val="auto"/>
                <w:kern w:val="0"/>
                <w:sz w:val="24"/>
                <w:szCs w:val="24"/>
                <w:highlight w:val="none"/>
              </w:rPr>
              <w:t>频的编解码。</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支持提讯视频、证据视频双路</w:t>
            </w:r>
            <w:r>
              <w:rPr>
                <w:rFonts w:hint="eastAsia" w:asciiTheme="minorEastAsia" w:hAnsiTheme="minorEastAsia" w:eastAsiaTheme="minorEastAsia" w:cstheme="minorEastAsia"/>
                <w:color w:val="auto"/>
                <w:kern w:val="0"/>
                <w:sz w:val="24"/>
                <w:szCs w:val="24"/>
                <w:highlight w:val="none"/>
                <w:lang w:val="en-US" w:eastAsia="zh-CN"/>
              </w:rPr>
              <w:t>4K传输</w:t>
            </w:r>
            <w:r>
              <w:rPr>
                <w:rFonts w:hint="eastAsia" w:asciiTheme="minorEastAsia" w:hAnsiTheme="minorEastAsia" w:eastAsiaTheme="minorEastAsia" w:cstheme="minorEastAsia"/>
                <w:color w:val="auto"/>
                <w:kern w:val="0"/>
                <w:sz w:val="24"/>
                <w:szCs w:val="24"/>
                <w:highlight w:val="none"/>
              </w:rPr>
              <w:t>，视频帧率不低于25帧/秒。</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rPr>
              <w:t>．提供不少于</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路</w:t>
            </w:r>
            <w:r>
              <w:rPr>
                <w:rFonts w:hint="eastAsia" w:asciiTheme="minorEastAsia" w:hAnsiTheme="minorEastAsia" w:eastAsiaTheme="minorEastAsia" w:cstheme="minorEastAsia"/>
                <w:color w:val="auto"/>
                <w:kern w:val="0"/>
                <w:sz w:val="24"/>
                <w:szCs w:val="24"/>
                <w:highlight w:val="none"/>
                <w:lang w:eastAsia="zh-CN"/>
              </w:rPr>
              <w:t>高清</w:t>
            </w:r>
            <w:r>
              <w:rPr>
                <w:rFonts w:hint="eastAsia" w:asciiTheme="minorEastAsia" w:hAnsiTheme="minorEastAsia" w:eastAsiaTheme="minorEastAsia" w:cstheme="minorEastAsia"/>
                <w:color w:val="auto"/>
                <w:kern w:val="0"/>
                <w:sz w:val="24"/>
                <w:szCs w:val="24"/>
                <w:highlight w:val="none"/>
              </w:rPr>
              <w:t>视频输入接口，具备至少1个SDI高清视频输入口</w:t>
            </w:r>
            <w:r>
              <w:rPr>
                <w:rFonts w:hint="eastAsia" w:asciiTheme="minorEastAsia" w:hAnsiTheme="minorEastAsia" w:eastAsiaTheme="minorEastAsia" w:cstheme="minorEastAsia"/>
                <w:color w:val="auto"/>
                <w:kern w:val="0"/>
                <w:sz w:val="24"/>
                <w:szCs w:val="24"/>
                <w:highlight w:val="none"/>
                <w:lang w:val="en-US" w:eastAsia="zh-CN"/>
              </w:rPr>
              <w:t>,至少2路三合一接口与摄像机连接部署，实现一根线传输视频、控制、供电</w:t>
            </w:r>
            <w:r>
              <w:rPr>
                <w:rFonts w:hint="eastAsia" w:asciiTheme="minorEastAsia" w:hAnsiTheme="minorEastAsia" w:eastAsiaTheme="minorEastAsia" w:cstheme="minorEastAsia"/>
                <w:color w:val="auto"/>
                <w:kern w:val="0"/>
                <w:sz w:val="24"/>
                <w:szCs w:val="24"/>
                <w:highlight w:val="none"/>
              </w:rPr>
              <w:t>；提供不少于3路</w:t>
            </w:r>
            <w:r>
              <w:rPr>
                <w:rFonts w:hint="eastAsia" w:asciiTheme="minorEastAsia" w:hAnsiTheme="minorEastAsia" w:eastAsiaTheme="minorEastAsia" w:cstheme="minorEastAsia"/>
                <w:color w:val="auto"/>
                <w:kern w:val="0"/>
                <w:sz w:val="24"/>
                <w:szCs w:val="24"/>
                <w:highlight w:val="none"/>
                <w:lang w:eastAsia="zh-CN"/>
              </w:rPr>
              <w:t>高清</w:t>
            </w:r>
            <w:r>
              <w:rPr>
                <w:rFonts w:hint="eastAsia" w:asciiTheme="minorEastAsia" w:hAnsiTheme="minorEastAsia" w:eastAsiaTheme="minorEastAsia" w:cstheme="minorEastAsia"/>
                <w:color w:val="auto"/>
                <w:kern w:val="0"/>
                <w:sz w:val="24"/>
                <w:szCs w:val="24"/>
                <w:highlight w:val="none"/>
              </w:rPr>
              <w:t>视频输出接口，具备至少2路HDMI高清视频输出口。</w:t>
            </w:r>
            <w:r>
              <w:rPr>
                <w:rFonts w:hint="eastAsia" w:asciiTheme="minorEastAsia" w:hAnsiTheme="minorEastAsia" w:eastAsiaTheme="minorEastAsia" w:cstheme="minorEastAsia"/>
                <w:color w:val="auto"/>
                <w:kern w:val="0"/>
                <w:sz w:val="24"/>
                <w:szCs w:val="24"/>
                <w:highlight w:val="none"/>
                <w:lang w:eastAsia="zh-CN"/>
              </w:rPr>
              <w:t>（投标时提供设备背板接口图并加盖投标人公章）</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具备三屏三显功能，三屏分别显示输出模式支持：①远端发言场所视频+远端双流内容+本地场所视频；②远端发言场所视频+远端双流内容+远端多场所轮询画面视频</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9</w:t>
            </w:r>
            <w:r>
              <w:rPr>
                <w:rFonts w:hint="eastAsia" w:asciiTheme="minorEastAsia" w:hAnsiTheme="minorEastAsia" w:eastAsiaTheme="minorEastAsia" w:cstheme="minorEastAsia"/>
                <w:color w:val="auto"/>
                <w:kern w:val="0"/>
                <w:sz w:val="24"/>
                <w:szCs w:val="24"/>
                <w:highlight w:val="none"/>
              </w:rPr>
              <w:t>．提供不少于</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路音频输入接口，具备至少2路XLR卡侬音频输入接口；提供不少于4路音频输出接口。</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．支持通讯录功能，可查看到通讯录中设备列表信息。</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w:t>
            </w:r>
            <w:bookmarkStart w:id="47" w:name="OLE_LINK19"/>
            <w:r>
              <w:rPr>
                <w:rFonts w:hint="eastAsia" w:asciiTheme="minorEastAsia" w:hAnsiTheme="minorEastAsia" w:eastAsiaTheme="minorEastAsia" w:cstheme="minorEastAsia"/>
                <w:color w:val="auto"/>
                <w:kern w:val="0"/>
                <w:sz w:val="24"/>
                <w:szCs w:val="24"/>
                <w:highlight w:val="none"/>
              </w:rPr>
              <w:t>支持日程提醒功能，能够同步平台预约信息并显示在日程上</w:t>
            </w:r>
            <w:r>
              <w:rPr>
                <w:rFonts w:hint="eastAsia" w:asciiTheme="minorEastAsia" w:hAnsiTheme="minorEastAsia" w:eastAsiaTheme="minorEastAsia" w:cstheme="minorEastAsia"/>
                <w:color w:val="auto"/>
                <w:kern w:val="0"/>
                <w:sz w:val="24"/>
                <w:szCs w:val="24"/>
                <w:highlight w:val="none"/>
                <w:lang w:eastAsia="zh-CN"/>
              </w:rPr>
              <w:t>，</w:t>
            </w:r>
            <w:bookmarkEnd w:id="47"/>
            <w:r>
              <w:rPr>
                <w:rFonts w:hint="eastAsia" w:asciiTheme="minorEastAsia" w:hAnsiTheme="minorEastAsia" w:eastAsiaTheme="minorEastAsia" w:cstheme="minorEastAsia"/>
                <w:color w:val="auto"/>
                <w:kern w:val="0"/>
                <w:sz w:val="24"/>
                <w:szCs w:val="24"/>
                <w:highlight w:val="none"/>
                <w:lang w:eastAsia="zh-CN"/>
              </w:rPr>
              <w:t>可以通过日程一键加入</w:t>
            </w:r>
            <w:r>
              <w:rPr>
                <w:rFonts w:hint="eastAsia" w:asciiTheme="minorEastAsia" w:hAnsiTheme="minorEastAsia" w:eastAsiaTheme="minorEastAsia" w:cstheme="minorEastAsia"/>
                <w:color w:val="auto"/>
                <w:kern w:val="0"/>
                <w:sz w:val="24"/>
                <w:szCs w:val="24"/>
                <w:highlight w:val="none"/>
              </w:rPr>
              <w:t>。</w:t>
            </w:r>
          </w:p>
          <w:p w14:paraId="74F1EF8F">
            <w:pPr>
              <w:keepNext w:val="0"/>
              <w:keepLines w:val="0"/>
              <w:pageBreakBefore w:val="0"/>
              <w:widowControl/>
              <w:kinsoku/>
              <w:wordWrap/>
              <w:overflowPunct/>
              <w:topLinePunct w:val="0"/>
              <w:autoSpaceDE/>
              <w:autoSpaceDN/>
              <w:bidi w:val="0"/>
              <w:adjustRightInd/>
              <w:snapToGrid/>
              <w:spacing w:beforeLines="0" w:line="360" w:lineRule="auto"/>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▲12.</w:t>
            </w:r>
            <w:r>
              <w:rPr>
                <w:rFonts w:hint="eastAsia" w:asciiTheme="minorEastAsia" w:hAnsiTheme="minorEastAsia" w:eastAsiaTheme="minorEastAsia" w:cstheme="minorEastAsia"/>
                <w:color w:val="auto"/>
                <w:kern w:val="0"/>
                <w:sz w:val="24"/>
                <w:szCs w:val="24"/>
                <w:highlight w:val="none"/>
                <w:lang w:eastAsia="zh-CN"/>
              </w:rPr>
              <w:t>支持自主发起、结束同步录音录像功能，音视频录制内容可保存至平台存储。</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终端音视频媒体通信支持AES、SM4加密传输</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．具备RJ45</w:t>
            </w:r>
            <w:r>
              <w:rPr>
                <w:rFonts w:hint="eastAsia" w:asciiTheme="minorEastAsia" w:hAnsiTheme="minorEastAsia" w:eastAsiaTheme="minorEastAsia" w:cstheme="minorEastAsia"/>
                <w:color w:val="auto"/>
                <w:kern w:val="0"/>
                <w:sz w:val="24"/>
                <w:szCs w:val="24"/>
                <w:highlight w:val="none"/>
                <w:lang w:eastAsia="zh-CN"/>
              </w:rPr>
              <w:t>有线网络接口</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终端硬件层面无</w:t>
            </w:r>
            <w:r>
              <w:rPr>
                <w:rFonts w:hint="eastAsia" w:asciiTheme="minorEastAsia" w:hAnsiTheme="minorEastAsia" w:eastAsiaTheme="minorEastAsia" w:cstheme="minorEastAsia"/>
                <w:color w:val="auto"/>
                <w:kern w:val="0"/>
                <w:sz w:val="24"/>
                <w:szCs w:val="24"/>
                <w:highlight w:val="none"/>
                <w:lang w:val="en-US" w:eastAsia="zh-CN"/>
              </w:rPr>
              <w:t>WIFI/蓝牙无线处理模块</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．支持开机后自动对本机的网络状态、摄像头采集状态、扬声器输出状态、麦克风输入状态进行自检，并输出检测结果。</w:t>
            </w:r>
          </w:p>
          <w:p w14:paraId="69A9EAF0">
            <w:pPr>
              <w:keepNext w:val="0"/>
              <w:keepLines w:val="0"/>
              <w:pageBreakBefore w:val="0"/>
              <w:widowControl/>
              <w:kinsoku/>
              <w:wordWrap/>
              <w:overflowPunct/>
              <w:topLinePunct w:val="0"/>
              <w:autoSpaceDE/>
              <w:autoSpaceDN/>
              <w:bidi w:val="0"/>
              <w:adjustRightInd/>
              <w:snapToGrid/>
              <w:spacing w:beforeLines="0" w:line="360" w:lineRule="auto"/>
              <w:jc w:val="left"/>
              <w:textAlignment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16.支持字幕叠加显示功能，在通话中可显示场所名称、滚动字幕信息</w:t>
            </w:r>
            <w:r>
              <w:rPr>
                <w:rFonts w:hint="eastAsia" w:asciiTheme="minorEastAsia" w:hAnsiTheme="minorEastAsia" w:eastAsiaTheme="minorEastAsia" w:cstheme="minorEastAsia"/>
                <w:color w:val="auto"/>
                <w:kern w:val="0"/>
                <w:sz w:val="24"/>
                <w:szCs w:val="24"/>
                <w:highlight w:val="none"/>
                <w:lang w:eastAsia="zh-CN"/>
              </w:rPr>
              <w:t>。</w:t>
            </w:r>
          </w:p>
          <w:p w14:paraId="265FAC33">
            <w:pPr>
              <w:keepNext w:val="0"/>
              <w:keepLines w:val="0"/>
              <w:pageBreakBefore w:val="0"/>
              <w:widowControl/>
              <w:kinsoku/>
              <w:wordWrap/>
              <w:overflowPunct/>
              <w:topLinePunct w:val="0"/>
              <w:autoSpaceDE/>
              <w:autoSpaceDN/>
              <w:bidi w:val="0"/>
              <w:adjustRightInd/>
              <w:snapToGrid/>
              <w:spacing w:beforeLines="0" w:line="360" w:lineRule="auto"/>
              <w:jc w:val="left"/>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17.</w:t>
            </w:r>
            <w:r>
              <w:rPr>
                <w:rFonts w:hint="eastAsia" w:asciiTheme="minorEastAsia" w:hAnsiTheme="minorEastAsia" w:eastAsiaTheme="minorEastAsia" w:cstheme="minorEastAsia"/>
                <w:color w:val="auto"/>
                <w:kern w:val="0"/>
                <w:sz w:val="24"/>
                <w:szCs w:val="24"/>
                <w:highlight w:val="none"/>
                <w:lang w:eastAsia="zh-CN"/>
              </w:rPr>
              <w:t>具备网络抗丢包能力，</w:t>
            </w:r>
            <w:r>
              <w:rPr>
                <w:rFonts w:hint="eastAsia" w:asciiTheme="minorEastAsia" w:hAnsiTheme="minorEastAsia" w:eastAsiaTheme="minorEastAsia" w:cstheme="minorEastAsia"/>
                <w:color w:val="auto"/>
                <w:kern w:val="0"/>
                <w:sz w:val="24"/>
                <w:szCs w:val="24"/>
                <w:highlight w:val="none"/>
              </w:rPr>
              <w:t>20%的网络丢包下,视频流畅不花屏；35%的网络丢包下,声音清楚连贯。</w:t>
            </w:r>
            <w:r>
              <w:rPr>
                <w:rFonts w:hint="eastAsia" w:asciiTheme="minorEastAsia" w:hAnsiTheme="minorEastAsia" w:eastAsiaTheme="minorEastAsia" w:cstheme="minorEastAsia"/>
                <w:color w:val="auto"/>
                <w:kern w:val="0"/>
                <w:sz w:val="24"/>
                <w:szCs w:val="24"/>
                <w:highlight w:val="none"/>
              </w:rPr>
              <w:br w:type="textWrapping"/>
            </w:r>
            <w:bookmarkStart w:id="48" w:name="OLE_LINK2"/>
            <w:r>
              <w:rPr>
                <w:rFonts w:hint="eastAsia" w:asciiTheme="minorEastAsia" w:hAnsiTheme="minorEastAsia" w:eastAsiaTheme="minorEastAsia" w:cstheme="minorEastAsia"/>
                <w:color w:val="auto"/>
                <w:kern w:val="0"/>
                <w:sz w:val="24"/>
                <w:szCs w:val="24"/>
                <w:highlight w:val="none"/>
              </w:rPr>
              <w:t>▲</w:t>
            </w:r>
            <w:bookmarkEnd w:id="48"/>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8</w:t>
            </w:r>
            <w:r>
              <w:rPr>
                <w:rFonts w:hint="eastAsia" w:asciiTheme="minorEastAsia" w:hAnsiTheme="minorEastAsia" w:eastAsiaTheme="minorEastAsia" w:cstheme="minorEastAsia"/>
                <w:color w:val="auto"/>
                <w:kern w:val="0"/>
                <w:sz w:val="24"/>
                <w:szCs w:val="24"/>
                <w:highlight w:val="none"/>
              </w:rPr>
              <w:t>.支持TCP/IP通讯方式，可通过平台进行状态监测（在线、离线、呼叫中），支持平台对设备进行邀请通话、挂断、静音、禁听、设置主会场会控功能。</w:t>
            </w:r>
          </w:p>
          <w:p w14:paraId="3517171A">
            <w:pPr>
              <w:keepNext w:val="0"/>
              <w:keepLines w:val="0"/>
              <w:pageBreakBefore w:val="0"/>
              <w:widowControl/>
              <w:kinsoku/>
              <w:wordWrap/>
              <w:overflowPunct/>
              <w:topLinePunct w:val="0"/>
              <w:autoSpaceDE/>
              <w:autoSpaceDN/>
              <w:bidi w:val="0"/>
              <w:adjustRightInd/>
              <w:snapToGrid/>
              <w:spacing w:beforeLines="0" w:line="360" w:lineRule="auto"/>
              <w:jc w:val="left"/>
              <w:textAlignment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●19.可根据需求对终端</w:t>
            </w:r>
            <w:r>
              <w:rPr>
                <w:rFonts w:hint="eastAsia" w:asciiTheme="minorEastAsia" w:hAnsiTheme="minorEastAsia" w:eastAsiaTheme="minorEastAsia" w:cstheme="minorEastAsia"/>
                <w:color w:val="auto"/>
                <w:kern w:val="0"/>
                <w:sz w:val="24"/>
                <w:szCs w:val="24"/>
                <w:highlight w:val="none"/>
              </w:rPr>
              <w:t>开机LOGO、</w:t>
            </w:r>
            <w:r>
              <w:rPr>
                <w:rFonts w:hint="eastAsia" w:asciiTheme="minorEastAsia" w:hAnsiTheme="minorEastAsia" w:eastAsiaTheme="minorEastAsia" w:cstheme="minorEastAsia"/>
                <w:color w:val="auto"/>
                <w:kern w:val="0"/>
                <w:sz w:val="24"/>
                <w:szCs w:val="24"/>
                <w:highlight w:val="none"/>
                <w:lang w:eastAsia="zh-CN"/>
              </w:rPr>
              <w:t>主界面</w:t>
            </w:r>
            <w:r>
              <w:rPr>
                <w:rFonts w:hint="eastAsia" w:asciiTheme="minorEastAsia" w:hAnsiTheme="minorEastAsia" w:eastAsiaTheme="minorEastAsia" w:cstheme="minorEastAsia"/>
                <w:color w:val="auto"/>
                <w:kern w:val="0"/>
                <w:sz w:val="24"/>
                <w:szCs w:val="24"/>
                <w:highlight w:val="none"/>
                <w:lang w:val="en-US" w:eastAsia="zh-CN"/>
              </w:rPr>
              <w:t>LOGO进行个性化定制</w:t>
            </w:r>
            <w:r>
              <w:rPr>
                <w:rFonts w:hint="eastAsia" w:asciiTheme="minorEastAsia" w:hAnsiTheme="minorEastAsia" w:eastAsiaTheme="minorEastAsia" w:cstheme="minorEastAsia"/>
                <w:color w:val="auto"/>
                <w:kern w:val="0"/>
                <w:sz w:val="24"/>
                <w:szCs w:val="24"/>
                <w:highlight w:val="none"/>
                <w:lang w:eastAsia="zh-CN"/>
              </w:rPr>
              <w:t>。</w:t>
            </w:r>
          </w:p>
          <w:p w14:paraId="16D98492">
            <w:pPr>
              <w:keepNext w:val="0"/>
              <w:keepLines w:val="0"/>
              <w:pageBreakBefore w:val="0"/>
              <w:widowControl/>
              <w:suppressLineNumbers w:val="0"/>
              <w:kinsoku/>
              <w:overflowPunct/>
              <w:topLinePunct w:val="0"/>
              <w:bidi w:val="0"/>
              <w:snapToGrid/>
              <w:spacing w:line="360" w:lineRule="auto"/>
              <w:jc w:val="left"/>
              <w:textAlignment w:val="top"/>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lang w:val="en-US" w:eastAsia="zh-CN" w:bidi="ar"/>
              </w:rPr>
              <w:t>20</w:t>
            </w:r>
            <w:r>
              <w:rPr>
                <w:rFonts w:hint="eastAsia" w:asciiTheme="minorEastAsia" w:hAnsiTheme="minorEastAsia" w:eastAsiaTheme="minorEastAsia" w:cstheme="minorEastAsia"/>
                <w:color w:val="auto"/>
                <w:kern w:val="0"/>
                <w:sz w:val="24"/>
                <w:szCs w:val="24"/>
                <w:highlight w:val="none"/>
                <w:lang w:bidi="ar"/>
              </w:rPr>
              <w:t>.</w:t>
            </w:r>
            <w:r>
              <w:rPr>
                <w:rFonts w:hint="eastAsia" w:asciiTheme="minorEastAsia" w:hAnsiTheme="minorEastAsia" w:eastAsiaTheme="minorEastAsia" w:cstheme="minorEastAsia"/>
                <w:color w:val="auto"/>
                <w:kern w:val="0"/>
                <w:sz w:val="24"/>
                <w:szCs w:val="24"/>
                <w:highlight w:val="none"/>
                <w:lang w:val="en-US" w:eastAsia="zh-CN"/>
              </w:rPr>
              <w:t>考虑到项目的系统性、完整性、产品的兼容性、信息的安全性、业务的持续性，</w:t>
            </w:r>
            <w:r>
              <w:rPr>
                <w:rFonts w:hint="eastAsia" w:asciiTheme="minorEastAsia" w:hAnsiTheme="minorEastAsia" w:eastAsiaTheme="minorEastAsia" w:cstheme="minorEastAsia"/>
                <w:color w:val="auto"/>
                <w:kern w:val="0"/>
                <w:sz w:val="24"/>
                <w:szCs w:val="24"/>
                <w:highlight w:val="none"/>
                <w:lang w:val="en-US" w:eastAsia="zh-CN"/>
              </w:rPr>
              <w:t>投标</w:t>
            </w:r>
            <w:r>
              <w:rPr>
                <w:rFonts w:hint="eastAsia" w:asciiTheme="minorEastAsia" w:hAnsiTheme="minorEastAsia" w:eastAsiaTheme="minorEastAsia" w:cstheme="minorEastAsia"/>
                <w:color w:val="auto"/>
                <w:kern w:val="0"/>
                <w:sz w:val="24"/>
                <w:szCs w:val="24"/>
                <w:highlight w:val="none"/>
                <w:lang w:val="en-US" w:eastAsia="zh-CN"/>
              </w:rPr>
              <w:t>产品必须支持与现有</w:t>
            </w:r>
            <w:r>
              <w:rPr>
                <w:rFonts w:hint="eastAsia" w:asciiTheme="minorEastAsia" w:hAnsiTheme="minorEastAsia" w:eastAsiaTheme="minorEastAsia" w:cstheme="minorEastAsia"/>
                <w:color w:val="auto"/>
                <w:sz w:val="24"/>
                <w:szCs w:val="24"/>
                <w:highlight w:val="none"/>
                <w:shd w:val="clear" w:color="auto" w:fill="auto"/>
              </w:rPr>
              <w:t>检察机关非涉密视频系统</w:t>
            </w:r>
            <w:r>
              <w:rPr>
                <w:rFonts w:hint="eastAsia" w:asciiTheme="minorEastAsia" w:hAnsiTheme="minorEastAsia" w:eastAsiaTheme="minorEastAsia" w:cstheme="minorEastAsia"/>
                <w:color w:val="auto"/>
                <w:kern w:val="0"/>
                <w:sz w:val="24"/>
                <w:szCs w:val="24"/>
                <w:highlight w:val="none"/>
                <w:lang w:val="en-US" w:eastAsia="zh-CN"/>
              </w:rPr>
              <w:t>”无缝兼容，实现提讯、会议的统一管理和功能控制，满足全区检察院提讯、会议自上而下的顺利使用。供应商应在</w:t>
            </w:r>
            <w:r>
              <w:rPr>
                <w:rFonts w:hint="eastAsia" w:asciiTheme="minorEastAsia" w:hAnsiTheme="minorEastAsia" w:eastAsiaTheme="minorEastAsia" w:cstheme="minorEastAsia"/>
                <w:color w:val="auto"/>
                <w:kern w:val="0"/>
                <w:sz w:val="24"/>
                <w:szCs w:val="24"/>
                <w:highlight w:val="none"/>
                <w:lang w:val="en-US" w:eastAsia="zh-CN"/>
              </w:rPr>
              <w:t>投标</w:t>
            </w:r>
            <w:r>
              <w:rPr>
                <w:rFonts w:hint="eastAsia" w:asciiTheme="minorEastAsia" w:hAnsiTheme="minorEastAsia" w:eastAsiaTheme="minorEastAsia" w:cstheme="minorEastAsia"/>
                <w:color w:val="auto"/>
                <w:kern w:val="0"/>
                <w:sz w:val="24"/>
                <w:szCs w:val="24"/>
                <w:highlight w:val="none"/>
                <w:lang w:val="en-US" w:eastAsia="zh-CN"/>
              </w:rPr>
              <w:t>前做好全面调研工作，确保投标的产品能够满足采购人业务使用需求。</w:t>
            </w:r>
          </w:p>
        </w:tc>
        <w:tc>
          <w:tcPr>
            <w:tcW w:w="1191" w:type="dxa"/>
            <w:noWrap w:val="0"/>
            <w:vAlign w:val="center"/>
          </w:tcPr>
          <w:p w14:paraId="2E25089E">
            <w:pPr>
              <w:keepNext w:val="0"/>
              <w:keepLines w:val="0"/>
              <w:pageBreakBefore w:val="0"/>
              <w:widowControl/>
              <w:suppressLineNumbers w:val="0"/>
              <w:kinsoku/>
              <w:overflowPunct/>
              <w:topLinePunct w:val="0"/>
              <w:bidi w:val="0"/>
              <w:snapToGrid/>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780000.00</w:t>
            </w:r>
          </w:p>
        </w:tc>
        <w:tc>
          <w:tcPr>
            <w:tcW w:w="1079" w:type="dxa"/>
            <w:noWrap w:val="0"/>
            <w:vAlign w:val="center"/>
          </w:tcPr>
          <w:p w14:paraId="369A78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color w:val="auto"/>
                <w:sz w:val="24"/>
                <w:szCs w:val="24"/>
                <w:highlight w:val="none"/>
                <w:u w:val="none"/>
              </w:rPr>
              <w:t>工业</w:t>
            </w:r>
          </w:p>
        </w:tc>
      </w:tr>
      <w:tr w14:paraId="4498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490" w:type="dxa"/>
            <w:noWrap w:val="0"/>
            <w:vAlign w:val="center"/>
          </w:tcPr>
          <w:p w14:paraId="21BD7471">
            <w:pPr>
              <w:keepNext w:val="0"/>
              <w:keepLines w:val="0"/>
              <w:pageBreakBefore w:val="0"/>
              <w:kinsoku/>
              <w:wordWrap w:val="0"/>
              <w:overflowPunct/>
              <w:topLinePunct w:val="0"/>
              <w:bidi w:val="0"/>
              <w:snapToGrid/>
              <w:spacing w:beforeAutospacing="0" w:afterAutospacing="0"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商</w:t>
            </w:r>
          </w:p>
          <w:p w14:paraId="62D58232">
            <w:pPr>
              <w:keepNext w:val="0"/>
              <w:keepLines w:val="0"/>
              <w:pageBreakBefore w:val="0"/>
              <w:kinsoku/>
              <w:wordWrap w:val="0"/>
              <w:overflowPunct/>
              <w:topLinePunct w:val="0"/>
              <w:bidi w:val="0"/>
              <w:snapToGrid/>
              <w:spacing w:beforeAutospacing="0" w:afterAutospacing="0"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务</w:t>
            </w:r>
          </w:p>
          <w:p w14:paraId="5C0E14B6">
            <w:pPr>
              <w:keepNext w:val="0"/>
              <w:keepLines w:val="0"/>
              <w:pageBreakBefore w:val="0"/>
              <w:kinsoku/>
              <w:wordWrap w:val="0"/>
              <w:overflowPunct/>
              <w:topLinePunct w:val="0"/>
              <w:bidi w:val="0"/>
              <w:snapToGrid/>
              <w:spacing w:beforeAutospacing="0" w:afterAutospacing="0"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条</w:t>
            </w:r>
          </w:p>
          <w:p w14:paraId="0C64A85D">
            <w:pPr>
              <w:keepNext w:val="0"/>
              <w:keepLines w:val="0"/>
              <w:pageBreakBefore w:val="0"/>
              <w:widowControl/>
              <w:kinsoku/>
              <w:wordWrap w:val="0"/>
              <w:overflowPunct/>
              <w:topLinePunct w:val="0"/>
              <w:bidi w:val="0"/>
              <w:snapToGrid/>
              <w:spacing w:beforeAutospacing="0" w:afterAutospacing="0"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color w:val="auto"/>
                <w:sz w:val="24"/>
                <w:szCs w:val="24"/>
                <w:highlight w:val="none"/>
              </w:rPr>
              <w:t>款</w:t>
            </w:r>
          </w:p>
        </w:tc>
        <w:tc>
          <w:tcPr>
            <w:tcW w:w="9879" w:type="dxa"/>
            <w:gridSpan w:val="7"/>
            <w:noWrap w:val="0"/>
            <w:vAlign w:val="top"/>
          </w:tcPr>
          <w:p w14:paraId="677BF138">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▲一、合同签订期：自中标通知书发出之日起25日内。</w:t>
            </w:r>
          </w:p>
          <w:p w14:paraId="790BDB4D">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宋体" w:hAnsi="宋体" w:eastAsia="宋体" w:cs="宋体"/>
                <w:color w:val="auto"/>
                <w:sz w:val="24"/>
                <w:szCs w:val="24"/>
                <w:highlight w:val="none"/>
                <w:lang w:val="en-US" w:eastAsia="zh-CN"/>
              </w:rPr>
              <w:t>交货期</w:t>
            </w:r>
            <w:r>
              <w:rPr>
                <w:rFonts w:hint="eastAsia" w:ascii="宋体" w:hAnsi="宋体" w:eastAsia="宋体" w:cs="宋体"/>
                <w:color w:val="auto"/>
                <w:sz w:val="24"/>
                <w:szCs w:val="24"/>
                <w:highlight w:val="none"/>
              </w:rPr>
              <w:t>：自</w:t>
            </w:r>
            <w:r>
              <w:rPr>
                <w:rFonts w:hint="eastAsia" w:ascii="宋体" w:hAnsi="宋体" w:cs="宋体"/>
                <w:color w:val="auto"/>
                <w:sz w:val="24"/>
                <w:szCs w:val="24"/>
                <w:highlight w:val="none"/>
                <w:lang w:val="en-US" w:eastAsia="zh-CN"/>
              </w:rPr>
              <w:t>签</w:t>
            </w:r>
            <w:r>
              <w:rPr>
                <w:rFonts w:hint="eastAsia" w:asciiTheme="minorEastAsia" w:hAnsiTheme="minorEastAsia" w:eastAsiaTheme="minorEastAsia" w:cstheme="minorEastAsia"/>
                <w:color w:val="auto"/>
                <w:sz w:val="24"/>
                <w:szCs w:val="24"/>
                <w:highlight w:val="none"/>
                <w:lang w:val="en-US" w:eastAsia="zh-CN"/>
              </w:rPr>
              <w:t>订</w:t>
            </w:r>
            <w:r>
              <w:rPr>
                <w:rFonts w:hint="eastAsia" w:asciiTheme="minorEastAsia" w:hAnsiTheme="minorEastAsia" w:eastAsiaTheme="minorEastAsia" w:cstheme="minorEastAsia"/>
                <w:color w:val="auto"/>
                <w:sz w:val="24"/>
                <w:szCs w:val="24"/>
                <w:highlight w:val="none"/>
              </w:rPr>
              <w:t>合同之日起</w:t>
            </w:r>
            <w:r>
              <w:rPr>
                <w:rFonts w:hint="eastAsia" w:asciiTheme="minorEastAsia" w:hAnsiTheme="minorEastAsia" w:eastAsiaTheme="minorEastAsia" w:cstheme="minorEastAsia"/>
                <w:color w:val="auto"/>
                <w:sz w:val="24"/>
                <w:szCs w:val="24"/>
                <w:highlight w:val="none"/>
                <w:lang w:val="en-US" w:eastAsia="zh-CN"/>
              </w:rPr>
              <w:t>15日</w:t>
            </w:r>
            <w:r>
              <w:rPr>
                <w:rFonts w:hint="eastAsia" w:asciiTheme="minorEastAsia" w:hAnsiTheme="minorEastAsia" w:eastAsiaTheme="minorEastAsia" w:cstheme="minorEastAsia"/>
                <w:color w:val="auto"/>
                <w:sz w:val="24"/>
                <w:szCs w:val="24"/>
                <w:highlight w:val="none"/>
              </w:rPr>
              <w:t>内。</w:t>
            </w:r>
          </w:p>
          <w:p w14:paraId="52B4EE62">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三、交货地点：南宁市（采购人指定地点）。</w:t>
            </w:r>
          </w:p>
          <w:p w14:paraId="28D577E3">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四、交货方式：现场交货。</w:t>
            </w:r>
          </w:p>
          <w:p w14:paraId="73AF433A">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▲五、售后服务</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color w:val="auto"/>
                <w:sz w:val="24"/>
                <w:szCs w:val="24"/>
                <w:highlight w:val="none"/>
              </w:rPr>
              <w:t>要求：</w:t>
            </w:r>
          </w:p>
          <w:p w14:paraId="110D5463">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质保期3年，自货物交付并最终验收合格之日起计算。。</w:t>
            </w:r>
          </w:p>
          <w:p w14:paraId="56743DFD">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供应商所投产品应是⼚家原装正品产品，符合国家有关产品“三包”要求，在供货时供应商须提供原厂供货证明和售后服务承诺。</w:t>
            </w:r>
          </w:p>
          <w:p w14:paraId="671AB60F">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3.供应商需提供项目所需的所有辅材，包括但不仅限于设备接入所需六类非屏蔽网线、六类水晶头、高清视频线、音频线、音频接头、标签纸、尼龙扎带等辅材、耗材。</w:t>
            </w:r>
          </w:p>
          <w:p w14:paraId="614E6E16">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处理问题响应时间：</w:t>
            </w:r>
            <w:r>
              <w:rPr>
                <w:rFonts w:hint="eastAsia" w:asciiTheme="minorEastAsia" w:hAnsiTheme="minorEastAsia" w:eastAsiaTheme="minorEastAsia" w:cstheme="minorEastAsia"/>
                <w:color w:val="auto"/>
                <w:sz w:val="24"/>
                <w:szCs w:val="24"/>
                <w:highlight w:val="none"/>
                <w:lang w:val="en-US" w:eastAsia="zh-CN"/>
              </w:rPr>
              <w:t>中标供应商需提供7×24小时的热线电话服务，30分钟内响应，接到采购人的报修电话后，在规定时间之内（4个小时内）到达现场进行维修，一般故障4小时内解决问题，重大故障24小时内解决问题，并提出详细的解决方案。若故障仍无法排除，中标供应商应提供满足使用要求的替代产品供采购人使用，直至原产品故障排除为止。</w:t>
            </w:r>
          </w:p>
          <w:p w14:paraId="7E86DA45">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投标产品必须是具备厂家合法渠道的全新产品。</w:t>
            </w:r>
          </w:p>
          <w:p w14:paraId="699B9BE5">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为确保采购的原装货品的正品性，</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需配合采购人对相关货品进行电话或二维码查询等正品验证，通过验证方可验收。在验证过程中如发现有假货的，采购人将拒绝验收该产品并报相关采购监督管理部门。</w:t>
            </w:r>
          </w:p>
          <w:p w14:paraId="1205577D">
            <w:pPr>
              <w:keepNext w:val="0"/>
              <w:keepLines w:val="0"/>
              <w:pageBreakBefore w:val="0"/>
              <w:kinsoku/>
              <w:overflowPunct/>
              <w:topLinePunct w:val="0"/>
              <w:autoSpaceDE w:val="0"/>
              <w:autoSpaceDN w:val="0"/>
              <w:bidi w:val="0"/>
              <w:adjustRightInd w:val="0"/>
              <w:snapToGrid/>
              <w:spacing w:beforeAutospacing="0" w:afterAutospacing="0"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7.现场培训：中标供应商提供现场技术培训，对采购单位人员进行操作等技术的培训指导，至能独立操作。</w:t>
            </w:r>
          </w:p>
          <w:p w14:paraId="7061D7A2">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、其他要求：</w:t>
            </w:r>
          </w:p>
          <w:p w14:paraId="7A9F570E">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1、报价必须含以下部分，包括：</w:t>
            </w:r>
          </w:p>
          <w:p w14:paraId="6535AF7B">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（1）货物的价格；</w:t>
            </w:r>
          </w:p>
          <w:p w14:paraId="3186E482">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（2）必要的保险费用和各项税金。</w:t>
            </w:r>
          </w:p>
          <w:p w14:paraId="1145AF15">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（3）其他：运输、装卸、安装、调试、培训、技术支持、售后货物、更新升级、验收等费用。</w:t>
            </w:r>
          </w:p>
          <w:p w14:paraId="6C6F2124">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（4）其他：</w:t>
            </w:r>
            <w:r>
              <w:rPr>
                <w:rFonts w:hint="eastAsia" w:asciiTheme="minorEastAsia" w:hAnsiTheme="minorEastAsia" w:eastAsiaTheme="minorEastAsia" w:cstheme="minorEastAsia"/>
                <w:color w:val="auto"/>
                <w:sz w:val="24"/>
                <w:szCs w:val="24"/>
                <w:highlight w:val="none"/>
                <w:lang w:val="zh-CN"/>
              </w:rPr>
              <w:t>在本项目实施过程中，</w:t>
            </w:r>
            <w:r>
              <w:rPr>
                <w:rFonts w:hint="eastAsia" w:asciiTheme="minorEastAsia" w:hAnsiTheme="minorEastAsia" w:eastAsiaTheme="minorEastAsia" w:cstheme="minorEastAsia"/>
                <w:color w:val="auto"/>
                <w:sz w:val="24"/>
                <w:szCs w:val="24"/>
                <w:highlight w:val="none"/>
              </w:rPr>
              <w:t>投标</w:t>
            </w:r>
            <w:r>
              <w:rPr>
                <w:rFonts w:hint="eastAsia" w:asciiTheme="minorEastAsia" w:hAnsiTheme="minorEastAsia" w:eastAsiaTheme="minorEastAsia" w:cstheme="minorEastAsia"/>
                <w:color w:val="auto"/>
                <w:sz w:val="24"/>
                <w:szCs w:val="24"/>
                <w:highlight w:val="none"/>
                <w:lang w:val="zh-CN"/>
              </w:rPr>
              <w:t>总价不予调整，采购人将不再另行支付与本项目相关的任何费用。</w:t>
            </w:r>
          </w:p>
          <w:p w14:paraId="58EFB1F9">
            <w:pPr>
              <w:keepNext w:val="0"/>
              <w:keepLines w:val="0"/>
              <w:pageBreakBefore w:val="0"/>
              <w:kinsoku/>
              <w:overflowPunct/>
              <w:topLinePunct w:val="0"/>
              <w:autoSpaceDE w:val="0"/>
              <w:autoSpaceDN w:val="0"/>
              <w:bidi w:val="0"/>
              <w:adjustRightInd w:val="0"/>
              <w:snapToGrid/>
              <w:spacing w:beforeAutospacing="0" w:afterAutospacing="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zh-CN"/>
              </w:rPr>
              <w:t>）所产生的代理服务费。</w:t>
            </w:r>
          </w:p>
          <w:p w14:paraId="0D045EDC">
            <w:pPr>
              <w:keepNext w:val="0"/>
              <w:keepLines w:val="0"/>
              <w:pageBreakBefore w:val="0"/>
              <w:kinsoku/>
              <w:overflowPunct/>
              <w:topLinePunct w:val="0"/>
              <w:autoSpaceDE w:val="0"/>
              <w:autoSpaceDN w:val="0"/>
              <w:bidi w:val="0"/>
              <w:adjustRightInd w:val="0"/>
              <w:snapToGrid/>
              <w:spacing w:beforeAutospacing="0" w:afterAutospacing="0" w:line="360" w:lineRule="auto"/>
              <w:rPr>
                <w:rFonts w:hint="default" w:eastAsia="宋体"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付款方式：</w:t>
            </w:r>
            <w:r>
              <w:rPr>
                <w:rFonts w:hint="eastAsia" w:asciiTheme="minorEastAsia" w:hAnsiTheme="minorEastAsia" w:eastAsiaTheme="minorEastAsia" w:cstheme="minorEastAsia"/>
                <w:color w:val="auto"/>
                <w:sz w:val="24"/>
                <w:szCs w:val="24"/>
                <w:highlight w:val="none"/>
                <w:lang w:val="en-US" w:eastAsia="zh-CN"/>
              </w:rPr>
              <w:t>合同签订后，15个日内货物到达指定地点并完成设备验收，一次性支付合同款，成交供应商须向采购人出具合法有效完整的完税发票进行支付结算。</w:t>
            </w:r>
          </w:p>
        </w:tc>
      </w:tr>
      <w:tr w14:paraId="6C82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490" w:type="dxa"/>
            <w:noWrap w:val="0"/>
            <w:vAlign w:val="center"/>
          </w:tcPr>
          <w:p w14:paraId="1471A3D6">
            <w:pPr>
              <w:keepNext w:val="0"/>
              <w:keepLines w:val="0"/>
              <w:pageBreakBefore w:val="0"/>
              <w:widowControl/>
              <w:kinsoku/>
              <w:wordWrap w:val="0"/>
              <w:overflowPunct/>
              <w:topLinePunct w:val="0"/>
              <w:bidi w:val="0"/>
              <w:snapToGrid/>
              <w:spacing w:beforeAutospacing="0" w:afterAutospacing="0"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其他说明</w:t>
            </w:r>
          </w:p>
        </w:tc>
        <w:tc>
          <w:tcPr>
            <w:tcW w:w="9879" w:type="dxa"/>
            <w:gridSpan w:val="7"/>
            <w:noWrap w:val="0"/>
            <w:vAlign w:val="top"/>
          </w:tcPr>
          <w:p w14:paraId="7BA4216A">
            <w:pPr>
              <w:keepNext w:val="0"/>
              <w:keepLines w:val="0"/>
              <w:pageBreakBefore w:val="0"/>
              <w:widowControl/>
              <w:numPr>
                <w:ilvl w:val="0"/>
                <w:numId w:val="0"/>
              </w:numPr>
              <w:kinsoku/>
              <w:wordWrap w:val="0"/>
              <w:overflowPunct/>
              <w:topLinePunct w:val="0"/>
              <w:bidi w:val="0"/>
              <w:snapToGrid/>
              <w:spacing w:beforeAutospacing="0"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一、进口产品说明</w:t>
            </w:r>
          </w:p>
          <w:p w14:paraId="4C0FEFA7">
            <w:pPr>
              <w:keepNext w:val="0"/>
              <w:keepLines w:val="0"/>
              <w:pageBreakBefore w:val="0"/>
              <w:widowControl/>
              <w:numPr>
                <w:ilvl w:val="0"/>
                <w:numId w:val="0"/>
              </w:numPr>
              <w:kinsoku/>
              <w:wordWrap w:val="0"/>
              <w:overflowPunct/>
              <w:topLinePunct w:val="0"/>
              <w:bidi w:val="0"/>
              <w:snapToGrid/>
              <w:spacing w:beforeAutospacing="0"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□本表的第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eastAsia="宋体" w:cs="宋体"/>
                <w:b/>
                <w:bCs/>
                <w:color w:val="auto"/>
                <w:sz w:val="24"/>
                <w:szCs w:val="24"/>
                <w:highlight w:val="none"/>
                <w:lang w:val="en-US" w:eastAsia="zh-CN"/>
              </w:rPr>
              <w:t>其他货物不接受进口产品参与投标，否则作无效标处理。</w:t>
            </w:r>
          </w:p>
          <w:p w14:paraId="35E9C01B">
            <w:pPr>
              <w:keepNext w:val="0"/>
              <w:keepLines w:val="0"/>
              <w:pageBreakBefore w:val="0"/>
              <w:widowControl/>
              <w:numPr>
                <w:ilvl w:val="0"/>
                <w:numId w:val="0"/>
              </w:numPr>
              <w:kinsoku/>
              <w:wordWrap w:val="0"/>
              <w:overflowPunct/>
              <w:topLinePunct w:val="0"/>
              <w:bidi w:val="0"/>
              <w:snapToGrid/>
              <w:spacing w:beforeAutospacing="0"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☑本项目货物所涉及的货物不接受进口产品（即通过中国海关报关验放进入中国境内且产自关境外的产品）参与投标，</w:t>
            </w:r>
            <w:r>
              <w:rPr>
                <w:rFonts w:hint="eastAsia" w:ascii="宋体" w:hAnsi="宋体" w:eastAsia="宋体" w:cs="宋体"/>
                <w:b/>
                <w:bCs/>
                <w:color w:val="auto"/>
                <w:sz w:val="24"/>
                <w:szCs w:val="24"/>
                <w:highlight w:val="none"/>
                <w:lang w:val="en-US" w:eastAsia="zh-CN"/>
              </w:rPr>
              <w:t>如有进口产品参与投标的作无效标处理。</w:t>
            </w:r>
          </w:p>
          <w:p w14:paraId="7C988420">
            <w:pPr>
              <w:keepNext w:val="0"/>
              <w:keepLines w:val="0"/>
              <w:pageBreakBefore w:val="0"/>
              <w:widowControl/>
              <w:numPr>
                <w:ilvl w:val="0"/>
                <w:numId w:val="0"/>
              </w:numPr>
              <w:kinsoku/>
              <w:wordWrap w:val="0"/>
              <w:overflowPunct/>
              <w:topLinePunct w:val="0"/>
              <w:bidi w:val="0"/>
              <w:snapToGrid/>
              <w:spacing w:beforeAutospacing="0"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二、与本项目有关的设计图纸、技术规范、文件等附件资料及其获取方式（如有）：无。</w:t>
            </w:r>
          </w:p>
          <w:p w14:paraId="0B2FAB21">
            <w:pPr>
              <w:keepNext w:val="0"/>
              <w:keepLines w:val="0"/>
              <w:pageBreakBefore w:val="0"/>
              <w:widowControl/>
              <w:numPr>
                <w:ilvl w:val="0"/>
                <w:numId w:val="0"/>
              </w:numPr>
              <w:kinsoku/>
              <w:wordWrap w:val="0"/>
              <w:overflowPunct/>
              <w:topLinePunct w:val="0"/>
              <w:bidi w:val="0"/>
              <w:snapToGrid/>
              <w:spacing w:beforeAutospacing="0" w:afterAutospacing="0"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、其他</w:t>
            </w:r>
          </w:p>
          <w:p w14:paraId="47CE7BEC">
            <w:pPr>
              <w:keepNext w:val="0"/>
              <w:keepLines w:val="0"/>
              <w:pageBreakBefore w:val="0"/>
              <w:widowControl/>
              <w:numPr>
                <w:ilvl w:val="0"/>
                <w:numId w:val="0"/>
              </w:numPr>
              <w:kinsoku/>
              <w:wordWrap w:val="0"/>
              <w:overflowPunct/>
              <w:topLinePunct w:val="0"/>
              <w:bidi w:val="0"/>
              <w:snapToGrid/>
              <w:spacing w:beforeAutospacing="0" w:afterAutospacing="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知识产权：采购人在中华人民共和国境内使用供应商提供的产品及服务时免受第三方提出的侵犯其专利权或其它知识产权的起诉。如果第三方提出侵权指控，中标供应商应承担由此而引起的一切法律责任和费用。供应商在投标文件中提供承诺或证明材料。</w:t>
            </w:r>
          </w:p>
          <w:p w14:paraId="3A04C5EE">
            <w:pPr>
              <w:keepNext w:val="0"/>
              <w:keepLines w:val="0"/>
              <w:pageBreakBefore w:val="0"/>
              <w:widowControl/>
              <w:numPr>
                <w:ilvl w:val="0"/>
                <w:numId w:val="0"/>
              </w:numPr>
              <w:kinsoku/>
              <w:wordWrap w:val="0"/>
              <w:overflowPunct/>
              <w:topLinePunct w:val="0"/>
              <w:bidi w:val="0"/>
              <w:snapToGrid/>
              <w:spacing w:beforeAutospacing="0" w:afterAutospacing="0"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2、本项目采购标的需执行国家相关标准、行业标准、地方标准或其他强制性标准、规范等要求。</w:t>
            </w:r>
          </w:p>
        </w:tc>
      </w:tr>
    </w:tbl>
    <w:p w14:paraId="6A9870E8">
      <w:pPr>
        <w:rPr>
          <w:color w:val="auto"/>
          <w:highlight w:val="none"/>
        </w:rPr>
        <w:sectPr>
          <w:pgSz w:w="11906" w:h="16838"/>
          <w:pgMar w:top="1135" w:right="1135" w:bottom="1135" w:left="1135" w:header="720" w:footer="720" w:gutter="0"/>
          <w:pgNumType w:fmt="decimal"/>
          <w:cols w:space="720" w:num="1"/>
          <w:docGrid w:type="lines" w:linePitch="331" w:charSpace="0"/>
        </w:sectPr>
      </w:pPr>
    </w:p>
    <w:p w14:paraId="6DCDD7D1">
      <w:pPr>
        <w:spacing w:line="428" w:lineRule="exact"/>
        <w:outlineLvl w:val="1"/>
        <w:rPr>
          <w:rFonts w:hint="eastAsia" w:ascii="宋体" w:hAnsi="宋体" w:cs="宋体"/>
          <w:color w:val="auto"/>
          <w:sz w:val="32"/>
          <w:szCs w:val="32"/>
          <w:highlight w:val="none"/>
        </w:rPr>
      </w:pPr>
      <w:bookmarkStart w:id="49" w:name="_Toc20565"/>
      <w:r>
        <w:rPr>
          <w:rFonts w:hint="eastAsia" w:ascii="宋体" w:hAnsi="宋体" w:cs="宋体"/>
          <w:color w:val="auto"/>
          <w:sz w:val="32"/>
          <w:szCs w:val="32"/>
          <w:highlight w:val="none"/>
          <w:lang w:bidi="ar"/>
        </w:rPr>
        <w:t>附件1：</w:t>
      </w:r>
      <w:bookmarkEnd w:id="49"/>
    </w:p>
    <w:p w14:paraId="38A4EF63">
      <w:pPr>
        <w:spacing w:before="7"/>
        <w:rPr>
          <w:rFonts w:hint="eastAsia" w:ascii="宋体" w:hAnsi="宋体" w:cs="宋体"/>
          <w:color w:val="auto"/>
          <w:sz w:val="17"/>
          <w:szCs w:val="17"/>
          <w:highlight w:val="none"/>
        </w:rPr>
      </w:pPr>
    </w:p>
    <w:p w14:paraId="0AAA8E89">
      <w:pPr>
        <w:spacing w:line="528" w:lineRule="exact"/>
        <w:ind w:left="1871"/>
        <w:rPr>
          <w:rFonts w:hint="eastAsia" w:ascii="宋体" w:hAnsi="宋体" w:cs="宋体"/>
          <w:color w:val="auto"/>
          <w:sz w:val="40"/>
          <w:szCs w:val="40"/>
          <w:highlight w:val="none"/>
        </w:rPr>
      </w:pPr>
      <w:r>
        <w:rPr>
          <w:rFonts w:hint="eastAsia" w:ascii="宋体" w:hAnsi="宋体" w:cs="宋体"/>
          <w:color w:val="auto"/>
          <w:sz w:val="40"/>
          <w:szCs w:val="40"/>
          <w:highlight w:val="none"/>
          <w:lang w:bidi="ar"/>
        </w:rPr>
        <w:t>节能产品政府采购品目清单</w:t>
      </w:r>
    </w:p>
    <w:tbl>
      <w:tblPr>
        <w:tblStyle w:val="39"/>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634A72C9">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val="0"/>
            <w:vAlign w:val="top"/>
          </w:tcPr>
          <w:p w14:paraId="2284F5D2">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bidi="ar"/>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231D8531">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bidi="ar"/>
              </w:rPr>
              <w:t>名称</w:t>
            </w:r>
          </w:p>
        </w:tc>
        <w:tc>
          <w:tcPr>
            <w:tcW w:w="4540" w:type="dxa"/>
            <w:tcBorders>
              <w:top w:val="single" w:color="000000" w:sz="8" w:space="0"/>
              <w:left w:val="nil"/>
              <w:bottom w:val="single" w:color="000000" w:sz="8" w:space="0"/>
              <w:right w:val="single" w:color="000000" w:sz="8" w:space="0"/>
            </w:tcBorders>
            <w:noWrap w:val="0"/>
            <w:vAlign w:val="center"/>
          </w:tcPr>
          <w:p w14:paraId="0F1166E7">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bidi="ar"/>
              </w:rPr>
              <w:t>依据的标准</w:t>
            </w:r>
          </w:p>
        </w:tc>
      </w:tr>
      <w:tr w14:paraId="462C40B7">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0"/>
            <w:vAlign w:val="center"/>
          </w:tcPr>
          <w:p w14:paraId="6827F88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107DD9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A020101计算机设备</w:t>
            </w:r>
          </w:p>
        </w:tc>
        <w:tc>
          <w:tcPr>
            <w:tcW w:w="1320" w:type="dxa"/>
            <w:tcBorders>
              <w:top w:val="nil"/>
              <w:left w:val="nil"/>
              <w:bottom w:val="single" w:color="000000" w:sz="8" w:space="0"/>
              <w:right w:val="single" w:color="000000" w:sz="8" w:space="0"/>
            </w:tcBorders>
            <w:noWrap w:val="0"/>
            <w:vAlign w:val="center"/>
          </w:tcPr>
          <w:p w14:paraId="5966E4D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★A02010104台式计算机</w:t>
            </w:r>
          </w:p>
        </w:tc>
        <w:tc>
          <w:tcPr>
            <w:tcW w:w="1620" w:type="dxa"/>
            <w:tcBorders>
              <w:top w:val="nil"/>
              <w:left w:val="nil"/>
              <w:bottom w:val="single" w:color="000000" w:sz="8" w:space="0"/>
              <w:right w:val="single" w:color="000000" w:sz="8" w:space="0"/>
            </w:tcBorders>
            <w:noWrap w:val="0"/>
            <w:vAlign w:val="center"/>
          </w:tcPr>
          <w:p w14:paraId="79DACE6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0F9E34B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《微型计算机能效限定值及能效等级》（GB28380）</w:t>
            </w:r>
          </w:p>
        </w:tc>
      </w:tr>
      <w:tr w14:paraId="404C943D">
        <w:tblPrEx>
          <w:tblCellMar>
            <w:top w:w="0" w:type="dxa"/>
            <w:left w:w="108" w:type="dxa"/>
            <w:bottom w:w="0" w:type="dxa"/>
            <w:right w:w="108" w:type="dxa"/>
          </w:tblCellMar>
        </w:tblPrEx>
        <w:trPr>
          <w:trHeight w:val="49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F13D0D1">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511A029">
            <w:pPr>
              <w:rPr>
                <w:rFonts w:hint="eastAsia" w:ascii="宋体" w:hAnsi="宋体" w:cs="宋体"/>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354EA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★A02010105便携式计算机</w:t>
            </w:r>
          </w:p>
        </w:tc>
        <w:tc>
          <w:tcPr>
            <w:tcW w:w="1620" w:type="dxa"/>
            <w:tcBorders>
              <w:top w:val="nil"/>
              <w:left w:val="nil"/>
              <w:bottom w:val="single" w:color="000000" w:sz="8" w:space="0"/>
              <w:right w:val="single" w:color="000000" w:sz="8" w:space="0"/>
            </w:tcBorders>
            <w:noWrap w:val="0"/>
            <w:vAlign w:val="center"/>
          </w:tcPr>
          <w:p w14:paraId="4DAF21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69A4B65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《微型计算机能效限定值及能效等级》（GB28380）</w:t>
            </w:r>
          </w:p>
        </w:tc>
      </w:tr>
      <w:tr w14:paraId="78A5A5F3">
        <w:tblPrEx>
          <w:tblCellMar>
            <w:top w:w="0" w:type="dxa"/>
            <w:left w:w="108" w:type="dxa"/>
            <w:bottom w:w="0" w:type="dxa"/>
            <w:right w:w="108" w:type="dxa"/>
          </w:tblCellMar>
        </w:tblPrEx>
        <w:trPr>
          <w:trHeight w:val="73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5AB51C2">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C5AB723">
            <w:pPr>
              <w:rPr>
                <w:rFonts w:hint="eastAsia" w:ascii="宋体" w:hAnsi="宋体" w:cs="宋体"/>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7EB647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★A02010107平板式微型计算机</w:t>
            </w:r>
          </w:p>
        </w:tc>
        <w:tc>
          <w:tcPr>
            <w:tcW w:w="1620" w:type="dxa"/>
            <w:tcBorders>
              <w:top w:val="nil"/>
              <w:left w:val="nil"/>
              <w:bottom w:val="single" w:color="000000" w:sz="8" w:space="0"/>
              <w:right w:val="single" w:color="000000" w:sz="8" w:space="0"/>
            </w:tcBorders>
            <w:noWrap w:val="0"/>
            <w:vAlign w:val="center"/>
          </w:tcPr>
          <w:p w14:paraId="1032476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175A6E0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《微型计算机能效限定值及能效等级》（GB28380）</w:t>
            </w:r>
          </w:p>
        </w:tc>
      </w:tr>
      <w:tr w14:paraId="4CBBFC7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06149F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DD6A8C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1688AB2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A02010601打印设备</w:t>
            </w:r>
          </w:p>
        </w:tc>
        <w:tc>
          <w:tcPr>
            <w:tcW w:w="1620" w:type="dxa"/>
            <w:tcBorders>
              <w:top w:val="nil"/>
              <w:left w:val="nil"/>
              <w:bottom w:val="single" w:color="000000" w:sz="8" w:space="0"/>
              <w:right w:val="single" w:color="000000" w:sz="8" w:space="0"/>
            </w:tcBorders>
            <w:noWrap w:val="0"/>
            <w:vAlign w:val="center"/>
          </w:tcPr>
          <w:p w14:paraId="514B780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A0201060101喷墨打印机</w:t>
            </w:r>
          </w:p>
        </w:tc>
        <w:tc>
          <w:tcPr>
            <w:tcW w:w="4540" w:type="dxa"/>
            <w:tcBorders>
              <w:top w:val="nil"/>
              <w:left w:val="nil"/>
              <w:bottom w:val="single" w:color="000000" w:sz="8" w:space="0"/>
              <w:right w:val="single" w:color="000000" w:sz="8" w:space="0"/>
            </w:tcBorders>
            <w:noWrap w:val="0"/>
            <w:vAlign w:val="center"/>
          </w:tcPr>
          <w:p w14:paraId="00DECBD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0C29ADE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53872A9">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E47952E">
            <w:pPr>
              <w:rPr>
                <w:rFonts w:hint="eastAsia"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22D9EFBC">
            <w:pPr>
              <w:rPr>
                <w:rFonts w:hint="eastAsia"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0D034D0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★A0201060102激光打印机</w:t>
            </w:r>
          </w:p>
        </w:tc>
        <w:tc>
          <w:tcPr>
            <w:tcW w:w="4540" w:type="dxa"/>
            <w:tcBorders>
              <w:top w:val="nil"/>
              <w:left w:val="nil"/>
              <w:bottom w:val="single" w:color="000000" w:sz="8" w:space="0"/>
              <w:right w:val="single" w:color="000000" w:sz="8" w:space="0"/>
            </w:tcBorders>
            <w:noWrap w:val="0"/>
            <w:vAlign w:val="center"/>
          </w:tcPr>
          <w:p w14:paraId="76CCDC4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1028EFA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9B38342">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262D0CC">
            <w:pPr>
              <w:rPr>
                <w:rFonts w:hint="eastAsia"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7FFD6403">
            <w:pPr>
              <w:rPr>
                <w:rFonts w:hint="eastAsia"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B60310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★A0201060104针式打印机</w:t>
            </w:r>
          </w:p>
        </w:tc>
        <w:tc>
          <w:tcPr>
            <w:tcW w:w="4540" w:type="dxa"/>
            <w:tcBorders>
              <w:top w:val="nil"/>
              <w:left w:val="nil"/>
              <w:bottom w:val="single" w:color="000000" w:sz="8" w:space="0"/>
              <w:right w:val="single" w:color="000000" w:sz="8" w:space="0"/>
            </w:tcBorders>
            <w:noWrap w:val="0"/>
            <w:vAlign w:val="center"/>
          </w:tcPr>
          <w:p w14:paraId="240093D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6669EE4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BBAC32C">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B1A72E7">
            <w:pPr>
              <w:rPr>
                <w:rFonts w:hint="eastAsia" w:ascii="宋体" w:hAnsi="宋体" w:cs="宋体"/>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1F32AA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A02010604显示设备</w:t>
            </w:r>
          </w:p>
        </w:tc>
        <w:tc>
          <w:tcPr>
            <w:tcW w:w="1620" w:type="dxa"/>
            <w:tcBorders>
              <w:top w:val="nil"/>
              <w:left w:val="nil"/>
              <w:bottom w:val="single" w:color="000000" w:sz="8" w:space="0"/>
              <w:right w:val="single" w:color="000000" w:sz="8" w:space="0"/>
            </w:tcBorders>
            <w:noWrap w:val="0"/>
            <w:vAlign w:val="center"/>
          </w:tcPr>
          <w:p w14:paraId="274FB5A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★A0201060401液晶显示器</w:t>
            </w:r>
          </w:p>
        </w:tc>
        <w:tc>
          <w:tcPr>
            <w:tcW w:w="4540" w:type="dxa"/>
            <w:tcBorders>
              <w:top w:val="nil"/>
              <w:left w:val="nil"/>
              <w:bottom w:val="single" w:color="000000" w:sz="8" w:space="0"/>
              <w:right w:val="single" w:color="000000" w:sz="8" w:space="0"/>
            </w:tcBorders>
            <w:noWrap w:val="0"/>
            <w:vAlign w:val="center"/>
          </w:tcPr>
          <w:p w14:paraId="2DB4F8F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《计算机显示器能效限定值及能效等级》（GB21520）</w:t>
            </w:r>
          </w:p>
        </w:tc>
      </w:tr>
      <w:tr w14:paraId="5997D539">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25189FD">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084E0B4">
            <w:pPr>
              <w:rPr>
                <w:rFonts w:hint="eastAsia" w:ascii="宋体" w:hAnsi="宋体" w:cs="宋体"/>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6DACC8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A02010609图形图像输入设备</w:t>
            </w:r>
          </w:p>
        </w:tc>
        <w:tc>
          <w:tcPr>
            <w:tcW w:w="1620" w:type="dxa"/>
            <w:tcBorders>
              <w:top w:val="nil"/>
              <w:left w:val="nil"/>
              <w:bottom w:val="single" w:color="000000" w:sz="8" w:space="0"/>
              <w:right w:val="single" w:color="000000" w:sz="8" w:space="0"/>
            </w:tcBorders>
            <w:noWrap w:val="0"/>
            <w:vAlign w:val="center"/>
          </w:tcPr>
          <w:p w14:paraId="5CE9701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A0201060901扫描仪</w:t>
            </w:r>
          </w:p>
        </w:tc>
        <w:tc>
          <w:tcPr>
            <w:tcW w:w="4540" w:type="dxa"/>
            <w:tcBorders>
              <w:top w:val="nil"/>
              <w:left w:val="nil"/>
              <w:bottom w:val="single" w:color="000000" w:sz="8" w:space="0"/>
              <w:right w:val="single" w:color="000000" w:sz="8" w:space="0"/>
            </w:tcBorders>
            <w:noWrap w:val="0"/>
            <w:vAlign w:val="center"/>
          </w:tcPr>
          <w:p w14:paraId="67B71AF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参照《复印机、打印机和传真机能效限定值及能效等级》（GB21521中打印速度为15页/分的针式打印机相关要求中打印速度为15页/分的针式打印机相关要求</w:t>
            </w:r>
          </w:p>
        </w:tc>
      </w:tr>
      <w:tr w14:paraId="2CBF86E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A9396D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3</w:t>
            </w:r>
          </w:p>
        </w:tc>
        <w:tc>
          <w:tcPr>
            <w:tcW w:w="1080" w:type="dxa"/>
            <w:tcBorders>
              <w:top w:val="nil"/>
              <w:left w:val="nil"/>
              <w:bottom w:val="single" w:color="000000" w:sz="8" w:space="0"/>
              <w:right w:val="single" w:color="000000" w:sz="8" w:space="0"/>
            </w:tcBorders>
            <w:noWrap w:val="0"/>
            <w:vAlign w:val="center"/>
          </w:tcPr>
          <w:p w14:paraId="775B77C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A020202投影仪</w:t>
            </w:r>
          </w:p>
        </w:tc>
        <w:tc>
          <w:tcPr>
            <w:tcW w:w="1320" w:type="dxa"/>
            <w:tcBorders>
              <w:top w:val="nil"/>
              <w:left w:val="nil"/>
              <w:bottom w:val="single" w:color="000000" w:sz="8" w:space="0"/>
              <w:right w:val="single" w:color="000000" w:sz="8" w:space="0"/>
            </w:tcBorders>
            <w:noWrap w:val="0"/>
            <w:vAlign w:val="center"/>
          </w:tcPr>
          <w:p w14:paraId="646ECF9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620" w:type="dxa"/>
            <w:tcBorders>
              <w:top w:val="nil"/>
              <w:left w:val="nil"/>
              <w:bottom w:val="single" w:color="000000" w:sz="8" w:space="0"/>
              <w:right w:val="single" w:color="000000" w:sz="8" w:space="0"/>
            </w:tcBorders>
            <w:noWrap w:val="0"/>
            <w:vAlign w:val="center"/>
          </w:tcPr>
          <w:p w14:paraId="0E6897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131D869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《投影机能效限定值及能效等级》（GB32028）</w:t>
            </w:r>
          </w:p>
        </w:tc>
      </w:tr>
      <w:tr w14:paraId="5ABE0DA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88D631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4</w:t>
            </w:r>
          </w:p>
        </w:tc>
        <w:tc>
          <w:tcPr>
            <w:tcW w:w="1080" w:type="dxa"/>
            <w:tcBorders>
              <w:top w:val="nil"/>
              <w:left w:val="nil"/>
              <w:bottom w:val="single" w:color="000000" w:sz="8" w:space="0"/>
              <w:right w:val="single" w:color="000000" w:sz="8" w:space="0"/>
            </w:tcBorders>
            <w:noWrap w:val="0"/>
            <w:vAlign w:val="center"/>
          </w:tcPr>
          <w:p w14:paraId="1478EEE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A020204多功能一体机</w:t>
            </w:r>
          </w:p>
        </w:tc>
        <w:tc>
          <w:tcPr>
            <w:tcW w:w="1320" w:type="dxa"/>
            <w:tcBorders>
              <w:top w:val="nil"/>
              <w:left w:val="nil"/>
              <w:bottom w:val="single" w:color="000000" w:sz="8" w:space="0"/>
              <w:right w:val="single" w:color="000000" w:sz="8" w:space="0"/>
            </w:tcBorders>
            <w:noWrap w:val="0"/>
            <w:vAlign w:val="center"/>
          </w:tcPr>
          <w:p w14:paraId="4CE6DC0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620" w:type="dxa"/>
            <w:tcBorders>
              <w:top w:val="nil"/>
              <w:left w:val="nil"/>
              <w:bottom w:val="single" w:color="000000" w:sz="8" w:space="0"/>
              <w:right w:val="single" w:color="000000" w:sz="8" w:space="0"/>
            </w:tcBorders>
            <w:noWrap w:val="0"/>
            <w:vAlign w:val="center"/>
          </w:tcPr>
          <w:p w14:paraId="0E6FFE4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69263B9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《复印机、打印机和传真机能效限定值及能效等级》（GB21521）</w:t>
            </w:r>
          </w:p>
        </w:tc>
      </w:tr>
      <w:tr w14:paraId="42F3F1C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8986F3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5</w:t>
            </w:r>
          </w:p>
        </w:tc>
        <w:tc>
          <w:tcPr>
            <w:tcW w:w="1080" w:type="dxa"/>
            <w:tcBorders>
              <w:top w:val="nil"/>
              <w:left w:val="nil"/>
              <w:bottom w:val="single" w:color="000000" w:sz="8" w:space="0"/>
              <w:right w:val="single" w:color="000000" w:sz="8" w:space="0"/>
            </w:tcBorders>
            <w:noWrap w:val="0"/>
            <w:vAlign w:val="center"/>
          </w:tcPr>
          <w:p w14:paraId="08E38B1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A020519泵</w:t>
            </w:r>
          </w:p>
        </w:tc>
        <w:tc>
          <w:tcPr>
            <w:tcW w:w="1320" w:type="dxa"/>
            <w:tcBorders>
              <w:top w:val="nil"/>
              <w:left w:val="nil"/>
              <w:bottom w:val="single" w:color="000000" w:sz="8" w:space="0"/>
              <w:right w:val="single" w:color="000000" w:sz="8" w:space="0"/>
            </w:tcBorders>
            <w:noWrap w:val="0"/>
            <w:vAlign w:val="center"/>
          </w:tcPr>
          <w:p w14:paraId="06A23B2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A02051901离心泵</w:t>
            </w:r>
          </w:p>
        </w:tc>
        <w:tc>
          <w:tcPr>
            <w:tcW w:w="1620" w:type="dxa"/>
            <w:tcBorders>
              <w:top w:val="nil"/>
              <w:left w:val="nil"/>
              <w:bottom w:val="single" w:color="000000" w:sz="8" w:space="0"/>
              <w:right w:val="single" w:color="000000" w:sz="8" w:space="0"/>
            </w:tcBorders>
            <w:noWrap w:val="0"/>
            <w:vAlign w:val="center"/>
          </w:tcPr>
          <w:p w14:paraId="3A1FC8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7AB7F1B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《清水离心泵能效限定值及节能评价值》（GB19762）</w:t>
            </w:r>
          </w:p>
        </w:tc>
      </w:tr>
      <w:tr w14:paraId="46E3321B">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3B72F3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57D7C5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2ECBBB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★A02052301制冷压缩机</w:t>
            </w:r>
          </w:p>
        </w:tc>
        <w:tc>
          <w:tcPr>
            <w:tcW w:w="1620" w:type="dxa"/>
            <w:tcBorders>
              <w:top w:val="nil"/>
              <w:left w:val="nil"/>
              <w:bottom w:val="single" w:color="000000" w:sz="8" w:space="0"/>
              <w:right w:val="single" w:color="000000" w:sz="8" w:space="0"/>
            </w:tcBorders>
            <w:noWrap w:val="0"/>
            <w:vAlign w:val="center"/>
          </w:tcPr>
          <w:p w14:paraId="25B5372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冷水机组</w:t>
            </w:r>
          </w:p>
        </w:tc>
        <w:tc>
          <w:tcPr>
            <w:tcW w:w="4540" w:type="dxa"/>
            <w:tcBorders>
              <w:top w:val="nil"/>
              <w:left w:val="nil"/>
              <w:bottom w:val="single" w:color="000000" w:sz="8" w:space="0"/>
              <w:right w:val="single" w:color="000000" w:sz="8" w:space="0"/>
            </w:tcBorders>
            <w:noWrap w:val="0"/>
            <w:vAlign w:val="center"/>
          </w:tcPr>
          <w:p w14:paraId="6F0EDD4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《冷水机组能效限定值及能效等级》（GB19577），《低环境温度空气源热泵（冷水）机组能效限定值及能效等级》（GB37480）</w:t>
            </w:r>
          </w:p>
        </w:tc>
      </w:tr>
      <w:tr w14:paraId="294144A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F4E17FF">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EF48DC6">
            <w:pPr>
              <w:rPr>
                <w:rFonts w:hint="eastAsia"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6002BBDB">
            <w:pPr>
              <w:rPr>
                <w:rFonts w:hint="eastAsia"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F8C2BE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水源热泵机组</w:t>
            </w:r>
          </w:p>
        </w:tc>
        <w:tc>
          <w:tcPr>
            <w:tcW w:w="4540" w:type="dxa"/>
            <w:tcBorders>
              <w:top w:val="nil"/>
              <w:left w:val="nil"/>
              <w:bottom w:val="single" w:color="000000" w:sz="8" w:space="0"/>
              <w:right w:val="single" w:color="000000" w:sz="8" w:space="0"/>
            </w:tcBorders>
            <w:noWrap w:val="0"/>
            <w:vAlign w:val="center"/>
          </w:tcPr>
          <w:p w14:paraId="2A3A12C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《水（地）源热泵机组能效限定值及能效等级》（GB30721）</w:t>
            </w:r>
          </w:p>
        </w:tc>
      </w:tr>
      <w:tr w14:paraId="4865E5C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7CC8EF1E">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7B78D8B">
            <w:pPr>
              <w:rPr>
                <w:rFonts w:hint="eastAsia"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6970E708">
            <w:pPr>
              <w:rPr>
                <w:rFonts w:hint="eastAsia"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17838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溴化锂吸收式冷水机组</w:t>
            </w:r>
          </w:p>
        </w:tc>
        <w:tc>
          <w:tcPr>
            <w:tcW w:w="4540" w:type="dxa"/>
            <w:tcBorders>
              <w:top w:val="nil"/>
              <w:left w:val="nil"/>
              <w:bottom w:val="single" w:color="000000" w:sz="8" w:space="0"/>
              <w:right w:val="single" w:color="000000" w:sz="8" w:space="0"/>
            </w:tcBorders>
            <w:noWrap w:val="0"/>
            <w:vAlign w:val="center"/>
          </w:tcPr>
          <w:p w14:paraId="22CD77A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《溴化锂吸收式冷水机组能效限定值及能效等级》（GB29540）</w:t>
            </w:r>
          </w:p>
        </w:tc>
      </w:tr>
      <w:tr w14:paraId="7C9732D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1FBF985">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EA056FD">
            <w:pPr>
              <w:rPr>
                <w:rFonts w:hint="eastAsia" w:ascii="宋体" w:hAnsi="宋体" w:cs="宋体"/>
                <w:color w:val="auto"/>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642A23C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★A02052305空调机组</w:t>
            </w:r>
          </w:p>
        </w:tc>
        <w:tc>
          <w:tcPr>
            <w:tcW w:w="1620" w:type="dxa"/>
            <w:tcBorders>
              <w:top w:val="nil"/>
              <w:left w:val="nil"/>
              <w:bottom w:val="single" w:color="000000" w:sz="8" w:space="0"/>
              <w:right w:val="single" w:color="000000" w:sz="8" w:space="0"/>
            </w:tcBorders>
            <w:noWrap w:val="0"/>
            <w:vAlign w:val="center"/>
          </w:tcPr>
          <w:p w14:paraId="6139959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7AC6242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《多联式空调（热泵）机组能效限定值及能源效率等级》（GB21454）</w:t>
            </w:r>
          </w:p>
        </w:tc>
      </w:tr>
      <w:tr w14:paraId="70AC9CBC">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97C6E92">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10BA5A2">
            <w:pPr>
              <w:rPr>
                <w:rFonts w:hint="eastAsia"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6758C340">
            <w:pPr>
              <w:rPr>
                <w:rFonts w:hint="eastAsia"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A25D3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69CC947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《单元式空气调节机能效限定值及能效等级》（GB19576）《风管送风式空调机组能效限定值及能效等级》（GB37479）</w:t>
            </w:r>
          </w:p>
        </w:tc>
      </w:tr>
      <w:tr w14:paraId="5CE15B5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5B9D744">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E35A83E">
            <w:pPr>
              <w:rPr>
                <w:rFonts w:hint="eastAsia" w:ascii="宋体" w:hAnsi="宋体" w:cs="宋体"/>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02AD9F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★A02052309专用制冷、空调设备</w:t>
            </w:r>
          </w:p>
        </w:tc>
        <w:tc>
          <w:tcPr>
            <w:tcW w:w="1620" w:type="dxa"/>
            <w:tcBorders>
              <w:top w:val="nil"/>
              <w:left w:val="nil"/>
              <w:bottom w:val="single" w:color="000000" w:sz="8" w:space="0"/>
              <w:right w:val="single" w:color="000000" w:sz="8" w:space="0"/>
            </w:tcBorders>
            <w:noWrap w:val="0"/>
            <w:vAlign w:val="center"/>
          </w:tcPr>
          <w:p w14:paraId="2AD5650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机房空调</w:t>
            </w:r>
          </w:p>
        </w:tc>
        <w:tc>
          <w:tcPr>
            <w:tcW w:w="4540" w:type="dxa"/>
            <w:tcBorders>
              <w:top w:val="nil"/>
              <w:left w:val="nil"/>
              <w:bottom w:val="single" w:color="000000" w:sz="8" w:space="0"/>
              <w:right w:val="single" w:color="000000" w:sz="8" w:space="0"/>
            </w:tcBorders>
            <w:noWrap w:val="0"/>
            <w:vAlign w:val="center"/>
          </w:tcPr>
          <w:p w14:paraId="46FE0B0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《单元式空气调节机能效限定值及能效等级》（GB19576）</w:t>
            </w:r>
          </w:p>
        </w:tc>
      </w:tr>
      <w:tr w14:paraId="3155C2DC">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41EC904">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2E0EDEB7">
            <w:pPr>
              <w:rPr>
                <w:rFonts w:hint="eastAsia" w:ascii="宋体" w:hAnsi="宋体" w:cs="宋体"/>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283713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A02052399其他制冷空调设备</w:t>
            </w:r>
          </w:p>
        </w:tc>
        <w:tc>
          <w:tcPr>
            <w:tcW w:w="1620" w:type="dxa"/>
            <w:tcBorders>
              <w:top w:val="nil"/>
              <w:left w:val="nil"/>
              <w:bottom w:val="single" w:color="000000" w:sz="8" w:space="0"/>
              <w:right w:val="single" w:color="000000" w:sz="8" w:space="0"/>
            </w:tcBorders>
            <w:noWrap w:val="0"/>
            <w:vAlign w:val="center"/>
          </w:tcPr>
          <w:p w14:paraId="78B3980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冷却塔</w:t>
            </w:r>
          </w:p>
        </w:tc>
        <w:tc>
          <w:tcPr>
            <w:tcW w:w="4540" w:type="dxa"/>
            <w:tcBorders>
              <w:top w:val="nil"/>
              <w:left w:val="nil"/>
              <w:bottom w:val="single" w:color="000000" w:sz="8" w:space="0"/>
              <w:right w:val="single" w:color="000000" w:sz="8" w:space="0"/>
            </w:tcBorders>
            <w:noWrap w:val="0"/>
            <w:vAlign w:val="center"/>
          </w:tcPr>
          <w:p w14:paraId="4CBC50E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《机械通风冷却塔第1部分：中小型开式冷却塔》（GB/T7190.1）；《机械通风冷却塔第2部分：大型开式冷却塔》（GB/T7190.2）</w:t>
            </w:r>
          </w:p>
        </w:tc>
      </w:tr>
      <w:tr w14:paraId="34CD261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2B97B7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7</w:t>
            </w:r>
          </w:p>
        </w:tc>
        <w:tc>
          <w:tcPr>
            <w:tcW w:w="1080" w:type="dxa"/>
            <w:tcBorders>
              <w:top w:val="nil"/>
              <w:left w:val="nil"/>
              <w:bottom w:val="single" w:color="000000" w:sz="8" w:space="0"/>
              <w:right w:val="single" w:color="000000" w:sz="8" w:space="0"/>
            </w:tcBorders>
            <w:noWrap w:val="0"/>
            <w:vAlign w:val="center"/>
          </w:tcPr>
          <w:p w14:paraId="3F1214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A020601电机</w:t>
            </w:r>
          </w:p>
        </w:tc>
        <w:tc>
          <w:tcPr>
            <w:tcW w:w="1320" w:type="dxa"/>
            <w:tcBorders>
              <w:top w:val="nil"/>
              <w:left w:val="nil"/>
              <w:bottom w:val="single" w:color="000000" w:sz="8" w:space="0"/>
              <w:right w:val="single" w:color="000000" w:sz="8" w:space="0"/>
            </w:tcBorders>
            <w:noWrap w:val="0"/>
            <w:vAlign w:val="center"/>
          </w:tcPr>
          <w:p w14:paraId="5DF47CE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620" w:type="dxa"/>
            <w:tcBorders>
              <w:top w:val="nil"/>
              <w:left w:val="nil"/>
              <w:bottom w:val="single" w:color="000000" w:sz="8" w:space="0"/>
              <w:right w:val="single" w:color="000000" w:sz="8" w:space="0"/>
            </w:tcBorders>
            <w:noWrap w:val="0"/>
            <w:vAlign w:val="center"/>
          </w:tcPr>
          <w:p w14:paraId="204FC1B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7CABC7B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《中小型三相异步电动机能效限定值及能效等级》（GB18613）</w:t>
            </w:r>
          </w:p>
        </w:tc>
      </w:tr>
      <w:tr w14:paraId="3E35AF3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8ABA51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8</w:t>
            </w:r>
          </w:p>
        </w:tc>
        <w:tc>
          <w:tcPr>
            <w:tcW w:w="1080" w:type="dxa"/>
            <w:tcBorders>
              <w:top w:val="nil"/>
              <w:left w:val="nil"/>
              <w:bottom w:val="single" w:color="000000" w:sz="8" w:space="0"/>
              <w:right w:val="single" w:color="000000" w:sz="8" w:space="0"/>
            </w:tcBorders>
            <w:noWrap w:val="0"/>
            <w:vAlign w:val="center"/>
          </w:tcPr>
          <w:p w14:paraId="25FBCE6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A020602变压器</w:t>
            </w:r>
          </w:p>
        </w:tc>
        <w:tc>
          <w:tcPr>
            <w:tcW w:w="1320" w:type="dxa"/>
            <w:tcBorders>
              <w:top w:val="nil"/>
              <w:left w:val="nil"/>
              <w:bottom w:val="single" w:color="000000" w:sz="8" w:space="0"/>
              <w:right w:val="single" w:color="000000" w:sz="8" w:space="0"/>
            </w:tcBorders>
            <w:noWrap w:val="0"/>
            <w:vAlign w:val="center"/>
          </w:tcPr>
          <w:p w14:paraId="0262F1D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配电变压器</w:t>
            </w:r>
          </w:p>
        </w:tc>
        <w:tc>
          <w:tcPr>
            <w:tcW w:w="1620" w:type="dxa"/>
            <w:tcBorders>
              <w:top w:val="nil"/>
              <w:left w:val="nil"/>
              <w:bottom w:val="single" w:color="000000" w:sz="8" w:space="0"/>
              <w:right w:val="single" w:color="000000" w:sz="8" w:space="0"/>
            </w:tcBorders>
            <w:noWrap w:val="0"/>
            <w:vAlign w:val="center"/>
          </w:tcPr>
          <w:p w14:paraId="4DB0148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3760B29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《三相配电变压器能效限定值及能效等级》（GB20052）</w:t>
            </w:r>
          </w:p>
        </w:tc>
      </w:tr>
      <w:tr w14:paraId="361CEFB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4CED53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9</w:t>
            </w:r>
          </w:p>
        </w:tc>
        <w:tc>
          <w:tcPr>
            <w:tcW w:w="1080" w:type="dxa"/>
            <w:tcBorders>
              <w:top w:val="nil"/>
              <w:left w:val="nil"/>
              <w:bottom w:val="single" w:color="000000" w:sz="8" w:space="0"/>
              <w:right w:val="single" w:color="000000" w:sz="8" w:space="0"/>
            </w:tcBorders>
            <w:noWrap w:val="0"/>
            <w:vAlign w:val="center"/>
          </w:tcPr>
          <w:p w14:paraId="5DEBA9E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★A020609镇流器</w:t>
            </w:r>
          </w:p>
        </w:tc>
        <w:tc>
          <w:tcPr>
            <w:tcW w:w="1320" w:type="dxa"/>
            <w:tcBorders>
              <w:top w:val="nil"/>
              <w:left w:val="nil"/>
              <w:bottom w:val="single" w:color="000000" w:sz="8" w:space="0"/>
              <w:right w:val="single" w:color="000000" w:sz="8" w:space="0"/>
            </w:tcBorders>
            <w:noWrap w:val="0"/>
            <w:vAlign w:val="center"/>
          </w:tcPr>
          <w:p w14:paraId="6E04505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管型荧光灯镇流器</w:t>
            </w:r>
          </w:p>
        </w:tc>
        <w:tc>
          <w:tcPr>
            <w:tcW w:w="1620" w:type="dxa"/>
            <w:tcBorders>
              <w:top w:val="nil"/>
              <w:left w:val="nil"/>
              <w:bottom w:val="single" w:color="000000" w:sz="8" w:space="0"/>
              <w:right w:val="single" w:color="000000" w:sz="8" w:space="0"/>
            </w:tcBorders>
            <w:noWrap w:val="0"/>
            <w:vAlign w:val="center"/>
          </w:tcPr>
          <w:p w14:paraId="7D97261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5F94E83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《管形荧光灯镇流器能效限定值及能效等级》（GB17896）</w:t>
            </w:r>
          </w:p>
        </w:tc>
      </w:tr>
      <w:tr w14:paraId="4ED7476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463BC3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BD4BBF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A020618生活用电器</w:t>
            </w:r>
          </w:p>
        </w:tc>
        <w:tc>
          <w:tcPr>
            <w:tcW w:w="1320" w:type="dxa"/>
            <w:tcBorders>
              <w:top w:val="nil"/>
              <w:left w:val="nil"/>
              <w:bottom w:val="single" w:color="000000" w:sz="8" w:space="0"/>
              <w:right w:val="single" w:color="000000" w:sz="8" w:space="0"/>
            </w:tcBorders>
            <w:noWrap w:val="0"/>
            <w:vAlign w:val="center"/>
          </w:tcPr>
          <w:p w14:paraId="4CD5517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A0206180101电冰箱</w:t>
            </w:r>
          </w:p>
        </w:tc>
        <w:tc>
          <w:tcPr>
            <w:tcW w:w="1620" w:type="dxa"/>
            <w:tcBorders>
              <w:top w:val="nil"/>
              <w:left w:val="nil"/>
              <w:bottom w:val="single" w:color="000000" w:sz="8" w:space="0"/>
              <w:right w:val="single" w:color="000000" w:sz="8" w:space="0"/>
            </w:tcBorders>
            <w:noWrap w:val="0"/>
            <w:vAlign w:val="center"/>
          </w:tcPr>
          <w:p w14:paraId="47B09DC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1BA369F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《家用电冰箱耗电量限定值及能效等级》（GB 12021.2）</w:t>
            </w:r>
          </w:p>
        </w:tc>
      </w:tr>
      <w:tr w14:paraId="3C350E79">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BA1C162">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69379D3">
            <w:pPr>
              <w:rPr>
                <w:rFonts w:hint="eastAsia" w:ascii="宋体" w:hAnsi="宋体" w:cs="宋体"/>
                <w:color w:val="auto"/>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689938B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★A0206180203空调机</w:t>
            </w:r>
          </w:p>
        </w:tc>
        <w:tc>
          <w:tcPr>
            <w:tcW w:w="1620" w:type="dxa"/>
            <w:tcBorders>
              <w:top w:val="nil"/>
              <w:left w:val="nil"/>
              <w:bottom w:val="single" w:color="000000" w:sz="8" w:space="0"/>
              <w:right w:val="single" w:color="000000" w:sz="8" w:space="0"/>
            </w:tcBorders>
            <w:noWrap w:val="0"/>
            <w:vAlign w:val="center"/>
          </w:tcPr>
          <w:p w14:paraId="037CEF0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房间空气调节器</w:t>
            </w:r>
          </w:p>
        </w:tc>
        <w:tc>
          <w:tcPr>
            <w:tcW w:w="4540" w:type="dxa"/>
            <w:tcBorders>
              <w:top w:val="nil"/>
              <w:left w:val="nil"/>
              <w:bottom w:val="single" w:color="000000" w:sz="8" w:space="0"/>
              <w:right w:val="single" w:color="000000" w:sz="8" w:space="0"/>
            </w:tcBorders>
            <w:noWrap w:val="0"/>
            <w:vAlign w:val="center"/>
          </w:tcPr>
          <w:p w14:paraId="088E1E3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《转速可控型房间空气调节器能效限定值及能效等级》（GB21455-2013），待2019年修订发布后，按《房间空气调节器能效限定值及能效等级》（GB21455-2019实施。</w:t>
            </w:r>
          </w:p>
        </w:tc>
      </w:tr>
      <w:tr w14:paraId="6604C99F">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564ACE91">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4C593FC">
            <w:pPr>
              <w:rPr>
                <w:rFonts w:hint="eastAsia"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01FDA55F">
            <w:pPr>
              <w:rPr>
                <w:rFonts w:hint="eastAsia"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444CDA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0F25C29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《多联式空调（热泵）机组能效限定值及能源效率等级》（GB21454）</w:t>
            </w:r>
          </w:p>
        </w:tc>
      </w:tr>
      <w:tr w14:paraId="0A7372B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4E8DD9A2">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6803A2C">
            <w:pPr>
              <w:rPr>
                <w:rFonts w:hint="eastAsia"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0EA1B8A2">
            <w:pPr>
              <w:rPr>
                <w:rFonts w:hint="eastAsia"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BBB256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453DD94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《单元式空气调节机能效限定值及能源效率等级》（GB19576）《风管送风式空调机组能效限定值及能效等级》（GB37479）</w:t>
            </w:r>
          </w:p>
        </w:tc>
      </w:tr>
      <w:tr w14:paraId="101C0E3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3652E837">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4BEC5BF0">
            <w:pPr>
              <w:rPr>
                <w:rFonts w:hint="eastAsia" w:ascii="宋体" w:hAnsi="宋体" w:cs="宋体"/>
                <w:color w:val="auto"/>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E2EA0C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A0206180301洗衣机</w:t>
            </w:r>
          </w:p>
        </w:tc>
        <w:tc>
          <w:tcPr>
            <w:tcW w:w="1620" w:type="dxa"/>
            <w:tcBorders>
              <w:top w:val="nil"/>
              <w:left w:val="nil"/>
              <w:bottom w:val="single" w:color="000000" w:sz="8" w:space="0"/>
              <w:right w:val="single" w:color="000000" w:sz="8" w:space="0"/>
            </w:tcBorders>
            <w:noWrap w:val="0"/>
            <w:vAlign w:val="center"/>
          </w:tcPr>
          <w:p w14:paraId="024D352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049299A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《电动洗衣机能效水效限定值及等级》（GB12021.4）</w:t>
            </w:r>
          </w:p>
        </w:tc>
      </w:tr>
      <w:tr w14:paraId="0418F8F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6761090C">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3E28D94">
            <w:pPr>
              <w:rPr>
                <w:rFonts w:hint="eastAsia" w:ascii="宋体" w:hAnsi="宋体" w:cs="宋体"/>
                <w:color w:val="auto"/>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737889B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A02061808热水器</w:t>
            </w:r>
          </w:p>
        </w:tc>
        <w:tc>
          <w:tcPr>
            <w:tcW w:w="1620" w:type="dxa"/>
            <w:tcBorders>
              <w:top w:val="nil"/>
              <w:left w:val="nil"/>
              <w:bottom w:val="single" w:color="000000" w:sz="8" w:space="0"/>
              <w:right w:val="single" w:color="000000" w:sz="8" w:space="0"/>
            </w:tcBorders>
            <w:noWrap w:val="0"/>
            <w:vAlign w:val="center"/>
          </w:tcPr>
          <w:p w14:paraId="2D5ED40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★电热水器</w:t>
            </w:r>
          </w:p>
        </w:tc>
        <w:tc>
          <w:tcPr>
            <w:tcW w:w="4540" w:type="dxa"/>
            <w:tcBorders>
              <w:top w:val="nil"/>
              <w:left w:val="nil"/>
              <w:bottom w:val="single" w:color="000000" w:sz="8" w:space="0"/>
              <w:right w:val="single" w:color="000000" w:sz="8" w:space="0"/>
            </w:tcBorders>
            <w:noWrap w:val="0"/>
            <w:vAlign w:val="center"/>
          </w:tcPr>
          <w:p w14:paraId="2111307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《储水式电热水器能效限定值及能效等级》（GB21519）</w:t>
            </w:r>
          </w:p>
        </w:tc>
      </w:tr>
      <w:tr w14:paraId="2D31D4B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F5235CD">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54751575">
            <w:pPr>
              <w:rPr>
                <w:rFonts w:hint="eastAsia"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75D4ED52">
            <w:pPr>
              <w:rPr>
                <w:rFonts w:hint="eastAsia"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85B37A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燃气热水器</w:t>
            </w:r>
          </w:p>
        </w:tc>
        <w:tc>
          <w:tcPr>
            <w:tcW w:w="4540" w:type="dxa"/>
            <w:tcBorders>
              <w:top w:val="nil"/>
              <w:left w:val="nil"/>
              <w:bottom w:val="single" w:color="000000" w:sz="8" w:space="0"/>
              <w:right w:val="single" w:color="000000" w:sz="8" w:space="0"/>
            </w:tcBorders>
            <w:noWrap w:val="0"/>
            <w:vAlign w:val="center"/>
          </w:tcPr>
          <w:p w14:paraId="45A2862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《家用燃气快速热水器和燃气采暖热水炉能效限定值及能效等级》（GB20665）</w:t>
            </w:r>
          </w:p>
        </w:tc>
      </w:tr>
      <w:tr w14:paraId="4D1763A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783AF69">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35834A7E">
            <w:pPr>
              <w:rPr>
                <w:rFonts w:hint="eastAsia"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76A2A600">
            <w:pPr>
              <w:rPr>
                <w:rFonts w:hint="eastAsia"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37810A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热泵热水器</w:t>
            </w:r>
          </w:p>
        </w:tc>
        <w:tc>
          <w:tcPr>
            <w:tcW w:w="4540" w:type="dxa"/>
            <w:tcBorders>
              <w:top w:val="nil"/>
              <w:left w:val="nil"/>
              <w:bottom w:val="single" w:color="000000" w:sz="8" w:space="0"/>
              <w:right w:val="single" w:color="000000" w:sz="8" w:space="0"/>
            </w:tcBorders>
            <w:noWrap w:val="0"/>
            <w:vAlign w:val="center"/>
          </w:tcPr>
          <w:p w14:paraId="5EE02EC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《热泵热水机（器）能效限定值及能效等级》（GB29541）</w:t>
            </w:r>
          </w:p>
        </w:tc>
      </w:tr>
      <w:tr w14:paraId="1950AF3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A6DCFB9">
            <w:pPr>
              <w:rPr>
                <w:rFonts w:hint="eastAsia" w:ascii="宋体" w:hAnsi="宋体" w:cs="宋体"/>
                <w:color w:val="auto"/>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3485272">
            <w:pPr>
              <w:rPr>
                <w:rFonts w:hint="eastAsia" w:ascii="宋体" w:hAnsi="宋体" w:cs="宋体"/>
                <w:color w:val="auto"/>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316E24E8">
            <w:pPr>
              <w:rPr>
                <w:rFonts w:hint="eastAsia" w:ascii="宋体" w:hAnsi="宋体" w:cs="宋体"/>
                <w:color w:val="auto"/>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3F8C94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太阳能热水系统</w:t>
            </w:r>
          </w:p>
        </w:tc>
        <w:tc>
          <w:tcPr>
            <w:tcW w:w="4540" w:type="dxa"/>
            <w:tcBorders>
              <w:top w:val="nil"/>
              <w:left w:val="nil"/>
              <w:bottom w:val="single" w:color="000000" w:sz="8" w:space="0"/>
              <w:right w:val="single" w:color="000000" w:sz="8" w:space="0"/>
            </w:tcBorders>
            <w:noWrap w:val="0"/>
            <w:vAlign w:val="center"/>
          </w:tcPr>
          <w:p w14:paraId="5C4EC6E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《家用太阳能热水系统能效限定值及能效等级》（GB26969）</w:t>
            </w:r>
          </w:p>
        </w:tc>
      </w:tr>
      <w:tr w14:paraId="0635333A">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13E4FAA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11</w:t>
            </w:r>
          </w:p>
        </w:tc>
        <w:tc>
          <w:tcPr>
            <w:tcW w:w="1080" w:type="dxa"/>
            <w:vMerge w:val="restart"/>
            <w:tcBorders>
              <w:top w:val="nil"/>
              <w:left w:val="single" w:color="auto" w:sz="8" w:space="0"/>
              <w:bottom w:val="single" w:color="auto" w:sz="8" w:space="0"/>
              <w:right w:val="single" w:color="auto" w:sz="8" w:space="0"/>
            </w:tcBorders>
            <w:noWrap w:val="0"/>
            <w:vAlign w:val="center"/>
          </w:tcPr>
          <w:p w14:paraId="207A3B8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A020619照明设备</w:t>
            </w:r>
          </w:p>
        </w:tc>
        <w:tc>
          <w:tcPr>
            <w:tcW w:w="1320" w:type="dxa"/>
            <w:tcBorders>
              <w:top w:val="nil"/>
              <w:left w:val="nil"/>
              <w:bottom w:val="single" w:color="auto" w:sz="8" w:space="0"/>
              <w:right w:val="single" w:color="auto" w:sz="8" w:space="0"/>
            </w:tcBorders>
            <w:noWrap w:val="0"/>
            <w:vAlign w:val="center"/>
          </w:tcPr>
          <w:p w14:paraId="34D59A1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★普通照明用双端荧光灯</w:t>
            </w:r>
          </w:p>
        </w:tc>
        <w:tc>
          <w:tcPr>
            <w:tcW w:w="1620" w:type="dxa"/>
            <w:tcBorders>
              <w:top w:val="nil"/>
              <w:left w:val="nil"/>
              <w:bottom w:val="single" w:color="auto" w:sz="8" w:space="0"/>
              <w:right w:val="single" w:color="auto" w:sz="8" w:space="0"/>
            </w:tcBorders>
            <w:noWrap w:val="0"/>
            <w:vAlign w:val="center"/>
          </w:tcPr>
          <w:p w14:paraId="003690F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5A40BC2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《普通照明用双端荧光灯能效限定值及能效等级》（GB19043）</w:t>
            </w:r>
          </w:p>
        </w:tc>
      </w:tr>
      <w:tr w14:paraId="1DAA548B">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5DF85033">
            <w:pPr>
              <w:rPr>
                <w:rFonts w:hint="eastAsia" w:ascii="宋体" w:hAnsi="宋体" w:cs="宋体"/>
                <w:color w:val="auto"/>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0"/>
            <w:vAlign w:val="center"/>
          </w:tcPr>
          <w:p w14:paraId="5897B300">
            <w:pPr>
              <w:rPr>
                <w:rFonts w:hint="eastAsia" w:ascii="宋体" w:hAnsi="宋体" w:cs="宋体"/>
                <w:color w:val="auto"/>
                <w:sz w:val="20"/>
                <w:szCs w:val="20"/>
                <w:highlight w:val="none"/>
              </w:rPr>
            </w:pPr>
          </w:p>
        </w:tc>
        <w:tc>
          <w:tcPr>
            <w:tcW w:w="1320" w:type="dxa"/>
            <w:tcBorders>
              <w:top w:val="nil"/>
              <w:left w:val="nil"/>
              <w:bottom w:val="single" w:color="auto" w:sz="8" w:space="0"/>
              <w:right w:val="single" w:color="auto" w:sz="8" w:space="0"/>
            </w:tcBorders>
            <w:noWrap w:val="0"/>
            <w:vAlign w:val="center"/>
          </w:tcPr>
          <w:p w14:paraId="2C959DD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LED道路/隧道照明产品</w:t>
            </w:r>
          </w:p>
        </w:tc>
        <w:tc>
          <w:tcPr>
            <w:tcW w:w="1620" w:type="dxa"/>
            <w:tcBorders>
              <w:top w:val="nil"/>
              <w:left w:val="nil"/>
              <w:bottom w:val="single" w:color="auto" w:sz="8" w:space="0"/>
              <w:right w:val="single" w:color="auto" w:sz="8" w:space="0"/>
            </w:tcBorders>
            <w:noWrap w:val="0"/>
            <w:vAlign w:val="center"/>
          </w:tcPr>
          <w:p w14:paraId="5B064FC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3B01AB2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《道路和隧道照明用LED灯具能效限定值及能效等级》（GB37478）</w:t>
            </w:r>
          </w:p>
        </w:tc>
      </w:tr>
      <w:tr w14:paraId="3F8EBA7D">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5CE8F99C">
            <w:pPr>
              <w:rPr>
                <w:rFonts w:hint="eastAsia" w:ascii="宋体" w:hAnsi="宋体" w:cs="宋体"/>
                <w:color w:val="auto"/>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0"/>
            <w:vAlign w:val="center"/>
          </w:tcPr>
          <w:p w14:paraId="04C65C22">
            <w:pPr>
              <w:rPr>
                <w:rFonts w:hint="eastAsia" w:ascii="宋体" w:hAnsi="宋体" w:cs="宋体"/>
                <w:color w:val="auto"/>
                <w:sz w:val="20"/>
                <w:szCs w:val="20"/>
                <w:highlight w:val="none"/>
              </w:rPr>
            </w:pPr>
          </w:p>
        </w:tc>
        <w:tc>
          <w:tcPr>
            <w:tcW w:w="1320" w:type="dxa"/>
            <w:tcBorders>
              <w:top w:val="nil"/>
              <w:left w:val="nil"/>
              <w:bottom w:val="single" w:color="auto" w:sz="8" w:space="0"/>
              <w:right w:val="single" w:color="auto" w:sz="8" w:space="0"/>
            </w:tcBorders>
            <w:noWrap w:val="0"/>
            <w:vAlign w:val="center"/>
          </w:tcPr>
          <w:p w14:paraId="3CA5355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LED筒灯</w:t>
            </w:r>
          </w:p>
        </w:tc>
        <w:tc>
          <w:tcPr>
            <w:tcW w:w="1620" w:type="dxa"/>
            <w:tcBorders>
              <w:top w:val="nil"/>
              <w:left w:val="nil"/>
              <w:bottom w:val="single" w:color="auto" w:sz="8" w:space="0"/>
              <w:right w:val="single" w:color="auto" w:sz="8" w:space="0"/>
            </w:tcBorders>
            <w:noWrap w:val="0"/>
            <w:vAlign w:val="center"/>
          </w:tcPr>
          <w:p w14:paraId="38731B3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33F2855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《室内照明用LED产品能效限定值及能效等级》（GB30255）</w:t>
            </w:r>
          </w:p>
        </w:tc>
      </w:tr>
      <w:tr w14:paraId="1E6BC119">
        <w:tblPrEx>
          <w:tblCellMar>
            <w:top w:w="0" w:type="dxa"/>
            <w:left w:w="108" w:type="dxa"/>
            <w:bottom w:w="0" w:type="dxa"/>
            <w:right w:w="108" w:type="dxa"/>
          </w:tblCellMar>
        </w:tblPrEx>
        <w:trPr>
          <w:trHeight w:val="73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2F8D5EFD">
            <w:pPr>
              <w:rPr>
                <w:rFonts w:hint="eastAsia" w:ascii="宋体" w:hAnsi="宋体" w:cs="宋体"/>
                <w:color w:val="auto"/>
                <w:sz w:val="20"/>
                <w:szCs w:val="20"/>
                <w:highlight w:val="none"/>
              </w:rPr>
            </w:pPr>
          </w:p>
        </w:tc>
        <w:tc>
          <w:tcPr>
            <w:tcW w:w="1080" w:type="dxa"/>
            <w:vMerge w:val="continue"/>
            <w:tcBorders>
              <w:top w:val="nil"/>
              <w:left w:val="single" w:color="auto" w:sz="8" w:space="0"/>
              <w:bottom w:val="single" w:color="auto" w:sz="8" w:space="0"/>
              <w:right w:val="single" w:color="auto" w:sz="8" w:space="0"/>
            </w:tcBorders>
            <w:noWrap w:val="0"/>
            <w:vAlign w:val="center"/>
          </w:tcPr>
          <w:p w14:paraId="18531704">
            <w:pPr>
              <w:rPr>
                <w:rFonts w:hint="eastAsia" w:ascii="宋体" w:hAnsi="宋体" w:cs="宋体"/>
                <w:color w:val="auto"/>
                <w:sz w:val="20"/>
                <w:szCs w:val="20"/>
                <w:highlight w:val="none"/>
              </w:rPr>
            </w:pPr>
          </w:p>
        </w:tc>
        <w:tc>
          <w:tcPr>
            <w:tcW w:w="1320" w:type="dxa"/>
            <w:tcBorders>
              <w:top w:val="nil"/>
              <w:left w:val="nil"/>
              <w:bottom w:val="single" w:color="auto" w:sz="8" w:space="0"/>
              <w:right w:val="single" w:color="auto" w:sz="8" w:space="0"/>
            </w:tcBorders>
            <w:noWrap w:val="0"/>
            <w:vAlign w:val="center"/>
          </w:tcPr>
          <w:p w14:paraId="2B31FD4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普通照明用非定向自镇流LED灯</w:t>
            </w:r>
          </w:p>
        </w:tc>
        <w:tc>
          <w:tcPr>
            <w:tcW w:w="1620" w:type="dxa"/>
            <w:tcBorders>
              <w:top w:val="nil"/>
              <w:left w:val="nil"/>
              <w:bottom w:val="single" w:color="auto" w:sz="8" w:space="0"/>
              <w:right w:val="single" w:color="auto" w:sz="8" w:space="0"/>
            </w:tcBorders>
            <w:noWrap w:val="0"/>
            <w:vAlign w:val="center"/>
          </w:tcPr>
          <w:p w14:paraId="474CB1E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00F04D7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《室内照明用LED产品能效限定值及能效等级》（GB30255）</w:t>
            </w:r>
          </w:p>
        </w:tc>
      </w:tr>
      <w:tr w14:paraId="7DFA9190">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0"/>
            <w:vAlign w:val="center"/>
          </w:tcPr>
          <w:p w14:paraId="690F4BA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12</w:t>
            </w:r>
          </w:p>
        </w:tc>
        <w:tc>
          <w:tcPr>
            <w:tcW w:w="1080" w:type="dxa"/>
            <w:tcBorders>
              <w:top w:val="nil"/>
              <w:left w:val="nil"/>
              <w:bottom w:val="single" w:color="auto" w:sz="8" w:space="0"/>
              <w:right w:val="single" w:color="auto" w:sz="8" w:space="0"/>
            </w:tcBorders>
            <w:noWrap w:val="0"/>
            <w:vAlign w:val="center"/>
          </w:tcPr>
          <w:p w14:paraId="2EDBD18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★A020910电视设备</w:t>
            </w:r>
          </w:p>
        </w:tc>
        <w:tc>
          <w:tcPr>
            <w:tcW w:w="1320" w:type="dxa"/>
            <w:tcBorders>
              <w:top w:val="nil"/>
              <w:left w:val="nil"/>
              <w:bottom w:val="single" w:color="auto" w:sz="8" w:space="0"/>
              <w:right w:val="single" w:color="auto" w:sz="8" w:space="0"/>
            </w:tcBorders>
            <w:noWrap w:val="0"/>
            <w:vAlign w:val="center"/>
          </w:tcPr>
          <w:p w14:paraId="540A8A4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A02091001普通电视设备（电视机）</w:t>
            </w:r>
          </w:p>
        </w:tc>
        <w:tc>
          <w:tcPr>
            <w:tcW w:w="1620" w:type="dxa"/>
            <w:tcBorders>
              <w:top w:val="nil"/>
              <w:left w:val="nil"/>
              <w:bottom w:val="single" w:color="auto" w:sz="8" w:space="0"/>
              <w:right w:val="single" w:color="auto" w:sz="8" w:space="0"/>
            </w:tcBorders>
            <w:noWrap w:val="0"/>
            <w:vAlign w:val="center"/>
          </w:tcPr>
          <w:p w14:paraId="122AC8F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084B2B6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《平板电视能效限定值及能效等级》（GB24850）</w:t>
            </w:r>
          </w:p>
        </w:tc>
      </w:tr>
      <w:tr w14:paraId="0F84BE48">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0"/>
            <w:vAlign w:val="center"/>
          </w:tcPr>
          <w:p w14:paraId="77B4AB4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13</w:t>
            </w:r>
          </w:p>
        </w:tc>
        <w:tc>
          <w:tcPr>
            <w:tcW w:w="1080" w:type="dxa"/>
            <w:tcBorders>
              <w:top w:val="nil"/>
              <w:left w:val="nil"/>
              <w:bottom w:val="single" w:color="auto" w:sz="8" w:space="0"/>
              <w:right w:val="single" w:color="auto" w:sz="8" w:space="0"/>
            </w:tcBorders>
            <w:noWrap w:val="0"/>
            <w:vAlign w:val="center"/>
          </w:tcPr>
          <w:p w14:paraId="4F86C48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★A020911视频设备</w:t>
            </w:r>
          </w:p>
        </w:tc>
        <w:tc>
          <w:tcPr>
            <w:tcW w:w="1320" w:type="dxa"/>
            <w:tcBorders>
              <w:top w:val="nil"/>
              <w:left w:val="nil"/>
              <w:bottom w:val="single" w:color="auto" w:sz="8" w:space="0"/>
              <w:right w:val="single" w:color="auto" w:sz="8" w:space="0"/>
            </w:tcBorders>
            <w:noWrap w:val="0"/>
            <w:vAlign w:val="center"/>
          </w:tcPr>
          <w:p w14:paraId="4C935C7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A02091107视频监控设备</w:t>
            </w:r>
          </w:p>
        </w:tc>
        <w:tc>
          <w:tcPr>
            <w:tcW w:w="1620" w:type="dxa"/>
            <w:tcBorders>
              <w:top w:val="nil"/>
              <w:left w:val="nil"/>
              <w:bottom w:val="single" w:color="auto" w:sz="8" w:space="0"/>
              <w:right w:val="single" w:color="auto" w:sz="8" w:space="0"/>
            </w:tcBorders>
            <w:noWrap w:val="0"/>
            <w:vAlign w:val="center"/>
          </w:tcPr>
          <w:p w14:paraId="6088B14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监视器</w:t>
            </w:r>
          </w:p>
        </w:tc>
        <w:tc>
          <w:tcPr>
            <w:tcW w:w="4540" w:type="dxa"/>
            <w:tcBorders>
              <w:top w:val="nil"/>
              <w:left w:val="nil"/>
              <w:bottom w:val="single" w:color="auto" w:sz="8" w:space="0"/>
              <w:right w:val="single" w:color="auto" w:sz="8" w:space="0"/>
            </w:tcBorders>
            <w:noWrap w:val="0"/>
            <w:vAlign w:val="center"/>
          </w:tcPr>
          <w:p w14:paraId="4329E9D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以射频信号为主要信号输入的监视器应符合《平板电视能效限定值及能效等级》（GB24850），以数字信号为主要信号输入的监视器应符合《计算机显示器能效限定值及能效等级》（GB21520）</w:t>
            </w:r>
          </w:p>
        </w:tc>
      </w:tr>
      <w:tr w14:paraId="1026390B">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0"/>
            <w:vAlign w:val="center"/>
          </w:tcPr>
          <w:p w14:paraId="08BB843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14</w:t>
            </w:r>
          </w:p>
        </w:tc>
        <w:tc>
          <w:tcPr>
            <w:tcW w:w="1080" w:type="dxa"/>
            <w:tcBorders>
              <w:top w:val="nil"/>
              <w:left w:val="nil"/>
              <w:bottom w:val="single" w:color="auto" w:sz="8" w:space="0"/>
              <w:right w:val="single" w:color="auto" w:sz="8" w:space="0"/>
            </w:tcBorders>
            <w:noWrap w:val="0"/>
            <w:vAlign w:val="center"/>
          </w:tcPr>
          <w:p w14:paraId="441A93F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A031210饮食炊事机械</w:t>
            </w:r>
          </w:p>
        </w:tc>
        <w:tc>
          <w:tcPr>
            <w:tcW w:w="1320" w:type="dxa"/>
            <w:tcBorders>
              <w:top w:val="nil"/>
              <w:left w:val="nil"/>
              <w:bottom w:val="single" w:color="auto" w:sz="8" w:space="0"/>
              <w:right w:val="single" w:color="auto" w:sz="8" w:space="0"/>
            </w:tcBorders>
            <w:noWrap w:val="0"/>
            <w:vAlign w:val="center"/>
          </w:tcPr>
          <w:p w14:paraId="5756630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商用燃气灶具</w:t>
            </w:r>
          </w:p>
        </w:tc>
        <w:tc>
          <w:tcPr>
            <w:tcW w:w="1620" w:type="dxa"/>
            <w:tcBorders>
              <w:top w:val="nil"/>
              <w:left w:val="nil"/>
              <w:bottom w:val="single" w:color="auto" w:sz="8" w:space="0"/>
              <w:right w:val="single" w:color="auto" w:sz="8" w:space="0"/>
            </w:tcBorders>
            <w:noWrap w:val="0"/>
            <w:vAlign w:val="center"/>
          </w:tcPr>
          <w:p w14:paraId="49FD08E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0D57504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《商用燃气灶具能效限定值及能效等级》（GB30531）</w:t>
            </w:r>
          </w:p>
        </w:tc>
      </w:tr>
      <w:tr w14:paraId="7095A976">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1AB719F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15</w:t>
            </w:r>
          </w:p>
        </w:tc>
        <w:tc>
          <w:tcPr>
            <w:tcW w:w="1080" w:type="dxa"/>
            <w:vMerge w:val="restart"/>
            <w:tcBorders>
              <w:top w:val="nil"/>
              <w:left w:val="single" w:color="auto" w:sz="8" w:space="0"/>
              <w:bottom w:val="single" w:color="000000" w:sz="8" w:space="0"/>
              <w:right w:val="single" w:color="auto" w:sz="8" w:space="0"/>
            </w:tcBorders>
            <w:noWrap w:val="0"/>
            <w:vAlign w:val="center"/>
          </w:tcPr>
          <w:p w14:paraId="664EBA5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★A060805便器</w:t>
            </w:r>
          </w:p>
        </w:tc>
        <w:tc>
          <w:tcPr>
            <w:tcW w:w="1320" w:type="dxa"/>
            <w:tcBorders>
              <w:top w:val="nil"/>
              <w:left w:val="nil"/>
              <w:bottom w:val="single" w:color="auto" w:sz="8" w:space="0"/>
              <w:right w:val="single" w:color="auto" w:sz="8" w:space="0"/>
            </w:tcBorders>
            <w:noWrap w:val="0"/>
            <w:vAlign w:val="center"/>
          </w:tcPr>
          <w:p w14:paraId="5ECF41F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坐便器</w:t>
            </w:r>
          </w:p>
        </w:tc>
        <w:tc>
          <w:tcPr>
            <w:tcW w:w="1620" w:type="dxa"/>
            <w:tcBorders>
              <w:top w:val="nil"/>
              <w:left w:val="nil"/>
              <w:bottom w:val="single" w:color="auto" w:sz="8" w:space="0"/>
              <w:right w:val="single" w:color="auto" w:sz="8" w:space="0"/>
            </w:tcBorders>
            <w:noWrap w:val="0"/>
            <w:vAlign w:val="center"/>
          </w:tcPr>
          <w:p w14:paraId="4147C25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2947456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《坐便器水效限定值及水效等级》（GB25502）</w:t>
            </w:r>
          </w:p>
        </w:tc>
      </w:tr>
      <w:tr w14:paraId="4CAE9D9E">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115B72B7">
            <w:pPr>
              <w:rPr>
                <w:rFonts w:hint="eastAsia" w:ascii="宋体" w:hAnsi="宋体" w:cs="宋体"/>
                <w:color w:val="auto"/>
                <w:sz w:val="20"/>
                <w:szCs w:val="20"/>
                <w:highlight w:val="none"/>
              </w:rPr>
            </w:pPr>
          </w:p>
        </w:tc>
        <w:tc>
          <w:tcPr>
            <w:tcW w:w="1080" w:type="dxa"/>
            <w:vMerge w:val="continue"/>
            <w:tcBorders>
              <w:top w:val="nil"/>
              <w:left w:val="single" w:color="auto" w:sz="8" w:space="0"/>
              <w:bottom w:val="single" w:color="000000" w:sz="8" w:space="0"/>
              <w:right w:val="single" w:color="auto" w:sz="8" w:space="0"/>
            </w:tcBorders>
            <w:noWrap w:val="0"/>
            <w:vAlign w:val="center"/>
          </w:tcPr>
          <w:p w14:paraId="54735382">
            <w:pPr>
              <w:rPr>
                <w:rFonts w:hint="eastAsia" w:ascii="宋体" w:hAnsi="宋体" w:cs="宋体"/>
                <w:color w:val="auto"/>
                <w:sz w:val="20"/>
                <w:szCs w:val="20"/>
                <w:highlight w:val="none"/>
              </w:rPr>
            </w:pPr>
          </w:p>
        </w:tc>
        <w:tc>
          <w:tcPr>
            <w:tcW w:w="1320" w:type="dxa"/>
            <w:tcBorders>
              <w:top w:val="nil"/>
              <w:left w:val="nil"/>
              <w:bottom w:val="single" w:color="auto" w:sz="8" w:space="0"/>
              <w:right w:val="single" w:color="auto" w:sz="8" w:space="0"/>
            </w:tcBorders>
            <w:noWrap w:val="0"/>
            <w:vAlign w:val="center"/>
          </w:tcPr>
          <w:p w14:paraId="7AA724C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蹲便器</w:t>
            </w:r>
          </w:p>
        </w:tc>
        <w:tc>
          <w:tcPr>
            <w:tcW w:w="1620" w:type="dxa"/>
            <w:tcBorders>
              <w:top w:val="nil"/>
              <w:left w:val="nil"/>
              <w:bottom w:val="single" w:color="auto" w:sz="8" w:space="0"/>
              <w:right w:val="single" w:color="auto" w:sz="8" w:space="0"/>
            </w:tcBorders>
            <w:noWrap w:val="0"/>
            <w:vAlign w:val="center"/>
          </w:tcPr>
          <w:p w14:paraId="44A062E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561E802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《蹲便器用水效率限定值及用水效率等级》（GB30717）</w:t>
            </w:r>
          </w:p>
        </w:tc>
      </w:tr>
      <w:tr w14:paraId="124BD67E">
        <w:tblPrEx>
          <w:tblCellMar>
            <w:top w:w="0" w:type="dxa"/>
            <w:left w:w="108" w:type="dxa"/>
            <w:bottom w:w="0" w:type="dxa"/>
            <w:right w:w="108" w:type="dxa"/>
          </w:tblCellMar>
        </w:tblPrEx>
        <w:trPr>
          <w:trHeight w:val="495" w:hRule="atLeast"/>
        </w:trPr>
        <w:tc>
          <w:tcPr>
            <w:tcW w:w="660" w:type="dxa"/>
            <w:vMerge w:val="continue"/>
            <w:tcBorders>
              <w:top w:val="nil"/>
              <w:left w:val="single" w:color="auto" w:sz="8" w:space="0"/>
              <w:bottom w:val="single" w:color="auto" w:sz="8" w:space="0"/>
              <w:right w:val="single" w:color="auto" w:sz="8" w:space="0"/>
            </w:tcBorders>
            <w:noWrap w:val="0"/>
            <w:vAlign w:val="center"/>
          </w:tcPr>
          <w:p w14:paraId="6C5129BB">
            <w:pPr>
              <w:rPr>
                <w:rFonts w:hint="eastAsia" w:ascii="宋体" w:hAnsi="宋体" w:cs="宋体"/>
                <w:color w:val="auto"/>
                <w:sz w:val="20"/>
                <w:szCs w:val="20"/>
                <w:highlight w:val="none"/>
              </w:rPr>
            </w:pPr>
          </w:p>
        </w:tc>
        <w:tc>
          <w:tcPr>
            <w:tcW w:w="1080" w:type="dxa"/>
            <w:vMerge w:val="continue"/>
            <w:tcBorders>
              <w:top w:val="nil"/>
              <w:left w:val="single" w:color="auto" w:sz="8" w:space="0"/>
              <w:bottom w:val="single" w:color="000000" w:sz="8" w:space="0"/>
              <w:right w:val="single" w:color="auto" w:sz="8" w:space="0"/>
            </w:tcBorders>
            <w:noWrap w:val="0"/>
            <w:vAlign w:val="center"/>
          </w:tcPr>
          <w:p w14:paraId="458CF80C">
            <w:pPr>
              <w:rPr>
                <w:rFonts w:hint="eastAsia" w:ascii="宋体" w:hAnsi="宋体" w:cs="宋体"/>
                <w:color w:val="auto"/>
                <w:sz w:val="20"/>
                <w:szCs w:val="20"/>
                <w:highlight w:val="none"/>
              </w:rPr>
            </w:pPr>
          </w:p>
        </w:tc>
        <w:tc>
          <w:tcPr>
            <w:tcW w:w="1320" w:type="dxa"/>
            <w:tcBorders>
              <w:top w:val="nil"/>
              <w:left w:val="nil"/>
              <w:bottom w:val="single" w:color="auto" w:sz="8" w:space="0"/>
              <w:right w:val="single" w:color="auto" w:sz="8" w:space="0"/>
            </w:tcBorders>
            <w:noWrap w:val="0"/>
            <w:vAlign w:val="center"/>
          </w:tcPr>
          <w:p w14:paraId="50261D2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小便器</w:t>
            </w:r>
          </w:p>
        </w:tc>
        <w:tc>
          <w:tcPr>
            <w:tcW w:w="1620" w:type="dxa"/>
            <w:tcBorders>
              <w:top w:val="nil"/>
              <w:left w:val="nil"/>
              <w:bottom w:val="single" w:color="auto" w:sz="8" w:space="0"/>
              <w:right w:val="single" w:color="auto" w:sz="8" w:space="0"/>
            </w:tcBorders>
            <w:noWrap w:val="0"/>
            <w:vAlign w:val="center"/>
          </w:tcPr>
          <w:p w14:paraId="00A3DD5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auto" w:sz="8" w:space="0"/>
              <w:right w:val="single" w:color="auto" w:sz="8" w:space="0"/>
            </w:tcBorders>
            <w:noWrap w:val="0"/>
            <w:vAlign w:val="center"/>
          </w:tcPr>
          <w:p w14:paraId="7461E2F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《小便器用水效率限定值及用水效率等级》（GB28377）</w:t>
            </w:r>
          </w:p>
        </w:tc>
      </w:tr>
      <w:tr w14:paraId="0CA4074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2A9FAE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16</w:t>
            </w:r>
          </w:p>
        </w:tc>
        <w:tc>
          <w:tcPr>
            <w:tcW w:w="1080" w:type="dxa"/>
            <w:tcBorders>
              <w:top w:val="nil"/>
              <w:left w:val="nil"/>
              <w:bottom w:val="single" w:color="000000" w:sz="8" w:space="0"/>
              <w:right w:val="single" w:color="000000" w:sz="8" w:space="0"/>
            </w:tcBorders>
            <w:noWrap w:val="0"/>
            <w:vAlign w:val="center"/>
          </w:tcPr>
          <w:p w14:paraId="69B010C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★A060806水嘴</w:t>
            </w:r>
          </w:p>
        </w:tc>
        <w:tc>
          <w:tcPr>
            <w:tcW w:w="1320" w:type="dxa"/>
            <w:tcBorders>
              <w:top w:val="nil"/>
              <w:left w:val="nil"/>
              <w:bottom w:val="single" w:color="000000" w:sz="8" w:space="0"/>
              <w:right w:val="single" w:color="000000" w:sz="8" w:space="0"/>
            </w:tcBorders>
            <w:noWrap w:val="0"/>
            <w:vAlign w:val="center"/>
          </w:tcPr>
          <w:p w14:paraId="67F0B87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620" w:type="dxa"/>
            <w:tcBorders>
              <w:top w:val="nil"/>
              <w:left w:val="nil"/>
              <w:bottom w:val="single" w:color="000000" w:sz="8" w:space="0"/>
              <w:right w:val="single" w:color="000000" w:sz="8" w:space="0"/>
            </w:tcBorders>
            <w:noWrap w:val="0"/>
            <w:vAlign w:val="center"/>
          </w:tcPr>
          <w:p w14:paraId="058C37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1591DA4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《水嘴用水效率限定值及用水效率等级》（GB 25501）</w:t>
            </w:r>
          </w:p>
        </w:tc>
      </w:tr>
      <w:tr w14:paraId="28DB605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42D453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17</w:t>
            </w:r>
          </w:p>
        </w:tc>
        <w:tc>
          <w:tcPr>
            <w:tcW w:w="1080" w:type="dxa"/>
            <w:tcBorders>
              <w:top w:val="nil"/>
              <w:left w:val="nil"/>
              <w:bottom w:val="single" w:color="000000" w:sz="8" w:space="0"/>
              <w:right w:val="single" w:color="000000" w:sz="8" w:space="0"/>
            </w:tcBorders>
            <w:noWrap w:val="0"/>
            <w:vAlign w:val="center"/>
          </w:tcPr>
          <w:p w14:paraId="693D053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A060807便器冲洗阀</w:t>
            </w:r>
          </w:p>
        </w:tc>
        <w:tc>
          <w:tcPr>
            <w:tcW w:w="1320" w:type="dxa"/>
            <w:tcBorders>
              <w:top w:val="nil"/>
              <w:left w:val="nil"/>
              <w:bottom w:val="single" w:color="000000" w:sz="8" w:space="0"/>
              <w:right w:val="single" w:color="000000" w:sz="8" w:space="0"/>
            </w:tcBorders>
            <w:noWrap w:val="0"/>
            <w:vAlign w:val="center"/>
          </w:tcPr>
          <w:p w14:paraId="6391B5A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620" w:type="dxa"/>
            <w:tcBorders>
              <w:top w:val="nil"/>
              <w:left w:val="nil"/>
              <w:bottom w:val="single" w:color="000000" w:sz="8" w:space="0"/>
              <w:right w:val="single" w:color="000000" w:sz="8" w:space="0"/>
            </w:tcBorders>
            <w:noWrap w:val="0"/>
            <w:vAlign w:val="center"/>
          </w:tcPr>
          <w:p w14:paraId="32A5107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453771C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《便器冲洗阀用水效率限定值及用水效率等级》（GB28379）</w:t>
            </w:r>
          </w:p>
        </w:tc>
      </w:tr>
      <w:tr w14:paraId="64ECD00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EBFF9A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18</w:t>
            </w:r>
          </w:p>
        </w:tc>
        <w:tc>
          <w:tcPr>
            <w:tcW w:w="1080" w:type="dxa"/>
            <w:tcBorders>
              <w:top w:val="nil"/>
              <w:left w:val="nil"/>
              <w:bottom w:val="single" w:color="000000" w:sz="8" w:space="0"/>
              <w:right w:val="single" w:color="000000" w:sz="8" w:space="0"/>
            </w:tcBorders>
            <w:noWrap w:val="0"/>
            <w:vAlign w:val="center"/>
          </w:tcPr>
          <w:p w14:paraId="59A486F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A060810淋浴器</w:t>
            </w:r>
          </w:p>
        </w:tc>
        <w:tc>
          <w:tcPr>
            <w:tcW w:w="1320" w:type="dxa"/>
            <w:tcBorders>
              <w:top w:val="nil"/>
              <w:left w:val="nil"/>
              <w:bottom w:val="single" w:color="000000" w:sz="8" w:space="0"/>
              <w:right w:val="single" w:color="000000" w:sz="8" w:space="0"/>
            </w:tcBorders>
            <w:noWrap w:val="0"/>
            <w:vAlign w:val="center"/>
          </w:tcPr>
          <w:p w14:paraId="6003A9B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1620" w:type="dxa"/>
            <w:tcBorders>
              <w:top w:val="nil"/>
              <w:left w:val="nil"/>
              <w:bottom w:val="single" w:color="000000" w:sz="8" w:space="0"/>
              <w:right w:val="single" w:color="000000" w:sz="8" w:space="0"/>
            </w:tcBorders>
            <w:noWrap w:val="0"/>
            <w:vAlign w:val="center"/>
          </w:tcPr>
          <w:p w14:paraId="4C8C17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　</w:t>
            </w:r>
          </w:p>
        </w:tc>
        <w:tc>
          <w:tcPr>
            <w:tcW w:w="4540" w:type="dxa"/>
            <w:tcBorders>
              <w:top w:val="nil"/>
              <w:left w:val="nil"/>
              <w:bottom w:val="single" w:color="000000" w:sz="8" w:space="0"/>
              <w:right w:val="single" w:color="000000" w:sz="8" w:space="0"/>
            </w:tcBorders>
            <w:noWrap w:val="0"/>
            <w:vAlign w:val="center"/>
          </w:tcPr>
          <w:p w14:paraId="05BB9F5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bidi="ar"/>
              </w:rPr>
              <w:t>《淋浴器用水效率限定值及用水效率等级》（GB28378）</w:t>
            </w:r>
          </w:p>
        </w:tc>
      </w:tr>
    </w:tbl>
    <w:p w14:paraId="7865DB22">
      <w:pPr>
        <w:widowControl/>
        <w:rPr>
          <w:rFonts w:hint="eastAsia" w:ascii="宋体" w:hAnsi="宋体" w:cs="宋体"/>
          <w:color w:val="auto"/>
          <w:sz w:val="20"/>
          <w:szCs w:val="20"/>
          <w:highlight w:val="none"/>
        </w:rPr>
      </w:pPr>
    </w:p>
    <w:p w14:paraId="1E4D7218">
      <w:pPr>
        <w:widowControl/>
        <w:spacing w:after="120" w:line="360" w:lineRule="auto"/>
        <w:rPr>
          <w:rFonts w:hint="eastAsia"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70FBD387">
      <w:pPr>
        <w:widowControl/>
        <w:spacing w:after="120" w:line="360" w:lineRule="auto"/>
        <w:rPr>
          <w:rFonts w:hint="eastAsia"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0F8CD7EF">
      <w:pPr>
        <w:widowControl/>
        <w:jc w:val="left"/>
        <w:outlineLvl w:val="1"/>
        <w:rPr>
          <w:rFonts w:hint="eastAsia" w:ascii="宋体" w:hAnsi="宋体" w:cs="宋体"/>
          <w:color w:val="auto"/>
          <w:sz w:val="32"/>
          <w:szCs w:val="32"/>
          <w:highlight w:val="none"/>
        </w:rPr>
      </w:pPr>
      <w:r>
        <w:rPr>
          <w:rFonts w:hint="eastAsia" w:ascii="宋体" w:hAnsi="宋体" w:cs="宋体"/>
          <w:color w:val="auto"/>
          <w:szCs w:val="20"/>
          <w:highlight w:val="none"/>
          <w:lang w:bidi="ar"/>
        </w:rPr>
        <w:br w:type="page"/>
      </w:r>
      <w:bookmarkStart w:id="50" w:name="_Toc15401"/>
      <w:r>
        <w:rPr>
          <w:rFonts w:hint="eastAsia" w:ascii="宋体" w:hAnsi="宋体" w:cs="宋体"/>
          <w:color w:val="auto"/>
          <w:sz w:val="32"/>
          <w:szCs w:val="32"/>
          <w:highlight w:val="none"/>
        </w:rPr>
        <w:t>附件2：</w:t>
      </w:r>
      <w:bookmarkEnd w:id="50"/>
    </w:p>
    <w:p w14:paraId="6FB51AA2">
      <w:pPr>
        <w:spacing w:line="528" w:lineRule="exact"/>
        <w:ind w:left="1871"/>
        <w:rPr>
          <w:rFonts w:hint="eastAsia" w:ascii="宋体" w:hAnsi="宋体" w:cs="宋体"/>
          <w:color w:val="auto"/>
          <w:sz w:val="40"/>
          <w:szCs w:val="40"/>
          <w:highlight w:val="none"/>
        </w:rPr>
      </w:pPr>
      <w:r>
        <w:rPr>
          <w:rFonts w:hint="eastAsia" w:ascii="宋体" w:hAnsi="宋体" w:cs="宋体"/>
          <w:color w:val="auto"/>
          <w:sz w:val="40"/>
          <w:szCs w:val="40"/>
          <w:highlight w:val="none"/>
          <w:lang w:bidi="ar"/>
        </w:rPr>
        <w:t>中小微企业划型标准</w:t>
      </w:r>
    </w:p>
    <w:tbl>
      <w:tblPr>
        <w:tblStyle w:val="39"/>
        <w:tblW w:w="8717" w:type="dxa"/>
        <w:tblInd w:w="250" w:type="dxa"/>
        <w:tblLayout w:type="fixed"/>
        <w:tblCellMar>
          <w:top w:w="0" w:type="dxa"/>
          <w:left w:w="108" w:type="dxa"/>
          <w:bottom w:w="0" w:type="dxa"/>
          <w:right w:w="108" w:type="dxa"/>
        </w:tblCellMar>
      </w:tblPr>
      <w:tblGrid>
        <w:gridCol w:w="1858"/>
        <w:gridCol w:w="1511"/>
        <w:gridCol w:w="997"/>
        <w:gridCol w:w="1769"/>
        <w:gridCol w:w="1572"/>
        <w:gridCol w:w="1010"/>
      </w:tblGrid>
      <w:tr w14:paraId="040AF6A2">
        <w:trPr>
          <w:trHeight w:val="663" w:hRule="atLeast"/>
        </w:trPr>
        <w:tc>
          <w:tcPr>
            <w:tcW w:w="1858" w:type="dxa"/>
            <w:tcBorders>
              <w:top w:val="single" w:color="auto" w:sz="4" w:space="0"/>
              <w:left w:val="single" w:color="auto" w:sz="4" w:space="0"/>
              <w:bottom w:val="single" w:color="auto" w:sz="4" w:space="0"/>
              <w:right w:val="single" w:color="auto" w:sz="4" w:space="0"/>
            </w:tcBorders>
            <w:noWrap w:val="0"/>
            <w:vAlign w:val="center"/>
          </w:tcPr>
          <w:p w14:paraId="7BA49A7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lang w:bidi="ar"/>
              </w:rPr>
              <w:t>行业名称</w:t>
            </w:r>
          </w:p>
        </w:tc>
        <w:tc>
          <w:tcPr>
            <w:tcW w:w="1511" w:type="dxa"/>
            <w:tcBorders>
              <w:top w:val="single" w:color="auto" w:sz="4" w:space="0"/>
              <w:left w:val="nil"/>
              <w:bottom w:val="single" w:color="auto" w:sz="4" w:space="0"/>
              <w:right w:val="single" w:color="auto" w:sz="4" w:space="0"/>
            </w:tcBorders>
            <w:noWrap w:val="0"/>
            <w:vAlign w:val="center"/>
          </w:tcPr>
          <w:p w14:paraId="6AACFFE3">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lang w:bidi="ar"/>
              </w:rPr>
              <w:t>指标名称</w:t>
            </w:r>
          </w:p>
        </w:tc>
        <w:tc>
          <w:tcPr>
            <w:tcW w:w="997" w:type="dxa"/>
            <w:tcBorders>
              <w:top w:val="single" w:color="auto" w:sz="4" w:space="0"/>
              <w:left w:val="nil"/>
              <w:bottom w:val="single" w:color="auto" w:sz="4" w:space="0"/>
              <w:right w:val="single" w:color="auto" w:sz="4" w:space="0"/>
            </w:tcBorders>
            <w:noWrap w:val="0"/>
            <w:vAlign w:val="center"/>
          </w:tcPr>
          <w:p w14:paraId="65A2CF2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lang w:bidi="ar"/>
              </w:rPr>
              <w:t>计量单位</w:t>
            </w:r>
          </w:p>
        </w:tc>
        <w:tc>
          <w:tcPr>
            <w:tcW w:w="1769" w:type="dxa"/>
            <w:tcBorders>
              <w:top w:val="single" w:color="auto" w:sz="4" w:space="0"/>
              <w:left w:val="nil"/>
              <w:bottom w:val="single" w:color="auto" w:sz="4" w:space="0"/>
              <w:right w:val="single" w:color="auto" w:sz="4" w:space="0"/>
            </w:tcBorders>
            <w:noWrap w:val="0"/>
            <w:vAlign w:val="center"/>
          </w:tcPr>
          <w:p w14:paraId="070D92F4">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lang w:bidi="ar"/>
              </w:rPr>
              <w:t>中型</w:t>
            </w:r>
          </w:p>
        </w:tc>
        <w:tc>
          <w:tcPr>
            <w:tcW w:w="1572" w:type="dxa"/>
            <w:tcBorders>
              <w:top w:val="single" w:color="auto" w:sz="4" w:space="0"/>
              <w:left w:val="nil"/>
              <w:bottom w:val="single" w:color="auto" w:sz="4" w:space="0"/>
              <w:right w:val="single" w:color="auto" w:sz="4" w:space="0"/>
            </w:tcBorders>
            <w:noWrap w:val="0"/>
            <w:vAlign w:val="center"/>
          </w:tcPr>
          <w:p w14:paraId="60D54721">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lang w:bidi="ar"/>
              </w:rPr>
              <w:t>小型</w:t>
            </w:r>
          </w:p>
        </w:tc>
        <w:tc>
          <w:tcPr>
            <w:tcW w:w="1010" w:type="dxa"/>
            <w:tcBorders>
              <w:top w:val="single" w:color="auto" w:sz="4" w:space="0"/>
              <w:left w:val="nil"/>
              <w:bottom w:val="single" w:color="auto" w:sz="4" w:space="0"/>
              <w:right w:val="single" w:color="auto" w:sz="4" w:space="0"/>
            </w:tcBorders>
            <w:noWrap w:val="0"/>
            <w:vAlign w:val="center"/>
          </w:tcPr>
          <w:p w14:paraId="07E23E8E">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lang w:bidi="ar"/>
              </w:rPr>
              <w:t>微型</w:t>
            </w:r>
          </w:p>
        </w:tc>
      </w:tr>
      <w:tr w14:paraId="453FD240">
        <w:tblPrEx>
          <w:tblCellMar>
            <w:top w:w="0" w:type="dxa"/>
            <w:left w:w="108" w:type="dxa"/>
            <w:bottom w:w="0" w:type="dxa"/>
            <w:right w:w="108" w:type="dxa"/>
          </w:tblCellMar>
        </w:tblPrEx>
        <w:trPr>
          <w:trHeight w:val="337" w:hRule="atLeast"/>
        </w:trPr>
        <w:tc>
          <w:tcPr>
            <w:tcW w:w="1858" w:type="dxa"/>
            <w:tcBorders>
              <w:top w:val="nil"/>
              <w:left w:val="single" w:color="auto" w:sz="4" w:space="0"/>
              <w:bottom w:val="single" w:color="auto" w:sz="4" w:space="0"/>
              <w:right w:val="single" w:color="auto" w:sz="4" w:space="0"/>
            </w:tcBorders>
            <w:noWrap w:val="0"/>
            <w:vAlign w:val="bottom"/>
          </w:tcPr>
          <w:p w14:paraId="7A9B85F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农、林、牧、渔</w:t>
            </w:r>
          </w:p>
        </w:tc>
        <w:tc>
          <w:tcPr>
            <w:tcW w:w="1511" w:type="dxa"/>
            <w:tcBorders>
              <w:top w:val="nil"/>
              <w:left w:val="nil"/>
              <w:bottom w:val="single" w:color="auto" w:sz="4" w:space="0"/>
              <w:right w:val="single" w:color="auto" w:sz="4" w:space="0"/>
            </w:tcBorders>
            <w:noWrap w:val="0"/>
            <w:vAlign w:val="center"/>
          </w:tcPr>
          <w:p w14:paraId="38CA7F3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997" w:type="dxa"/>
            <w:tcBorders>
              <w:top w:val="nil"/>
              <w:left w:val="nil"/>
              <w:bottom w:val="single" w:color="auto" w:sz="4" w:space="0"/>
              <w:right w:val="single" w:color="auto" w:sz="4" w:space="0"/>
            </w:tcBorders>
            <w:noWrap w:val="0"/>
            <w:vAlign w:val="center"/>
          </w:tcPr>
          <w:p w14:paraId="3EA861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15EE7F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500≤Y＜20000</w:t>
            </w:r>
          </w:p>
        </w:tc>
        <w:tc>
          <w:tcPr>
            <w:tcW w:w="1572" w:type="dxa"/>
            <w:tcBorders>
              <w:top w:val="nil"/>
              <w:left w:val="nil"/>
              <w:bottom w:val="single" w:color="auto" w:sz="4" w:space="0"/>
              <w:right w:val="single" w:color="auto" w:sz="4" w:space="0"/>
            </w:tcBorders>
            <w:noWrap w:val="0"/>
            <w:vAlign w:val="center"/>
          </w:tcPr>
          <w:p w14:paraId="7CBF02D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50≤Y＜500</w:t>
            </w:r>
          </w:p>
        </w:tc>
        <w:tc>
          <w:tcPr>
            <w:tcW w:w="1010" w:type="dxa"/>
            <w:tcBorders>
              <w:top w:val="nil"/>
              <w:left w:val="nil"/>
              <w:bottom w:val="single" w:color="auto" w:sz="4" w:space="0"/>
              <w:right w:val="single" w:color="auto" w:sz="4" w:space="0"/>
            </w:tcBorders>
            <w:noWrap w:val="0"/>
            <w:vAlign w:val="center"/>
          </w:tcPr>
          <w:p w14:paraId="2D89237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Y＜50</w:t>
            </w:r>
          </w:p>
        </w:tc>
      </w:tr>
      <w:tr w14:paraId="55C8816C">
        <w:tblPrEx>
          <w:tblCellMar>
            <w:top w:w="0" w:type="dxa"/>
            <w:left w:w="108" w:type="dxa"/>
            <w:bottom w:w="0" w:type="dxa"/>
            <w:right w:w="108" w:type="dxa"/>
          </w:tblCellMar>
        </w:tblPrEx>
        <w:trPr>
          <w:trHeight w:val="337" w:hRule="atLeast"/>
        </w:trPr>
        <w:tc>
          <w:tcPr>
            <w:tcW w:w="1858" w:type="dxa"/>
            <w:vMerge w:val="restart"/>
            <w:tcBorders>
              <w:top w:val="nil"/>
              <w:left w:val="single" w:color="auto" w:sz="4" w:space="0"/>
              <w:bottom w:val="single" w:color="auto" w:sz="4" w:space="0"/>
              <w:right w:val="single" w:color="auto" w:sz="4" w:space="0"/>
            </w:tcBorders>
            <w:noWrap w:val="0"/>
            <w:vAlign w:val="bottom"/>
          </w:tcPr>
          <w:p w14:paraId="373D550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工业</w:t>
            </w:r>
          </w:p>
        </w:tc>
        <w:tc>
          <w:tcPr>
            <w:tcW w:w="1511" w:type="dxa"/>
            <w:tcBorders>
              <w:top w:val="nil"/>
              <w:left w:val="nil"/>
              <w:bottom w:val="single" w:color="auto" w:sz="4" w:space="0"/>
              <w:right w:val="single" w:color="auto" w:sz="4" w:space="0"/>
            </w:tcBorders>
            <w:noWrap w:val="0"/>
            <w:vAlign w:val="center"/>
          </w:tcPr>
          <w:p w14:paraId="30C959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997" w:type="dxa"/>
            <w:tcBorders>
              <w:top w:val="nil"/>
              <w:left w:val="nil"/>
              <w:bottom w:val="single" w:color="auto" w:sz="4" w:space="0"/>
              <w:right w:val="single" w:color="auto" w:sz="4" w:space="0"/>
            </w:tcBorders>
            <w:noWrap w:val="0"/>
            <w:vAlign w:val="center"/>
          </w:tcPr>
          <w:p w14:paraId="0E34C9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769" w:type="dxa"/>
            <w:tcBorders>
              <w:top w:val="nil"/>
              <w:left w:val="nil"/>
              <w:bottom w:val="single" w:color="auto" w:sz="4" w:space="0"/>
              <w:right w:val="single" w:color="auto" w:sz="4" w:space="0"/>
            </w:tcBorders>
            <w:noWrap w:val="0"/>
            <w:vAlign w:val="center"/>
          </w:tcPr>
          <w:p w14:paraId="42B200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300≤X＜1000</w:t>
            </w:r>
          </w:p>
        </w:tc>
        <w:tc>
          <w:tcPr>
            <w:tcW w:w="1572" w:type="dxa"/>
            <w:tcBorders>
              <w:top w:val="nil"/>
              <w:left w:val="nil"/>
              <w:bottom w:val="single" w:color="auto" w:sz="4" w:space="0"/>
              <w:right w:val="single" w:color="auto" w:sz="4" w:space="0"/>
            </w:tcBorders>
            <w:noWrap w:val="0"/>
            <w:vAlign w:val="center"/>
          </w:tcPr>
          <w:p w14:paraId="187925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20≤X＜300</w:t>
            </w:r>
          </w:p>
        </w:tc>
        <w:tc>
          <w:tcPr>
            <w:tcW w:w="1010" w:type="dxa"/>
            <w:tcBorders>
              <w:top w:val="nil"/>
              <w:left w:val="nil"/>
              <w:bottom w:val="single" w:color="auto" w:sz="4" w:space="0"/>
              <w:right w:val="single" w:color="auto" w:sz="4" w:space="0"/>
            </w:tcBorders>
            <w:noWrap w:val="0"/>
            <w:vAlign w:val="center"/>
          </w:tcPr>
          <w:p w14:paraId="0D613F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X＜20</w:t>
            </w:r>
          </w:p>
        </w:tc>
      </w:tr>
      <w:tr w14:paraId="086B8533">
        <w:tblPrEx>
          <w:tblCellMar>
            <w:top w:w="0" w:type="dxa"/>
            <w:left w:w="108" w:type="dxa"/>
            <w:bottom w:w="0" w:type="dxa"/>
            <w:right w:w="108" w:type="dxa"/>
          </w:tblCellMar>
        </w:tblPrEx>
        <w:trPr>
          <w:trHeight w:val="337" w:hRule="atLeast"/>
        </w:trPr>
        <w:tc>
          <w:tcPr>
            <w:tcW w:w="1858" w:type="dxa"/>
            <w:vMerge w:val="continue"/>
            <w:tcBorders>
              <w:top w:val="nil"/>
              <w:left w:val="single" w:color="auto" w:sz="4" w:space="0"/>
              <w:bottom w:val="single" w:color="auto" w:sz="4" w:space="0"/>
              <w:right w:val="single" w:color="auto" w:sz="4" w:space="0"/>
            </w:tcBorders>
            <w:noWrap w:val="0"/>
            <w:vAlign w:val="bottom"/>
          </w:tcPr>
          <w:p w14:paraId="091FA583">
            <w:pPr>
              <w:rPr>
                <w:rFonts w:hint="eastAsia" w:ascii="宋体" w:hAnsi="宋体" w:cs="宋体"/>
                <w:color w:val="auto"/>
                <w:sz w:val="20"/>
                <w:szCs w:val="20"/>
                <w:highlight w:val="none"/>
              </w:rPr>
            </w:pPr>
          </w:p>
        </w:tc>
        <w:tc>
          <w:tcPr>
            <w:tcW w:w="1511" w:type="dxa"/>
            <w:tcBorders>
              <w:top w:val="nil"/>
              <w:left w:val="nil"/>
              <w:bottom w:val="single" w:color="auto" w:sz="4" w:space="0"/>
              <w:right w:val="single" w:color="auto" w:sz="4" w:space="0"/>
            </w:tcBorders>
            <w:noWrap w:val="0"/>
            <w:vAlign w:val="center"/>
          </w:tcPr>
          <w:p w14:paraId="5204EF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997" w:type="dxa"/>
            <w:tcBorders>
              <w:top w:val="nil"/>
              <w:left w:val="nil"/>
              <w:bottom w:val="single" w:color="auto" w:sz="4" w:space="0"/>
              <w:right w:val="single" w:color="auto" w:sz="4" w:space="0"/>
            </w:tcBorders>
            <w:noWrap w:val="0"/>
            <w:vAlign w:val="center"/>
          </w:tcPr>
          <w:p w14:paraId="36EB828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332EAB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2000≤Y＜40000</w:t>
            </w:r>
          </w:p>
        </w:tc>
        <w:tc>
          <w:tcPr>
            <w:tcW w:w="1572" w:type="dxa"/>
            <w:tcBorders>
              <w:top w:val="nil"/>
              <w:left w:val="nil"/>
              <w:bottom w:val="single" w:color="auto" w:sz="4" w:space="0"/>
              <w:right w:val="single" w:color="auto" w:sz="4" w:space="0"/>
            </w:tcBorders>
            <w:noWrap w:val="0"/>
            <w:vAlign w:val="center"/>
          </w:tcPr>
          <w:p w14:paraId="1EB10C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300≤Y＜2000</w:t>
            </w:r>
          </w:p>
        </w:tc>
        <w:tc>
          <w:tcPr>
            <w:tcW w:w="1010" w:type="dxa"/>
            <w:tcBorders>
              <w:top w:val="nil"/>
              <w:left w:val="nil"/>
              <w:bottom w:val="single" w:color="auto" w:sz="4" w:space="0"/>
              <w:right w:val="single" w:color="auto" w:sz="4" w:space="0"/>
            </w:tcBorders>
            <w:noWrap w:val="0"/>
            <w:vAlign w:val="center"/>
          </w:tcPr>
          <w:p w14:paraId="55F72E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Y＜300</w:t>
            </w:r>
          </w:p>
        </w:tc>
      </w:tr>
      <w:tr w14:paraId="64F071B5">
        <w:tblPrEx>
          <w:tblCellMar>
            <w:top w:w="0" w:type="dxa"/>
            <w:left w:w="108" w:type="dxa"/>
            <w:bottom w:w="0" w:type="dxa"/>
            <w:right w:w="108" w:type="dxa"/>
          </w:tblCellMar>
        </w:tblPrEx>
        <w:trPr>
          <w:trHeight w:val="337" w:hRule="atLeast"/>
        </w:trPr>
        <w:tc>
          <w:tcPr>
            <w:tcW w:w="1858" w:type="dxa"/>
            <w:vMerge w:val="restart"/>
            <w:tcBorders>
              <w:top w:val="nil"/>
              <w:left w:val="single" w:color="auto" w:sz="4" w:space="0"/>
              <w:bottom w:val="single" w:color="auto" w:sz="4" w:space="0"/>
              <w:right w:val="single" w:color="auto" w:sz="4" w:space="0"/>
            </w:tcBorders>
            <w:noWrap w:val="0"/>
            <w:vAlign w:val="bottom"/>
          </w:tcPr>
          <w:p w14:paraId="45870FC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建筑业</w:t>
            </w:r>
          </w:p>
        </w:tc>
        <w:tc>
          <w:tcPr>
            <w:tcW w:w="1511" w:type="dxa"/>
            <w:tcBorders>
              <w:top w:val="nil"/>
              <w:left w:val="nil"/>
              <w:bottom w:val="single" w:color="auto" w:sz="4" w:space="0"/>
              <w:right w:val="single" w:color="auto" w:sz="4" w:space="0"/>
            </w:tcBorders>
            <w:noWrap w:val="0"/>
            <w:vAlign w:val="center"/>
          </w:tcPr>
          <w:p w14:paraId="150692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997" w:type="dxa"/>
            <w:tcBorders>
              <w:top w:val="nil"/>
              <w:left w:val="nil"/>
              <w:bottom w:val="single" w:color="auto" w:sz="4" w:space="0"/>
              <w:right w:val="single" w:color="auto" w:sz="4" w:space="0"/>
            </w:tcBorders>
            <w:noWrap w:val="0"/>
            <w:vAlign w:val="center"/>
          </w:tcPr>
          <w:p w14:paraId="30E777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5FD79B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6000≤Y＜80000</w:t>
            </w:r>
          </w:p>
        </w:tc>
        <w:tc>
          <w:tcPr>
            <w:tcW w:w="1572" w:type="dxa"/>
            <w:tcBorders>
              <w:top w:val="nil"/>
              <w:left w:val="nil"/>
              <w:bottom w:val="single" w:color="auto" w:sz="4" w:space="0"/>
              <w:right w:val="single" w:color="auto" w:sz="4" w:space="0"/>
            </w:tcBorders>
            <w:noWrap w:val="0"/>
            <w:vAlign w:val="center"/>
          </w:tcPr>
          <w:p w14:paraId="7EF1BB5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300≤Y＜6000</w:t>
            </w:r>
          </w:p>
        </w:tc>
        <w:tc>
          <w:tcPr>
            <w:tcW w:w="1010" w:type="dxa"/>
            <w:tcBorders>
              <w:top w:val="nil"/>
              <w:left w:val="nil"/>
              <w:bottom w:val="single" w:color="auto" w:sz="4" w:space="0"/>
              <w:right w:val="single" w:color="auto" w:sz="4" w:space="0"/>
            </w:tcBorders>
            <w:noWrap w:val="0"/>
            <w:vAlign w:val="center"/>
          </w:tcPr>
          <w:p w14:paraId="5CC0CD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Y＜300</w:t>
            </w:r>
          </w:p>
        </w:tc>
      </w:tr>
      <w:tr w14:paraId="31A1CEA7">
        <w:tblPrEx>
          <w:tblCellMar>
            <w:top w:w="0" w:type="dxa"/>
            <w:left w:w="108" w:type="dxa"/>
            <w:bottom w:w="0" w:type="dxa"/>
            <w:right w:w="108" w:type="dxa"/>
          </w:tblCellMar>
        </w:tblPrEx>
        <w:trPr>
          <w:trHeight w:val="337" w:hRule="atLeast"/>
        </w:trPr>
        <w:tc>
          <w:tcPr>
            <w:tcW w:w="1858" w:type="dxa"/>
            <w:vMerge w:val="continue"/>
            <w:tcBorders>
              <w:top w:val="nil"/>
              <w:left w:val="single" w:color="auto" w:sz="4" w:space="0"/>
              <w:bottom w:val="single" w:color="auto" w:sz="4" w:space="0"/>
              <w:right w:val="single" w:color="auto" w:sz="4" w:space="0"/>
            </w:tcBorders>
            <w:noWrap w:val="0"/>
            <w:vAlign w:val="bottom"/>
          </w:tcPr>
          <w:p w14:paraId="062CCEAD">
            <w:pPr>
              <w:rPr>
                <w:rFonts w:hint="eastAsia" w:ascii="宋体" w:hAnsi="宋体" w:cs="宋体"/>
                <w:color w:val="auto"/>
                <w:sz w:val="20"/>
                <w:szCs w:val="20"/>
                <w:highlight w:val="none"/>
              </w:rPr>
            </w:pPr>
          </w:p>
        </w:tc>
        <w:tc>
          <w:tcPr>
            <w:tcW w:w="1511" w:type="dxa"/>
            <w:tcBorders>
              <w:top w:val="nil"/>
              <w:left w:val="nil"/>
              <w:bottom w:val="single" w:color="auto" w:sz="4" w:space="0"/>
              <w:right w:val="single" w:color="auto" w:sz="4" w:space="0"/>
            </w:tcBorders>
            <w:noWrap w:val="0"/>
            <w:vAlign w:val="center"/>
          </w:tcPr>
          <w:p w14:paraId="5ABC70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资产总额（Z）</w:t>
            </w:r>
          </w:p>
        </w:tc>
        <w:tc>
          <w:tcPr>
            <w:tcW w:w="997" w:type="dxa"/>
            <w:tcBorders>
              <w:top w:val="nil"/>
              <w:left w:val="nil"/>
              <w:bottom w:val="single" w:color="auto" w:sz="4" w:space="0"/>
              <w:right w:val="single" w:color="auto" w:sz="4" w:space="0"/>
            </w:tcBorders>
            <w:noWrap w:val="0"/>
            <w:vAlign w:val="center"/>
          </w:tcPr>
          <w:p w14:paraId="5A314F0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00157B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5000≤Z＜80000</w:t>
            </w:r>
          </w:p>
        </w:tc>
        <w:tc>
          <w:tcPr>
            <w:tcW w:w="1572" w:type="dxa"/>
            <w:tcBorders>
              <w:top w:val="nil"/>
              <w:left w:val="nil"/>
              <w:bottom w:val="single" w:color="auto" w:sz="4" w:space="0"/>
              <w:right w:val="single" w:color="auto" w:sz="4" w:space="0"/>
            </w:tcBorders>
            <w:noWrap w:val="0"/>
            <w:vAlign w:val="center"/>
          </w:tcPr>
          <w:p w14:paraId="78F6B7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300≤Z＜5000</w:t>
            </w:r>
          </w:p>
        </w:tc>
        <w:tc>
          <w:tcPr>
            <w:tcW w:w="1010" w:type="dxa"/>
            <w:tcBorders>
              <w:top w:val="nil"/>
              <w:left w:val="nil"/>
              <w:bottom w:val="single" w:color="auto" w:sz="4" w:space="0"/>
              <w:right w:val="single" w:color="auto" w:sz="4" w:space="0"/>
            </w:tcBorders>
            <w:noWrap w:val="0"/>
            <w:vAlign w:val="center"/>
          </w:tcPr>
          <w:p w14:paraId="44FCBC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Z＜300</w:t>
            </w:r>
          </w:p>
        </w:tc>
      </w:tr>
      <w:tr w14:paraId="7D14D07C">
        <w:tblPrEx>
          <w:tblCellMar>
            <w:top w:w="0" w:type="dxa"/>
            <w:left w:w="108" w:type="dxa"/>
            <w:bottom w:w="0" w:type="dxa"/>
            <w:right w:w="108" w:type="dxa"/>
          </w:tblCellMar>
        </w:tblPrEx>
        <w:trPr>
          <w:trHeight w:val="337" w:hRule="atLeast"/>
        </w:trPr>
        <w:tc>
          <w:tcPr>
            <w:tcW w:w="1858" w:type="dxa"/>
            <w:vMerge w:val="restart"/>
            <w:tcBorders>
              <w:top w:val="nil"/>
              <w:left w:val="single" w:color="auto" w:sz="4" w:space="0"/>
              <w:bottom w:val="single" w:color="auto" w:sz="4" w:space="0"/>
              <w:right w:val="single" w:color="auto" w:sz="4" w:space="0"/>
            </w:tcBorders>
            <w:noWrap w:val="0"/>
            <w:vAlign w:val="bottom"/>
          </w:tcPr>
          <w:p w14:paraId="2F5E901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批发业</w:t>
            </w:r>
          </w:p>
        </w:tc>
        <w:tc>
          <w:tcPr>
            <w:tcW w:w="1511" w:type="dxa"/>
            <w:tcBorders>
              <w:top w:val="nil"/>
              <w:left w:val="nil"/>
              <w:bottom w:val="single" w:color="auto" w:sz="4" w:space="0"/>
              <w:right w:val="single" w:color="auto" w:sz="4" w:space="0"/>
            </w:tcBorders>
            <w:noWrap w:val="0"/>
            <w:vAlign w:val="center"/>
          </w:tcPr>
          <w:p w14:paraId="04C72F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997" w:type="dxa"/>
            <w:tcBorders>
              <w:top w:val="nil"/>
              <w:left w:val="nil"/>
              <w:bottom w:val="single" w:color="auto" w:sz="4" w:space="0"/>
              <w:right w:val="single" w:color="auto" w:sz="4" w:space="0"/>
            </w:tcBorders>
            <w:noWrap w:val="0"/>
            <w:vAlign w:val="center"/>
          </w:tcPr>
          <w:p w14:paraId="1ED7848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769" w:type="dxa"/>
            <w:tcBorders>
              <w:top w:val="nil"/>
              <w:left w:val="nil"/>
              <w:bottom w:val="single" w:color="auto" w:sz="4" w:space="0"/>
              <w:right w:val="single" w:color="auto" w:sz="4" w:space="0"/>
            </w:tcBorders>
            <w:noWrap w:val="0"/>
            <w:vAlign w:val="center"/>
          </w:tcPr>
          <w:p w14:paraId="149E57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20≤X＜200</w:t>
            </w:r>
          </w:p>
        </w:tc>
        <w:tc>
          <w:tcPr>
            <w:tcW w:w="1572" w:type="dxa"/>
            <w:tcBorders>
              <w:top w:val="nil"/>
              <w:left w:val="nil"/>
              <w:bottom w:val="single" w:color="auto" w:sz="4" w:space="0"/>
              <w:right w:val="single" w:color="auto" w:sz="4" w:space="0"/>
            </w:tcBorders>
            <w:noWrap w:val="0"/>
            <w:vAlign w:val="center"/>
          </w:tcPr>
          <w:p w14:paraId="2998A7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5≤X＜20</w:t>
            </w:r>
          </w:p>
        </w:tc>
        <w:tc>
          <w:tcPr>
            <w:tcW w:w="1010" w:type="dxa"/>
            <w:tcBorders>
              <w:top w:val="nil"/>
              <w:left w:val="nil"/>
              <w:bottom w:val="single" w:color="auto" w:sz="4" w:space="0"/>
              <w:right w:val="single" w:color="auto" w:sz="4" w:space="0"/>
            </w:tcBorders>
            <w:noWrap w:val="0"/>
            <w:vAlign w:val="center"/>
          </w:tcPr>
          <w:p w14:paraId="1647DB3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98FBBAF">
        <w:tblPrEx>
          <w:tblCellMar>
            <w:top w:w="0" w:type="dxa"/>
            <w:left w:w="108" w:type="dxa"/>
            <w:bottom w:w="0" w:type="dxa"/>
            <w:right w:w="108" w:type="dxa"/>
          </w:tblCellMar>
        </w:tblPrEx>
        <w:trPr>
          <w:trHeight w:val="337" w:hRule="atLeast"/>
        </w:trPr>
        <w:tc>
          <w:tcPr>
            <w:tcW w:w="1858" w:type="dxa"/>
            <w:vMerge w:val="continue"/>
            <w:tcBorders>
              <w:top w:val="nil"/>
              <w:left w:val="single" w:color="auto" w:sz="4" w:space="0"/>
              <w:bottom w:val="single" w:color="auto" w:sz="4" w:space="0"/>
              <w:right w:val="single" w:color="auto" w:sz="4" w:space="0"/>
            </w:tcBorders>
            <w:noWrap w:val="0"/>
            <w:vAlign w:val="bottom"/>
          </w:tcPr>
          <w:p w14:paraId="02F854F0">
            <w:pPr>
              <w:rPr>
                <w:rFonts w:hint="eastAsia" w:ascii="宋体" w:hAnsi="宋体" w:cs="宋体"/>
                <w:color w:val="auto"/>
                <w:sz w:val="20"/>
                <w:szCs w:val="20"/>
                <w:highlight w:val="none"/>
              </w:rPr>
            </w:pPr>
          </w:p>
        </w:tc>
        <w:tc>
          <w:tcPr>
            <w:tcW w:w="1511" w:type="dxa"/>
            <w:tcBorders>
              <w:top w:val="nil"/>
              <w:left w:val="nil"/>
              <w:bottom w:val="single" w:color="auto" w:sz="4" w:space="0"/>
              <w:right w:val="single" w:color="auto" w:sz="4" w:space="0"/>
            </w:tcBorders>
            <w:noWrap w:val="0"/>
            <w:vAlign w:val="center"/>
          </w:tcPr>
          <w:p w14:paraId="16D505D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997" w:type="dxa"/>
            <w:tcBorders>
              <w:top w:val="nil"/>
              <w:left w:val="nil"/>
              <w:bottom w:val="single" w:color="auto" w:sz="4" w:space="0"/>
              <w:right w:val="single" w:color="auto" w:sz="4" w:space="0"/>
            </w:tcBorders>
            <w:noWrap w:val="0"/>
            <w:vAlign w:val="center"/>
          </w:tcPr>
          <w:p w14:paraId="7AA55DB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3FAD85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5000≤Y＜40000</w:t>
            </w:r>
          </w:p>
        </w:tc>
        <w:tc>
          <w:tcPr>
            <w:tcW w:w="1572" w:type="dxa"/>
            <w:tcBorders>
              <w:top w:val="nil"/>
              <w:left w:val="nil"/>
              <w:bottom w:val="single" w:color="auto" w:sz="4" w:space="0"/>
              <w:right w:val="single" w:color="auto" w:sz="4" w:space="0"/>
            </w:tcBorders>
            <w:noWrap w:val="0"/>
            <w:vAlign w:val="center"/>
          </w:tcPr>
          <w:p w14:paraId="4868F85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1000≤Y＜5000</w:t>
            </w:r>
          </w:p>
        </w:tc>
        <w:tc>
          <w:tcPr>
            <w:tcW w:w="1010" w:type="dxa"/>
            <w:tcBorders>
              <w:top w:val="nil"/>
              <w:left w:val="nil"/>
              <w:bottom w:val="single" w:color="auto" w:sz="4" w:space="0"/>
              <w:right w:val="single" w:color="auto" w:sz="4" w:space="0"/>
            </w:tcBorders>
            <w:noWrap w:val="0"/>
            <w:vAlign w:val="center"/>
          </w:tcPr>
          <w:p w14:paraId="21D61AF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Y＜1000</w:t>
            </w:r>
          </w:p>
        </w:tc>
      </w:tr>
      <w:tr w14:paraId="6BF38283">
        <w:tblPrEx>
          <w:tblCellMar>
            <w:top w:w="0" w:type="dxa"/>
            <w:left w:w="108" w:type="dxa"/>
            <w:bottom w:w="0" w:type="dxa"/>
            <w:right w:w="108" w:type="dxa"/>
          </w:tblCellMar>
        </w:tblPrEx>
        <w:trPr>
          <w:trHeight w:val="337" w:hRule="atLeast"/>
        </w:trPr>
        <w:tc>
          <w:tcPr>
            <w:tcW w:w="1858" w:type="dxa"/>
            <w:vMerge w:val="restart"/>
            <w:tcBorders>
              <w:top w:val="nil"/>
              <w:left w:val="single" w:color="auto" w:sz="4" w:space="0"/>
              <w:bottom w:val="single" w:color="auto" w:sz="4" w:space="0"/>
              <w:right w:val="single" w:color="auto" w:sz="4" w:space="0"/>
            </w:tcBorders>
            <w:noWrap w:val="0"/>
            <w:vAlign w:val="bottom"/>
          </w:tcPr>
          <w:p w14:paraId="74CF540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零售业</w:t>
            </w:r>
          </w:p>
        </w:tc>
        <w:tc>
          <w:tcPr>
            <w:tcW w:w="1511" w:type="dxa"/>
            <w:tcBorders>
              <w:top w:val="nil"/>
              <w:left w:val="nil"/>
              <w:bottom w:val="single" w:color="auto" w:sz="4" w:space="0"/>
              <w:right w:val="single" w:color="auto" w:sz="4" w:space="0"/>
            </w:tcBorders>
            <w:noWrap w:val="0"/>
            <w:vAlign w:val="center"/>
          </w:tcPr>
          <w:p w14:paraId="06989E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997" w:type="dxa"/>
            <w:tcBorders>
              <w:top w:val="nil"/>
              <w:left w:val="nil"/>
              <w:bottom w:val="single" w:color="auto" w:sz="4" w:space="0"/>
              <w:right w:val="single" w:color="auto" w:sz="4" w:space="0"/>
            </w:tcBorders>
            <w:noWrap w:val="0"/>
            <w:vAlign w:val="center"/>
          </w:tcPr>
          <w:p w14:paraId="6CDF59F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769" w:type="dxa"/>
            <w:tcBorders>
              <w:top w:val="nil"/>
              <w:left w:val="nil"/>
              <w:bottom w:val="single" w:color="auto" w:sz="4" w:space="0"/>
              <w:right w:val="single" w:color="auto" w:sz="4" w:space="0"/>
            </w:tcBorders>
            <w:noWrap w:val="0"/>
            <w:vAlign w:val="center"/>
          </w:tcPr>
          <w:p w14:paraId="40C0F92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50≤X＜300</w:t>
            </w:r>
          </w:p>
        </w:tc>
        <w:tc>
          <w:tcPr>
            <w:tcW w:w="1572" w:type="dxa"/>
            <w:tcBorders>
              <w:top w:val="nil"/>
              <w:left w:val="nil"/>
              <w:bottom w:val="single" w:color="auto" w:sz="4" w:space="0"/>
              <w:right w:val="single" w:color="auto" w:sz="4" w:space="0"/>
            </w:tcBorders>
            <w:noWrap w:val="0"/>
            <w:vAlign w:val="center"/>
          </w:tcPr>
          <w:p w14:paraId="743E03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10≤X＜50</w:t>
            </w:r>
          </w:p>
        </w:tc>
        <w:tc>
          <w:tcPr>
            <w:tcW w:w="1010" w:type="dxa"/>
            <w:tcBorders>
              <w:top w:val="nil"/>
              <w:left w:val="nil"/>
              <w:bottom w:val="single" w:color="auto" w:sz="4" w:space="0"/>
              <w:right w:val="single" w:color="auto" w:sz="4" w:space="0"/>
            </w:tcBorders>
            <w:noWrap w:val="0"/>
            <w:vAlign w:val="center"/>
          </w:tcPr>
          <w:p w14:paraId="11E17F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w:t>
            </w:r>
          </w:p>
        </w:tc>
      </w:tr>
      <w:tr w14:paraId="3B1BF3A1">
        <w:tblPrEx>
          <w:tblCellMar>
            <w:top w:w="0" w:type="dxa"/>
            <w:left w:w="108" w:type="dxa"/>
            <w:bottom w:w="0" w:type="dxa"/>
            <w:right w:w="108" w:type="dxa"/>
          </w:tblCellMar>
        </w:tblPrEx>
        <w:trPr>
          <w:trHeight w:val="337" w:hRule="atLeast"/>
        </w:trPr>
        <w:tc>
          <w:tcPr>
            <w:tcW w:w="1858" w:type="dxa"/>
            <w:vMerge w:val="continue"/>
            <w:tcBorders>
              <w:top w:val="nil"/>
              <w:left w:val="single" w:color="auto" w:sz="4" w:space="0"/>
              <w:bottom w:val="single" w:color="auto" w:sz="4" w:space="0"/>
              <w:right w:val="single" w:color="auto" w:sz="4" w:space="0"/>
            </w:tcBorders>
            <w:noWrap w:val="0"/>
            <w:vAlign w:val="bottom"/>
          </w:tcPr>
          <w:p w14:paraId="38433928">
            <w:pPr>
              <w:rPr>
                <w:rFonts w:hint="eastAsia" w:ascii="宋体" w:hAnsi="宋体" w:cs="宋体"/>
                <w:color w:val="auto"/>
                <w:sz w:val="20"/>
                <w:szCs w:val="20"/>
                <w:highlight w:val="none"/>
              </w:rPr>
            </w:pPr>
          </w:p>
        </w:tc>
        <w:tc>
          <w:tcPr>
            <w:tcW w:w="1511" w:type="dxa"/>
            <w:tcBorders>
              <w:top w:val="nil"/>
              <w:left w:val="nil"/>
              <w:bottom w:val="single" w:color="auto" w:sz="4" w:space="0"/>
              <w:right w:val="single" w:color="auto" w:sz="4" w:space="0"/>
            </w:tcBorders>
            <w:noWrap w:val="0"/>
            <w:vAlign w:val="center"/>
          </w:tcPr>
          <w:p w14:paraId="040C1D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997" w:type="dxa"/>
            <w:tcBorders>
              <w:top w:val="nil"/>
              <w:left w:val="nil"/>
              <w:bottom w:val="single" w:color="auto" w:sz="4" w:space="0"/>
              <w:right w:val="single" w:color="auto" w:sz="4" w:space="0"/>
            </w:tcBorders>
            <w:noWrap w:val="0"/>
            <w:vAlign w:val="center"/>
          </w:tcPr>
          <w:p w14:paraId="39DBF5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661935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500≤Y＜20000</w:t>
            </w:r>
          </w:p>
        </w:tc>
        <w:tc>
          <w:tcPr>
            <w:tcW w:w="1572" w:type="dxa"/>
            <w:tcBorders>
              <w:top w:val="nil"/>
              <w:left w:val="nil"/>
              <w:bottom w:val="single" w:color="auto" w:sz="4" w:space="0"/>
              <w:right w:val="single" w:color="auto" w:sz="4" w:space="0"/>
            </w:tcBorders>
            <w:noWrap w:val="0"/>
            <w:vAlign w:val="center"/>
          </w:tcPr>
          <w:p w14:paraId="09A91CA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100≤Y＜500</w:t>
            </w:r>
          </w:p>
        </w:tc>
        <w:tc>
          <w:tcPr>
            <w:tcW w:w="1010" w:type="dxa"/>
            <w:tcBorders>
              <w:top w:val="nil"/>
              <w:left w:val="nil"/>
              <w:bottom w:val="single" w:color="auto" w:sz="4" w:space="0"/>
              <w:right w:val="single" w:color="auto" w:sz="4" w:space="0"/>
            </w:tcBorders>
            <w:noWrap w:val="0"/>
            <w:vAlign w:val="center"/>
          </w:tcPr>
          <w:p w14:paraId="42FD26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w:t>
            </w:r>
          </w:p>
        </w:tc>
      </w:tr>
      <w:tr w14:paraId="27DFE14F">
        <w:tblPrEx>
          <w:tblCellMar>
            <w:top w:w="0" w:type="dxa"/>
            <w:left w:w="108" w:type="dxa"/>
            <w:bottom w:w="0" w:type="dxa"/>
            <w:right w:w="108" w:type="dxa"/>
          </w:tblCellMar>
        </w:tblPrEx>
        <w:trPr>
          <w:trHeight w:val="337" w:hRule="atLeast"/>
        </w:trPr>
        <w:tc>
          <w:tcPr>
            <w:tcW w:w="1858" w:type="dxa"/>
            <w:vMerge w:val="restart"/>
            <w:tcBorders>
              <w:top w:val="nil"/>
              <w:left w:val="single" w:color="auto" w:sz="4" w:space="0"/>
              <w:bottom w:val="single" w:color="auto" w:sz="4" w:space="0"/>
              <w:right w:val="single" w:color="auto" w:sz="4" w:space="0"/>
            </w:tcBorders>
            <w:noWrap w:val="0"/>
            <w:vAlign w:val="bottom"/>
          </w:tcPr>
          <w:p w14:paraId="5D6F66B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交通运输业</w:t>
            </w:r>
          </w:p>
        </w:tc>
        <w:tc>
          <w:tcPr>
            <w:tcW w:w="1511" w:type="dxa"/>
            <w:tcBorders>
              <w:top w:val="nil"/>
              <w:left w:val="nil"/>
              <w:bottom w:val="single" w:color="auto" w:sz="4" w:space="0"/>
              <w:right w:val="single" w:color="auto" w:sz="4" w:space="0"/>
            </w:tcBorders>
            <w:noWrap w:val="0"/>
            <w:vAlign w:val="center"/>
          </w:tcPr>
          <w:p w14:paraId="78C239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997" w:type="dxa"/>
            <w:tcBorders>
              <w:top w:val="nil"/>
              <w:left w:val="nil"/>
              <w:bottom w:val="single" w:color="auto" w:sz="4" w:space="0"/>
              <w:right w:val="single" w:color="auto" w:sz="4" w:space="0"/>
            </w:tcBorders>
            <w:noWrap w:val="0"/>
            <w:vAlign w:val="center"/>
          </w:tcPr>
          <w:p w14:paraId="1C0095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769" w:type="dxa"/>
            <w:tcBorders>
              <w:top w:val="nil"/>
              <w:left w:val="nil"/>
              <w:bottom w:val="single" w:color="auto" w:sz="4" w:space="0"/>
              <w:right w:val="single" w:color="auto" w:sz="4" w:space="0"/>
            </w:tcBorders>
            <w:noWrap w:val="0"/>
            <w:vAlign w:val="center"/>
          </w:tcPr>
          <w:p w14:paraId="721ACA5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300≤X＜1000</w:t>
            </w:r>
          </w:p>
        </w:tc>
        <w:tc>
          <w:tcPr>
            <w:tcW w:w="1572" w:type="dxa"/>
            <w:tcBorders>
              <w:top w:val="nil"/>
              <w:left w:val="nil"/>
              <w:bottom w:val="single" w:color="auto" w:sz="4" w:space="0"/>
              <w:right w:val="single" w:color="auto" w:sz="4" w:space="0"/>
            </w:tcBorders>
            <w:noWrap w:val="0"/>
            <w:vAlign w:val="center"/>
          </w:tcPr>
          <w:p w14:paraId="77A9623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20≤X＜300</w:t>
            </w:r>
          </w:p>
        </w:tc>
        <w:tc>
          <w:tcPr>
            <w:tcW w:w="1010" w:type="dxa"/>
            <w:tcBorders>
              <w:top w:val="nil"/>
              <w:left w:val="nil"/>
              <w:bottom w:val="single" w:color="auto" w:sz="4" w:space="0"/>
              <w:right w:val="single" w:color="auto" w:sz="4" w:space="0"/>
            </w:tcBorders>
            <w:noWrap w:val="0"/>
            <w:vAlign w:val="center"/>
          </w:tcPr>
          <w:p w14:paraId="62D7054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X＜20</w:t>
            </w:r>
          </w:p>
        </w:tc>
      </w:tr>
      <w:tr w14:paraId="53FFC6F5">
        <w:tblPrEx>
          <w:tblCellMar>
            <w:top w:w="0" w:type="dxa"/>
            <w:left w:w="108" w:type="dxa"/>
            <w:bottom w:w="0" w:type="dxa"/>
            <w:right w:w="108" w:type="dxa"/>
          </w:tblCellMar>
        </w:tblPrEx>
        <w:trPr>
          <w:trHeight w:val="337" w:hRule="atLeast"/>
        </w:trPr>
        <w:tc>
          <w:tcPr>
            <w:tcW w:w="1858" w:type="dxa"/>
            <w:vMerge w:val="continue"/>
            <w:tcBorders>
              <w:top w:val="nil"/>
              <w:left w:val="single" w:color="auto" w:sz="4" w:space="0"/>
              <w:bottom w:val="single" w:color="auto" w:sz="4" w:space="0"/>
              <w:right w:val="single" w:color="auto" w:sz="4" w:space="0"/>
            </w:tcBorders>
            <w:noWrap w:val="0"/>
            <w:vAlign w:val="bottom"/>
          </w:tcPr>
          <w:p w14:paraId="10A9F042">
            <w:pPr>
              <w:rPr>
                <w:rFonts w:hint="eastAsia" w:ascii="宋体" w:hAnsi="宋体" w:cs="宋体"/>
                <w:color w:val="auto"/>
                <w:sz w:val="20"/>
                <w:szCs w:val="20"/>
                <w:highlight w:val="none"/>
              </w:rPr>
            </w:pPr>
          </w:p>
        </w:tc>
        <w:tc>
          <w:tcPr>
            <w:tcW w:w="1511" w:type="dxa"/>
            <w:tcBorders>
              <w:top w:val="nil"/>
              <w:left w:val="nil"/>
              <w:bottom w:val="single" w:color="auto" w:sz="4" w:space="0"/>
              <w:right w:val="single" w:color="auto" w:sz="4" w:space="0"/>
            </w:tcBorders>
            <w:noWrap w:val="0"/>
            <w:vAlign w:val="center"/>
          </w:tcPr>
          <w:p w14:paraId="7AD4CF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997" w:type="dxa"/>
            <w:tcBorders>
              <w:top w:val="nil"/>
              <w:left w:val="nil"/>
              <w:bottom w:val="single" w:color="auto" w:sz="4" w:space="0"/>
              <w:right w:val="single" w:color="auto" w:sz="4" w:space="0"/>
            </w:tcBorders>
            <w:noWrap w:val="0"/>
            <w:vAlign w:val="center"/>
          </w:tcPr>
          <w:p w14:paraId="47434C0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340070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3000≤Y＜30000</w:t>
            </w:r>
          </w:p>
        </w:tc>
        <w:tc>
          <w:tcPr>
            <w:tcW w:w="1572" w:type="dxa"/>
            <w:tcBorders>
              <w:top w:val="nil"/>
              <w:left w:val="nil"/>
              <w:bottom w:val="single" w:color="auto" w:sz="4" w:space="0"/>
              <w:right w:val="single" w:color="auto" w:sz="4" w:space="0"/>
            </w:tcBorders>
            <w:noWrap w:val="0"/>
            <w:vAlign w:val="center"/>
          </w:tcPr>
          <w:p w14:paraId="440736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200≤Y＜3000</w:t>
            </w:r>
          </w:p>
        </w:tc>
        <w:tc>
          <w:tcPr>
            <w:tcW w:w="1010" w:type="dxa"/>
            <w:tcBorders>
              <w:top w:val="nil"/>
              <w:left w:val="nil"/>
              <w:bottom w:val="single" w:color="auto" w:sz="4" w:space="0"/>
              <w:right w:val="single" w:color="auto" w:sz="4" w:space="0"/>
            </w:tcBorders>
            <w:noWrap w:val="0"/>
            <w:vAlign w:val="center"/>
          </w:tcPr>
          <w:p w14:paraId="697168B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Y＜200</w:t>
            </w:r>
          </w:p>
        </w:tc>
      </w:tr>
      <w:tr w14:paraId="5C07D1F0">
        <w:tblPrEx>
          <w:tblCellMar>
            <w:top w:w="0" w:type="dxa"/>
            <w:left w:w="108" w:type="dxa"/>
            <w:bottom w:w="0" w:type="dxa"/>
            <w:right w:w="108" w:type="dxa"/>
          </w:tblCellMar>
        </w:tblPrEx>
        <w:trPr>
          <w:trHeight w:val="337" w:hRule="atLeast"/>
        </w:trPr>
        <w:tc>
          <w:tcPr>
            <w:tcW w:w="1858" w:type="dxa"/>
            <w:vMerge w:val="restart"/>
            <w:tcBorders>
              <w:top w:val="nil"/>
              <w:left w:val="single" w:color="auto" w:sz="4" w:space="0"/>
              <w:bottom w:val="single" w:color="auto" w:sz="4" w:space="0"/>
              <w:right w:val="single" w:color="auto" w:sz="4" w:space="0"/>
            </w:tcBorders>
            <w:noWrap w:val="0"/>
            <w:vAlign w:val="bottom"/>
          </w:tcPr>
          <w:p w14:paraId="7AB513DB">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仓储业</w:t>
            </w:r>
          </w:p>
        </w:tc>
        <w:tc>
          <w:tcPr>
            <w:tcW w:w="1511" w:type="dxa"/>
            <w:tcBorders>
              <w:top w:val="nil"/>
              <w:left w:val="nil"/>
              <w:bottom w:val="single" w:color="auto" w:sz="4" w:space="0"/>
              <w:right w:val="single" w:color="auto" w:sz="4" w:space="0"/>
            </w:tcBorders>
            <w:noWrap w:val="0"/>
            <w:vAlign w:val="center"/>
          </w:tcPr>
          <w:p w14:paraId="0727F9B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997" w:type="dxa"/>
            <w:tcBorders>
              <w:top w:val="nil"/>
              <w:left w:val="nil"/>
              <w:bottom w:val="single" w:color="auto" w:sz="4" w:space="0"/>
              <w:right w:val="single" w:color="auto" w:sz="4" w:space="0"/>
            </w:tcBorders>
            <w:noWrap w:val="0"/>
            <w:vAlign w:val="center"/>
          </w:tcPr>
          <w:p w14:paraId="4B0A65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769" w:type="dxa"/>
            <w:tcBorders>
              <w:top w:val="nil"/>
              <w:left w:val="nil"/>
              <w:bottom w:val="single" w:color="auto" w:sz="4" w:space="0"/>
              <w:right w:val="single" w:color="auto" w:sz="4" w:space="0"/>
            </w:tcBorders>
            <w:noWrap w:val="0"/>
            <w:vAlign w:val="center"/>
          </w:tcPr>
          <w:p w14:paraId="3AC8CD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100≤X＜200</w:t>
            </w:r>
          </w:p>
        </w:tc>
        <w:tc>
          <w:tcPr>
            <w:tcW w:w="1572" w:type="dxa"/>
            <w:tcBorders>
              <w:top w:val="nil"/>
              <w:left w:val="nil"/>
              <w:bottom w:val="single" w:color="auto" w:sz="4" w:space="0"/>
              <w:right w:val="single" w:color="auto" w:sz="4" w:space="0"/>
            </w:tcBorders>
            <w:noWrap w:val="0"/>
            <w:vAlign w:val="center"/>
          </w:tcPr>
          <w:p w14:paraId="19B6B8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20≤X＜100</w:t>
            </w:r>
          </w:p>
        </w:tc>
        <w:tc>
          <w:tcPr>
            <w:tcW w:w="1010" w:type="dxa"/>
            <w:tcBorders>
              <w:top w:val="nil"/>
              <w:left w:val="nil"/>
              <w:bottom w:val="single" w:color="auto" w:sz="4" w:space="0"/>
              <w:right w:val="single" w:color="auto" w:sz="4" w:space="0"/>
            </w:tcBorders>
            <w:noWrap w:val="0"/>
            <w:vAlign w:val="center"/>
          </w:tcPr>
          <w:p w14:paraId="680CA65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X＜20</w:t>
            </w:r>
          </w:p>
        </w:tc>
      </w:tr>
      <w:tr w14:paraId="35FA6C32">
        <w:tblPrEx>
          <w:tblCellMar>
            <w:top w:w="0" w:type="dxa"/>
            <w:left w:w="108" w:type="dxa"/>
            <w:bottom w:w="0" w:type="dxa"/>
            <w:right w:w="108" w:type="dxa"/>
          </w:tblCellMar>
        </w:tblPrEx>
        <w:trPr>
          <w:trHeight w:val="337" w:hRule="atLeast"/>
        </w:trPr>
        <w:tc>
          <w:tcPr>
            <w:tcW w:w="1858" w:type="dxa"/>
            <w:vMerge w:val="continue"/>
            <w:tcBorders>
              <w:top w:val="nil"/>
              <w:left w:val="single" w:color="auto" w:sz="4" w:space="0"/>
              <w:bottom w:val="single" w:color="auto" w:sz="4" w:space="0"/>
              <w:right w:val="single" w:color="auto" w:sz="4" w:space="0"/>
            </w:tcBorders>
            <w:noWrap w:val="0"/>
            <w:vAlign w:val="bottom"/>
          </w:tcPr>
          <w:p w14:paraId="61A105CD">
            <w:pPr>
              <w:rPr>
                <w:rFonts w:hint="eastAsia" w:ascii="宋体" w:hAnsi="宋体" w:cs="宋体"/>
                <w:color w:val="auto"/>
                <w:sz w:val="20"/>
                <w:szCs w:val="20"/>
                <w:highlight w:val="none"/>
              </w:rPr>
            </w:pPr>
          </w:p>
        </w:tc>
        <w:tc>
          <w:tcPr>
            <w:tcW w:w="1511" w:type="dxa"/>
            <w:tcBorders>
              <w:top w:val="nil"/>
              <w:left w:val="nil"/>
              <w:bottom w:val="single" w:color="auto" w:sz="4" w:space="0"/>
              <w:right w:val="single" w:color="auto" w:sz="4" w:space="0"/>
            </w:tcBorders>
            <w:noWrap w:val="0"/>
            <w:vAlign w:val="center"/>
          </w:tcPr>
          <w:p w14:paraId="4DDD382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997" w:type="dxa"/>
            <w:tcBorders>
              <w:top w:val="nil"/>
              <w:left w:val="nil"/>
              <w:bottom w:val="single" w:color="auto" w:sz="4" w:space="0"/>
              <w:right w:val="single" w:color="auto" w:sz="4" w:space="0"/>
            </w:tcBorders>
            <w:noWrap w:val="0"/>
            <w:vAlign w:val="center"/>
          </w:tcPr>
          <w:p w14:paraId="451D11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78AE83A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1000≤Y＜30000</w:t>
            </w:r>
          </w:p>
        </w:tc>
        <w:tc>
          <w:tcPr>
            <w:tcW w:w="1572" w:type="dxa"/>
            <w:tcBorders>
              <w:top w:val="nil"/>
              <w:left w:val="nil"/>
              <w:bottom w:val="single" w:color="auto" w:sz="4" w:space="0"/>
              <w:right w:val="single" w:color="auto" w:sz="4" w:space="0"/>
            </w:tcBorders>
            <w:noWrap w:val="0"/>
            <w:vAlign w:val="center"/>
          </w:tcPr>
          <w:p w14:paraId="5D60778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100≤Y＜1000</w:t>
            </w:r>
          </w:p>
        </w:tc>
        <w:tc>
          <w:tcPr>
            <w:tcW w:w="1010" w:type="dxa"/>
            <w:tcBorders>
              <w:top w:val="nil"/>
              <w:left w:val="nil"/>
              <w:bottom w:val="single" w:color="auto" w:sz="4" w:space="0"/>
              <w:right w:val="single" w:color="auto" w:sz="4" w:space="0"/>
            </w:tcBorders>
            <w:noWrap w:val="0"/>
            <w:vAlign w:val="center"/>
          </w:tcPr>
          <w:p w14:paraId="704F1F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w:t>
            </w:r>
          </w:p>
        </w:tc>
      </w:tr>
      <w:tr w14:paraId="05952707">
        <w:tblPrEx>
          <w:tblCellMar>
            <w:top w:w="0" w:type="dxa"/>
            <w:left w:w="108" w:type="dxa"/>
            <w:bottom w:w="0" w:type="dxa"/>
            <w:right w:w="108" w:type="dxa"/>
          </w:tblCellMar>
        </w:tblPrEx>
        <w:trPr>
          <w:trHeight w:val="337" w:hRule="atLeast"/>
        </w:trPr>
        <w:tc>
          <w:tcPr>
            <w:tcW w:w="1858" w:type="dxa"/>
            <w:vMerge w:val="restart"/>
            <w:tcBorders>
              <w:top w:val="nil"/>
              <w:left w:val="single" w:color="auto" w:sz="4" w:space="0"/>
              <w:bottom w:val="single" w:color="auto" w:sz="4" w:space="0"/>
              <w:right w:val="single" w:color="auto" w:sz="4" w:space="0"/>
            </w:tcBorders>
            <w:noWrap w:val="0"/>
            <w:vAlign w:val="bottom"/>
          </w:tcPr>
          <w:p w14:paraId="3A58B72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邮政业</w:t>
            </w:r>
          </w:p>
        </w:tc>
        <w:tc>
          <w:tcPr>
            <w:tcW w:w="1511" w:type="dxa"/>
            <w:tcBorders>
              <w:top w:val="nil"/>
              <w:left w:val="nil"/>
              <w:bottom w:val="single" w:color="auto" w:sz="4" w:space="0"/>
              <w:right w:val="single" w:color="auto" w:sz="4" w:space="0"/>
            </w:tcBorders>
            <w:noWrap w:val="0"/>
            <w:vAlign w:val="center"/>
          </w:tcPr>
          <w:p w14:paraId="3AB764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997" w:type="dxa"/>
            <w:tcBorders>
              <w:top w:val="nil"/>
              <w:left w:val="nil"/>
              <w:bottom w:val="single" w:color="auto" w:sz="4" w:space="0"/>
              <w:right w:val="single" w:color="auto" w:sz="4" w:space="0"/>
            </w:tcBorders>
            <w:noWrap w:val="0"/>
            <w:vAlign w:val="center"/>
          </w:tcPr>
          <w:p w14:paraId="5642BB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769" w:type="dxa"/>
            <w:tcBorders>
              <w:top w:val="nil"/>
              <w:left w:val="nil"/>
              <w:bottom w:val="single" w:color="auto" w:sz="4" w:space="0"/>
              <w:right w:val="single" w:color="auto" w:sz="4" w:space="0"/>
            </w:tcBorders>
            <w:noWrap w:val="0"/>
            <w:vAlign w:val="center"/>
          </w:tcPr>
          <w:p w14:paraId="757F9A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300≤X＜1000</w:t>
            </w:r>
          </w:p>
        </w:tc>
        <w:tc>
          <w:tcPr>
            <w:tcW w:w="1572" w:type="dxa"/>
            <w:tcBorders>
              <w:top w:val="nil"/>
              <w:left w:val="nil"/>
              <w:bottom w:val="single" w:color="auto" w:sz="4" w:space="0"/>
              <w:right w:val="single" w:color="auto" w:sz="4" w:space="0"/>
            </w:tcBorders>
            <w:noWrap w:val="0"/>
            <w:vAlign w:val="center"/>
          </w:tcPr>
          <w:p w14:paraId="443D48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20≤X＜300</w:t>
            </w:r>
          </w:p>
        </w:tc>
        <w:tc>
          <w:tcPr>
            <w:tcW w:w="1010" w:type="dxa"/>
            <w:tcBorders>
              <w:top w:val="nil"/>
              <w:left w:val="nil"/>
              <w:bottom w:val="single" w:color="auto" w:sz="4" w:space="0"/>
              <w:right w:val="single" w:color="auto" w:sz="4" w:space="0"/>
            </w:tcBorders>
            <w:noWrap w:val="0"/>
            <w:vAlign w:val="center"/>
          </w:tcPr>
          <w:p w14:paraId="69EA8FC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X＜20</w:t>
            </w:r>
          </w:p>
        </w:tc>
      </w:tr>
      <w:tr w14:paraId="4C52F909">
        <w:tblPrEx>
          <w:tblCellMar>
            <w:top w:w="0" w:type="dxa"/>
            <w:left w:w="108" w:type="dxa"/>
            <w:bottom w:w="0" w:type="dxa"/>
            <w:right w:w="108" w:type="dxa"/>
          </w:tblCellMar>
        </w:tblPrEx>
        <w:trPr>
          <w:trHeight w:val="337" w:hRule="atLeast"/>
        </w:trPr>
        <w:tc>
          <w:tcPr>
            <w:tcW w:w="1858" w:type="dxa"/>
            <w:vMerge w:val="continue"/>
            <w:tcBorders>
              <w:top w:val="nil"/>
              <w:left w:val="single" w:color="auto" w:sz="4" w:space="0"/>
              <w:bottom w:val="single" w:color="auto" w:sz="4" w:space="0"/>
              <w:right w:val="single" w:color="auto" w:sz="4" w:space="0"/>
            </w:tcBorders>
            <w:noWrap w:val="0"/>
            <w:vAlign w:val="bottom"/>
          </w:tcPr>
          <w:p w14:paraId="31D0B56F">
            <w:pPr>
              <w:rPr>
                <w:rFonts w:hint="eastAsia" w:ascii="宋体" w:hAnsi="宋体" w:cs="宋体"/>
                <w:color w:val="auto"/>
                <w:sz w:val="20"/>
                <w:szCs w:val="20"/>
                <w:highlight w:val="none"/>
              </w:rPr>
            </w:pPr>
          </w:p>
        </w:tc>
        <w:tc>
          <w:tcPr>
            <w:tcW w:w="1511" w:type="dxa"/>
            <w:tcBorders>
              <w:top w:val="nil"/>
              <w:left w:val="nil"/>
              <w:bottom w:val="single" w:color="auto" w:sz="4" w:space="0"/>
              <w:right w:val="single" w:color="auto" w:sz="4" w:space="0"/>
            </w:tcBorders>
            <w:noWrap w:val="0"/>
            <w:vAlign w:val="center"/>
          </w:tcPr>
          <w:p w14:paraId="522D59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997" w:type="dxa"/>
            <w:tcBorders>
              <w:top w:val="nil"/>
              <w:left w:val="nil"/>
              <w:bottom w:val="single" w:color="auto" w:sz="4" w:space="0"/>
              <w:right w:val="single" w:color="auto" w:sz="4" w:space="0"/>
            </w:tcBorders>
            <w:noWrap w:val="0"/>
            <w:vAlign w:val="center"/>
          </w:tcPr>
          <w:p w14:paraId="01117AF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677B6D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2000≤Y＜30000</w:t>
            </w:r>
          </w:p>
        </w:tc>
        <w:tc>
          <w:tcPr>
            <w:tcW w:w="1572" w:type="dxa"/>
            <w:tcBorders>
              <w:top w:val="nil"/>
              <w:left w:val="nil"/>
              <w:bottom w:val="single" w:color="auto" w:sz="4" w:space="0"/>
              <w:right w:val="single" w:color="auto" w:sz="4" w:space="0"/>
            </w:tcBorders>
            <w:noWrap w:val="0"/>
            <w:vAlign w:val="center"/>
          </w:tcPr>
          <w:p w14:paraId="3F69D28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100≤Y＜2000</w:t>
            </w:r>
          </w:p>
        </w:tc>
        <w:tc>
          <w:tcPr>
            <w:tcW w:w="1010" w:type="dxa"/>
            <w:tcBorders>
              <w:top w:val="nil"/>
              <w:left w:val="nil"/>
              <w:bottom w:val="single" w:color="auto" w:sz="4" w:space="0"/>
              <w:right w:val="single" w:color="auto" w:sz="4" w:space="0"/>
            </w:tcBorders>
            <w:noWrap w:val="0"/>
            <w:vAlign w:val="center"/>
          </w:tcPr>
          <w:p w14:paraId="27D09F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w:t>
            </w:r>
          </w:p>
        </w:tc>
      </w:tr>
      <w:tr w14:paraId="202C8E6B">
        <w:tblPrEx>
          <w:tblCellMar>
            <w:top w:w="0" w:type="dxa"/>
            <w:left w:w="108" w:type="dxa"/>
            <w:bottom w:w="0" w:type="dxa"/>
            <w:right w:w="108" w:type="dxa"/>
          </w:tblCellMar>
        </w:tblPrEx>
        <w:trPr>
          <w:trHeight w:val="337" w:hRule="atLeast"/>
        </w:trPr>
        <w:tc>
          <w:tcPr>
            <w:tcW w:w="1858" w:type="dxa"/>
            <w:vMerge w:val="restart"/>
            <w:tcBorders>
              <w:top w:val="nil"/>
              <w:left w:val="single" w:color="auto" w:sz="4" w:space="0"/>
              <w:bottom w:val="single" w:color="auto" w:sz="4" w:space="0"/>
              <w:right w:val="single" w:color="auto" w:sz="4" w:space="0"/>
            </w:tcBorders>
            <w:noWrap w:val="0"/>
            <w:vAlign w:val="bottom"/>
          </w:tcPr>
          <w:p w14:paraId="3CF7501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住宿业</w:t>
            </w:r>
          </w:p>
        </w:tc>
        <w:tc>
          <w:tcPr>
            <w:tcW w:w="1511" w:type="dxa"/>
            <w:tcBorders>
              <w:top w:val="nil"/>
              <w:left w:val="nil"/>
              <w:bottom w:val="single" w:color="auto" w:sz="4" w:space="0"/>
              <w:right w:val="single" w:color="auto" w:sz="4" w:space="0"/>
            </w:tcBorders>
            <w:noWrap w:val="0"/>
            <w:vAlign w:val="center"/>
          </w:tcPr>
          <w:p w14:paraId="3D337E0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997" w:type="dxa"/>
            <w:tcBorders>
              <w:top w:val="nil"/>
              <w:left w:val="nil"/>
              <w:bottom w:val="single" w:color="auto" w:sz="4" w:space="0"/>
              <w:right w:val="single" w:color="auto" w:sz="4" w:space="0"/>
            </w:tcBorders>
            <w:noWrap w:val="0"/>
            <w:vAlign w:val="center"/>
          </w:tcPr>
          <w:p w14:paraId="0C2465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769" w:type="dxa"/>
            <w:tcBorders>
              <w:top w:val="nil"/>
              <w:left w:val="nil"/>
              <w:bottom w:val="single" w:color="auto" w:sz="4" w:space="0"/>
              <w:right w:val="single" w:color="auto" w:sz="4" w:space="0"/>
            </w:tcBorders>
            <w:noWrap w:val="0"/>
            <w:vAlign w:val="center"/>
          </w:tcPr>
          <w:p w14:paraId="462F2E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100≤X＜300</w:t>
            </w:r>
          </w:p>
        </w:tc>
        <w:tc>
          <w:tcPr>
            <w:tcW w:w="1572" w:type="dxa"/>
            <w:tcBorders>
              <w:top w:val="nil"/>
              <w:left w:val="nil"/>
              <w:bottom w:val="single" w:color="auto" w:sz="4" w:space="0"/>
              <w:right w:val="single" w:color="auto" w:sz="4" w:space="0"/>
            </w:tcBorders>
            <w:noWrap w:val="0"/>
            <w:vAlign w:val="center"/>
          </w:tcPr>
          <w:p w14:paraId="185C6C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10≤X＜100</w:t>
            </w:r>
          </w:p>
        </w:tc>
        <w:tc>
          <w:tcPr>
            <w:tcW w:w="1010" w:type="dxa"/>
            <w:tcBorders>
              <w:top w:val="nil"/>
              <w:left w:val="nil"/>
              <w:bottom w:val="single" w:color="auto" w:sz="4" w:space="0"/>
              <w:right w:val="single" w:color="auto" w:sz="4" w:space="0"/>
            </w:tcBorders>
            <w:noWrap w:val="0"/>
            <w:vAlign w:val="center"/>
          </w:tcPr>
          <w:p w14:paraId="76C9BAB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w:t>
            </w:r>
          </w:p>
        </w:tc>
      </w:tr>
      <w:tr w14:paraId="52D85DEC">
        <w:tblPrEx>
          <w:tblCellMar>
            <w:top w:w="0" w:type="dxa"/>
            <w:left w:w="108" w:type="dxa"/>
            <w:bottom w:w="0" w:type="dxa"/>
            <w:right w:w="108" w:type="dxa"/>
          </w:tblCellMar>
        </w:tblPrEx>
        <w:trPr>
          <w:trHeight w:val="337" w:hRule="atLeast"/>
        </w:trPr>
        <w:tc>
          <w:tcPr>
            <w:tcW w:w="1858" w:type="dxa"/>
            <w:vMerge w:val="continue"/>
            <w:tcBorders>
              <w:top w:val="nil"/>
              <w:left w:val="single" w:color="auto" w:sz="4" w:space="0"/>
              <w:bottom w:val="single" w:color="auto" w:sz="4" w:space="0"/>
              <w:right w:val="single" w:color="auto" w:sz="4" w:space="0"/>
            </w:tcBorders>
            <w:noWrap w:val="0"/>
            <w:vAlign w:val="bottom"/>
          </w:tcPr>
          <w:p w14:paraId="4FD8E484">
            <w:pPr>
              <w:rPr>
                <w:rFonts w:hint="eastAsia" w:ascii="宋体" w:hAnsi="宋体" w:cs="宋体"/>
                <w:color w:val="auto"/>
                <w:sz w:val="20"/>
                <w:szCs w:val="20"/>
                <w:highlight w:val="none"/>
              </w:rPr>
            </w:pPr>
          </w:p>
        </w:tc>
        <w:tc>
          <w:tcPr>
            <w:tcW w:w="1511" w:type="dxa"/>
            <w:tcBorders>
              <w:top w:val="nil"/>
              <w:left w:val="nil"/>
              <w:bottom w:val="single" w:color="auto" w:sz="4" w:space="0"/>
              <w:right w:val="single" w:color="auto" w:sz="4" w:space="0"/>
            </w:tcBorders>
            <w:noWrap w:val="0"/>
            <w:vAlign w:val="center"/>
          </w:tcPr>
          <w:p w14:paraId="75695CC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997" w:type="dxa"/>
            <w:tcBorders>
              <w:top w:val="nil"/>
              <w:left w:val="nil"/>
              <w:bottom w:val="single" w:color="auto" w:sz="4" w:space="0"/>
              <w:right w:val="single" w:color="auto" w:sz="4" w:space="0"/>
            </w:tcBorders>
            <w:noWrap w:val="0"/>
            <w:vAlign w:val="center"/>
          </w:tcPr>
          <w:p w14:paraId="23132E5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11ABD1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2000≤Y＜10000</w:t>
            </w:r>
          </w:p>
        </w:tc>
        <w:tc>
          <w:tcPr>
            <w:tcW w:w="1572" w:type="dxa"/>
            <w:tcBorders>
              <w:top w:val="nil"/>
              <w:left w:val="nil"/>
              <w:bottom w:val="single" w:color="auto" w:sz="4" w:space="0"/>
              <w:right w:val="single" w:color="auto" w:sz="4" w:space="0"/>
            </w:tcBorders>
            <w:noWrap w:val="0"/>
            <w:vAlign w:val="center"/>
          </w:tcPr>
          <w:p w14:paraId="06B77B2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100≤Y＜2000</w:t>
            </w:r>
          </w:p>
        </w:tc>
        <w:tc>
          <w:tcPr>
            <w:tcW w:w="1010" w:type="dxa"/>
            <w:tcBorders>
              <w:top w:val="nil"/>
              <w:left w:val="nil"/>
              <w:bottom w:val="single" w:color="auto" w:sz="4" w:space="0"/>
              <w:right w:val="single" w:color="auto" w:sz="4" w:space="0"/>
            </w:tcBorders>
            <w:noWrap w:val="0"/>
            <w:vAlign w:val="center"/>
          </w:tcPr>
          <w:p w14:paraId="591FBF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w:t>
            </w:r>
          </w:p>
        </w:tc>
      </w:tr>
      <w:tr w14:paraId="2B756BC6">
        <w:tblPrEx>
          <w:tblCellMar>
            <w:top w:w="0" w:type="dxa"/>
            <w:left w:w="108" w:type="dxa"/>
            <w:bottom w:w="0" w:type="dxa"/>
            <w:right w:w="108" w:type="dxa"/>
          </w:tblCellMar>
        </w:tblPrEx>
        <w:trPr>
          <w:trHeight w:val="337" w:hRule="atLeast"/>
        </w:trPr>
        <w:tc>
          <w:tcPr>
            <w:tcW w:w="1858" w:type="dxa"/>
            <w:vMerge w:val="restart"/>
            <w:tcBorders>
              <w:top w:val="nil"/>
              <w:left w:val="single" w:color="auto" w:sz="4" w:space="0"/>
              <w:bottom w:val="single" w:color="auto" w:sz="4" w:space="0"/>
              <w:right w:val="single" w:color="auto" w:sz="4" w:space="0"/>
            </w:tcBorders>
            <w:noWrap w:val="0"/>
            <w:vAlign w:val="bottom"/>
          </w:tcPr>
          <w:p w14:paraId="71FDA06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餐饮业</w:t>
            </w:r>
          </w:p>
        </w:tc>
        <w:tc>
          <w:tcPr>
            <w:tcW w:w="1511" w:type="dxa"/>
            <w:tcBorders>
              <w:top w:val="nil"/>
              <w:left w:val="nil"/>
              <w:bottom w:val="single" w:color="auto" w:sz="4" w:space="0"/>
              <w:right w:val="single" w:color="auto" w:sz="4" w:space="0"/>
            </w:tcBorders>
            <w:noWrap w:val="0"/>
            <w:vAlign w:val="center"/>
          </w:tcPr>
          <w:p w14:paraId="43332B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997" w:type="dxa"/>
            <w:tcBorders>
              <w:top w:val="nil"/>
              <w:left w:val="nil"/>
              <w:bottom w:val="single" w:color="auto" w:sz="4" w:space="0"/>
              <w:right w:val="single" w:color="auto" w:sz="4" w:space="0"/>
            </w:tcBorders>
            <w:noWrap w:val="0"/>
            <w:vAlign w:val="center"/>
          </w:tcPr>
          <w:p w14:paraId="6E1CC53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769" w:type="dxa"/>
            <w:tcBorders>
              <w:top w:val="nil"/>
              <w:left w:val="nil"/>
              <w:bottom w:val="single" w:color="auto" w:sz="4" w:space="0"/>
              <w:right w:val="single" w:color="auto" w:sz="4" w:space="0"/>
            </w:tcBorders>
            <w:noWrap w:val="0"/>
            <w:vAlign w:val="center"/>
          </w:tcPr>
          <w:p w14:paraId="220C655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100≤X＜300</w:t>
            </w:r>
          </w:p>
        </w:tc>
        <w:tc>
          <w:tcPr>
            <w:tcW w:w="1572" w:type="dxa"/>
            <w:tcBorders>
              <w:top w:val="nil"/>
              <w:left w:val="nil"/>
              <w:bottom w:val="single" w:color="auto" w:sz="4" w:space="0"/>
              <w:right w:val="single" w:color="auto" w:sz="4" w:space="0"/>
            </w:tcBorders>
            <w:noWrap w:val="0"/>
            <w:vAlign w:val="center"/>
          </w:tcPr>
          <w:p w14:paraId="5946EB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10≤X＜100</w:t>
            </w:r>
          </w:p>
        </w:tc>
        <w:tc>
          <w:tcPr>
            <w:tcW w:w="1010" w:type="dxa"/>
            <w:tcBorders>
              <w:top w:val="nil"/>
              <w:left w:val="nil"/>
              <w:bottom w:val="single" w:color="auto" w:sz="4" w:space="0"/>
              <w:right w:val="single" w:color="auto" w:sz="4" w:space="0"/>
            </w:tcBorders>
            <w:noWrap w:val="0"/>
            <w:vAlign w:val="center"/>
          </w:tcPr>
          <w:p w14:paraId="383799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w:t>
            </w:r>
          </w:p>
        </w:tc>
      </w:tr>
      <w:tr w14:paraId="361A06FD">
        <w:tblPrEx>
          <w:tblCellMar>
            <w:top w:w="0" w:type="dxa"/>
            <w:left w:w="108" w:type="dxa"/>
            <w:bottom w:w="0" w:type="dxa"/>
            <w:right w:w="108" w:type="dxa"/>
          </w:tblCellMar>
        </w:tblPrEx>
        <w:trPr>
          <w:trHeight w:val="337" w:hRule="atLeast"/>
        </w:trPr>
        <w:tc>
          <w:tcPr>
            <w:tcW w:w="1858" w:type="dxa"/>
            <w:vMerge w:val="continue"/>
            <w:tcBorders>
              <w:top w:val="nil"/>
              <w:left w:val="single" w:color="auto" w:sz="4" w:space="0"/>
              <w:bottom w:val="single" w:color="auto" w:sz="4" w:space="0"/>
              <w:right w:val="single" w:color="auto" w:sz="4" w:space="0"/>
            </w:tcBorders>
            <w:noWrap w:val="0"/>
            <w:vAlign w:val="bottom"/>
          </w:tcPr>
          <w:p w14:paraId="5B52AFC4">
            <w:pPr>
              <w:rPr>
                <w:rFonts w:hint="eastAsia" w:ascii="宋体" w:hAnsi="宋体" w:cs="宋体"/>
                <w:color w:val="auto"/>
                <w:sz w:val="20"/>
                <w:szCs w:val="20"/>
                <w:highlight w:val="none"/>
              </w:rPr>
            </w:pPr>
          </w:p>
        </w:tc>
        <w:tc>
          <w:tcPr>
            <w:tcW w:w="1511" w:type="dxa"/>
            <w:tcBorders>
              <w:top w:val="nil"/>
              <w:left w:val="nil"/>
              <w:bottom w:val="single" w:color="auto" w:sz="4" w:space="0"/>
              <w:right w:val="single" w:color="auto" w:sz="4" w:space="0"/>
            </w:tcBorders>
            <w:noWrap w:val="0"/>
            <w:vAlign w:val="center"/>
          </w:tcPr>
          <w:p w14:paraId="42800A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997" w:type="dxa"/>
            <w:tcBorders>
              <w:top w:val="nil"/>
              <w:left w:val="nil"/>
              <w:bottom w:val="single" w:color="auto" w:sz="4" w:space="0"/>
              <w:right w:val="single" w:color="auto" w:sz="4" w:space="0"/>
            </w:tcBorders>
            <w:noWrap w:val="0"/>
            <w:vAlign w:val="center"/>
          </w:tcPr>
          <w:p w14:paraId="3E500BC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6BDF4B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2000≤Y＜10000</w:t>
            </w:r>
          </w:p>
        </w:tc>
        <w:tc>
          <w:tcPr>
            <w:tcW w:w="1572" w:type="dxa"/>
            <w:tcBorders>
              <w:top w:val="nil"/>
              <w:left w:val="nil"/>
              <w:bottom w:val="single" w:color="auto" w:sz="4" w:space="0"/>
              <w:right w:val="single" w:color="auto" w:sz="4" w:space="0"/>
            </w:tcBorders>
            <w:noWrap w:val="0"/>
            <w:vAlign w:val="center"/>
          </w:tcPr>
          <w:p w14:paraId="4EA795A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100≤Y＜2000</w:t>
            </w:r>
          </w:p>
        </w:tc>
        <w:tc>
          <w:tcPr>
            <w:tcW w:w="1010" w:type="dxa"/>
            <w:tcBorders>
              <w:top w:val="nil"/>
              <w:left w:val="nil"/>
              <w:bottom w:val="single" w:color="auto" w:sz="4" w:space="0"/>
              <w:right w:val="single" w:color="auto" w:sz="4" w:space="0"/>
            </w:tcBorders>
            <w:noWrap w:val="0"/>
            <w:vAlign w:val="center"/>
          </w:tcPr>
          <w:p w14:paraId="1C11948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w:t>
            </w:r>
          </w:p>
        </w:tc>
      </w:tr>
      <w:tr w14:paraId="5204B789">
        <w:tblPrEx>
          <w:tblCellMar>
            <w:top w:w="0" w:type="dxa"/>
            <w:left w:w="108" w:type="dxa"/>
            <w:bottom w:w="0" w:type="dxa"/>
            <w:right w:w="108" w:type="dxa"/>
          </w:tblCellMar>
        </w:tblPrEx>
        <w:trPr>
          <w:trHeight w:val="337" w:hRule="atLeast"/>
        </w:trPr>
        <w:tc>
          <w:tcPr>
            <w:tcW w:w="1858" w:type="dxa"/>
            <w:vMerge w:val="restart"/>
            <w:tcBorders>
              <w:top w:val="nil"/>
              <w:left w:val="single" w:color="auto" w:sz="4" w:space="0"/>
              <w:bottom w:val="single" w:color="auto" w:sz="4" w:space="0"/>
              <w:right w:val="single" w:color="auto" w:sz="4" w:space="0"/>
            </w:tcBorders>
            <w:noWrap w:val="0"/>
            <w:vAlign w:val="bottom"/>
          </w:tcPr>
          <w:p w14:paraId="5666E12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信息传输业</w:t>
            </w:r>
          </w:p>
        </w:tc>
        <w:tc>
          <w:tcPr>
            <w:tcW w:w="1511" w:type="dxa"/>
            <w:tcBorders>
              <w:top w:val="nil"/>
              <w:left w:val="nil"/>
              <w:bottom w:val="single" w:color="auto" w:sz="4" w:space="0"/>
              <w:right w:val="single" w:color="auto" w:sz="4" w:space="0"/>
            </w:tcBorders>
            <w:noWrap w:val="0"/>
            <w:vAlign w:val="center"/>
          </w:tcPr>
          <w:p w14:paraId="03BDE7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997" w:type="dxa"/>
            <w:tcBorders>
              <w:top w:val="nil"/>
              <w:left w:val="nil"/>
              <w:bottom w:val="single" w:color="auto" w:sz="4" w:space="0"/>
              <w:right w:val="single" w:color="auto" w:sz="4" w:space="0"/>
            </w:tcBorders>
            <w:noWrap w:val="0"/>
            <w:vAlign w:val="center"/>
          </w:tcPr>
          <w:p w14:paraId="1DA60AD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769" w:type="dxa"/>
            <w:tcBorders>
              <w:top w:val="nil"/>
              <w:left w:val="nil"/>
              <w:bottom w:val="single" w:color="auto" w:sz="4" w:space="0"/>
              <w:right w:val="single" w:color="auto" w:sz="4" w:space="0"/>
            </w:tcBorders>
            <w:noWrap w:val="0"/>
            <w:vAlign w:val="center"/>
          </w:tcPr>
          <w:p w14:paraId="5B54EA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100≤X＜2000</w:t>
            </w:r>
          </w:p>
        </w:tc>
        <w:tc>
          <w:tcPr>
            <w:tcW w:w="1572" w:type="dxa"/>
            <w:tcBorders>
              <w:top w:val="nil"/>
              <w:left w:val="nil"/>
              <w:bottom w:val="single" w:color="auto" w:sz="4" w:space="0"/>
              <w:right w:val="single" w:color="auto" w:sz="4" w:space="0"/>
            </w:tcBorders>
            <w:noWrap w:val="0"/>
            <w:vAlign w:val="center"/>
          </w:tcPr>
          <w:p w14:paraId="654F11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10≤X＜100</w:t>
            </w:r>
          </w:p>
        </w:tc>
        <w:tc>
          <w:tcPr>
            <w:tcW w:w="1010" w:type="dxa"/>
            <w:tcBorders>
              <w:top w:val="nil"/>
              <w:left w:val="nil"/>
              <w:bottom w:val="single" w:color="auto" w:sz="4" w:space="0"/>
              <w:right w:val="single" w:color="auto" w:sz="4" w:space="0"/>
            </w:tcBorders>
            <w:noWrap w:val="0"/>
            <w:vAlign w:val="center"/>
          </w:tcPr>
          <w:p w14:paraId="1E4EF14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w:t>
            </w:r>
          </w:p>
        </w:tc>
      </w:tr>
      <w:tr w14:paraId="5F384D00">
        <w:tblPrEx>
          <w:tblCellMar>
            <w:top w:w="0" w:type="dxa"/>
            <w:left w:w="108" w:type="dxa"/>
            <w:bottom w:w="0" w:type="dxa"/>
            <w:right w:w="108" w:type="dxa"/>
          </w:tblCellMar>
        </w:tblPrEx>
        <w:trPr>
          <w:trHeight w:val="337" w:hRule="atLeast"/>
        </w:trPr>
        <w:tc>
          <w:tcPr>
            <w:tcW w:w="1858" w:type="dxa"/>
            <w:vMerge w:val="continue"/>
            <w:tcBorders>
              <w:top w:val="nil"/>
              <w:left w:val="single" w:color="auto" w:sz="4" w:space="0"/>
              <w:bottom w:val="single" w:color="auto" w:sz="4" w:space="0"/>
              <w:right w:val="single" w:color="auto" w:sz="4" w:space="0"/>
            </w:tcBorders>
            <w:noWrap w:val="0"/>
            <w:vAlign w:val="bottom"/>
          </w:tcPr>
          <w:p w14:paraId="76590C66">
            <w:pPr>
              <w:rPr>
                <w:rFonts w:hint="eastAsia" w:ascii="宋体" w:hAnsi="宋体" w:cs="宋体"/>
                <w:color w:val="auto"/>
                <w:sz w:val="20"/>
                <w:szCs w:val="20"/>
                <w:highlight w:val="none"/>
              </w:rPr>
            </w:pPr>
          </w:p>
        </w:tc>
        <w:tc>
          <w:tcPr>
            <w:tcW w:w="1511" w:type="dxa"/>
            <w:tcBorders>
              <w:top w:val="nil"/>
              <w:left w:val="nil"/>
              <w:bottom w:val="single" w:color="auto" w:sz="4" w:space="0"/>
              <w:right w:val="single" w:color="auto" w:sz="4" w:space="0"/>
            </w:tcBorders>
            <w:noWrap w:val="0"/>
            <w:vAlign w:val="center"/>
          </w:tcPr>
          <w:p w14:paraId="1B1EC1A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997" w:type="dxa"/>
            <w:tcBorders>
              <w:top w:val="nil"/>
              <w:left w:val="nil"/>
              <w:bottom w:val="single" w:color="auto" w:sz="4" w:space="0"/>
              <w:right w:val="single" w:color="auto" w:sz="4" w:space="0"/>
            </w:tcBorders>
            <w:noWrap w:val="0"/>
            <w:vAlign w:val="center"/>
          </w:tcPr>
          <w:p w14:paraId="4607EAF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0F5E57D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1000≤Y＜100000</w:t>
            </w:r>
          </w:p>
        </w:tc>
        <w:tc>
          <w:tcPr>
            <w:tcW w:w="1572" w:type="dxa"/>
            <w:tcBorders>
              <w:top w:val="nil"/>
              <w:left w:val="nil"/>
              <w:bottom w:val="single" w:color="auto" w:sz="4" w:space="0"/>
              <w:right w:val="single" w:color="auto" w:sz="4" w:space="0"/>
            </w:tcBorders>
            <w:noWrap w:val="0"/>
            <w:vAlign w:val="center"/>
          </w:tcPr>
          <w:p w14:paraId="0AB256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100≤Y＜1000</w:t>
            </w:r>
          </w:p>
        </w:tc>
        <w:tc>
          <w:tcPr>
            <w:tcW w:w="1010" w:type="dxa"/>
            <w:tcBorders>
              <w:top w:val="nil"/>
              <w:left w:val="nil"/>
              <w:bottom w:val="single" w:color="auto" w:sz="4" w:space="0"/>
              <w:right w:val="single" w:color="auto" w:sz="4" w:space="0"/>
            </w:tcBorders>
            <w:noWrap w:val="0"/>
            <w:vAlign w:val="center"/>
          </w:tcPr>
          <w:p w14:paraId="331A75D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w:t>
            </w:r>
          </w:p>
        </w:tc>
      </w:tr>
      <w:tr w14:paraId="6B4B8568">
        <w:tblPrEx>
          <w:tblCellMar>
            <w:top w:w="0" w:type="dxa"/>
            <w:left w:w="108" w:type="dxa"/>
            <w:bottom w:w="0" w:type="dxa"/>
            <w:right w:w="108" w:type="dxa"/>
          </w:tblCellMar>
        </w:tblPrEx>
        <w:trPr>
          <w:trHeight w:val="337" w:hRule="atLeast"/>
        </w:trPr>
        <w:tc>
          <w:tcPr>
            <w:tcW w:w="1858" w:type="dxa"/>
            <w:vMerge w:val="restart"/>
            <w:tcBorders>
              <w:top w:val="nil"/>
              <w:left w:val="single" w:color="auto" w:sz="4" w:space="0"/>
              <w:bottom w:val="single" w:color="auto" w:sz="4" w:space="0"/>
              <w:right w:val="single" w:color="auto" w:sz="4" w:space="0"/>
            </w:tcBorders>
            <w:noWrap w:val="0"/>
            <w:vAlign w:val="bottom"/>
          </w:tcPr>
          <w:p w14:paraId="6C2FC5B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软件和信息技术服务业</w:t>
            </w:r>
          </w:p>
        </w:tc>
        <w:tc>
          <w:tcPr>
            <w:tcW w:w="1511" w:type="dxa"/>
            <w:tcBorders>
              <w:top w:val="nil"/>
              <w:left w:val="nil"/>
              <w:bottom w:val="single" w:color="auto" w:sz="4" w:space="0"/>
              <w:right w:val="single" w:color="auto" w:sz="4" w:space="0"/>
            </w:tcBorders>
            <w:noWrap w:val="0"/>
            <w:vAlign w:val="center"/>
          </w:tcPr>
          <w:p w14:paraId="7062B5E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997" w:type="dxa"/>
            <w:tcBorders>
              <w:top w:val="nil"/>
              <w:left w:val="nil"/>
              <w:bottom w:val="single" w:color="auto" w:sz="4" w:space="0"/>
              <w:right w:val="single" w:color="auto" w:sz="4" w:space="0"/>
            </w:tcBorders>
            <w:noWrap w:val="0"/>
            <w:vAlign w:val="center"/>
          </w:tcPr>
          <w:p w14:paraId="1B3220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769" w:type="dxa"/>
            <w:tcBorders>
              <w:top w:val="nil"/>
              <w:left w:val="nil"/>
              <w:bottom w:val="single" w:color="auto" w:sz="4" w:space="0"/>
              <w:right w:val="single" w:color="auto" w:sz="4" w:space="0"/>
            </w:tcBorders>
            <w:noWrap w:val="0"/>
            <w:vAlign w:val="center"/>
          </w:tcPr>
          <w:p w14:paraId="13FBBAD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100≤X＜300</w:t>
            </w:r>
          </w:p>
        </w:tc>
        <w:tc>
          <w:tcPr>
            <w:tcW w:w="1572" w:type="dxa"/>
            <w:tcBorders>
              <w:top w:val="nil"/>
              <w:left w:val="nil"/>
              <w:bottom w:val="single" w:color="auto" w:sz="4" w:space="0"/>
              <w:right w:val="single" w:color="auto" w:sz="4" w:space="0"/>
            </w:tcBorders>
            <w:noWrap w:val="0"/>
            <w:vAlign w:val="center"/>
          </w:tcPr>
          <w:p w14:paraId="1E6159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10≤X＜100</w:t>
            </w:r>
          </w:p>
        </w:tc>
        <w:tc>
          <w:tcPr>
            <w:tcW w:w="1010" w:type="dxa"/>
            <w:tcBorders>
              <w:top w:val="nil"/>
              <w:left w:val="nil"/>
              <w:bottom w:val="single" w:color="auto" w:sz="4" w:space="0"/>
              <w:right w:val="single" w:color="auto" w:sz="4" w:space="0"/>
            </w:tcBorders>
            <w:noWrap w:val="0"/>
            <w:vAlign w:val="center"/>
          </w:tcPr>
          <w:p w14:paraId="4F64ED4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w:t>
            </w:r>
          </w:p>
        </w:tc>
      </w:tr>
      <w:tr w14:paraId="5A0A9125">
        <w:tblPrEx>
          <w:tblCellMar>
            <w:top w:w="0" w:type="dxa"/>
            <w:left w:w="108" w:type="dxa"/>
            <w:bottom w:w="0" w:type="dxa"/>
            <w:right w:w="108" w:type="dxa"/>
          </w:tblCellMar>
        </w:tblPrEx>
        <w:trPr>
          <w:trHeight w:val="337" w:hRule="atLeast"/>
        </w:trPr>
        <w:tc>
          <w:tcPr>
            <w:tcW w:w="1858" w:type="dxa"/>
            <w:vMerge w:val="continue"/>
            <w:tcBorders>
              <w:top w:val="nil"/>
              <w:left w:val="single" w:color="auto" w:sz="4" w:space="0"/>
              <w:bottom w:val="single" w:color="auto" w:sz="4" w:space="0"/>
              <w:right w:val="single" w:color="auto" w:sz="4" w:space="0"/>
            </w:tcBorders>
            <w:noWrap w:val="0"/>
            <w:vAlign w:val="bottom"/>
          </w:tcPr>
          <w:p w14:paraId="2CB03D0B">
            <w:pPr>
              <w:rPr>
                <w:rFonts w:hint="eastAsia" w:ascii="宋体" w:hAnsi="宋体" w:cs="宋体"/>
                <w:color w:val="auto"/>
                <w:sz w:val="20"/>
                <w:szCs w:val="20"/>
                <w:highlight w:val="none"/>
              </w:rPr>
            </w:pPr>
          </w:p>
        </w:tc>
        <w:tc>
          <w:tcPr>
            <w:tcW w:w="1511" w:type="dxa"/>
            <w:tcBorders>
              <w:top w:val="nil"/>
              <w:left w:val="nil"/>
              <w:bottom w:val="single" w:color="auto" w:sz="4" w:space="0"/>
              <w:right w:val="single" w:color="auto" w:sz="4" w:space="0"/>
            </w:tcBorders>
            <w:noWrap w:val="0"/>
            <w:vAlign w:val="center"/>
          </w:tcPr>
          <w:p w14:paraId="3EB1E8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997" w:type="dxa"/>
            <w:tcBorders>
              <w:top w:val="nil"/>
              <w:left w:val="nil"/>
              <w:bottom w:val="single" w:color="auto" w:sz="4" w:space="0"/>
              <w:right w:val="single" w:color="auto" w:sz="4" w:space="0"/>
            </w:tcBorders>
            <w:noWrap w:val="0"/>
            <w:vAlign w:val="center"/>
          </w:tcPr>
          <w:p w14:paraId="1F4F39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4E2F4F3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1000≤Y＜10000</w:t>
            </w:r>
          </w:p>
        </w:tc>
        <w:tc>
          <w:tcPr>
            <w:tcW w:w="1572" w:type="dxa"/>
            <w:tcBorders>
              <w:top w:val="nil"/>
              <w:left w:val="nil"/>
              <w:bottom w:val="single" w:color="auto" w:sz="4" w:space="0"/>
              <w:right w:val="single" w:color="auto" w:sz="4" w:space="0"/>
            </w:tcBorders>
            <w:noWrap w:val="0"/>
            <w:vAlign w:val="center"/>
          </w:tcPr>
          <w:p w14:paraId="404ED7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50≤Y＜1000</w:t>
            </w:r>
          </w:p>
        </w:tc>
        <w:tc>
          <w:tcPr>
            <w:tcW w:w="1010" w:type="dxa"/>
            <w:tcBorders>
              <w:top w:val="nil"/>
              <w:left w:val="nil"/>
              <w:bottom w:val="single" w:color="auto" w:sz="4" w:space="0"/>
              <w:right w:val="single" w:color="auto" w:sz="4" w:space="0"/>
            </w:tcBorders>
            <w:noWrap w:val="0"/>
            <w:vAlign w:val="center"/>
          </w:tcPr>
          <w:p w14:paraId="26AE295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Y＜50</w:t>
            </w:r>
          </w:p>
        </w:tc>
      </w:tr>
      <w:tr w14:paraId="1B231AB7">
        <w:tblPrEx>
          <w:tblCellMar>
            <w:top w:w="0" w:type="dxa"/>
            <w:left w:w="108" w:type="dxa"/>
            <w:bottom w:w="0" w:type="dxa"/>
            <w:right w:w="108" w:type="dxa"/>
          </w:tblCellMar>
        </w:tblPrEx>
        <w:trPr>
          <w:trHeight w:val="337" w:hRule="atLeast"/>
        </w:trPr>
        <w:tc>
          <w:tcPr>
            <w:tcW w:w="1858" w:type="dxa"/>
            <w:vMerge w:val="restart"/>
            <w:tcBorders>
              <w:top w:val="nil"/>
              <w:left w:val="single" w:color="auto" w:sz="4" w:space="0"/>
              <w:bottom w:val="single" w:color="auto" w:sz="4" w:space="0"/>
              <w:right w:val="single" w:color="auto" w:sz="4" w:space="0"/>
            </w:tcBorders>
            <w:noWrap w:val="0"/>
            <w:vAlign w:val="bottom"/>
          </w:tcPr>
          <w:p w14:paraId="3D7CF2F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房地产开发经营</w:t>
            </w:r>
          </w:p>
        </w:tc>
        <w:tc>
          <w:tcPr>
            <w:tcW w:w="1511" w:type="dxa"/>
            <w:tcBorders>
              <w:top w:val="nil"/>
              <w:left w:val="nil"/>
              <w:bottom w:val="single" w:color="auto" w:sz="4" w:space="0"/>
              <w:right w:val="single" w:color="auto" w:sz="4" w:space="0"/>
            </w:tcBorders>
            <w:noWrap w:val="0"/>
            <w:vAlign w:val="center"/>
          </w:tcPr>
          <w:p w14:paraId="2D778D2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997" w:type="dxa"/>
            <w:tcBorders>
              <w:top w:val="nil"/>
              <w:left w:val="nil"/>
              <w:bottom w:val="single" w:color="auto" w:sz="4" w:space="0"/>
              <w:right w:val="single" w:color="auto" w:sz="4" w:space="0"/>
            </w:tcBorders>
            <w:noWrap w:val="0"/>
            <w:vAlign w:val="center"/>
          </w:tcPr>
          <w:p w14:paraId="45B14E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291384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1000≤Y＜200000</w:t>
            </w:r>
          </w:p>
        </w:tc>
        <w:tc>
          <w:tcPr>
            <w:tcW w:w="1572" w:type="dxa"/>
            <w:tcBorders>
              <w:top w:val="nil"/>
              <w:left w:val="nil"/>
              <w:bottom w:val="single" w:color="auto" w:sz="4" w:space="0"/>
              <w:right w:val="single" w:color="auto" w:sz="4" w:space="0"/>
            </w:tcBorders>
            <w:noWrap w:val="0"/>
            <w:vAlign w:val="center"/>
          </w:tcPr>
          <w:p w14:paraId="060454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100≤X＜1000</w:t>
            </w:r>
          </w:p>
        </w:tc>
        <w:tc>
          <w:tcPr>
            <w:tcW w:w="1010" w:type="dxa"/>
            <w:tcBorders>
              <w:top w:val="nil"/>
              <w:left w:val="nil"/>
              <w:bottom w:val="single" w:color="auto" w:sz="4" w:space="0"/>
              <w:right w:val="single" w:color="auto" w:sz="4" w:space="0"/>
            </w:tcBorders>
            <w:noWrap w:val="0"/>
            <w:vAlign w:val="center"/>
          </w:tcPr>
          <w:p w14:paraId="471C0A3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X＜100</w:t>
            </w:r>
          </w:p>
        </w:tc>
      </w:tr>
      <w:tr w14:paraId="0322074E">
        <w:tblPrEx>
          <w:tblCellMar>
            <w:top w:w="0" w:type="dxa"/>
            <w:left w:w="108" w:type="dxa"/>
            <w:bottom w:w="0" w:type="dxa"/>
            <w:right w:w="108" w:type="dxa"/>
          </w:tblCellMar>
        </w:tblPrEx>
        <w:trPr>
          <w:trHeight w:val="337" w:hRule="atLeast"/>
        </w:trPr>
        <w:tc>
          <w:tcPr>
            <w:tcW w:w="1858" w:type="dxa"/>
            <w:vMerge w:val="continue"/>
            <w:tcBorders>
              <w:top w:val="nil"/>
              <w:left w:val="single" w:color="auto" w:sz="4" w:space="0"/>
              <w:bottom w:val="single" w:color="auto" w:sz="4" w:space="0"/>
              <w:right w:val="single" w:color="auto" w:sz="4" w:space="0"/>
            </w:tcBorders>
            <w:noWrap w:val="0"/>
            <w:vAlign w:val="bottom"/>
          </w:tcPr>
          <w:p w14:paraId="053E38B3">
            <w:pPr>
              <w:rPr>
                <w:rFonts w:hint="eastAsia" w:ascii="宋体" w:hAnsi="宋体" w:cs="宋体"/>
                <w:color w:val="auto"/>
                <w:sz w:val="20"/>
                <w:szCs w:val="20"/>
                <w:highlight w:val="none"/>
              </w:rPr>
            </w:pPr>
          </w:p>
        </w:tc>
        <w:tc>
          <w:tcPr>
            <w:tcW w:w="1511" w:type="dxa"/>
            <w:tcBorders>
              <w:top w:val="nil"/>
              <w:left w:val="nil"/>
              <w:bottom w:val="single" w:color="auto" w:sz="4" w:space="0"/>
              <w:right w:val="single" w:color="auto" w:sz="4" w:space="0"/>
            </w:tcBorders>
            <w:noWrap w:val="0"/>
            <w:vAlign w:val="center"/>
          </w:tcPr>
          <w:p w14:paraId="273334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资产总额（Z）</w:t>
            </w:r>
          </w:p>
        </w:tc>
        <w:tc>
          <w:tcPr>
            <w:tcW w:w="997" w:type="dxa"/>
            <w:tcBorders>
              <w:top w:val="nil"/>
              <w:left w:val="nil"/>
              <w:bottom w:val="single" w:color="auto" w:sz="4" w:space="0"/>
              <w:right w:val="single" w:color="auto" w:sz="4" w:space="0"/>
            </w:tcBorders>
            <w:noWrap w:val="0"/>
            <w:vAlign w:val="center"/>
          </w:tcPr>
          <w:p w14:paraId="03F7FEF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411DFC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5000≤Z＜10000</w:t>
            </w:r>
          </w:p>
        </w:tc>
        <w:tc>
          <w:tcPr>
            <w:tcW w:w="1572" w:type="dxa"/>
            <w:tcBorders>
              <w:top w:val="nil"/>
              <w:left w:val="nil"/>
              <w:bottom w:val="single" w:color="auto" w:sz="4" w:space="0"/>
              <w:right w:val="single" w:color="auto" w:sz="4" w:space="0"/>
            </w:tcBorders>
            <w:noWrap w:val="0"/>
            <w:vAlign w:val="center"/>
          </w:tcPr>
          <w:p w14:paraId="48FA7D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2000≤Y＜5000</w:t>
            </w:r>
          </w:p>
        </w:tc>
        <w:tc>
          <w:tcPr>
            <w:tcW w:w="1010" w:type="dxa"/>
            <w:tcBorders>
              <w:top w:val="nil"/>
              <w:left w:val="nil"/>
              <w:bottom w:val="single" w:color="auto" w:sz="4" w:space="0"/>
              <w:right w:val="single" w:color="auto" w:sz="4" w:space="0"/>
            </w:tcBorders>
            <w:noWrap w:val="0"/>
            <w:vAlign w:val="center"/>
          </w:tcPr>
          <w:p w14:paraId="782968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Y＜2000</w:t>
            </w:r>
          </w:p>
        </w:tc>
      </w:tr>
      <w:tr w14:paraId="37ADD3E7">
        <w:tblPrEx>
          <w:tblCellMar>
            <w:top w:w="0" w:type="dxa"/>
            <w:left w:w="108" w:type="dxa"/>
            <w:bottom w:w="0" w:type="dxa"/>
            <w:right w:w="108" w:type="dxa"/>
          </w:tblCellMar>
        </w:tblPrEx>
        <w:trPr>
          <w:trHeight w:val="337" w:hRule="atLeast"/>
        </w:trPr>
        <w:tc>
          <w:tcPr>
            <w:tcW w:w="1858" w:type="dxa"/>
            <w:vMerge w:val="restart"/>
            <w:tcBorders>
              <w:top w:val="nil"/>
              <w:left w:val="single" w:color="auto" w:sz="4" w:space="0"/>
              <w:bottom w:val="single" w:color="auto" w:sz="4" w:space="0"/>
              <w:right w:val="single" w:color="auto" w:sz="4" w:space="0"/>
            </w:tcBorders>
            <w:noWrap w:val="0"/>
            <w:vAlign w:val="bottom"/>
          </w:tcPr>
          <w:p w14:paraId="5B5AE0E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物业管理</w:t>
            </w:r>
          </w:p>
        </w:tc>
        <w:tc>
          <w:tcPr>
            <w:tcW w:w="1511" w:type="dxa"/>
            <w:tcBorders>
              <w:top w:val="nil"/>
              <w:left w:val="nil"/>
              <w:bottom w:val="single" w:color="auto" w:sz="4" w:space="0"/>
              <w:right w:val="single" w:color="auto" w:sz="4" w:space="0"/>
            </w:tcBorders>
            <w:noWrap w:val="0"/>
            <w:vAlign w:val="center"/>
          </w:tcPr>
          <w:p w14:paraId="099DC2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997" w:type="dxa"/>
            <w:tcBorders>
              <w:top w:val="nil"/>
              <w:left w:val="nil"/>
              <w:bottom w:val="single" w:color="auto" w:sz="4" w:space="0"/>
              <w:right w:val="single" w:color="auto" w:sz="4" w:space="0"/>
            </w:tcBorders>
            <w:noWrap w:val="0"/>
            <w:vAlign w:val="center"/>
          </w:tcPr>
          <w:p w14:paraId="0BADFC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769" w:type="dxa"/>
            <w:tcBorders>
              <w:top w:val="nil"/>
              <w:left w:val="nil"/>
              <w:bottom w:val="single" w:color="auto" w:sz="4" w:space="0"/>
              <w:right w:val="single" w:color="auto" w:sz="4" w:space="0"/>
            </w:tcBorders>
            <w:noWrap w:val="0"/>
            <w:vAlign w:val="center"/>
          </w:tcPr>
          <w:p w14:paraId="059CFD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300≤X＜1000</w:t>
            </w:r>
          </w:p>
        </w:tc>
        <w:tc>
          <w:tcPr>
            <w:tcW w:w="1572" w:type="dxa"/>
            <w:tcBorders>
              <w:top w:val="nil"/>
              <w:left w:val="nil"/>
              <w:bottom w:val="single" w:color="auto" w:sz="4" w:space="0"/>
              <w:right w:val="single" w:color="auto" w:sz="4" w:space="0"/>
            </w:tcBorders>
            <w:noWrap w:val="0"/>
            <w:vAlign w:val="center"/>
          </w:tcPr>
          <w:p w14:paraId="43BC8A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100≤X＜300</w:t>
            </w:r>
          </w:p>
        </w:tc>
        <w:tc>
          <w:tcPr>
            <w:tcW w:w="1010" w:type="dxa"/>
            <w:tcBorders>
              <w:top w:val="nil"/>
              <w:left w:val="nil"/>
              <w:bottom w:val="single" w:color="auto" w:sz="4" w:space="0"/>
              <w:right w:val="single" w:color="auto" w:sz="4" w:space="0"/>
            </w:tcBorders>
            <w:noWrap w:val="0"/>
            <w:vAlign w:val="center"/>
          </w:tcPr>
          <w:p w14:paraId="74406B6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X＜100</w:t>
            </w:r>
          </w:p>
        </w:tc>
      </w:tr>
      <w:tr w14:paraId="5CA275E6">
        <w:tblPrEx>
          <w:tblCellMar>
            <w:top w:w="0" w:type="dxa"/>
            <w:left w:w="108" w:type="dxa"/>
            <w:bottom w:w="0" w:type="dxa"/>
            <w:right w:w="108" w:type="dxa"/>
          </w:tblCellMar>
        </w:tblPrEx>
        <w:trPr>
          <w:trHeight w:val="337" w:hRule="atLeast"/>
        </w:trPr>
        <w:tc>
          <w:tcPr>
            <w:tcW w:w="1858" w:type="dxa"/>
            <w:vMerge w:val="continue"/>
            <w:tcBorders>
              <w:top w:val="nil"/>
              <w:left w:val="single" w:color="auto" w:sz="4" w:space="0"/>
              <w:bottom w:val="single" w:color="auto" w:sz="4" w:space="0"/>
              <w:right w:val="single" w:color="auto" w:sz="4" w:space="0"/>
            </w:tcBorders>
            <w:noWrap w:val="0"/>
            <w:vAlign w:val="bottom"/>
          </w:tcPr>
          <w:p w14:paraId="6125EDBF">
            <w:pPr>
              <w:rPr>
                <w:rFonts w:hint="eastAsia" w:ascii="宋体" w:hAnsi="宋体" w:cs="宋体"/>
                <w:color w:val="auto"/>
                <w:sz w:val="20"/>
                <w:szCs w:val="20"/>
                <w:highlight w:val="none"/>
              </w:rPr>
            </w:pPr>
          </w:p>
        </w:tc>
        <w:tc>
          <w:tcPr>
            <w:tcW w:w="1511" w:type="dxa"/>
            <w:tcBorders>
              <w:top w:val="nil"/>
              <w:left w:val="nil"/>
              <w:bottom w:val="single" w:color="auto" w:sz="4" w:space="0"/>
              <w:right w:val="single" w:color="auto" w:sz="4" w:space="0"/>
            </w:tcBorders>
            <w:noWrap w:val="0"/>
            <w:vAlign w:val="center"/>
          </w:tcPr>
          <w:p w14:paraId="03F6D99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营业收入（Y）</w:t>
            </w:r>
          </w:p>
        </w:tc>
        <w:tc>
          <w:tcPr>
            <w:tcW w:w="997" w:type="dxa"/>
            <w:tcBorders>
              <w:top w:val="nil"/>
              <w:left w:val="nil"/>
              <w:bottom w:val="single" w:color="auto" w:sz="4" w:space="0"/>
              <w:right w:val="single" w:color="auto" w:sz="4" w:space="0"/>
            </w:tcBorders>
            <w:noWrap w:val="0"/>
            <w:vAlign w:val="center"/>
          </w:tcPr>
          <w:p w14:paraId="650970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224A22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1000≤Y＜5000</w:t>
            </w:r>
          </w:p>
        </w:tc>
        <w:tc>
          <w:tcPr>
            <w:tcW w:w="1572" w:type="dxa"/>
            <w:tcBorders>
              <w:top w:val="nil"/>
              <w:left w:val="nil"/>
              <w:bottom w:val="single" w:color="auto" w:sz="4" w:space="0"/>
              <w:right w:val="single" w:color="auto" w:sz="4" w:space="0"/>
            </w:tcBorders>
            <w:noWrap w:val="0"/>
            <w:vAlign w:val="center"/>
          </w:tcPr>
          <w:p w14:paraId="6EC702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500≤Y＜1000</w:t>
            </w:r>
          </w:p>
        </w:tc>
        <w:tc>
          <w:tcPr>
            <w:tcW w:w="1010" w:type="dxa"/>
            <w:tcBorders>
              <w:top w:val="nil"/>
              <w:left w:val="nil"/>
              <w:bottom w:val="single" w:color="auto" w:sz="4" w:space="0"/>
              <w:right w:val="single" w:color="auto" w:sz="4" w:space="0"/>
            </w:tcBorders>
            <w:noWrap w:val="0"/>
            <w:vAlign w:val="center"/>
          </w:tcPr>
          <w:p w14:paraId="6AB338D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Y＜500</w:t>
            </w:r>
          </w:p>
        </w:tc>
      </w:tr>
      <w:tr w14:paraId="15BE6754">
        <w:tblPrEx>
          <w:tblCellMar>
            <w:top w:w="0" w:type="dxa"/>
            <w:left w:w="108" w:type="dxa"/>
            <w:bottom w:w="0" w:type="dxa"/>
            <w:right w:w="108" w:type="dxa"/>
          </w:tblCellMar>
        </w:tblPrEx>
        <w:trPr>
          <w:trHeight w:val="337" w:hRule="atLeast"/>
        </w:trPr>
        <w:tc>
          <w:tcPr>
            <w:tcW w:w="1858" w:type="dxa"/>
            <w:vMerge w:val="restart"/>
            <w:tcBorders>
              <w:top w:val="nil"/>
              <w:left w:val="single" w:color="auto" w:sz="4" w:space="0"/>
              <w:bottom w:val="single" w:color="auto" w:sz="4" w:space="0"/>
              <w:right w:val="single" w:color="auto" w:sz="4" w:space="0"/>
            </w:tcBorders>
            <w:noWrap w:val="0"/>
            <w:vAlign w:val="bottom"/>
          </w:tcPr>
          <w:p w14:paraId="2D5107E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租赁和商务服务业</w:t>
            </w:r>
          </w:p>
        </w:tc>
        <w:tc>
          <w:tcPr>
            <w:tcW w:w="1511" w:type="dxa"/>
            <w:tcBorders>
              <w:top w:val="nil"/>
              <w:left w:val="nil"/>
              <w:bottom w:val="single" w:color="auto" w:sz="4" w:space="0"/>
              <w:right w:val="single" w:color="auto" w:sz="4" w:space="0"/>
            </w:tcBorders>
            <w:noWrap w:val="0"/>
            <w:vAlign w:val="center"/>
          </w:tcPr>
          <w:p w14:paraId="0440B9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997" w:type="dxa"/>
            <w:tcBorders>
              <w:top w:val="nil"/>
              <w:left w:val="nil"/>
              <w:bottom w:val="single" w:color="auto" w:sz="4" w:space="0"/>
              <w:right w:val="single" w:color="auto" w:sz="4" w:space="0"/>
            </w:tcBorders>
            <w:noWrap w:val="0"/>
            <w:vAlign w:val="center"/>
          </w:tcPr>
          <w:p w14:paraId="5A7B2B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769" w:type="dxa"/>
            <w:tcBorders>
              <w:top w:val="nil"/>
              <w:left w:val="nil"/>
              <w:bottom w:val="single" w:color="auto" w:sz="4" w:space="0"/>
              <w:right w:val="single" w:color="auto" w:sz="4" w:space="0"/>
            </w:tcBorders>
            <w:noWrap w:val="0"/>
            <w:vAlign w:val="center"/>
          </w:tcPr>
          <w:p w14:paraId="11F8CB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100≤X＜300</w:t>
            </w:r>
          </w:p>
        </w:tc>
        <w:tc>
          <w:tcPr>
            <w:tcW w:w="1572" w:type="dxa"/>
            <w:tcBorders>
              <w:top w:val="nil"/>
              <w:left w:val="nil"/>
              <w:bottom w:val="single" w:color="auto" w:sz="4" w:space="0"/>
              <w:right w:val="single" w:color="auto" w:sz="4" w:space="0"/>
            </w:tcBorders>
            <w:noWrap w:val="0"/>
            <w:vAlign w:val="center"/>
          </w:tcPr>
          <w:p w14:paraId="3EF4FE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10≤X＜100</w:t>
            </w:r>
          </w:p>
        </w:tc>
        <w:tc>
          <w:tcPr>
            <w:tcW w:w="1010" w:type="dxa"/>
            <w:tcBorders>
              <w:top w:val="nil"/>
              <w:left w:val="nil"/>
              <w:bottom w:val="single" w:color="auto" w:sz="4" w:space="0"/>
              <w:right w:val="single" w:color="auto" w:sz="4" w:space="0"/>
            </w:tcBorders>
            <w:noWrap w:val="0"/>
            <w:vAlign w:val="center"/>
          </w:tcPr>
          <w:p w14:paraId="5CA0DF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w:t>
            </w:r>
          </w:p>
        </w:tc>
      </w:tr>
      <w:tr w14:paraId="7F44AC0B">
        <w:tblPrEx>
          <w:tblCellMar>
            <w:top w:w="0" w:type="dxa"/>
            <w:left w:w="108" w:type="dxa"/>
            <w:bottom w:w="0" w:type="dxa"/>
            <w:right w:w="108" w:type="dxa"/>
          </w:tblCellMar>
        </w:tblPrEx>
        <w:trPr>
          <w:trHeight w:val="337" w:hRule="atLeast"/>
        </w:trPr>
        <w:tc>
          <w:tcPr>
            <w:tcW w:w="1858" w:type="dxa"/>
            <w:vMerge w:val="continue"/>
            <w:tcBorders>
              <w:top w:val="nil"/>
              <w:left w:val="single" w:color="auto" w:sz="4" w:space="0"/>
              <w:bottom w:val="single" w:color="auto" w:sz="4" w:space="0"/>
              <w:right w:val="single" w:color="auto" w:sz="4" w:space="0"/>
            </w:tcBorders>
            <w:noWrap w:val="0"/>
            <w:vAlign w:val="bottom"/>
          </w:tcPr>
          <w:p w14:paraId="7B2B04B1">
            <w:pPr>
              <w:rPr>
                <w:rFonts w:hint="eastAsia" w:ascii="宋体" w:hAnsi="宋体" w:cs="宋体"/>
                <w:color w:val="auto"/>
                <w:sz w:val="20"/>
                <w:szCs w:val="20"/>
                <w:highlight w:val="none"/>
              </w:rPr>
            </w:pPr>
          </w:p>
        </w:tc>
        <w:tc>
          <w:tcPr>
            <w:tcW w:w="1511" w:type="dxa"/>
            <w:tcBorders>
              <w:top w:val="nil"/>
              <w:left w:val="nil"/>
              <w:bottom w:val="single" w:color="auto" w:sz="4" w:space="0"/>
              <w:right w:val="single" w:color="auto" w:sz="4" w:space="0"/>
            </w:tcBorders>
            <w:noWrap w:val="0"/>
            <w:vAlign w:val="center"/>
          </w:tcPr>
          <w:p w14:paraId="156CB04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资产总额（Z）</w:t>
            </w:r>
          </w:p>
        </w:tc>
        <w:tc>
          <w:tcPr>
            <w:tcW w:w="997" w:type="dxa"/>
            <w:tcBorders>
              <w:top w:val="nil"/>
              <w:left w:val="nil"/>
              <w:bottom w:val="single" w:color="auto" w:sz="4" w:space="0"/>
              <w:right w:val="single" w:color="auto" w:sz="4" w:space="0"/>
            </w:tcBorders>
            <w:noWrap w:val="0"/>
            <w:vAlign w:val="center"/>
          </w:tcPr>
          <w:p w14:paraId="297A9B5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万元</w:t>
            </w:r>
          </w:p>
        </w:tc>
        <w:tc>
          <w:tcPr>
            <w:tcW w:w="1769" w:type="dxa"/>
            <w:tcBorders>
              <w:top w:val="nil"/>
              <w:left w:val="nil"/>
              <w:bottom w:val="single" w:color="auto" w:sz="4" w:space="0"/>
              <w:right w:val="single" w:color="auto" w:sz="4" w:space="0"/>
            </w:tcBorders>
            <w:noWrap w:val="0"/>
            <w:vAlign w:val="center"/>
          </w:tcPr>
          <w:p w14:paraId="2CC67B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8000≤Z＜120000</w:t>
            </w:r>
          </w:p>
        </w:tc>
        <w:tc>
          <w:tcPr>
            <w:tcW w:w="1572" w:type="dxa"/>
            <w:tcBorders>
              <w:top w:val="nil"/>
              <w:left w:val="nil"/>
              <w:bottom w:val="single" w:color="auto" w:sz="4" w:space="0"/>
              <w:right w:val="single" w:color="auto" w:sz="4" w:space="0"/>
            </w:tcBorders>
            <w:noWrap w:val="0"/>
            <w:vAlign w:val="center"/>
          </w:tcPr>
          <w:p w14:paraId="07DA76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100≤Z＜8000</w:t>
            </w:r>
          </w:p>
        </w:tc>
        <w:tc>
          <w:tcPr>
            <w:tcW w:w="1010" w:type="dxa"/>
            <w:tcBorders>
              <w:top w:val="nil"/>
              <w:left w:val="nil"/>
              <w:bottom w:val="single" w:color="auto" w:sz="4" w:space="0"/>
              <w:right w:val="single" w:color="auto" w:sz="4" w:space="0"/>
            </w:tcBorders>
            <w:noWrap w:val="0"/>
            <w:vAlign w:val="center"/>
          </w:tcPr>
          <w:p w14:paraId="219B5E4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Y＜100</w:t>
            </w:r>
          </w:p>
        </w:tc>
      </w:tr>
      <w:tr w14:paraId="69FEA317">
        <w:tblPrEx>
          <w:tblCellMar>
            <w:top w:w="0" w:type="dxa"/>
            <w:left w:w="108" w:type="dxa"/>
            <w:bottom w:w="0" w:type="dxa"/>
            <w:right w:w="108" w:type="dxa"/>
          </w:tblCellMar>
        </w:tblPrEx>
        <w:trPr>
          <w:trHeight w:val="347" w:hRule="atLeast"/>
        </w:trPr>
        <w:tc>
          <w:tcPr>
            <w:tcW w:w="1858" w:type="dxa"/>
            <w:tcBorders>
              <w:top w:val="nil"/>
              <w:left w:val="single" w:color="auto" w:sz="4" w:space="0"/>
              <w:bottom w:val="single" w:color="auto" w:sz="4" w:space="0"/>
              <w:right w:val="single" w:color="auto" w:sz="4" w:space="0"/>
            </w:tcBorders>
            <w:noWrap w:val="0"/>
            <w:vAlign w:val="bottom"/>
          </w:tcPr>
          <w:p w14:paraId="7725285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lang w:bidi="ar"/>
              </w:rPr>
              <w:t>其他未列明行业</w:t>
            </w:r>
          </w:p>
        </w:tc>
        <w:tc>
          <w:tcPr>
            <w:tcW w:w="1511" w:type="dxa"/>
            <w:tcBorders>
              <w:top w:val="nil"/>
              <w:left w:val="nil"/>
              <w:bottom w:val="single" w:color="auto" w:sz="4" w:space="0"/>
              <w:right w:val="single" w:color="auto" w:sz="4" w:space="0"/>
            </w:tcBorders>
            <w:noWrap w:val="0"/>
            <w:vAlign w:val="center"/>
          </w:tcPr>
          <w:p w14:paraId="3BBBD27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从业人员（X）</w:t>
            </w:r>
          </w:p>
        </w:tc>
        <w:tc>
          <w:tcPr>
            <w:tcW w:w="997" w:type="dxa"/>
            <w:tcBorders>
              <w:top w:val="nil"/>
              <w:left w:val="nil"/>
              <w:bottom w:val="single" w:color="auto" w:sz="4" w:space="0"/>
              <w:right w:val="single" w:color="auto" w:sz="4" w:space="0"/>
            </w:tcBorders>
            <w:noWrap w:val="0"/>
            <w:vAlign w:val="center"/>
          </w:tcPr>
          <w:p w14:paraId="045AF1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人</w:t>
            </w:r>
          </w:p>
        </w:tc>
        <w:tc>
          <w:tcPr>
            <w:tcW w:w="1769" w:type="dxa"/>
            <w:tcBorders>
              <w:top w:val="nil"/>
              <w:left w:val="nil"/>
              <w:bottom w:val="single" w:color="auto" w:sz="4" w:space="0"/>
              <w:right w:val="single" w:color="auto" w:sz="4" w:space="0"/>
            </w:tcBorders>
            <w:noWrap w:val="0"/>
            <w:vAlign w:val="center"/>
          </w:tcPr>
          <w:p w14:paraId="718896C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100≤X＜300</w:t>
            </w:r>
          </w:p>
        </w:tc>
        <w:tc>
          <w:tcPr>
            <w:tcW w:w="1572" w:type="dxa"/>
            <w:tcBorders>
              <w:top w:val="nil"/>
              <w:left w:val="nil"/>
              <w:bottom w:val="single" w:color="auto" w:sz="4" w:space="0"/>
              <w:right w:val="single" w:color="auto" w:sz="4" w:space="0"/>
            </w:tcBorders>
            <w:noWrap w:val="0"/>
            <w:vAlign w:val="center"/>
          </w:tcPr>
          <w:p w14:paraId="4EC8D6F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10≤X＜100</w:t>
            </w:r>
          </w:p>
        </w:tc>
        <w:tc>
          <w:tcPr>
            <w:tcW w:w="1010" w:type="dxa"/>
            <w:tcBorders>
              <w:top w:val="nil"/>
              <w:left w:val="nil"/>
              <w:bottom w:val="single" w:color="auto" w:sz="4" w:space="0"/>
              <w:right w:val="single" w:color="auto" w:sz="4" w:space="0"/>
            </w:tcBorders>
            <w:noWrap w:val="0"/>
            <w:vAlign w:val="center"/>
          </w:tcPr>
          <w:p w14:paraId="45AE3C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X＜10</w:t>
            </w:r>
          </w:p>
        </w:tc>
      </w:tr>
    </w:tbl>
    <w:p w14:paraId="423AE936">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lang w:bidi="ar"/>
        </w:rPr>
        <w:t>说明：上述标准参照《关于印发中小企业划型标准规定的通知》（工信部联企业[2011]300号），大型、中型和小型企业须同时满足所列指标的下限，否则下划一档；微型企业只须满足所列指标中的一项即可。</w:t>
      </w:r>
    </w:p>
    <w:p w14:paraId="19D6EDFB">
      <w:pPr>
        <w:rPr>
          <w:rFonts w:hint="eastAsia" w:ascii="宋体" w:hAnsi="宋体" w:cs="宋体"/>
          <w:color w:val="auto"/>
          <w:szCs w:val="20"/>
          <w:highlight w:val="none"/>
          <w:lang w:bidi="ar"/>
        </w:rPr>
        <w:sectPr>
          <w:pgSz w:w="11906" w:h="16838"/>
          <w:pgMar w:top="1135" w:right="1135" w:bottom="1135" w:left="1135" w:header="720" w:footer="720" w:gutter="0"/>
          <w:pgNumType w:fmt="decimal"/>
          <w:cols w:space="720" w:num="1"/>
          <w:docGrid w:type="lines" w:linePitch="331" w:charSpace="0"/>
        </w:sectPr>
      </w:pPr>
    </w:p>
    <w:p w14:paraId="4748F082">
      <w:pPr>
        <w:widowControl/>
        <w:jc w:val="center"/>
        <w:outlineLvl w:val="0"/>
        <w:rPr>
          <w:rFonts w:hint="eastAsia" w:ascii="宋体" w:hAnsi="宋体" w:cs="宋体"/>
          <w:b/>
          <w:color w:val="auto"/>
          <w:sz w:val="36"/>
          <w:szCs w:val="36"/>
          <w:highlight w:val="none"/>
        </w:rPr>
      </w:pPr>
      <w:bookmarkStart w:id="51" w:name="_Toc19461"/>
      <w:bookmarkStart w:id="52" w:name="_Toc532545044"/>
      <w:bookmarkStart w:id="53" w:name="_Toc26614"/>
      <w:bookmarkStart w:id="54" w:name="_Toc26088"/>
      <w:r>
        <w:rPr>
          <w:rFonts w:hint="eastAsia" w:ascii="宋体" w:hAnsi="宋体" w:cs="宋体"/>
          <w:b/>
          <w:color w:val="auto"/>
          <w:sz w:val="36"/>
          <w:szCs w:val="20"/>
          <w:highlight w:val="none"/>
        </w:rPr>
        <w:t>第三章  投标人须知</w:t>
      </w:r>
      <w:bookmarkEnd w:id="51"/>
      <w:bookmarkEnd w:id="52"/>
      <w:bookmarkEnd w:id="53"/>
      <w:bookmarkEnd w:id="54"/>
    </w:p>
    <w:p w14:paraId="25FF8828">
      <w:pPr>
        <w:widowControl/>
        <w:spacing w:line="720" w:lineRule="auto"/>
        <w:jc w:val="center"/>
        <w:outlineLvl w:val="1"/>
        <w:rPr>
          <w:rFonts w:hint="eastAsia" w:ascii="宋体" w:hAnsi="宋体" w:cs="宋体"/>
          <w:b/>
          <w:color w:val="auto"/>
          <w:sz w:val="30"/>
          <w:szCs w:val="30"/>
          <w:highlight w:val="none"/>
        </w:rPr>
      </w:pPr>
      <w:bookmarkStart w:id="55" w:name="_Toc12649"/>
      <w:bookmarkStart w:id="56" w:name="_Toc12836"/>
      <w:bookmarkStart w:id="57" w:name="_Toc16360"/>
      <w:r>
        <w:rPr>
          <w:rFonts w:hint="eastAsia" w:ascii="宋体" w:hAnsi="宋体" w:cs="宋体"/>
          <w:b/>
          <w:color w:val="auto"/>
          <w:sz w:val="30"/>
          <w:szCs w:val="30"/>
          <w:highlight w:val="none"/>
        </w:rPr>
        <w:t>第一节 投标人须知前附表</w:t>
      </w:r>
      <w:bookmarkEnd w:id="55"/>
      <w:bookmarkEnd w:id="56"/>
      <w:bookmarkEnd w:id="57"/>
    </w:p>
    <w:tbl>
      <w:tblPr>
        <w:tblStyle w:val="39"/>
        <w:tblW w:w="10245" w:type="dxa"/>
        <w:tblInd w:w="1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41"/>
        <w:gridCol w:w="2445"/>
        <w:gridCol w:w="6959"/>
      </w:tblGrid>
      <w:tr w14:paraId="1D9E955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4BBAB9A4">
            <w:pPr>
              <w:keepNext w:val="0"/>
              <w:keepLines w:val="0"/>
              <w:pageBreakBefore w:val="0"/>
              <w:kinsoku/>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条款号</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66E9DA5D">
            <w:pPr>
              <w:keepNext w:val="0"/>
              <w:keepLines w:val="0"/>
              <w:pageBreakBefore w:val="0"/>
              <w:kinsoku/>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项目内容</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4F0E0101">
            <w:pPr>
              <w:keepNext w:val="0"/>
              <w:keepLines w:val="0"/>
              <w:pageBreakBefore w:val="0"/>
              <w:kinsoku/>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编列内容</w:t>
            </w:r>
          </w:p>
        </w:tc>
      </w:tr>
      <w:tr w14:paraId="6F98FC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7063EC94">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6.1</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CE8DEB5">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bookmarkStart w:id="58" w:name="_9.2"/>
            <w:bookmarkEnd w:id="58"/>
            <w:bookmarkStart w:id="59" w:name="_5"/>
            <w:bookmarkEnd w:id="59"/>
            <w:bookmarkStart w:id="60" w:name="_8.1"/>
            <w:bookmarkEnd w:id="60"/>
            <w:r>
              <w:rPr>
                <w:rFonts w:hint="eastAsia" w:ascii="宋体" w:hAnsi="宋体" w:eastAsia="宋体" w:cs="宋体"/>
                <w:color w:val="auto"/>
                <w:sz w:val="24"/>
                <w:szCs w:val="24"/>
                <w:highlight w:val="none"/>
                <w:lang w:bidi="ar"/>
              </w:rPr>
              <w:t>是否接受联合体投标</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5262CE27">
            <w:pPr>
              <w:keepNext w:val="0"/>
              <w:keepLines w:val="0"/>
              <w:pageBreakBefore w:val="0"/>
              <w:widowControl/>
              <w:kinsoku/>
              <w:overflowPunct/>
              <w:topLinePunct w:val="0"/>
              <w:bidi w:val="0"/>
              <w:spacing w:line="360" w:lineRule="auto"/>
              <w:jc w:val="left"/>
              <w:rPr>
                <w:rFonts w:hint="eastAsia" w:ascii="宋体" w:hAnsi="宋体" w:eastAsia="宋体" w:cs="宋体"/>
                <w:color w:val="auto"/>
                <w:sz w:val="24"/>
                <w:szCs w:val="24"/>
                <w:highlight w:val="none"/>
              </w:rPr>
            </w:pPr>
            <w:bookmarkStart w:id="61" w:name="PO_3000001867_PM007_1"/>
            <w:r>
              <w:rPr>
                <w:rFonts w:hint="eastAsia" w:ascii="宋体" w:hAnsi="宋体" w:eastAsia="宋体" w:cs="宋体"/>
                <w:color w:val="auto"/>
                <w:sz w:val="24"/>
                <w:szCs w:val="24"/>
                <w:highlight w:val="none"/>
              </w:rPr>
              <w:t>不允许联合体投标</w:t>
            </w:r>
            <w:bookmarkEnd w:id="61"/>
            <w:r>
              <w:rPr>
                <w:rFonts w:hint="eastAsia" w:ascii="宋体" w:hAnsi="宋体" w:eastAsia="宋体" w:cs="宋体"/>
                <w:color w:val="auto"/>
                <w:sz w:val="24"/>
                <w:szCs w:val="24"/>
                <w:highlight w:val="none"/>
              </w:rPr>
              <w:t>。</w:t>
            </w:r>
          </w:p>
        </w:tc>
      </w:tr>
      <w:tr w14:paraId="3F4B17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6931067C">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6.2</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64A8092">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联合体投标要求</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1F2EF49E">
            <w:pPr>
              <w:keepNext w:val="0"/>
              <w:keepLines w:val="0"/>
              <w:pageBreakBefore w:val="0"/>
              <w:widowControl/>
              <w:kinsoku/>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3D3828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11BF848D">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7.2</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CC71196">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是否允许转包/分包</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18735B77">
            <w:pPr>
              <w:keepNext w:val="0"/>
              <w:keepLines w:val="0"/>
              <w:pageBreakBefore w:val="0"/>
              <w:widowControl/>
              <w:kinsoku/>
              <w:overflowPunct/>
              <w:topLinePunct w:val="0"/>
              <w:bidi w:val="0"/>
              <w:spacing w:line="360" w:lineRule="auto"/>
              <w:jc w:val="left"/>
              <w:rPr>
                <w:rFonts w:hint="eastAsia" w:ascii="宋体" w:hAnsi="宋体" w:eastAsia="宋体" w:cs="宋体"/>
                <w:color w:val="auto"/>
                <w:sz w:val="24"/>
                <w:szCs w:val="24"/>
                <w:highlight w:val="none"/>
              </w:rPr>
            </w:pPr>
            <w:bookmarkStart w:id="62" w:name="PO_3000001867_PM044"/>
            <w:r>
              <w:rPr>
                <w:rFonts w:hint="eastAsia" w:ascii="宋体" w:hAnsi="宋体" w:eastAsia="宋体" w:cs="宋体"/>
                <w:color w:val="auto"/>
                <w:sz w:val="24"/>
                <w:szCs w:val="24"/>
                <w:highlight w:val="none"/>
              </w:rPr>
              <w:t>☑不允许分包</w:t>
            </w:r>
            <w:bookmarkEnd w:id="62"/>
          </w:p>
          <w:p w14:paraId="29671743">
            <w:pPr>
              <w:keepNext w:val="0"/>
              <w:keepLines w:val="0"/>
              <w:pageBreakBefore w:val="0"/>
              <w:widowControl/>
              <w:kinsoku/>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转包/分包内容：</w:t>
            </w:r>
            <w:r>
              <w:rPr>
                <w:rFonts w:hint="eastAsia" w:ascii="宋体" w:hAnsi="宋体" w:eastAsia="宋体" w:cs="宋体"/>
                <w:color w:val="auto"/>
                <w:sz w:val="24"/>
                <w:szCs w:val="24"/>
                <w:highlight w:val="none"/>
                <w:u w:val="single"/>
              </w:rPr>
              <w:t xml:space="preserve">                                     。</w:t>
            </w:r>
          </w:p>
          <w:p w14:paraId="0CC97A0A">
            <w:pPr>
              <w:keepNext w:val="0"/>
              <w:keepLines w:val="0"/>
              <w:pageBreakBefore w:val="0"/>
              <w:widowControl/>
              <w:kinsoku/>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转包/分包金额或者比例：</w:t>
            </w:r>
            <w:r>
              <w:rPr>
                <w:rFonts w:hint="eastAsia" w:ascii="宋体" w:hAnsi="宋体" w:eastAsia="宋体" w:cs="宋体"/>
                <w:color w:val="auto"/>
                <w:sz w:val="24"/>
                <w:szCs w:val="24"/>
                <w:highlight w:val="none"/>
                <w:u w:val="single"/>
              </w:rPr>
              <w:t xml:space="preserve">                                     。</w:t>
            </w:r>
          </w:p>
        </w:tc>
      </w:tr>
      <w:tr w14:paraId="4C218A4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4901D34D">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11.4</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5D0CB41">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媒体发布渠道</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2E78D7EC">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与本项目相关的政府采购业务澄清、更正及与之相关的事项将在采购公告中“六、其他补充事宜”中网上查询地址上发布</w:t>
            </w:r>
            <w:r>
              <w:rPr>
                <w:rFonts w:hint="eastAsia" w:ascii="宋体" w:hAnsi="宋体" w:eastAsia="宋体" w:cs="宋体"/>
                <w:color w:val="auto"/>
                <w:kern w:val="0"/>
                <w:sz w:val="24"/>
                <w:szCs w:val="24"/>
                <w:highlight w:val="none"/>
                <w:lang w:bidi="ar"/>
              </w:rPr>
              <w:t>。</w:t>
            </w:r>
          </w:p>
        </w:tc>
      </w:tr>
      <w:tr w14:paraId="04E47F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6EE486EF">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11.6</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7C09A7DB">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是否组织标前答疑会</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55BB0312">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☑不组织召开开标前答疑会</w:t>
            </w:r>
          </w:p>
          <w:p w14:paraId="5E8B2105">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□组织召开开标前答疑会</w:t>
            </w:r>
          </w:p>
          <w:p w14:paraId="77187E23">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会议开始时间：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日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时</w:t>
            </w:r>
            <w:r>
              <w:rPr>
                <w:rFonts w:hint="eastAsia" w:ascii="宋体" w:hAnsi="宋体" w:eastAsia="宋体" w:cs="宋体"/>
                <w:color w:val="auto"/>
                <w:sz w:val="24"/>
                <w:szCs w:val="24"/>
                <w:highlight w:val="none"/>
                <w:u w:val="single"/>
                <w:lang w:bidi="ar"/>
              </w:rPr>
              <w:t xml:space="preserve">  分</w:t>
            </w:r>
            <w:r>
              <w:rPr>
                <w:rFonts w:hint="eastAsia" w:ascii="宋体" w:hAnsi="宋体" w:eastAsia="宋体" w:cs="宋体"/>
                <w:color w:val="auto"/>
                <w:sz w:val="24"/>
                <w:szCs w:val="24"/>
                <w:highlight w:val="none"/>
                <w:lang w:bidi="ar"/>
              </w:rPr>
              <w:t>，逾期后果自负。会议地点：</w:t>
            </w:r>
            <w:r>
              <w:rPr>
                <w:rFonts w:hint="eastAsia" w:ascii="宋体" w:hAnsi="宋体" w:eastAsia="宋体" w:cs="宋体"/>
                <w:color w:val="auto"/>
                <w:sz w:val="24"/>
                <w:szCs w:val="24"/>
                <w:highlight w:val="none"/>
                <w:u w:val="single"/>
                <w:lang w:bidi="ar"/>
              </w:rPr>
              <w:t xml:space="preserve">              </w:t>
            </w:r>
          </w:p>
        </w:tc>
      </w:tr>
      <w:tr w14:paraId="1B1D666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nil"/>
              <w:left w:val="single" w:color="auto" w:sz="4" w:space="0"/>
              <w:bottom w:val="nil"/>
              <w:right w:val="single" w:color="auto" w:sz="4" w:space="0"/>
            </w:tcBorders>
            <w:noWrap w:val="0"/>
            <w:vAlign w:val="center"/>
          </w:tcPr>
          <w:p w14:paraId="76A8701C">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13.1</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5D318F0">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bookmarkStart w:id="63" w:name="_13.2"/>
            <w:bookmarkEnd w:id="63"/>
            <w:r>
              <w:rPr>
                <w:rFonts w:hint="eastAsia" w:ascii="宋体" w:hAnsi="宋体" w:eastAsia="宋体" w:cs="宋体"/>
                <w:color w:val="auto"/>
                <w:sz w:val="24"/>
                <w:szCs w:val="24"/>
                <w:highlight w:val="none"/>
                <w:lang w:bidi="ar"/>
              </w:rPr>
              <w:t>资格证明文件组成</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02C68F4E">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rPr>
              <w:t>投标人为法人或者其他组织的，提供营业执照等证明文件（如营业执照或者事业单位法人证书或者</w:t>
            </w:r>
            <w:r>
              <w:rPr>
                <w:rFonts w:hint="eastAsia" w:ascii="宋体" w:hAnsi="宋体" w:eastAsia="宋体" w:cs="宋体"/>
                <w:color w:val="auto"/>
                <w:sz w:val="24"/>
                <w:szCs w:val="24"/>
                <w:highlight w:val="none"/>
                <w:lang w:val="zh-CN" w:bidi="zh-CN"/>
              </w:rPr>
              <w:t>执业许可证</w:t>
            </w:r>
            <w:r>
              <w:rPr>
                <w:rFonts w:hint="eastAsia" w:ascii="宋体" w:hAnsi="宋体" w:eastAsia="宋体" w:cs="宋体"/>
                <w:color w:val="auto"/>
                <w:sz w:val="24"/>
                <w:szCs w:val="24"/>
                <w:highlight w:val="none"/>
              </w:rPr>
              <w:t>等），投标人为自然人的，提供身份证复印件</w:t>
            </w:r>
            <w:r>
              <w:rPr>
                <w:rFonts w:hint="eastAsia" w:ascii="宋体" w:hAnsi="宋体" w:eastAsia="宋体" w:cs="宋体"/>
                <w:color w:val="auto"/>
                <w:sz w:val="24"/>
                <w:szCs w:val="24"/>
                <w:highlight w:val="none"/>
                <w:lang w:bidi="ar"/>
              </w:rPr>
              <w:t>。</w:t>
            </w:r>
            <w:r>
              <w:rPr>
                <w:rFonts w:hint="eastAsia" w:ascii="宋体" w:hAnsi="宋体" w:eastAsia="宋体" w:cs="宋体"/>
                <w:b/>
                <w:bCs/>
                <w:color w:val="auto"/>
                <w:sz w:val="24"/>
                <w:szCs w:val="24"/>
                <w:highlight w:val="none"/>
                <w:lang w:bidi="ar"/>
              </w:rPr>
              <w:t>（必须提供，否则作无效投标处理）</w:t>
            </w:r>
          </w:p>
          <w:p w14:paraId="5E01B311">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2、投标人依法缴纳税收的相关材料：[</w:t>
            </w:r>
            <w:r>
              <w:rPr>
                <w:rFonts w:hint="eastAsia" w:ascii="宋体" w:hAnsi="宋体" w:eastAsia="宋体" w:cs="宋体"/>
                <w:color w:val="auto"/>
                <w:sz w:val="24"/>
                <w:szCs w:val="24"/>
                <w:highlight w:val="none"/>
                <w:u w:val="single"/>
                <w:lang w:val="en-US" w:eastAsia="zh-CN"/>
              </w:rPr>
              <w:t>2025年</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月至2025年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月</w:t>
            </w:r>
            <w:r>
              <w:rPr>
                <w:rFonts w:hint="eastAsia" w:ascii="宋体" w:hAnsi="宋体" w:eastAsia="宋体" w:cs="宋体"/>
                <w:color w:val="auto"/>
                <w:sz w:val="24"/>
                <w:szCs w:val="24"/>
                <w:highlight w:val="none"/>
                <w:lang w:bidi="ar"/>
              </w:rPr>
              <w:t>]任意连续3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bCs/>
                <w:color w:val="auto"/>
                <w:sz w:val="24"/>
                <w:szCs w:val="24"/>
                <w:highlight w:val="none"/>
                <w:lang w:bidi="ar"/>
              </w:rPr>
              <w:t>（必须提供，否则作无效投标处理）</w:t>
            </w:r>
          </w:p>
          <w:p w14:paraId="29A3701F">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3、投标人依法缴纳社会保障资金的相关材料[</w:t>
            </w:r>
            <w:r>
              <w:rPr>
                <w:rFonts w:hint="eastAsia" w:ascii="宋体" w:hAnsi="宋体" w:eastAsia="宋体" w:cs="宋体"/>
                <w:color w:val="auto"/>
                <w:sz w:val="24"/>
                <w:szCs w:val="24"/>
                <w:highlight w:val="none"/>
                <w:u w:val="single"/>
                <w:lang w:val="en-US" w:eastAsia="zh-CN"/>
              </w:rPr>
              <w:t>2025年</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月至2025年</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月</w:t>
            </w:r>
            <w:r>
              <w:rPr>
                <w:rFonts w:hint="eastAsia" w:ascii="宋体" w:hAnsi="宋体" w:eastAsia="宋体" w:cs="宋体"/>
                <w:color w:val="auto"/>
                <w:sz w:val="24"/>
                <w:szCs w:val="24"/>
                <w:highlight w:val="none"/>
                <w:lang w:bidi="ar"/>
              </w:rPr>
              <w:t>]任意连续3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bCs/>
                <w:color w:val="auto"/>
                <w:sz w:val="24"/>
                <w:szCs w:val="24"/>
                <w:highlight w:val="none"/>
                <w:lang w:bidi="ar"/>
              </w:rPr>
              <w:t>（必须提供，否则作无效投标处理）</w:t>
            </w:r>
          </w:p>
          <w:p w14:paraId="6BBEA622">
            <w:pPr>
              <w:keepNext w:val="0"/>
              <w:keepLines w:val="0"/>
              <w:pageBreakBefore w:val="0"/>
              <w:kinsoku/>
              <w:overflowPunct/>
              <w:topLinePunct w:val="0"/>
              <w:bidi w:val="0"/>
              <w:snapToGrid w:val="0"/>
              <w:spacing w:line="360" w:lineRule="auto"/>
              <w:jc w:val="left"/>
              <w:rPr>
                <w:rFonts w:hint="eastAsia" w:ascii="宋体" w:hAnsi="宋体" w:eastAsia="宋体" w:cs="宋体"/>
                <w:b/>
                <w:bCs/>
                <w:color w:val="auto"/>
                <w:sz w:val="24"/>
                <w:szCs w:val="24"/>
                <w:highlight w:val="none"/>
                <w:lang w:bidi="ar"/>
              </w:rPr>
            </w:pPr>
            <w:r>
              <w:rPr>
                <w:rFonts w:hint="eastAsia" w:ascii="宋体" w:hAnsi="宋体" w:eastAsia="宋体" w:cs="宋体"/>
                <w:color w:val="auto"/>
                <w:sz w:val="24"/>
                <w:szCs w:val="24"/>
                <w:highlight w:val="none"/>
                <w:lang w:bidi="ar"/>
              </w:rPr>
              <w:t>4、投标人财务状况报告：[</w:t>
            </w:r>
            <w:r>
              <w:rPr>
                <w:rFonts w:hint="eastAsia" w:ascii="宋体" w:hAnsi="宋体" w:eastAsia="宋体" w:cs="宋体"/>
                <w:color w:val="auto"/>
                <w:sz w:val="24"/>
                <w:szCs w:val="24"/>
                <w:highlight w:val="none"/>
                <w:u w:val="none"/>
                <w:lang w:val="en-US" w:eastAsia="zh-CN"/>
              </w:rPr>
              <w:t>2024年</w:t>
            </w:r>
            <w:r>
              <w:rPr>
                <w:rFonts w:hint="eastAsia" w:ascii="宋体" w:hAnsi="宋体" w:eastAsia="宋体" w:cs="宋体"/>
                <w:color w:val="auto"/>
                <w:sz w:val="24"/>
                <w:szCs w:val="24"/>
                <w:highlight w:val="none"/>
                <w:lang w:bidi="ar"/>
              </w:rPr>
              <w:t>]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bCs/>
                <w:color w:val="auto"/>
                <w:sz w:val="24"/>
                <w:szCs w:val="24"/>
                <w:highlight w:val="none"/>
                <w:lang w:bidi="ar"/>
              </w:rPr>
              <w:t>（必须提供，否则作无效投标处理）</w:t>
            </w:r>
          </w:p>
          <w:p w14:paraId="78E3E7BC">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5、投标人直接控股股东信息表、投标人直接管理关系信息表。</w:t>
            </w:r>
            <w:r>
              <w:rPr>
                <w:rFonts w:hint="eastAsia" w:ascii="宋体" w:hAnsi="宋体" w:eastAsia="宋体" w:cs="宋体"/>
                <w:b/>
                <w:bCs/>
                <w:color w:val="auto"/>
                <w:sz w:val="24"/>
                <w:szCs w:val="24"/>
                <w:highlight w:val="none"/>
                <w:lang w:bidi="ar"/>
              </w:rPr>
              <w:t>（必须提供，否则作无效投标处理）</w:t>
            </w:r>
          </w:p>
          <w:p w14:paraId="7162861B">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6、投标资格声明函。</w:t>
            </w:r>
            <w:r>
              <w:rPr>
                <w:rFonts w:hint="eastAsia" w:ascii="宋体" w:hAnsi="宋体" w:eastAsia="宋体" w:cs="宋体"/>
                <w:b/>
                <w:bCs/>
                <w:color w:val="auto"/>
                <w:sz w:val="24"/>
                <w:szCs w:val="24"/>
                <w:highlight w:val="none"/>
                <w:lang w:bidi="ar"/>
              </w:rPr>
              <w:t>（必须提供，否则作无效投标处理）</w:t>
            </w:r>
          </w:p>
          <w:p w14:paraId="1C7D2A9D">
            <w:pPr>
              <w:keepNext w:val="0"/>
              <w:keepLines w:val="0"/>
              <w:pageBreakBefore w:val="0"/>
              <w:kinsoku/>
              <w:overflowPunct/>
              <w:topLinePunct w:val="0"/>
              <w:bidi w:val="0"/>
              <w:snapToGrid w:val="0"/>
              <w:spacing w:line="360" w:lineRule="auto"/>
              <w:jc w:val="left"/>
              <w:rPr>
                <w:rFonts w:hint="eastAsia" w:ascii="宋体" w:hAnsi="宋体" w:eastAsia="宋体" w:cs="宋体"/>
                <w:b/>
                <w:bCs/>
                <w:color w:val="auto"/>
                <w:sz w:val="24"/>
                <w:szCs w:val="24"/>
                <w:highlight w:val="none"/>
                <w:lang w:bidi="ar"/>
              </w:rPr>
            </w:pPr>
            <w:r>
              <w:rPr>
                <w:rFonts w:hint="eastAsia" w:ascii="宋体" w:hAnsi="宋体" w:eastAsia="宋体" w:cs="宋体"/>
                <w:color w:val="auto"/>
                <w:sz w:val="24"/>
                <w:szCs w:val="24"/>
                <w:highlight w:val="none"/>
                <w:lang w:val="en-US" w:eastAsia="zh-CN" w:bidi="ar"/>
              </w:rPr>
              <w:t>7、</w:t>
            </w:r>
            <w:r>
              <w:rPr>
                <w:rFonts w:hint="eastAsia" w:ascii="宋体" w:hAnsi="宋体" w:eastAsia="宋体" w:cs="宋体"/>
                <w:color w:val="auto"/>
                <w:sz w:val="24"/>
                <w:szCs w:val="24"/>
                <w:highlight w:val="none"/>
                <w:lang w:bidi="ar"/>
              </w:rPr>
              <w:t>联合体协议书。</w:t>
            </w:r>
            <w:r>
              <w:rPr>
                <w:rFonts w:hint="eastAsia" w:ascii="宋体" w:hAnsi="宋体" w:eastAsia="宋体" w:cs="宋体"/>
                <w:b/>
                <w:bCs/>
                <w:color w:val="auto"/>
                <w:sz w:val="24"/>
                <w:szCs w:val="24"/>
                <w:highlight w:val="none"/>
                <w:lang w:bidi="ar"/>
              </w:rPr>
              <w:t>（以联合体形式投标的，提供联合体协议；本项目不接受联合体投标或者投标人不以联合体形式投标的，则不需要提供）</w:t>
            </w:r>
          </w:p>
          <w:p w14:paraId="084128B6">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8</w:t>
            </w:r>
            <w:r>
              <w:rPr>
                <w:rFonts w:hint="eastAsia" w:ascii="宋体" w:hAnsi="宋体" w:eastAsia="宋体" w:cs="宋体"/>
                <w:color w:val="auto"/>
                <w:sz w:val="24"/>
                <w:szCs w:val="24"/>
                <w:highlight w:val="none"/>
                <w:lang w:bidi="ar"/>
              </w:rPr>
              <w:t>、除招标文件规定必须提供以外，投标人认为需要提供的其他证明材料。</w:t>
            </w:r>
          </w:p>
          <w:p w14:paraId="530F99E1">
            <w:pPr>
              <w:keepNext w:val="0"/>
              <w:keepLines w:val="0"/>
              <w:pageBreakBefore w:val="0"/>
              <w:kinsoku/>
              <w:overflowPunct/>
              <w:topLinePunct w:val="0"/>
              <w:bidi w:val="0"/>
              <w:snapToGrid w:val="0"/>
              <w:spacing w:line="360" w:lineRule="auto"/>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注：1. 以上标明“必须提供”的材料属于复印件的扫描件的，必须加盖投标人电子公章，否则作无效投标处理。</w:t>
            </w:r>
          </w:p>
          <w:p w14:paraId="67294707">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2.联合体投标时，第1-5项资格证明文件联合体各方均必须分别提供，联合体各方分别盖章和签字，否则投标文件按无效响应处理。</w:t>
            </w:r>
          </w:p>
        </w:tc>
      </w:tr>
      <w:tr w14:paraId="6978D2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nil"/>
              <w:left w:val="single" w:color="auto" w:sz="4" w:space="0"/>
              <w:bottom w:val="nil"/>
              <w:right w:val="single" w:color="auto" w:sz="4" w:space="0"/>
            </w:tcBorders>
            <w:noWrap w:val="0"/>
            <w:vAlign w:val="center"/>
          </w:tcPr>
          <w:p w14:paraId="1CE4A577">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D77C4AF">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bookmarkStart w:id="64" w:name="_13.3"/>
            <w:bookmarkEnd w:id="64"/>
            <w:r>
              <w:rPr>
                <w:rFonts w:hint="eastAsia" w:ascii="宋体" w:hAnsi="宋体" w:eastAsia="宋体" w:cs="宋体"/>
                <w:color w:val="auto"/>
                <w:sz w:val="24"/>
                <w:szCs w:val="24"/>
                <w:highlight w:val="none"/>
                <w:lang w:bidi="ar"/>
              </w:rPr>
              <w:t>商务文件组成</w:t>
            </w:r>
          </w:p>
          <w:p w14:paraId="3DD60E00">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6959" w:type="dxa"/>
            <w:tcBorders>
              <w:top w:val="single" w:color="auto" w:sz="4" w:space="0"/>
              <w:left w:val="single" w:color="auto" w:sz="4" w:space="0"/>
              <w:bottom w:val="single" w:color="auto" w:sz="4" w:space="0"/>
              <w:right w:val="single" w:color="auto" w:sz="4" w:space="0"/>
            </w:tcBorders>
            <w:noWrap w:val="0"/>
            <w:vAlign w:val="center"/>
          </w:tcPr>
          <w:p w14:paraId="595792E5">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rPr>
              <w:t>无串标行为承诺函</w:t>
            </w:r>
            <w:r>
              <w:rPr>
                <w:rFonts w:hint="eastAsia" w:ascii="宋体" w:hAnsi="宋体" w:eastAsia="宋体" w:cs="宋体"/>
                <w:color w:val="auto"/>
                <w:sz w:val="24"/>
                <w:szCs w:val="24"/>
                <w:highlight w:val="none"/>
                <w:lang w:bidi="ar"/>
              </w:rPr>
              <w:t>；（</w:t>
            </w:r>
            <w:r>
              <w:rPr>
                <w:rFonts w:hint="eastAsia" w:ascii="宋体" w:hAnsi="宋体" w:eastAsia="宋体" w:cs="宋体"/>
                <w:b/>
                <w:color w:val="auto"/>
                <w:sz w:val="24"/>
                <w:szCs w:val="24"/>
                <w:highlight w:val="none"/>
                <w:lang w:bidi="ar"/>
              </w:rPr>
              <w:t>必须提供，否则作无效投标处理</w:t>
            </w:r>
            <w:r>
              <w:rPr>
                <w:rFonts w:hint="eastAsia" w:ascii="宋体" w:hAnsi="宋体" w:eastAsia="宋体" w:cs="宋体"/>
                <w:color w:val="auto"/>
                <w:sz w:val="24"/>
                <w:szCs w:val="24"/>
                <w:highlight w:val="none"/>
                <w:lang w:bidi="ar"/>
              </w:rPr>
              <w:t>）</w:t>
            </w:r>
          </w:p>
          <w:p w14:paraId="5CCECE09">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2、法定代表人身份证明及法定代表人有效身份证正反面复印件；（</w:t>
            </w:r>
            <w:r>
              <w:rPr>
                <w:rFonts w:hint="eastAsia" w:ascii="宋体" w:hAnsi="宋体" w:eastAsia="宋体" w:cs="宋体"/>
                <w:b/>
                <w:bCs/>
                <w:color w:val="auto"/>
                <w:sz w:val="24"/>
                <w:szCs w:val="24"/>
                <w:highlight w:val="none"/>
                <w:lang w:bidi="ar"/>
              </w:rPr>
              <w:t>除自然人投标外</w:t>
            </w:r>
            <w:r>
              <w:rPr>
                <w:rFonts w:hint="eastAsia" w:ascii="宋体" w:hAnsi="宋体" w:eastAsia="宋体" w:cs="宋体"/>
                <w:b/>
                <w:color w:val="auto"/>
                <w:sz w:val="24"/>
                <w:szCs w:val="24"/>
                <w:highlight w:val="none"/>
                <w:lang w:bidi="ar"/>
              </w:rPr>
              <w:t>必须提供，否则作无效投标处理</w:t>
            </w:r>
            <w:r>
              <w:rPr>
                <w:rFonts w:hint="eastAsia" w:ascii="宋体" w:hAnsi="宋体" w:eastAsia="宋体" w:cs="宋体"/>
                <w:color w:val="auto"/>
                <w:sz w:val="24"/>
                <w:szCs w:val="24"/>
                <w:highlight w:val="none"/>
                <w:lang w:bidi="ar"/>
              </w:rPr>
              <w:t>）</w:t>
            </w:r>
          </w:p>
          <w:p w14:paraId="28FE4D14">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3、法定代表人授权委托书及委托代理人有效身份证正反面复印件；（</w:t>
            </w:r>
            <w:r>
              <w:rPr>
                <w:rFonts w:hint="eastAsia" w:ascii="宋体" w:hAnsi="宋体" w:eastAsia="宋体" w:cs="宋体"/>
                <w:b/>
                <w:color w:val="auto"/>
                <w:sz w:val="24"/>
                <w:szCs w:val="24"/>
                <w:highlight w:val="none"/>
                <w:lang w:bidi="ar"/>
              </w:rPr>
              <w:t>委托时必须提供，否则作无效投标处理</w:t>
            </w:r>
            <w:r>
              <w:rPr>
                <w:rFonts w:hint="eastAsia" w:ascii="宋体" w:hAnsi="宋体" w:eastAsia="宋体" w:cs="宋体"/>
                <w:color w:val="auto"/>
                <w:sz w:val="24"/>
                <w:szCs w:val="24"/>
                <w:highlight w:val="none"/>
                <w:lang w:bidi="ar"/>
              </w:rPr>
              <w:t>）</w:t>
            </w:r>
          </w:p>
          <w:p w14:paraId="68A3F495">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4、商务条款偏离表；（</w:t>
            </w:r>
            <w:r>
              <w:rPr>
                <w:rFonts w:hint="eastAsia" w:ascii="宋体" w:hAnsi="宋体" w:eastAsia="宋体" w:cs="宋体"/>
                <w:b/>
                <w:color w:val="auto"/>
                <w:sz w:val="24"/>
                <w:szCs w:val="24"/>
                <w:highlight w:val="none"/>
                <w:lang w:bidi="ar"/>
              </w:rPr>
              <w:t>必须提供，否则作无效投标处理</w:t>
            </w:r>
            <w:r>
              <w:rPr>
                <w:rFonts w:hint="eastAsia" w:ascii="宋体" w:hAnsi="宋体" w:eastAsia="宋体" w:cs="宋体"/>
                <w:color w:val="auto"/>
                <w:sz w:val="24"/>
                <w:szCs w:val="24"/>
                <w:highlight w:val="none"/>
                <w:lang w:bidi="ar"/>
              </w:rPr>
              <w:t>）</w:t>
            </w:r>
          </w:p>
          <w:p w14:paraId="4ADA8056">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5、投标人情况介绍；（</w:t>
            </w:r>
            <w:r>
              <w:rPr>
                <w:rFonts w:hint="eastAsia" w:ascii="宋体" w:hAnsi="宋体" w:eastAsia="宋体" w:cs="宋体"/>
                <w:b/>
                <w:color w:val="auto"/>
                <w:sz w:val="24"/>
                <w:szCs w:val="24"/>
                <w:highlight w:val="none"/>
                <w:lang w:bidi="ar"/>
              </w:rPr>
              <w:t>如有请提供</w:t>
            </w:r>
            <w:r>
              <w:rPr>
                <w:rFonts w:hint="eastAsia" w:ascii="宋体" w:hAnsi="宋体" w:eastAsia="宋体" w:cs="宋体"/>
                <w:color w:val="auto"/>
                <w:sz w:val="24"/>
                <w:szCs w:val="24"/>
                <w:highlight w:val="none"/>
                <w:lang w:bidi="ar"/>
              </w:rPr>
              <w:t>）</w:t>
            </w:r>
          </w:p>
          <w:p w14:paraId="595C2DB3">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6、投标人类似业绩的证明文件。（</w:t>
            </w:r>
            <w:r>
              <w:rPr>
                <w:rFonts w:hint="eastAsia" w:ascii="宋体" w:hAnsi="宋体" w:eastAsia="宋体" w:cs="宋体"/>
                <w:b/>
                <w:color w:val="auto"/>
                <w:sz w:val="24"/>
                <w:szCs w:val="24"/>
                <w:highlight w:val="none"/>
                <w:lang w:bidi="ar"/>
              </w:rPr>
              <w:t>如有请提供</w:t>
            </w:r>
            <w:r>
              <w:rPr>
                <w:rFonts w:hint="eastAsia" w:ascii="宋体" w:hAnsi="宋体" w:eastAsia="宋体" w:cs="宋体"/>
                <w:color w:val="auto"/>
                <w:sz w:val="24"/>
                <w:szCs w:val="24"/>
                <w:highlight w:val="none"/>
                <w:lang w:bidi="ar"/>
              </w:rPr>
              <w:t>）</w:t>
            </w:r>
          </w:p>
          <w:p w14:paraId="26B791AA">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7、除招标文件规定必须提供以外，投标人认为需要提供的其他证明材料。（投标人根据“第二章 采购需求”及“第四章 评标方法及评标标准”提供有关证明材料）。</w:t>
            </w:r>
          </w:p>
          <w:p w14:paraId="028D9CD4">
            <w:pPr>
              <w:keepNext w:val="0"/>
              <w:keepLines w:val="0"/>
              <w:pageBreakBefore w:val="0"/>
              <w:kinsoku/>
              <w:overflowPunct/>
              <w:topLinePunct w:val="0"/>
              <w:bidi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注： 1.</w:t>
            </w:r>
            <w:r>
              <w:rPr>
                <w:rFonts w:hint="eastAsia" w:ascii="宋体" w:hAnsi="宋体" w:eastAsia="宋体" w:cs="宋体"/>
                <w:b/>
                <w:color w:val="auto"/>
                <w:sz w:val="24"/>
                <w:szCs w:val="24"/>
                <w:highlight w:val="none"/>
              </w:rPr>
              <w:t>法定代表人授权委托书必须由法定代表人亲笔签名或盖章；及委托代理人在授权委托书上亲笔签名，不得使用印章、签名章或者其他电子制版签名代替并加盖投标供应商公章，否则作无效响应处理。</w:t>
            </w:r>
          </w:p>
          <w:p w14:paraId="32DA6A63">
            <w:pPr>
              <w:keepNext w:val="0"/>
              <w:keepLines w:val="0"/>
              <w:pageBreakBefore w:val="0"/>
              <w:kinsoku/>
              <w:overflowPunct/>
              <w:topLinePunct w:val="0"/>
              <w:bidi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bidi="ar"/>
              </w:rPr>
              <w:t>2.</w:t>
            </w:r>
            <w:r>
              <w:rPr>
                <w:rFonts w:hint="eastAsia" w:ascii="宋体" w:hAnsi="宋体" w:eastAsia="宋体" w:cs="宋体"/>
                <w:color w:val="auto"/>
                <w:sz w:val="24"/>
                <w:szCs w:val="24"/>
                <w:highlight w:val="none"/>
                <w:lang w:bidi="ar"/>
              </w:rPr>
              <w:t xml:space="preserve"> </w:t>
            </w:r>
            <w:r>
              <w:rPr>
                <w:rFonts w:hint="eastAsia" w:ascii="宋体" w:hAnsi="宋体" w:eastAsia="宋体" w:cs="宋体"/>
                <w:b/>
                <w:bCs/>
                <w:color w:val="auto"/>
                <w:sz w:val="24"/>
                <w:szCs w:val="24"/>
                <w:highlight w:val="none"/>
                <w:lang w:bidi="ar"/>
              </w:rPr>
              <w:t>以上标明“必须提供”的材料</w:t>
            </w:r>
            <w:r>
              <w:rPr>
                <w:rFonts w:hint="eastAsia" w:ascii="宋体" w:hAnsi="宋体" w:eastAsia="宋体" w:cs="宋体"/>
                <w:b/>
                <w:color w:val="auto"/>
                <w:sz w:val="24"/>
                <w:szCs w:val="24"/>
                <w:highlight w:val="none"/>
                <w:lang w:bidi="ar"/>
              </w:rPr>
              <w:t>属于复印件的扫描件的</w:t>
            </w:r>
            <w:r>
              <w:rPr>
                <w:rFonts w:hint="eastAsia" w:ascii="宋体" w:hAnsi="宋体" w:eastAsia="宋体" w:cs="宋体"/>
                <w:b/>
                <w:bCs/>
                <w:color w:val="auto"/>
                <w:sz w:val="24"/>
                <w:szCs w:val="24"/>
                <w:highlight w:val="none"/>
                <w:lang w:bidi="ar"/>
              </w:rPr>
              <w:t>，必须加盖投标人电子公章，否则</w:t>
            </w:r>
            <w:r>
              <w:rPr>
                <w:rFonts w:hint="eastAsia" w:ascii="宋体" w:hAnsi="宋体" w:eastAsia="宋体" w:cs="宋体"/>
                <w:b/>
                <w:color w:val="auto"/>
                <w:sz w:val="24"/>
                <w:szCs w:val="24"/>
                <w:highlight w:val="none"/>
                <w:lang w:bidi="ar"/>
              </w:rPr>
              <w:t>作无效投标处理</w:t>
            </w:r>
            <w:r>
              <w:rPr>
                <w:rFonts w:hint="eastAsia" w:ascii="宋体" w:hAnsi="宋体" w:eastAsia="宋体" w:cs="宋体"/>
                <w:b/>
                <w:bCs/>
                <w:color w:val="auto"/>
                <w:sz w:val="24"/>
                <w:szCs w:val="24"/>
                <w:highlight w:val="none"/>
                <w:lang w:bidi="ar"/>
              </w:rPr>
              <w:t>。</w:t>
            </w:r>
          </w:p>
        </w:tc>
      </w:tr>
      <w:tr w14:paraId="5DC6E5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vMerge w:val="restart"/>
            <w:tcBorders>
              <w:top w:val="nil"/>
              <w:left w:val="single" w:color="auto" w:sz="4" w:space="0"/>
              <w:bottom w:val="single" w:color="auto" w:sz="4" w:space="0"/>
              <w:right w:val="single" w:color="auto" w:sz="4" w:space="0"/>
            </w:tcBorders>
            <w:noWrap w:val="0"/>
            <w:vAlign w:val="center"/>
          </w:tcPr>
          <w:p w14:paraId="1C0738D4">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9D6D278">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bookmarkStart w:id="65" w:name="_13.4"/>
            <w:bookmarkEnd w:id="65"/>
            <w:r>
              <w:rPr>
                <w:rFonts w:hint="eastAsia" w:ascii="宋体" w:hAnsi="宋体" w:eastAsia="宋体" w:cs="宋体"/>
                <w:color w:val="auto"/>
                <w:sz w:val="24"/>
                <w:szCs w:val="24"/>
                <w:highlight w:val="none"/>
                <w:lang w:bidi="ar"/>
              </w:rPr>
              <w:t>技术文件组成</w:t>
            </w:r>
          </w:p>
          <w:p w14:paraId="7A164D67">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6959" w:type="dxa"/>
            <w:tcBorders>
              <w:top w:val="single" w:color="auto" w:sz="4" w:space="0"/>
              <w:left w:val="single" w:color="auto" w:sz="4" w:space="0"/>
              <w:bottom w:val="single" w:color="auto" w:sz="4" w:space="0"/>
              <w:right w:val="single" w:color="auto" w:sz="4" w:space="0"/>
            </w:tcBorders>
            <w:noWrap w:val="0"/>
            <w:vAlign w:val="center"/>
          </w:tcPr>
          <w:p w14:paraId="3C577137">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1、技术需求偏离表；（</w:t>
            </w:r>
            <w:r>
              <w:rPr>
                <w:rFonts w:hint="eastAsia" w:ascii="宋体" w:hAnsi="宋体" w:eastAsia="宋体" w:cs="宋体"/>
                <w:b/>
                <w:color w:val="auto"/>
                <w:sz w:val="24"/>
                <w:szCs w:val="24"/>
                <w:highlight w:val="none"/>
                <w:lang w:bidi="ar"/>
              </w:rPr>
              <w:t>必须提供，否则作无效投标处理</w:t>
            </w:r>
            <w:r>
              <w:rPr>
                <w:rFonts w:hint="eastAsia" w:ascii="宋体" w:hAnsi="宋体" w:eastAsia="宋体" w:cs="宋体"/>
                <w:color w:val="auto"/>
                <w:sz w:val="24"/>
                <w:szCs w:val="24"/>
                <w:highlight w:val="none"/>
                <w:lang w:bidi="ar"/>
              </w:rPr>
              <w:t>）</w:t>
            </w:r>
          </w:p>
          <w:p w14:paraId="3E5C4DE4">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2、项目实施方案【相关技术方案等】；（</w:t>
            </w:r>
            <w:r>
              <w:rPr>
                <w:rFonts w:hint="eastAsia" w:ascii="宋体" w:hAnsi="宋体" w:eastAsia="宋体" w:cs="宋体"/>
                <w:b/>
                <w:color w:val="auto"/>
                <w:sz w:val="24"/>
                <w:szCs w:val="24"/>
                <w:highlight w:val="none"/>
                <w:lang w:bidi="ar"/>
              </w:rPr>
              <w:t>如有请提供</w:t>
            </w:r>
            <w:r>
              <w:rPr>
                <w:rFonts w:hint="eastAsia" w:ascii="宋体" w:hAnsi="宋体" w:eastAsia="宋体" w:cs="宋体"/>
                <w:color w:val="auto"/>
                <w:sz w:val="24"/>
                <w:szCs w:val="24"/>
                <w:highlight w:val="none"/>
                <w:lang w:bidi="ar"/>
              </w:rPr>
              <w:t>）</w:t>
            </w:r>
          </w:p>
          <w:p w14:paraId="55AAF0E9">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3、对本项目总体要求的理解。包括：功能说明、性能指标及设备选型说明（质量、性能、价格、外观、体积等方面进行比较和选择的理由及过程）；（</w:t>
            </w:r>
            <w:r>
              <w:rPr>
                <w:rFonts w:hint="eastAsia" w:ascii="宋体" w:hAnsi="宋体" w:eastAsia="宋体" w:cs="宋体"/>
                <w:b/>
                <w:color w:val="auto"/>
                <w:sz w:val="24"/>
                <w:szCs w:val="24"/>
                <w:highlight w:val="none"/>
                <w:lang w:bidi="ar"/>
              </w:rPr>
              <w:t>如有请提供</w:t>
            </w:r>
            <w:r>
              <w:rPr>
                <w:rFonts w:hint="eastAsia" w:ascii="宋体" w:hAnsi="宋体" w:eastAsia="宋体" w:cs="宋体"/>
                <w:color w:val="auto"/>
                <w:sz w:val="24"/>
                <w:szCs w:val="24"/>
                <w:highlight w:val="none"/>
                <w:lang w:bidi="ar"/>
              </w:rPr>
              <w:t>）</w:t>
            </w:r>
          </w:p>
          <w:p w14:paraId="5D2311DD">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4、产品出厂标准、质量检测报告【其中有精度要求的仪器设备类政府采购项目，应当要求投标人提供精度数据（第三方检测报告或者由采购人在投标前组织的实测获得）】</w:t>
            </w:r>
            <w:r>
              <w:rPr>
                <w:rFonts w:hint="eastAsia" w:ascii="宋体" w:hAnsi="宋体" w:eastAsia="宋体" w:cs="宋体"/>
                <w:b/>
                <w:bCs/>
                <w:color w:val="auto"/>
                <w:sz w:val="24"/>
                <w:szCs w:val="24"/>
                <w:highlight w:val="none"/>
                <w:lang w:bidi="ar"/>
              </w:rPr>
              <w:t>（如有请提供）</w:t>
            </w:r>
          </w:p>
          <w:p w14:paraId="3150FCAE">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5、优惠条件：投标人承诺给予招标人的各种优惠条件，包括售后服务、备品备件、专用耗材等方面的优惠；投标人不得给予赠品或者与采购无关的其他商品、服务；（</w:t>
            </w:r>
            <w:r>
              <w:rPr>
                <w:rFonts w:hint="eastAsia" w:ascii="宋体" w:hAnsi="宋体" w:eastAsia="宋体" w:cs="宋体"/>
                <w:b/>
                <w:color w:val="auto"/>
                <w:sz w:val="24"/>
                <w:szCs w:val="24"/>
                <w:highlight w:val="none"/>
                <w:lang w:bidi="ar"/>
              </w:rPr>
              <w:t>如有请提供</w:t>
            </w:r>
            <w:r>
              <w:rPr>
                <w:rFonts w:hint="eastAsia" w:ascii="宋体" w:hAnsi="宋体" w:eastAsia="宋体" w:cs="宋体"/>
                <w:color w:val="auto"/>
                <w:sz w:val="24"/>
                <w:szCs w:val="24"/>
                <w:highlight w:val="none"/>
                <w:lang w:bidi="ar"/>
              </w:rPr>
              <w:t>）</w:t>
            </w:r>
          </w:p>
          <w:p w14:paraId="70A7EF36">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6、投标人对本项目的合理化建议和改进措施；（</w:t>
            </w:r>
            <w:r>
              <w:rPr>
                <w:rFonts w:hint="eastAsia" w:ascii="宋体" w:hAnsi="宋体" w:eastAsia="宋体" w:cs="宋体"/>
                <w:b/>
                <w:color w:val="auto"/>
                <w:sz w:val="24"/>
                <w:szCs w:val="24"/>
                <w:highlight w:val="none"/>
                <w:lang w:bidi="ar"/>
              </w:rPr>
              <w:t>如有请提供</w:t>
            </w:r>
            <w:r>
              <w:rPr>
                <w:rFonts w:hint="eastAsia" w:ascii="宋体" w:hAnsi="宋体" w:eastAsia="宋体" w:cs="宋体"/>
                <w:color w:val="auto"/>
                <w:sz w:val="24"/>
                <w:szCs w:val="24"/>
                <w:highlight w:val="none"/>
                <w:lang w:bidi="ar"/>
              </w:rPr>
              <w:t>）</w:t>
            </w:r>
          </w:p>
          <w:p w14:paraId="5E5553D5">
            <w:pPr>
              <w:keepNext w:val="0"/>
              <w:keepLines w:val="0"/>
              <w:pageBreakBefore w:val="0"/>
              <w:kinsoku/>
              <w:overflowPunct/>
              <w:topLinePunct w:val="0"/>
              <w:bidi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bidi="ar"/>
              </w:rPr>
              <w:t>7、除招标文件规定必须提供以外，投标人需要说明的其他文件和说明。</w:t>
            </w:r>
          </w:p>
          <w:p w14:paraId="296FC1BB">
            <w:pPr>
              <w:keepNext w:val="0"/>
              <w:keepLines w:val="0"/>
              <w:pageBreakBefore w:val="0"/>
              <w:kinsoku/>
              <w:overflowPunct/>
              <w:topLinePunct w:val="0"/>
              <w:bidi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注：以上标明“必须提供”的材料</w:t>
            </w:r>
            <w:r>
              <w:rPr>
                <w:rFonts w:hint="eastAsia" w:ascii="宋体" w:hAnsi="宋体" w:eastAsia="宋体" w:cs="宋体"/>
                <w:b/>
                <w:color w:val="auto"/>
                <w:sz w:val="24"/>
                <w:szCs w:val="24"/>
                <w:highlight w:val="none"/>
                <w:lang w:bidi="ar"/>
              </w:rPr>
              <w:t>属于复印件的扫描件的</w:t>
            </w:r>
            <w:r>
              <w:rPr>
                <w:rFonts w:hint="eastAsia" w:ascii="宋体" w:hAnsi="宋体" w:eastAsia="宋体" w:cs="宋体"/>
                <w:b/>
                <w:bCs/>
                <w:color w:val="auto"/>
                <w:sz w:val="24"/>
                <w:szCs w:val="24"/>
                <w:highlight w:val="none"/>
                <w:lang w:bidi="ar"/>
              </w:rPr>
              <w:t>，必须加盖投标人电子公章，否则</w:t>
            </w:r>
            <w:r>
              <w:rPr>
                <w:rFonts w:hint="eastAsia" w:ascii="宋体" w:hAnsi="宋体" w:eastAsia="宋体" w:cs="宋体"/>
                <w:b/>
                <w:color w:val="auto"/>
                <w:sz w:val="24"/>
                <w:szCs w:val="24"/>
                <w:highlight w:val="none"/>
                <w:lang w:bidi="ar"/>
              </w:rPr>
              <w:t>作无效投标处理</w:t>
            </w:r>
            <w:r>
              <w:rPr>
                <w:rFonts w:hint="eastAsia" w:ascii="宋体" w:hAnsi="宋体" w:eastAsia="宋体" w:cs="宋体"/>
                <w:b/>
                <w:bCs/>
                <w:color w:val="auto"/>
                <w:sz w:val="24"/>
                <w:szCs w:val="24"/>
                <w:highlight w:val="none"/>
                <w:lang w:bidi="ar"/>
              </w:rPr>
              <w:t>。</w:t>
            </w:r>
          </w:p>
        </w:tc>
      </w:tr>
      <w:tr w14:paraId="6738A0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32" w:hRule="atLeast"/>
        </w:trPr>
        <w:tc>
          <w:tcPr>
            <w:tcW w:w="841" w:type="dxa"/>
            <w:vMerge w:val="continue"/>
            <w:tcBorders>
              <w:top w:val="nil"/>
              <w:left w:val="single" w:color="auto" w:sz="4" w:space="0"/>
              <w:bottom w:val="single" w:color="auto" w:sz="4" w:space="0"/>
              <w:right w:val="single" w:color="auto" w:sz="4" w:space="0"/>
            </w:tcBorders>
            <w:noWrap w:val="0"/>
            <w:vAlign w:val="center"/>
          </w:tcPr>
          <w:p w14:paraId="008B988B">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DAAF76B">
            <w:pPr>
              <w:keepNext w:val="0"/>
              <w:keepLines w:val="0"/>
              <w:pageBreakBefore w:val="0"/>
              <w:kinsoku/>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报价文件组成</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2027F4EE">
            <w:pPr>
              <w:keepNext w:val="0"/>
              <w:keepLines w:val="0"/>
              <w:pageBreakBefore w:val="0"/>
              <w:tabs>
                <w:tab w:val="left" w:pos="459"/>
              </w:tabs>
              <w:kinsoku/>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1、投标函；</w:t>
            </w:r>
            <w:r>
              <w:rPr>
                <w:rFonts w:hint="eastAsia" w:ascii="宋体" w:hAnsi="宋体" w:eastAsia="宋体" w:cs="宋体"/>
                <w:b/>
                <w:color w:val="auto"/>
                <w:sz w:val="24"/>
                <w:szCs w:val="24"/>
                <w:highlight w:val="none"/>
                <w:lang w:bidi="ar"/>
              </w:rPr>
              <w:t>（必须提供，否则作无效投标处理）</w:t>
            </w:r>
          </w:p>
          <w:p w14:paraId="4CEA4F72">
            <w:pPr>
              <w:keepNext w:val="0"/>
              <w:keepLines w:val="0"/>
              <w:pageBreakBefore w:val="0"/>
              <w:tabs>
                <w:tab w:val="left" w:pos="459"/>
              </w:tabs>
              <w:kinsoku/>
              <w:overflowPunct/>
              <w:topLinePunct w:val="0"/>
              <w:bidi w:val="0"/>
              <w:snapToGrid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2、开标一览表；（</w:t>
            </w:r>
            <w:r>
              <w:rPr>
                <w:rFonts w:hint="eastAsia" w:ascii="宋体" w:hAnsi="宋体" w:eastAsia="宋体" w:cs="宋体"/>
                <w:b/>
                <w:color w:val="auto"/>
                <w:sz w:val="24"/>
                <w:szCs w:val="24"/>
                <w:highlight w:val="none"/>
                <w:lang w:bidi="ar"/>
              </w:rPr>
              <w:t>必须提供，否则作无效投标处理</w:t>
            </w:r>
            <w:r>
              <w:rPr>
                <w:rFonts w:hint="eastAsia" w:ascii="宋体" w:hAnsi="宋体" w:eastAsia="宋体" w:cs="宋体"/>
                <w:color w:val="auto"/>
                <w:sz w:val="24"/>
                <w:szCs w:val="24"/>
                <w:highlight w:val="none"/>
                <w:lang w:bidi="ar"/>
              </w:rPr>
              <w:t>）</w:t>
            </w:r>
          </w:p>
          <w:p w14:paraId="4CB739CE">
            <w:pPr>
              <w:keepNext w:val="0"/>
              <w:keepLines w:val="0"/>
              <w:pageBreakBefore w:val="0"/>
              <w:tabs>
                <w:tab w:val="left" w:pos="459"/>
              </w:tabs>
              <w:kinsoku/>
              <w:overflowPunct/>
              <w:topLinePunct w:val="0"/>
              <w:bidi w:val="0"/>
              <w:snapToGrid w:val="0"/>
              <w:spacing w:line="360" w:lineRule="auto"/>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、中小企业声明函；（如有请提供）</w:t>
            </w:r>
          </w:p>
          <w:p w14:paraId="782BEC10">
            <w:pPr>
              <w:keepNext w:val="0"/>
              <w:keepLines w:val="0"/>
              <w:pageBreakBefore w:val="0"/>
              <w:tabs>
                <w:tab w:val="left" w:pos="459"/>
              </w:tabs>
              <w:kinsoku/>
              <w:overflowPunct/>
              <w:topLinePunct w:val="0"/>
              <w:bidi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、投标人针对报价需要说明的其他文件和说明。</w:t>
            </w:r>
          </w:p>
        </w:tc>
      </w:tr>
      <w:tr w14:paraId="63DD72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7B199234">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16.2</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747C55F5">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bookmarkStart w:id="66" w:name="_16.2"/>
            <w:bookmarkEnd w:id="66"/>
            <w:r>
              <w:rPr>
                <w:rFonts w:hint="eastAsia" w:ascii="宋体" w:hAnsi="宋体" w:eastAsia="宋体" w:cs="宋体"/>
                <w:color w:val="auto"/>
                <w:sz w:val="24"/>
                <w:szCs w:val="24"/>
                <w:highlight w:val="none"/>
                <w:lang w:bidi="ar"/>
              </w:rPr>
              <w:t>投标报价要求</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6A585869">
            <w:pPr>
              <w:keepNext w:val="0"/>
              <w:keepLines w:val="0"/>
              <w:pageBreakBefore w:val="0"/>
              <w:kinsoku/>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bidi="ar"/>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采购需求另有约定的，从其约定）</w:t>
            </w:r>
          </w:p>
        </w:tc>
      </w:tr>
      <w:tr w14:paraId="784BC82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57FB9596">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17.2</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452274B">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bookmarkStart w:id="67" w:name="_17.1"/>
            <w:bookmarkEnd w:id="67"/>
            <w:r>
              <w:rPr>
                <w:rFonts w:hint="eastAsia" w:ascii="宋体" w:hAnsi="宋体" w:eastAsia="宋体" w:cs="宋体"/>
                <w:color w:val="auto"/>
                <w:sz w:val="24"/>
                <w:szCs w:val="24"/>
                <w:highlight w:val="none"/>
                <w:lang w:bidi="ar"/>
              </w:rPr>
              <w:t>投标有效期</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2AB93B37">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自投标截止之日起</w:t>
            </w:r>
            <w:bookmarkStart w:id="68" w:name="PO_3000001867_PM046"/>
            <w:r>
              <w:rPr>
                <w:rFonts w:hint="eastAsia" w:ascii="宋体" w:hAnsi="宋体" w:eastAsia="宋体" w:cs="宋体"/>
                <w:color w:val="auto"/>
                <w:sz w:val="24"/>
                <w:szCs w:val="24"/>
                <w:highlight w:val="none"/>
                <w:u w:val="single"/>
                <w:lang w:bidi="ar"/>
              </w:rPr>
              <w:t>60日历</w:t>
            </w:r>
            <w:bookmarkEnd w:id="68"/>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tc>
      </w:tr>
      <w:tr w14:paraId="571BE1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250008D5">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18</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EF02B08">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bookmarkStart w:id="69" w:name="_18"/>
            <w:bookmarkEnd w:id="69"/>
            <w:r>
              <w:rPr>
                <w:rFonts w:hint="eastAsia" w:ascii="宋体" w:hAnsi="宋体" w:eastAsia="宋体" w:cs="宋体"/>
                <w:color w:val="auto"/>
                <w:sz w:val="24"/>
                <w:szCs w:val="24"/>
                <w:highlight w:val="none"/>
                <w:lang w:bidi="ar"/>
              </w:rPr>
              <w:t>投标保证金金额</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42794C9E">
            <w:pPr>
              <w:keepNext w:val="0"/>
              <w:keepLines w:val="0"/>
              <w:pageBreakBefore w:val="0"/>
              <w:kinsoku/>
              <w:overflowPunct/>
              <w:topLinePunct w:val="0"/>
              <w:autoSpaceDE w:val="0"/>
              <w:autoSpaceDN w:val="0"/>
              <w:bidi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本项目不收取投标保证金。</w:t>
            </w:r>
          </w:p>
        </w:tc>
      </w:tr>
      <w:tr w14:paraId="3C9C7B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68423971">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19.1</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1B5BB98">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投标文件编制要求</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7C9D7C3D">
            <w:pPr>
              <w:keepNext w:val="0"/>
              <w:keepLines w:val="0"/>
              <w:pageBreakBefore w:val="0"/>
              <w:kinsoku/>
              <w:overflowPunct/>
              <w:topLinePunct w:val="0"/>
              <w:bidi w:val="0"/>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lang w:bidi="ar"/>
              </w:rPr>
              <w:t>投标文件应按报价文件、资格证明文件、商务文件、技术文件分别编制，报价文件、资格证明文件分别</w:t>
            </w:r>
            <w:r>
              <w:rPr>
                <w:rFonts w:hint="eastAsia" w:ascii="宋体" w:hAnsi="宋体" w:eastAsia="宋体" w:cs="宋体"/>
                <w:color w:val="auto"/>
                <w:sz w:val="24"/>
                <w:szCs w:val="24"/>
                <w:highlight w:val="none"/>
                <w:lang w:eastAsia="zh-CN" w:bidi="ar"/>
              </w:rPr>
              <w:t>生成</w:t>
            </w:r>
            <w:r>
              <w:rPr>
                <w:rFonts w:hint="eastAsia" w:ascii="宋体" w:hAnsi="宋体" w:eastAsia="宋体" w:cs="宋体"/>
                <w:color w:val="auto"/>
                <w:sz w:val="24"/>
                <w:szCs w:val="24"/>
                <w:highlight w:val="none"/>
                <w:lang w:bidi="ar"/>
              </w:rPr>
              <w:t>电子文件，商务文件和技术文件按顺序合并生成电子文件。</w:t>
            </w:r>
            <w:r>
              <w:rPr>
                <w:rFonts w:hint="eastAsia" w:ascii="宋体" w:hAnsi="宋体" w:eastAsia="宋体" w:cs="宋体"/>
                <w:b/>
                <w:color w:val="auto"/>
                <w:sz w:val="24"/>
                <w:szCs w:val="24"/>
                <w:highlight w:val="none"/>
                <w:u w:val="single"/>
                <w:lang w:bidi="ar"/>
              </w:rPr>
              <w:t>电子版投标文件制作方式见招标公告附件。</w:t>
            </w:r>
          </w:p>
        </w:tc>
      </w:tr>
      <w:tr w14:paraId="51624E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0B856BA5">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20</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38D09A8">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备份投标文件</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44983454">
            <w:pPr>
              <w:keepNext w:val="0"/>
              <w:keepLines w:val="0"/>
              <w:pageBreakBefore w:val="0"/>
              <w:kinsoku/>
              <w:overflowPunct/>
              <w:topLinePunct w:val="0"/>
              <w:autoSpaceDE w:val="0"/>
              <w:autoSpaceDN w:val="0"/>
              <w:bidi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本项目不接受备份投标文件。</w:t>
            </w:r>
          </w:p>
        </w:tc>
      </w:tr>
      <w:tr w14:paraId="1D9800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7" w:hRule="atLeast"/>
        </w:trPr>
        <w:tc>
          <w:tcPr>
            <w:tcW w:w="841" w:type="dxa"/>
            <w:vMerge w:val="restart"/>
            <w:tcBorders>
              <w:top w:val="single" w:color="auto" w:sz="4" w:space="0"/>
              <w:left w:val="single" w:color="auto" w:sz="4" w:space="0"/>
              <w:bottom w:val="nil"/>
              <w:right w:val="single" w:color="auto" w:sz="4" w:space="0"/>
            </w:tcBorders>
            <w:noWrap w:val="0"/>
            <w:vAlign w:val="center"/>
          </w:tcPr>
          <w:p w14:paraId="5009E739">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21.1</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14201E7">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bookmarkStart w:id="70" w:name="_21.1"/>
            <w:bookmarkEnd w:id="70"/>
            <w:r>
              <w:rPr>
                <w:rFonts w:hint="eastAsia" w:ascii="宋体" w:hAnsi="宋体" w:eastAsia="宋体" w:cs="宋体"/>
                <w:color w:val="auto"/>
                <w:sz w:val="24"/>
                <w:szCs w:val="24"/>
                <w:highlight w:val="none"/>
                <w:lang w:bidi="ar"/>
              </w:rPr>
              <w:t>投标截止时间</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1F96A5BD">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详见招标公告</w:t>
            </w:r>
          </w:p>
        </w:tc>
      </w:tr>
      <w:tr w14:paraId="3836A3E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5" w:hRule="atLeast"/>
        </w:trPr>
        <w:tc>
          <w:tcPr>
            <w:tcW w:w="841" w:type="dxa"/>
            <w:vMerge w:val="continue"/>
            <w:tcBorders>
              <w:top w:val="single" w:color="auto" w:sz="4" w:space="0"/>
              <w:left w:val="single" w:color="auto" w:sz="4" w:space="0"/>
              <w:bottom w:val="nil"/>
              <w:right w:val="single" w:color="auto" w:sz="4" w:space="0"/>
            </w:tcBorders>
            <w:noWrap w:val="0"/>
            <w:vAlign w:val="center"/>
          </w:tcPr>
          <w:p w14:paraId="49BF6FD8">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6F15B196">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投标文件提交起止时间</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6461D3E2">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详见招标公告</w:t>
            </w:r>
          </w:p>
        </w:tc>
      </w:tr>
      <w:tr w14:paraId="47C04C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5" w:hRule="atLeast"/>
        </w:trPr>
        <w:tc>
          <w:tcPr>
            <w:tcW w:w="841" w:type="dxa"/>
            <w:vMerge w:val="continue"/>
            <w:tcBorders>
              <w:top w:val="single" w:color="auto" w:sz="4" w:space="0"/>
              <w:left w:val="single" w:color="auto" w:sz="4" w:space="0"/>
              <w:bottom w:val="nil"/>
              <w:right w:val="single" w:color="auto" w:sz="4" w:space="0"/>
            </w:tcBorders>
            <w:noWrap w:val="0"/>
            <w:vAlign w:val="center"/>
          </w:tcPr>
          <w:p w14:paraId="48C45172">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653518B7">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投标地点</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79463F5D">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详见招标公告</w:t>
            </w:r>
          </w:p>
        </w:tc>
      </w:tr>
      <w:tr w14:paraId="7341D5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5" w:hRule="atLeast"/>
        </w:trPr>
        <w:tc>
          <w:tcPr>
            <w:tcW w:w="841" w:type="dxa"/>
            <w:vMerge w:val="continue"/>
            <w:tcBorders>
              <w:top w:val="single" w:color="auto" w:sz="4" w:space="0"/>
              <w:left w:val="single" w:color="auto" w:sz="4" w:space="0"/>
              <w:bottom w:val="nil"/>
              <w:right w:val="single" w:color="auto" w:sz="4" w:space="0"/>
            </w:tcBorders>
            <w:noWrap w:val="0"/>
            <w:vAlign w:val="center"/>
          </w:tcPr>
          <w:p w14:paraId="0452FBBB">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172A5D0">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投标人递交投标样品截止时间及地点</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1EA4CA4F">
            <w:pPr>
              <w:keepNext w:val="0"/>
              <w:keepLines w:val="0"/>
              <w:pageBreakBefore w:val="0"/>
              <w:kinsoku/>
              <w:overflowPunct/>
              <w:topLinePunct w:val="0"/>
              <w:bidi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时间：</w:t>
            </w:r>
            <w:r>
              <w:rPr>
                <w:rFonts w:hint="eastAsia" w:ascii="宋体" w:hAnsi="宋体" w:eastAsia="宋体" w:cs="宋体"/>
                <w:bCs/>
                <w:color w:val="auto"/>
                <w:sz w:val="24"/>
                <w:szCs w:val="24"/>
                <w:highlight w:val="none"/>
                <w:u w:val="single"/>
                <w:lang w:bidi="ar"/>
              </w:rPr>
              <w:t xml:space="preserve">  /  年 / 月 / 日  /  时  /  分</w:t>
            </w:r>
            <w:r>
              <w:rPr>
                <w:rFonts w:hint="eastAsia" w:ascii="宋体" w:hAnsi="宋体" w:eastAsia="宋体" w:cs="宋体"/>
                <w:bCs/>
                <w:color w:val="auto"/>
                <w:sz w:val="24"/>
                <w:szCs w:val="24"/>
                <w:highlight w:val="none"/>
                <w:lang w:bidi="ar"/>
              </w:rPr>
              <w:t>（北京时间）</w:t>
            </w:r>
          </w:p>
          <w:p w14:paraId="4C8D6C41">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bidi="ar"/>
              </w:rPr>
              <w:t>地点：</w:t>
            </w:r>
            <w:r>
              <w:rPr>
                <w:rFonts w:hint="eastAsia" w:ascii="宋体" w:hAnsi="宋体" w:eastAsia="宋体" w:cs="宋体"/>
                <w:bCs/>
                <w:color w:val="auto"/>
                <w:sz w:val="24"/>
                <w:szCs w:val="24"/>
                <w:highlight w:val="none"/>
                <w:u w:val="single"/>
                <w:lang w:bidi="ar"/>
              </w:rPr>
              <w:t xml:space="preserve">      /                </w:t>
            </w:r>
          </w:p>
        </w:tc>
      </w:tr>
      <w:tr w14:paraId="3C5FC2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6D2FD155">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23</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3EE9CDB">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bookmarkStart w:id="71" w:name="_23"/>
            <w:bookmarkEnd w:id="71"/>
            <w:r>
              <w:rPr>
                <w:rFonts w:hint="eastAsia" w:ascii="宋体" w:hAnsi="宋体" w:eastAsia="宋体" w:cs="宋体"/>
                <w:color w:val="auto"/>
                <w:sz w:val="24"/>
                <w:szCs w:val="24"/>
                <w:highlight w:val="none"/>
                <w:lang w:bidi="ar"/>
              </w:rPr>
              <w:t>开标时间、地点</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521DB5A6">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详见招标公告 </w:t>
            </w:r>
          </w:p>
        </w:tc>
      </w:tr>
      <w:tr w14:paraId="25D83F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87" w:hRule="atLeast"/>
        </w:trPr>
        <w:tc>
          <w:tcPr>
            <w:tcW w:w="841" w:type="dxa"/>
            <w:vMerge w:val="restart"/>
            <w:tcBorders>
              <w:top w:val="single" w:color="auto" w:sz="4" w:space="0"/>
              <w:left w:val="single" w:color="auto" w:sz="4" w:space="0"/>
              <w:bottom w:val="single" w:color="auto" w:sz="4" w:space="0"/>
              <w:right w:val="single" w:color="auto" w:sz="4" w:space="0"/>
            </w:tcBorders>
            <w:noWrap w:val="0"/>
            <w:vAlign w:val="center"/>
          </w:tcPr>
          <w:p w14:paraId="48843448">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25.3（2）</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72256A5D">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bookmarkStart w:id="72" w:name="_25.3"/>
            <w:bookmarkEnd w:id="72"/>
            <w:r>
              <w:rPr>
                <w:rFonts w:hint="eastAsia" w:ascii="宋体" w:hAnsi="宋体" w:eastAsia="宋体" w:cs="宋体"/>
                <w:color w:val="auto"/>
                <w:sz w:val="24"/>
                <w:szCs w:val="24"/>
                <w:highlight w:val="none"/>
                <w:lang w:bidi="ar"/>
              </w:rPr>
              <w:t>投标人信用查询渠道</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2F49A024">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采购人或者采购代理机构在资格审查结束前，对投标人进行信用查询。</w:t>
            </w:r>
          </w:p>
          <w:p w14:paraId="15865E85">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查询渠道：“信用中国”网站(www.creditchina.gov.cn) 、中国政府采购网(www.ccgp.gov.cn)。</w:t>
            </w:r>
          </w:p>
        </w:tc>
      </w:tr>
      <w:tr w14:paraId="7359B1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3" w:hRule="atLeast"/>
        </w:trPr>
        <w:tc>
          <w:tcPr>
            <w:tcW w:w="841" w:type="dxa"/>
            <w:vMerge w:val="continue"/>
            <w:tcBorders>
              <w:top w:val="single" w:color="auto" w:sz="4" w:space="0"/>
              <w:left w:val="single" w:color="auto" w:sz="4" w:space="0"/>
              <w:bottom w:val="single" w:color="auto" w:sz="4" w:space="0"/>
              <w:right w:val="single" w:color="auto" w:sz="4" w:space="0"/>
            </w:tcBorders>
            <w:noWrap w:val="0"/>
            <w:vAlign w:val="center"/>
          </w:tcPr>
          <w:p w14:paraId="4829EFCA">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6E158329">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信用查询截止时点</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0B6F9B2E">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资格审查结束前</w:t>
            </w:r>
          </w:p>
        </w:tc>
      </w:tr>
      <w:tr w14:paraId="566BCC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841" w:type="dxa"/>
            <w:vMerge w:val="continue"/>
            <w:tcBorders>
              <w:top w:val="single" w:color="auto" w:sz="4" w:space="0"/>
              <w:left w:val="single" w:color="auto" w:sz="4" w:space="0"/>
              <w:bottom w:val="single" w:color="auto" w:sz="4" w:space="0"/>
              <w:right w:val="single" w:color="auto" w:sz="4" w:space="0"/>
            </w:tcBorders>
            <w:noWrap w:val="0"/>
            <w:vAlign w:val="center"/>
          </w:tcPr>
          <w:p w14:paraId="7BBB6AFE">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720E4BD">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查询记录和证据留存方式</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4685D872">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在查询网站中直接截图查询记录，截图作为在“广西政府采购云”平台作为附件上传保存。</w:t>
            </w:r>
          </w:p>
        </w:tc>
      </w:tr>
      <w:tr w14:paraId="111505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0" w:hRule="atLeast"/>
        </w:trPr>
        <w:tc>
          <w:tcPr>
            <w:tcW w:w="841" w:type="dxa"/>
            <w:vMerge w:val="continue"/>
            <w:tcBorders>
              <w:top w:val="single" w:color="auto" w:sz="4" w:space="0"/>
              <w:left w:val="single" w:color="auto" w:sz="4" w:space="0"/>
              <w:bottom w:val="single" w:color="auto" w:sz="4" w:space="0"/>
              <w:right w:val="single" w:color="auto" w:sz="4" w:space="0"/>
            </w:tcBorders>
            <w:noWrap w:val="0"/>
            <w:vAlign w:val="center"/>
          </w:tcPr>
          <w:p w14:paraId="0345816F">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A480C97">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信用信息使用规则</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76586888">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87456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304E2484">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29.1</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941AA62">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bookmarkStart w:id="73" w:name="_28.3"/>
            <w:bookmarkEnd w:id="73"/>
            <w:bookmarkStart w:id="74" w:name="_26"/>
            <w:bookmarkEnd w:id="74"/>
            <w:r>
              <w:rPr>
                <w:rFonts w:hint="eastAsia" w:ascii="宋体" w:hAnsi="宋体" w:eastAsia="宋体" w:cs="宋体"/>
                <w:color w:val="auto"/>
                <w:sz w:val="24"/>
                <w:szCs w:val="24"/>
                <w:highlight w:val="none"/>
                <w:lang w:bidi="ar"/>
              </w:rPr>
              <w:t>评标方法</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7930D507">
            <w:pPr>
              <w:keepNext w:val="0"/>
              <w:keepLines w:val="0"/>
              <w:pageBreakBefore w:val="0"/>
              <w:kinsoku/>
              <w:overflowPunct/>
              <w:topLinePunct w:val="0"/>
              <w:autoSpaceDE w:val="0"/>
              <w:autoSpaceDN w:val="0"/>
              <w:bidi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☑综合评分法</w:t>
            </w:r>
          </w:p>
          <w:p w14:paraId="5CA6C07F">
            <w:pPr>
              <w:keepNext w:val="0"/>
              <w:keepLines w:val="0"/>
              <w:pageBreakBefore w:val="0"/>
              <w:kinsoku/>
              <w:overflowPunct/>
              <w:topLinePunct w:val="0"/>
              <w:autoSpaceDE w:val="0"/>
              <w:autoSpaceDN w:val="0"/>
              <w:bidi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□最低评标价法</w:t>
            </w:r>
          </w:p>
        </w:tc>
      </w:tr>
      <w:tr w14:paraId="7BFAA8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5" w:hRule="atLeast"/>
        </w:trPr>
        <w:tc>
          <w:tcPr>
            <w:tcW w:w="841" w:type="dxa"/>
            <w:tcBorders>
              <w:top w:val="single" w:color="auto" w:sz="4" w:space="0"/>
              <w:left w:val="single" w:color="auto" w:sz="4" w:space="0"/>
              <w:bottom w:val="nil"/>
              <w:right w:val="single" w:color="auto" w:sz="4" w:space="0"/>
            </w:tcBorders>
            <w:noWrap w:val="0"/>
            <w:vAlign w:val="center"/>
          </w:tcPr>
          <w:p w14:paraId="0DACA495">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29.2</w:t>
            </w:r>
          </w:p>
        </w:tc>
        <w:tc>
          <w:tcPr>
            <w:tcW w:w="2445" w:type="dxa"/>
            <w:tcBorders>
              <w:top w:val="single" w:color="auto" w:sz="4" w:space="0"/>
              <w:left w:val="single" w:color="auto" w:sz="4" w:space="0"/>
              <w:bottom w:val="nil"/>
              <w:right w:val="single" w:color="auto" w:sz="4" w:space="0"/>
            </w:tcBorders>
            <w:noWrap w:val="0"/>
            <w:vAlign w:val="center"/>
          </w:tcPr>
          <w:p w14:paraId="7EFD1D71">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bookmarkStart w:id="75" w:name="_29.2.2（2）"/>
            <w:bookmarkEnd w:id="75"/>
            <w:r>
              <w:rPr>
                <w:rFonts w:hint="eastAsia" w:ascii="宋体" w:hAnsi="宋体" w:eastAsia="宋体" w:cs="宋体"/>
                <w:color w:val="auto"/>
                <w:sz w:val="24"/>
                <w:szCs w:val="24"/>
                <w:highlight w:val="none"/>
                <w:lang w:bidi="ar"/>
              </w:rPr>
              <w:t>允许负偏离项</w:t>
            </w:r>
          </w:p>
        </w:tc>
        <w:tc>
          <w:tcPr>
            <w:tcW w:w="6959" w:type="dxa"/>
            <w:tcBorders>
              <w:top w:val="single" w:color="auto" w:sz="4" w:space="0"/>
              <w:left w:val="single" w:color="auto" w:sz="4" w:space="0"/>
              <w:bottom w:val="nil"/>
              <w:right w:val="single" w:color="auto" w:sz="4" w:space="0"/>
            </w:tcBorders>
            <w:noWrap w:val="0"/>
            <w:vAlign w:val="center"/>
          </w:tcPr>
          <w:p w14:paraId="503176C8">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商务条款评审中允许负偏离的条款数为</w:t>
            </w:r>
            <w:r>
              <w:rPr>
                <w:rFonts w:hint="eastAsia" w:ascii="宋体" w:hAnsi="宋体" w:eastAsia="宋体" w:cs="宋体"/>
                <w:color w:val="auto"/>
                <w:sz w:val="24"/>
                <w:szCs w:val="24"/>
                <w:highlight w:val="none"/>
                <w:u w:val="single"/>
                <w:lang w:bidi="ar"/>
              </w:rPr>
              <w:t xml:space="preserve"> / </w:t>
            </w:r>
            <w:r>
              <w:rPr>
                <w:rFonts w:hint="eastAsia" w:ascii="宋体" w:hAnsi="宋体" w:eastAsia="宋体" w:cs="宋体"/>
                <w:color w:val="auto"/>
                <w:sz w:val="24"/>
                <w:szCs w:val="24"/>
                <w:highlight w:val="none"/>
                <w:lang w:bidi="ar"/>
              </w:rPr>
              <w:t>项。</w:t>
            </w:r>
          </w:p>
          <w:p w14:paraId="16513977">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技术需求评审中允许负偏离的条款数为</w:t>
            </w:r>
            <w:r>
              <w:rPr>
                <w:rFonts w:hint="eastAsia" w:ascii="宋体" w:hAnsi="宋体" w:eastAsia="宋体" w:cs="宋体"/>
                <w:color w:val="auto"/>
                <w:sz w:val="24"/>
                <w:szCs w:val="24"/>
                <w:highlight w:val="none"/>
                <w:u w:val="single"/>
                <w:lang w:bidi="ar"/>
              </w:rPr>
              <w:t xml:space="preserve"> </w:t>
            </w:r>
            <w:r>
              <w:rPr>
                <w:rFonts w:hint="eastAsia" w:ascii="宋体" w:hAnsi="宋体" w:cs="宋体"/>
                <w:color w:val="auto"/>
                <w:sz w:val="24"/>
                <w:szCs w:val="24"/>
                <w:highlight w:val="none"/>
                <w:u w:val="single"/>
                <w:lang w:val="en-US" w:eastAsia="zh-CN" w:bidi="ar"/>
              </w:rPr>
              <w:t>/</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w:t>
            </w:r>
          </w:p>
        </w:tc>
      </w:tr>
      <w:tr w14:paraId="505C56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3DEA1C36">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30.1</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642F849B">
            <w:pPr>
              <w:keepNext w:val="0"/>
              <w:keepLines w:val="0"/>
              <w:pageBreakBefore w:val="0"/>
              <w:kinsoku/>
              <w:overflowPunct/>
              <w:topLinePunct w:val="0"/>
              <w:autoSpaceDE w:val="0"/>
              <w:autoSpaceDN w:val="0"/>
              <w:bidi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确定中标供应商时，出现中标候选人分数并列的情形，确定中标供应商方式 </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1B522E03">
            <w:pPr>
              <w:keepNext w:val="0"/>
              <w:keepLines w:val="0"/>
              <w:pageBreakBefore w:val="0"/>
              <w:kinsoku/>
              <w:overflowPunct/>
              <w:topLinePunct w:val="0"/>
              <w:autoSpaceDE w:val="0"/>
              <w:autoSpaceDN w:val="0"/>
              <w:bidi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□采用最低评标价法的，投标文件满足招标文件全部实质性要求且投标报价最低的投标人为排名第一的中标候选人； </w:t>
            </w:r>
          </w:p>
          <w:p w14:paraId="49114733">
            <w:pPr>
              <w:keepNext w:val="0"/>
              <w:keepLines w:val="0"/>
              <w:pageBreakBefore w:val="0"/>
              <w:kinsoku/>
              <w:overflowPunct/>
              <w:topLinePunct w:val="0"/>
              <w:autoSpaceDE w:val="0"/>
              <w:autoSpaceDN w:val="0"/>
              <w:bidi w:val="0"/>
              <w:snapToGrid w:val="0"/>
              <w:spacing w:line="360" w:lineRule="auto"/>
              <w:textAlignment w:val="bottom"/>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bidi="ar"/>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0E34492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14:paraId="69E14D59">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30.2</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8EE1899">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提供相同品牌产品且通过资格审查、符合性审查的不同投标人参加同一合同项下投标的中标候选人确定方式</w:t>
            </w:r>
          </w:p>
        </w:tc>
        <w:tc>
          <w:tcPr>
            <w:tcW w:w="6959" w:type="dxa"/>
            <w:tcBorders>
              <w:top w:val="single" w:color="auto" w:sz="4" w:space="0"/>
              <w:left w:val="single" w:color="auto" w:sz="4" w:space="0"/>
              <w:bottom w:val="single" w:color="auto" w:sz="4" w:space="0"/>
              <w:right w:val="single" w:color="auto" w:sz="4" w:space="0"/>
            </w:tcBorders>
            <w:noWrap w:val="0"/>
            <w:vAlign w:val="top"/>
          </w:tcPr>
          <w:p w14:paraId="12AF2846">
            <w:pPr>
              <w:keepNext w:val="0"/>
              <w:keepLines w:val="0"/>
              <w:pageBreakBefore w:val="0"/>
              <w:kinsoku/>
              <w:overflowPunct/>
              <w:topLinePunct w:val="0"/>
              <w:autoSpaceDE w:val="0"/>
              <w:autoSpaceDN w:val="0"/>
              <w:bidi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随机抽取（采用最低评标价法，报价相同时；采用综合评分法，评审价相同时）</w:t>
            </w:r>
          </w:p>
          <w:p w14:paraId="4A5F15B1">
            <w:pPr>
              <w:keepNext w:val="0"/>
              <w:keepLines w:val="0"/>
              <w:pageBreakBefore w:val="0"/>
              <w:kinsoku/>
              <w:overflowPunct/>
              <w:topLinePunct w:val="0"/>
              <w:autoSpaceDE w:val="0"/>
              <w:autoSpaceDN w:val="0"/>
              <w:bidi w:val="0"/>
              <w:snapToGrid w:val="0"/>
              <w:spacing w:line="360" w:lineRule="auto"/>
              <w:textAlignment w:val="bottom"/>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其他方式：</w:t>
            </w:r>
            <w:r>
              <w:rPr>
                <w:rFonts w:hint="eastAsia" w:ascii="宋体" w:hAnsi="宋体" w:eastAsia="宋体" w:cs="宋体"/>
                <w:color w:val="auto"/>
                <w:sz w:val="24"/>
                <w:szCs w:val="24"/>
                <w:highlight w:val="none"/>
                <w:u w:val="single"/>
                <w:lang w:eastAsia="zh-CN" w:bidi="ar"/>
              </w:rPr>
              <w:t>（使用综合评分法的采购项目</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eastAsia="zh-CN" w:bidi="ar"/>
              </w:rPr>
              <w:t>提供相同品牌产品且通过资格审查 \符合性审查的不同投标人参加同一合同项下投标的</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eastAsia="zh-CN" w:bidi="ar"/>
              </w:rPr>
              <w:t>按一家投标人计算</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eastAsia="zh-CN" w:bidi="ar"/>
              </w:rPr>
              <w:t>评审后得分最高的同品牌投标人获得中标人推荐资格</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eastAsia="zh-CN" w:bidi="ar"/>
              </w:rPr>
              <w:t>评审得分相同的</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eastAsia="zh-CN" w:bidi="ar"/>
              </w:rPr>
              <w:t>由采购人或者采购人委托评标委员会按照招标文件规定的方式确定一个投标人获得中标人推荐资格</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eastAsia="zh-CN" w:bidi="ar"/>
              </w:rPr>
              <w:t>招标文件未规定的采取随机抽取方式确定</w:t>
            </w:r>
            <w:r>
              <w:rPr>
                <w:rFonts w:hint="eastAsia" w:ascii="宋体" w:hAnsi="宋体" w:cs="宋体"/>
                <w:color w:val="auto"/>
                <w:sz w:val="24"/>
                <w:szCs w:val="24"/>
                <w:highlight w:val="none"/>
                <w:u w:val="single"/>
                <w:lang w:eastAsia="zh-CN" w:bidi="ar"/>
              </w:rPr>
              <w:t>，</w:t>
            </w:r>
            <w:r>
              <w:rPr>
                <w:rFonts w:hint="eastAsia" w:ascii="宋体" w:hAnsi="宋体" w:eastAsia="宋体" w:cs="宋体"/>
                <w:color w:val="auto"/>
                <w:sz w:val="24"/>
                <w:szCs w:val="24"/>
                <w:highlight w:val="none"/>
                <w:u w:val="single"/>
                <w:lang w:eastAsia="zh-CN" w:bidi="ar"/>
              </w:rPr>
              <w:t>其他同品牌投标人不作为中标候选人。）</w:t>
            </w:r>
          </w:p>
        </w:tc>
      </w:tr>
      <w:tr w14:paraId="241377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0" w:hRule="atLeast"/>
        </w:trPr>
        <w:tc>
          <w:tcPr>
            <w:tcW w:w="841" w:type="dxa"/>
            <w:tcBorders>
              <w:top w:val="single" w:color="auto" w:sz="4" w:space="0"/>
              <w:left w:val="single" w:color="auto" w:sz="4" w:space="0"/>
              <w:bottom w:val="single" w:color="auto" w:sz="4" w:space="0"/>
              <w:right w:val="single" w:color="auto" w:sz="4" w:space="0"/>
            </w:tcBorders>
            <w:noWrap w:val="0"/>
            <w:vAlign w:val="center"/>
          </w:tcPr>
          <w:p w14:paraId="015EADC2">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35</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6BE5CDA">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bookmarkStart w:id="76" w:name="_39.1"/>
            <w:bookmarkEnd w:id="76"/>
            <w:r>
              <w:rPr>
                <w:rFonts w:hint="eastAsia" w:ascii="宋体" w:hAnsi="宋体" w:eastAsia="宋体" w:cs="宋体"/>
                <w:color w:val="auto"/>
                <w:sz w:val="24"/>
                <w:szCs w:val="24"/>
                <w:highlight w:val="none"/>
                <w:lang w:bidi="ar"/>
              </w:rPr>
              <w:t>履约保证金金额</w:t>
            </w:r>
          </w:p>
        </w:tc>
        <w:tc>
          <w:tcPr>
            <w:tcW w:w="6959" w:type="dxa"/>
            <w:tcBorders>
              <w:top w:val="single" w:color="auto" w:sz="4" w:space="0"/>
              <w:left w:val="single" w:color="auto" w:sz="4" w:space="0"/>
              <w:bottom w:val="single" w:color="auto" w:sz="4" w:space="0"/>
              <w:right w:val="single" w:color="auto" w:sz="4" w:space="0"/>
            </w:tcBorders>
            <w:noWrap w:val="0"/>
            <w:vAlign w:val="bottom"/>
          </w:tcPr>
          <w:p w14:paraId="1ACBAB31">
            <w:pPr>
              <w:keepNext w:val="0"/>
              <w:keepLines w:val="0"/>
              <w:pageBreakBefore w:val="0"/>
              <w:kinsoku/>
              <w:overflowPunct/>
              <w:topLinePunct w:val="0"/>
              <w:autoSpaceDE w:val="0"/>
              <w:autoSpaceDN w:val="0"/>
              <w:bidi w:val="0"/>
              <w:snapToGrid w:val="0"/>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本项目不收取履约保证金。</w:t>
            </w:r>
          </w:p>
        </w:tc>
      </w:tr>
      <w:tr w14:paraId="07FDFE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48D33B4B">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36.1</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4241E85">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lang w:bidi="ar"/>
              </w:rPr>
            </w:pPr>
            <w:bookmarkStart w:id="77" w:name="_40.1"/>
            <w:bookmarkEnd w:id="77"/>
            <w:r>
              <w:rPr>
                <w:rFonts w:hint="eastAsia" w:ascii="宋体" w:hAnsi="宋体" w:eastAsia="宋体" w:cs="宋体"/>
                <w:color w:val="auto"/>
                <w:sz w:val="24"/>
                <w:szCs w:val="24"/>
                <w:highlight w:val="none"/>
                <w:lang w:bidi="ar"/>
              </w:rPr>
              <w:t>签订电子合同携带的材料</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5DB36F07">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电子采购合同需要供应商通过有效CA证书进行电子签名与签章</w:t>
            </w:r>
          </w:p>
        </w:tc>
      </w:tr>
      <w:tr w14:paraId="6B553A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trPr>
        <w:tc>
          <w:tcPr>
            <w:tcW w:w="841" w:type="dxa"/>
            <w:vMerge w:val="restart"/>
            <w:tcBorders>
              <w:top w:val="single" w:color="auto" w:sz="4" w:space="0"/>
              <w:left w:val="single" w:color="auto" w:sz="4" w:space="0"/>
              <w:bottom w:val="single" w:color="auto" w:sz="4" w:space="0"/>
              <w:right w:val="single" w:color="auto" w:sz="4" w:space="0"/>
            </w:tcBorders>
            <w:noWrap w:val="0"/>
            <w:vAlign w:val="center"/>
          </w:tcPr>
          <w:p w14:paraId="5176BE42">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38.2.1</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E2915F2">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接收质疑函方式</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72CA3DA6">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以书面形式</w:t>
            </w:r>
          </w:p>
        </w:tc>
      </w:tr>
      <w:tr w14:paraId="679CCE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9" w:hRule="atLeast"/>
        </w:trPr>
        <w:tc>
          <w:tcPr>
            <w:tcW w:w="841" w:type="dxa"/>
            <w:vMerge w:val="continue"/>
            <w:tcBorders>
              <w:top w:val="single" w:color="auto" w:sz="4" w:space="0"/>
              <w:left w:val="single" w:color="auto" w:sz="4" w:space="0"/>
              <w:bottom w:val="single" w:color="auto" w:sz="4" w:space="0"/>
              <w:right w:val="single" w:color="auto" w:sz="4" w:space="0"/>
            </w:tcBorders>
            <w:noWrap w:val="0"/>
            <w:vAlign w:val="center"/>
          </w:tcPr>
          <w:p w14:paraId="60EFC46D">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813B3D0">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质疑联系部门及联系方式</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33B8E576">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bidi="ar"/>
              </w:rPr>
              <w:t>（1）</w:t>
            </w:r>
            <w:bookmarkStart w:id="78" w:name="PO_3000001867_PM031_3"/>
            <w:r>
              <w:rPr>
                <w:rFonts w:hint="eastAsia" w:ascii="宋体" w:hAnsi="宋体" w:eastAsia="宋体" w:cs="宋体"/>
                <w:color w:val="auto"/>
                <w:sz w:val="24"/>
                <w:szCs w:val="24"/>
                <w:highlight w:val="none"/>
                <w:u w:val="single"/>
                <w:lang w:bidi="ar"/>
              </w:rPr>
              <w:t>广西邕政采购代理有限公司</w:t>
            </w:r>
            <w:bookmarkEnd w:id="78"/>
            <w:r>
              <w:rPr>
                <w:rFonts w:hint="eastAsia" w:ascii="宋体" w:hAnsi="宋体" w:eastAsia="宋体" w:cs="宋体"/>
                <w:color w:val="auto"/>
                <w:sz w:val="24"/>
                <w:szCs w:val="24"/>
                <w:highlight w:val="none"/>
                <w:u w:val="single"/>
                <w:lang w:bidi="ar"/>
              </w:rPr>
              <w:t xml:space="preserve">  部门；</w:t>
            </w:r>
          </w:p>
          <w:p w14:paraId="74CEFEC2">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bidi="ar"/>
              </w:rPr>
              <w:t>联系电话：0771-2225338，</w:t>
            </w:r>
          </w:p>
          <w:p w14:paraId="0A518E79">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bidi="ar"/>
              </w:rPr>
              <w:t>通讯地址：广西壮族自治区南宁市青秀区民族大道180号（</w:t>
            </w:r>
            <w:r>
              <w:rPr>
                <w:rFonts w:hint="eastAsia" w:ascii="宋体" w:hAnsi="宋体" w:eastAsia="宋体" w:cs="宋体"/>
                <w:color w:val="auto"/>
                <w:sz w:val="24"/>
                <w:szCs w:val="24"/>
                <w:highlight w:val="none"/>
                <w:u w:val="single"/>
                <w:lang w:eastAsia="zh-CN" w:bidi="ar"/>
              </w:rPr>
              <w:t>威壮</w:t>
            </w:r>
            <w:r>
              <w:rPr>
                <w:rFonts w:hint="eastAsia" w:ascii="宋体" w:hAnsi="宋体" w:eastAsia="宋体" w:cs="宋体"/>
                <w:color w:val="auto"/>
                <w:sz w:val="24"/>
                <w:szCs w:val="24"/>
                <w:highlight w:val="none"/>
                <w:u w:val="single"/>
                <w:lang w:bidi="ar"/>
              </w:rPr>
              <w:t xml:space="preserve">大厦）22层2210～2217室 </w:t>
            </w:r>
          </w:p>
          <w:p w14:paraId="7F0EA8F1">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（2）</w:t>
            </w:r>
            <w:r>
              <w:rPr>
                <w:rFonts w:hint="eastAsia" w:ascii="宋体" w:hAnsi="宋体" w:cs="宋体"/>
                <w:color w:val="auto"/>
                <w:sz w:val="24"/>
                <w:szCs w:val="24"/>
                <w:highlight w:val="none"/>
                <w:u w:val="single"/>
                <w:lang w:eastAsia="zh-CN" w:bidi="ar"/>
              </w:rPr>
              <w:t>广西壮族自治区南宁市人民检察院</w:t>
            </w:r>
            <w:r>
              <w:rPr>
                <w:rFonts w:hint="eastAsia" w:ascii="宋体" w:hAnsi="宋体" w:cs="宋体"/>
                <w:color w:val="auto"/>
                <w:sz w:val="24"/>
                <w:szCs w:val="24"/>
                <w:highlight w:val="none"/>
                <w:u w:val="single"/>
                <w:lang w:val="en-US" w:eastAsia="zh-CN" w:bidi="ar"/>
              </w:rPr>
              <w:t>检察技术信息中心</w:t>
            </w:r>
            <w:r>
              <w:rPr>
                <w:rFonts w:hint="eastAsia" w:ascii="宋体" w:hAnsi="宋体" w:eastAsia="宋体" w:cs="宋体"/>
                <w:color w:val="auto"/>
                <w:sz w:val="24"/>
                <w:szCs w:val="24"/>
                <w:highlight w:val="none"/>
                <w:u w:val="single"/>
                <w:lang w:bidi="ar"/>
              </w:rPr>
              <w:t>部门；</w:t>
            </w:r>
          </w:p>
          <w:p w14:paraId="3814E417">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联系电话：</w:t>
            </w:r>
            <w:r>
              <w:rPr>
                <w:rFonts w:hint="eastAsia" w:ascii="宋体" w:hAnsi="宋体" w:cs="宋体"/>
                <w:color w:val="auto"/>
                <w:sz w:val="24"/>
                <w:szCs w:val="24"/>
                <w:highlight w:val="none"/>
                <w:u w:val="single"/>
                <w:lang w:val="en-US" w:eastAsia="zh-CN" w:bidi="ar"/>
              </w:rPr>
              <w:t>0771-5872384</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w:t>
            </w:r>
          </w:p>
          <w:p w14:paraId="5C32C9E0">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bidi="ar"/>
              </w:rPr>
              <w:t>通讯地址：</w:t>
            </w:r>
            <w:r>
              <w:rPr>
                <w:rFonts w:hint="eastAsia" w:ascii="宋体" w:hAnsi="宋体" w:cs="宋体"/>
                <w:color w:val="auto"/>
                <w:sz w:val="24"/>
                <w:szCs w:val="24"/>
                <w:highlight w:val="none"/>
                <w:u w:val="single"/>
                <w:lang w:val="en-US" w:eastAsia="zh-CN" w:bidi="ar"/>
              </w:rPr>
              <w:t>南宁市民族大道72号</w:t>
            </w:r>
            <w:r>
              <w:rPr>
                <w:rFonts w:hint="eastAsia" w:ascii="宋体" w:hAnsi="宋体" w:eastAsia="宋体" w:cs="宋体"/>
                <w:color w:val="auto"/>
                <w:sz w:val="24"/>
                <w:szCs w:val="24"/>
                <w:highlight w:val="none"/>
                <w:u w:val="single"/>
                <w:lang w:val="en-US" w:eastAsia="zh-CN" w:bidi="ar"/>
              </w:rPr>
              <w:t xml:space="preserve">  </w:t>
            </w:r>
          </w:p>
        </w:tc>
      </w:tr>
      <w:tr w14:paraId="0496A9B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9" w:hRule="atLeast"/>
        </w:trPr>
        <w:tc>
          <w:tcPr>
            <w:tcW w:w="841" w:type="dxa"/>
            <w:vMerge w:val="continue"/>
            <w:tcBorders>
              <w:top w:val="single" w:color="auto" w:sz="4" w:space="0"/>
              <w:left w:val="single" w:color="auto" w:sz="4" w:space="0"/>
              <w:bottom w:val="single" w:color="auto" w:sz="4" w:space="0"/>
              <w:right w:val="single" w:color="auto" w:sz="4" w:space="0"/>
            </w:tcBorders>
            <w:noWrap w:val="0"/>
            <w:vAlign w:val="center"/>
          </w:tcPr>
          <w:p w14:paraId="37A8AF8B">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257C01D">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现场提交质疑办理业务时间</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616A3A94">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bidi="ar"/>
              </w:rPr>
              <w:t>质疑期内每个工作日09时00分到12 时00分，15时00分到18时00分</w:t>
            </w:r>
          </w:p>
        </w:tc>
      </w:tr>
      <w:tr w14:paraId="73DAEB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9" w:hRule="atLeast"/>
        </w:trPr>
        <w:tc>
          <w:tcPr>
            <w:tcW w:w="841" w:type="dxa"/>
            <w:tcBorders>
              <w:top w:val="nil"/>
              <w:left w:val="single" w:color="auto" w:sz="4" w:space="0"/>
              <w:bottom w:val="single" w:color="auto" w:sz="4" w:space="0"/>
              <w:right w:val="single" w:color="auto" w:sz="4" w:space="0"/>
            </w:tcBorders>
            <w:noWrap w:val="0"/>
            <w:vAlign w:val="center"/>
          </w:tcPr>
          <w:p w14:paraId="301ACB9A">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38.3.1</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7FEEDAE">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投诉受理方式</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3A5109FB">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1、受理方式：纸质方式受理，投诉书正、副本（经过质疑的事项才可投诉）。</w:t>
            </w:r>
          </w:p>
          <w:p w14:paraId="66EF334A">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2、邮寄地址：</w:t>
            </w:r>
          </w:p>
          <w:p w14:paraId="2D1C6808">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名称：</w:t>
            </w:r>
            <w:bookmarkStart w:id="79" w:name="PO_3000001867_PM036"/>
            <w:r>
              <w:rPr>
                <w:rFonts w:hint="eastAsia" w:ascii="宋体" w:hAnsi="宋体" w:eastAsia="宋体" w:cs="宋体"/>
                <w:color w:val="auto"/>
                <w:sz w:val="24"/>
                <w:szCs w:val="24"/>
                <w:highlight w:val="none"/>
                <w:lang w:bidi="ar"/>
              </w:rPr>
              <w:t>南宁市财政局政府采购监督管理科</w:t>
            </w:r>
            <w:bookmarkEnd w:id="79"/>
            <w:r>
              <w:rPr>
                <w:rFonts w:hint="eastAsia" w:ascii="宋体" w:hAnsi="宋体" w:eastAsia="宋体" w:cs="宋体"/>
                <w:color w:val="auto"/>
                <w:sz w:val="24"/>
                <w:szCs w:val="24"/>
                <w:highlight w:val="none"/>
                <w:lang w:bidi="ar"/>
              </w:rPr>
              <w:t xml:space="preserve"> </w:t>
            </w:r>
          </w:p>
          <w:p w14:paraId="53720F1C">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地址：</w:t>
            </w:r>
            <w:bookmarkStart w:id="80" w:name="PO_3000001867_PM039"/>
            <w:r>
              <w:rPr>
                <w:rFonts w:hint="eastAsia" w:ascii="宋体" w:hAnsi="宋体" w:eastAsia="宋体" w:cs="宋体"/>
                <w:color w:val="auto"/>
                <w:sz w:val="24"/>
                <w:szCs w:val="24"/>
                <w:highlight w:val="none"/>
                <w:lang w:bidi="ar"/>
              </w:rPr>
              <w:t xml:space="preserve">南宁市东葛路129号 </w:t>
            </w:r>
            <w:bookmarkStart w:id="81" w:name="PO_3000001866_PM039"/>
            <w:r>
              <w:rPr>
                <w:rFonts w:hint="eastAsia" w:ascii="宋体" w:hAnsi="宋体" w:eastAsia="宋体" w:cs="宋体"/>
                <w:color w:val="auto"/>
                <w:sz w:val="24"/>
                <w:szCs w:val="24"/>
                <w:highlight w:val="none"/>
                <w:lang w:bidi="ar"/>
              </w:rPr>
              <w:t xml:space="preserve"> </w:t>
            </w:r>
            <w:bookmarkEnd w:id="81"/>
            <w:r>
              <w:rPr>
                <w:rFonts w:hint="eastAsia" w:ascii="宋体" w:hAnsi="宋体" w:eastAsia="宋体" w:cs="宋体"/>
                <w:color w:val="auto"/>
                <w:sz w:val="24"/>
                <w:szCs w:val="24"/>
                <w:highlight w:val="none"/>
                <w:lang w:bidi="ar"/>
              </w:rPr>
              <w:t xml:space="preserve"> </w:t>
            </w:r>
            <w:bookmarkEnd w:id="80"/>
            <w:r>
              <w:rPr>
                <w:rFonts w:hint="eastAsia" w:ascii="宋体" w:hAnsi="宋体" w:eastAsia="宋体" w:cs="宋体"/>
                <w:color w:val="auto"/>
                <w:sz w:val="24"/>
                <w:szCs w:val="24"/>
                <w:highlight w:val="none"/>
                <w:lang w:bidi="ar"/>
              </w:rPr>
              <w:t xml:space="preserve"> </w:t>
            </w:r>
          </w:p>
          <w:p w14:paraId="5AD7A581">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联系电话：</w:t>
            </w:r>
            <w:bookmarkStart w:id="82" w:name="PO_3000001867_PM038"/>
            <w:r>
              <w:rPr>
                <w:rFonts w:hint="eastAsia" w:ascii="宋体" w:hAnsi="宋体" w:eastAsia="宋体" w:cs="宋体"/>
                <w:color w:val="auto"/>
                <w:sz w:val="24"/>
                <w:szCs w:val="24"/>
                <w:highlight w:val="none"/>
                <w:lang w:bidi="ar"/>
              </w:rPr>
              <w:t>0771-2189091</w:t>
            </w:r>
            <w:bookmarkEnd w:id="82"/>
          </w:p>
        </w:tc>
      </w:tr>
      <w:tr w14:paraId="46DCAD0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80" w:hRule="atLeast"/>
        </w:trPr>
        <w:tc>
          <w:tcPr>
            <w:tcW w:w="841" w:type="dxa"/>
            <w:vMerge w:val="restart"/>
            <w:tcBorders>
              <w:top w:val="single" w:color="auto" w:sz="4" w:space="0"/>
              <w:left w:val="single" w:color="auto" w:sz="4" w:space="0"/>
              <w:bottom w:val="single" w:color="auto" w:sz="4" w:space="0"/>
              <w:right w:val="single" w:color="auto" w:sz="4" w:space="0"/>
            </w:tcBorders>
            <w:noWrap w:val="0"/>
            <w:vAlign w:val="center"/>
          </w:tcPr>
          <w:p w14:paraId="19101FB9">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40</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6A28999B">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bookmarkStart w:id="83" w:name="_42"/>
            <w:bookmarkEnd w:id="83"/>
            <w:bookmarkStart w:id="84" w:name="_41"/>
            <w:bookmarkEnd w:id="84"/>
            <w:r>
              <w:rPr>
                <w:rFonts w:hint="eastAsia" w:ascii="宋体" w:hAnsi="宋体" w:eastAsia="宋体" w:cs="宋体"/>
                <w:color w:val="auto"/>
                <w:sz w:val="24"/>
                <w:szCs w:val="24"/>
                <w:highlight w:val="none"/>
                <w:lang w:bidi="ar"/>
              </w:rPr>
              <w:t>采购代理费支付方式</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3BD93A48">
            <w:pPr>
              <w:keepNext w:val="0"/>
              <w:keepLines w:val="0"/>
              <w:pageBreakBefore w:val="0"/>
              <w:widowControl/>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☑本项目代理服务费由</w:t>
            </w:r>
            <w:r>
              <w:rPr>
                <w:rFonts w:hint="eastAsia" w:ascii="宋体" w:hAnsi="宋体" w:eastAsia="宋体" w:cs="宋体"/>
                <w:color w:val="auto"/>
                <w:sz w:val="24"/>
                <w:szCs w:val="24"/>
                <w:highlight w:val="none"/>
                <w:u w:val="single"/>
              </w:rPr>
              <w:t>中标供应商</w:t>
            </w:r>
            <w:r>
              <w:rPr>
                <w:rFonts w:hint="eastAsia" w:ascii="宋体" w:hAnsi="宋体" w:eastAsia="宋体" w:cs="宋体"/>
                <w:color w:val="auto"/>
                <w:sz w:val="24"/>
                <w:szCs w:val="24"/>
                <w:highlight w:val="none"/>
              </w:rPr>
              <w:t>在领取中标通知书前，一次性向采购代理机构支付。</w:t>
            </w:r>
          </w:p>
          <w:p w14:paraId="39E5B9CF">
            <w:pPr>
              <w:keepNext w:val="0"/>
              <w:keepLines w:val="0"/>
              <w:pageBreakBefore w:val="0"/>
              <w:widowControl/>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□采购人支付。</w:t>
            </w:r>
          </w:p>
          <w:p w14:paraId="7D07E472">
            <w:pPr>
              <w:keepNext w:val="0"/>
              <w:keepLines w:val="0"/>
              <w:pageBreakBefore w:val="0"/>
              <w:widowControl/>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□本项目不收取代理服务费。</w:t>
            </w:r>
          </w:p>
        </w:tc>
      </w:tr>
      <w:tr w14:paraId="5A61606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841" w:type="dxa"/>
            <w:vMerge w:val="continue"/>
            <w:tcBorders>
              <w:top w:val="single" w:color="auto" w:sz="4" w:space="0"/>
              <w:left w:val="single" w:color="auto" w:sz="4" w:space="0"/>
              <w:bottom w:val="single" w:color="auto" w:sz="4" w:space="0"/>
              <w:right w:val="single" w:color="auto" w:sz="4" w:space="0"/>
            </w:tcBorders>
            <w:noWrap w:val="0"/>
            <w:vAlign w:val="center"/>
          </w:tcPr>
          <w:p w14:paraId="158BCD23">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2731CDD">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采购代理费收取标准</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4B4A7C52">
            <w:pPr>
              <w:keepNext w:val="0"/>
              <w:keepLines w:val="0"/>
              <w:pageBreakBefore w:val="0"/>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以分标（</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中标金额/□采购预算/□暂定中标金额/□其他）为计费额，按国家发改委（计价格[2002]1980号）货物招标采用差额定率累进法计出收费基准价格，（</w:t>
            </w: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收费基准价格/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收费基准价格下浮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/□收费基准价格上浮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）收取。</w:t>
            </w:r>
          </w:p>
          <w:p w14:paraId="7ECEB0BF">
            <w:pPr>
              <w:keepNext w:val="0"/>
              <w:keepLines w:val="0"/>
              <w:pageBreakBefore w:val="0"/>
              <w:kinsoku/>
              <w:wordWrap w:val="0"/>
              <w:overflowPunct/>
              <w:topLinePunct w:val="0"/>
              <w:bidi w:val="0"/>
              <w:snapToGrid w:val="0"/>
              <w:spacing w:line="360" w:lineRule="auto"/>
              <w:rPr>
                <w:rFonts w:hint="eastAsia" w:ascii="宋体" w:hAnsi="宋体" w:eastAsia="宋体" w:cs="宋体"/>
                <w:color w:val="auto"/>
                <w:sz w:val="24"/>
                <w:szCs w:val="24"/>
                <w:highlight w:val="none"/>
              </w:rPr>
            </w:pPr>
          </w:p>
          <w:p w14:paraId="6A7E4C51">
            <w:pPr>
              <w:keepNext w:val="0"/>
              <w:keepLines w:val="0"/>
              <w:pageBreakBefore w:val="0"/>
              <w:kinsoku/>
              <w:wordWrap w:val="0"/>
              <w:overflowPunct/>
              <w:topLinePunct w:val="0"/>
              <w:bidi w:val="0"/>
              <w:snapToGrid w:val="0"/>
              <w:spacing w:line="360" w:lineRule="auto"/>
              <w:rPr>
                <w:rFonts w:hint="eastAsia" w:ascii="宋体" w:hAnsi="宋体" w:eastAsia="宋体" w:cs="宋体"/>
                <w:color w:val="auto"/>
                <w:sz w:val="24"/>
                <w:szCs w:val="24"/>
                <w:highlight w:val="none"/>
              </w:rPr>
            </w:pPr>
          </w:p>
          <w:p w14:paraId="5E550F21">
            <w:pPr>
              <w:keepNext w:val="0"/>
              <w:keepLines w:val="0"/>
              <w:pageBreakBefore w:val="0"/>
              <w:kinsoku/>
              <w:wordWrap w:val="0"/>
              <w:overflowPunct/>
              <w:topLinePunct w:val="0"/>
              <w:bidi w:val="0"/>
              <w:snapToGrid w:val="0"/>
              <w:spacing w:line="360" w:lineRule="auto"/>
              <w:rPr>
                <w:rFonts w:hint="eastAsia" w:ascii="宋体" w:hAnsi="宋体" w:eastAsia="宋体" w:cs="宋体"/>
                <w:color w:val="auto"/>
                <w:sz w:val="24"/>
                <w:szCs w:val="24"/>
                <w:highlight w:val="none"/>
              </w:rPr>
            </w:pPr>
          </w:p>
          <w:tbl>
            <w:tblPr>
              <w:tblStyle w:val="39"/>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1688"/>
              <w:gridCol w:w="1283"/>
              <w:gridCol w:w="2079"/>
            </w:tblGrid>
            <w:tr w14:paraId="39DB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709" w:type="dxa"/>
                  <w:noWrap w:val="0"/>
                  <w:vAlign w:val="top"/>
                </w:tcPr>
                <w:p w14:paraId="7AE58514">
                  <w:pPr>
                    <w:keepNext w:val="0"/>
                    <w:keepLines w:val="0"/>
                    <w:pageBreakBefore w:val="0"/>
                    <w:kinsoku/>
                    <w:overflowPunct/>
                    <w:topLinePunct w:val="0"/>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mc:AlternateContent>
                      <mc:Choice Requires="wpg">
                        <w:drawing>
                          <wp:anchor distT="0" distB="0" distL="114300" distR="114300" simplePos="0" relativeHeight="251659264" behindDoc="0" locked="0" layoutInCell="1" allowOverlap="1">
                            <wp:simplePos x="0" y="0"/>
                            <wp:positionH relativeFrom="column">
                              <wp:posOffset>-31750</wp:posOffset>
                            </wp:positionH>
                            <wp:positionV relativeFrom="paragraph">
                              <wp:posOffset>53340</wp:posOffset>
                            </wp:positionV>
                            <wp:extent cx="1010285" cy="1901825"/>
                            <wp:effectExtent l="4445" t="2540" r="13970" b="19685"/>
                            <wp:wrapNone/>
                            <wp:docPr id="3" name="组合 3"/>
                            <wp:cNvGraphicFramePr/>
                            <a:graphic xmlns:a="http://schemas.openxmlformats.org/drawingml/2006/main">
                              <a:graphicData uri="http://schemas.microsoft.com/office/word/2010/wordprocessingGroup">
                                <wpg:wgp>
                                  <wpg:cNvGrpSpPr/>
                                  <wpg:grpSpPr>
                                    <a:xfrm>
                                      <a:off x="0" y="0"/>
                                      <a:ext cx="1010285" cy="1901825"/>
                                      <a:chOff x="1204" y="6337"/>
                                      <a:chExt cx="2335" cy="2076"/>
                                    </a:xfrm>
                                    <a:effectLst/>
                                  </wpg:grpSpPr>
                                  <wps:wsp>
                                    <wps:cNvPr id="4" name="直接连接符 1"/>
                                    <wps:cNvCnPr/>
                                    <wps:spPr>
                                      <a:xfrm>
                                        <a:off x="1204" y="6337"/>
                                        <a:ext cx="2335" cy="2076"/>
                                      </a:xfrm>
                                      <a:prstGeom prst="line">
                                        <a:avLst/>
                                      </a:prstGeom>
                                      <a:ln w="6350" cap="flat" cmpd="sng">
                                        <a:solidFill>
                                          <a:srgbClr val="000000"/>
                                        </a:solidFill>
                                        <a:prstDash val="solid"/>
                                        <a:headEnd type="none" w="med" len="med"/>
                                        <a:tailEnd type="none" w="med" len="med"/>
                                      </a:ln>
                                      <a:effectLst/>
                                    </wps:spPr>
                                    <wps:bodyPr/>
                                  </wps:wsp>
                                  <wps:wsp>
                                    <wps:cNvPr id="7" name="直接连接符 4"/>
                                    <wps:cNvCnPr/>
                                    <wps:spPr>
                                      <a:xfrm>
                                        <a:off x="1204" y="6337"/>
                                        <a:ext cx="1167" cy="2076"/>
                                      </a:xfrm>
                                      <a:prstGeom prst="line">
                                        <a:avLst/>
                                      </a:prstGeom>
                                      <a:ln w="6350" cap="flat" cmpd="sng">
                                        <a:solidFill>
                                          <a:srgbClr val="00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2.5pt;margin-top:4.2pt;height:149.75pt;width:79.55pt;z-index:251659264;mso-width-relative:page;mso-height-relative:page;" coordorigin="1204,6337" coordsize="2335,2076" o:gfxdata="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JvXL9kAAAAIAQAADwAA&#10;AAAAAAABACAAAAAiAAAAZHJzL2Rvd25yZXYueG1sUEsBAhQAFAAAAAgAh07iQMVFYdyHAgAAOQcA&#10;AA4AAAAAAAAAAQAgAAAAKAEAAGRycy9lMm9Eb2MueG1sUEsFBgAAAAAGAAYAWQEAACEGAAAAAA==&#10;">
                            <o:lock v:ext="edit" aspectratio="f"/>
                            <v:line id="直接连接符 1" o:spid="_x0000_s1026" o:spt="20" style="position:absolute;left:1204;top:6337;height:2076;width:2335;"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直接连接符 4" o:spid="_x0000_s1026" o:spt="20" style="position:absolute;left:1204;top:6337;height:2076;width:1167;" filled="f" stroked="t" coordsize="21600,21600" o:gfxdata="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I1kr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rPr>
                      <w:rFonts w:hint="eastAsia" w:ascii="宋体" w:hAnsi="宋体" w:eastAsia="宋体" w:cs="宋体"/>
                      <w:b w:val="0"/>
                      <w:bCs w:val="0"/>
                      <w:color w:val="auto"/>
                      <w:sz w:val="24"/>
                      <w:szCs w:val="24"/>
                      <w:highlight w:val="none"/>
                    </w:rPr>
                    <w:t xml:space="preserve">  服务类型</w:t>
                  </w:r>
                </w:p>
                <w:p w14:paraId="731D9FCC">
                  <w:pPr>
                    <w:keepNext w:val="0"/>
                    <w:keepLines w:val="0"/>
                    <w:pageBreakBefore w:val="0"/>
                    <w:kinsoku/>
                    <w:overflowPunct/>
                    <w:topLinePunct w:val="0"/>
                    <w:bidi w:val="0"/>
                    <w:spacing w:after="120" w:line="360" w:lineRule="auto"/>
                    <w:rPr>
                      <w:rFonts w:hint="eastAsia" w:ascii="宋体" w:hAnsi="宋体" w:eastAsia="宋体" w:cs="宋体"/>
                      <w:b w:val="0"/>
                      <w:bCs w:val="0"/>
                      <w:color w:val="auto"/>
                      <w:sz w:val="24"/>
                      <w:szCs w:val="24"/>
                      <w:highlight w:val="none"/>
                    </w:rPr>
                  </w:pPr>
                </w:p>
                <w:p w14:paraId="2F3A940B">
                  <w:pPr>
                    <w:keepNext w:val="0"/>
                    <w:keepLines w:val="0"/>
                    <w:pageBreakBefore w:val="0"/>
                    <w:kinsoku/>
                    <w:overflowPunct/>
                    <w:topLinePunct w:val="0"/>
                    <w:bidi w:val="0"/>
                    <w:spacing w:line="360" w:lineRule="auto"/>
                    <w:rPr>
                      <w:rFonts w:hint="eastAsia" w:ascii="宋体" w:hAnsi="宋体" w:eastAsia="宋体" w:cs="宋体"/>
                      <w:b w:val="0"/>
                      <w:bCs w:val="0"/>
                      <w:color w:val="auto"/>
                      <w:sz w:val="24"/>
                      <w:szCs w:val="24"/>
                      <w:highlight w:val="none"/>
                    </w:rPr>
                  </w:pPr>
                </w:p>
                <w:p w14:paraId="3EA0FE04">
                  <w:pPr>
                    <w:keepNext w:val="0"/>
                    <w:keepLines w:val="0"/>
                    <w:pageBreakBefore w:val="0"/>
                    <w:kinsoku/>
                    <w:overflowPunct/>
                    <w:topLinePunct w:val="0"/>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中标</w:t>
                  </w:r>
                </w:p>
                <w:p w14:paraId="76CD5356">
                  <w:pPr>
                    <w:keepNext w:val="0"/>
                    <w:keepLines w:val="0"/>
                    <w:pageBreakBefore w:val="0"/>
                    <w:kinsoku/>
                    <w:overflowPunct/>
                    <w:topLinePunct w:val="0"/>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金额  费率</w:t>
                  </w:r>
                </w:p>
                <w:p w14:paraId="2E567298">
                  <w:pPr>
                    <w:keepNext w:val="0"/>
                    <w:keepLines w:val="0"/>
                    <w:pageBreakBefore w:val="0"/>
                    <w:kinsoku/>
                    <w:overflowPunct/>
                    <w:topLinePunct w:val="0"/>
                    <w:bidi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（万元</w:t>
                  </w:r>
                </w:p>
              </w:tc>
              <w:tc>
                <w:tcPr>
                  <w:tcW w:w="1688" w:type="dxa"/>
                  <w:noWrap w:val="0"/>
                  <w:vAlign w:val="center"/>
                </w:tcPr>
                <w:p w14:paraId="1671BFB4">
                  <w:pPr>
                    <w:keepNext w:val="0"/>
                    <w:keepLines w:val="0"/>
                    <w:pageBreakBefore w:val="0"/>
                    <w:kinsoku/>
                    <w:overflowPunct/>
                    <w:topLinePunct w:val="0"/>
                    <w:bidi w:val="0"/>
                    <w:adjustRightInd w:val="0"/>
                    <w:snapToGrid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货物招标</w:t>
                  </w:r>
                </w:p>
              </w:tc>
              <w:tc>
                <w:tcPr>
                  <w:tcW w:w="1283" w:type="dxa"/>
                  <w:noWrap w:val="0"/>
                  <w:vAlign w:val="center"/>
                </w:tcPr>
                <w:p w14:paraId="339536DD">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服务招标</w:t>
                  </w:r>
                </w:p>
              </w:tc>
              <w:tc>
                <w:tcPr>
                  <w:tcW w:w="2079" w:type="dxa"/>
                  <w:noWrap w:val="0"/>
                  <w:vAlign w:val="center"/>
                </w:tcPr>
                <w:p w14:paraId="30ED2B6F">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工程招标</w:t>
                  </w:r>
                </w:p>
              </w:tc>
            </w:tr>
            <w:tr w14:paraId="3D43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dxa"/>
                  <w:noWrap w:val="0"/>
                  <w:vAlign w:val="top"/>
                </w:tcPr>
                <w:p w14:paraId="2E26FC69">
                  <w:pPr>
                    <w:keepNext w:val="0"/>
                    <w:keepLines w:val="0"/>
                    <w:pageBreakBefore w:val="0"/>
                    <w:widowControl/>
                    <w:kinsoku/>
                    <w:overflowPunct/>
                    <w:topLinePunct w:val="0"/>
                    <w:bidi w:val="0"/>
                    <w:spacing w:line="360" w:lineRule="auto"/>
                    <w:jc w:val="center"/>
                    <w:textAlignment w:val="top"/>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100以下</w:t>
                  </w:r>
                </w:p>
              </w:tc>
              <w:tc>
                <w:tcPr>
                  <w:tcW w:w="1688" w:type="dxa"/>
                  <w:noWrap w:val="0"/>
                  <w:vAlign w:val="top"/>
                </w:tcPr>
                <w:p w14:paraId="7DA9A78A">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w:t>
                  </w:r>
                </w:p>
              </w:tc>
              <w:tc>
                <w:tcPr>
                  <w:tcW w:w="1283" w:type="dxa"/>
                  <w:noWrap w:val="0"/>
                  <w:vAlign w:val="top"/>
                </w:tcPr>
                <w:p w14:paraId="62B7FBD3">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w:t>
                  </w:r>
                </w:p>
              </w:tc>
              <w:tc>
                <w:tcPr>
                  <w:tcW w:w="2079" w:type="dxa"/>
                  <w:noWrap w:val="0"/>
                  <w:vAlign w:val="top"/>
                </w:tcPr>
                <w:p w14:paraId="7182A64F">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w:t>
                  </w:r>
                </w:p>
              </w:tc>
            </w:tr>
            <w:tr w14:paraId="3430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dxa"/>
                  <w:noWrap w:val="0"/>
                  <w:vAlign w:val="top"/>
                </w:tcPr>
                <w:p w14:paraId="6E968F35">
                  <w:pPr>
                    <w:keepNext w:val="0"/>
                    <w:keepLines w:val="0"/>
                    <w:pageBreakBefore w:val="0"/>
                    <w:widowControl/>
                    <w:kinsoku/>
                    <w:overflowPunct/>
                    <w:topLinePunct w:val="0"/>
                    <w:bidi w:val="0"/>
                    <w:spacing w:line="360" w:lineRule="auto"/>
                    <w:jc w:val="center"/>
                    <w:textAlignment w:val="top"/>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100-500</w:t>
                  </w:r>
                </w:p>
              </w:tc>
              <w:tc>
                <w:tcPr>
                  <w:tcW w:w="1688" w:type="dxa"/>
                  <w:noWrap w:val="0"/>
                  <w:vAlign w:val="top"/>
                </w:tcPr>
                <w:p w14:paraId="1915E1E8">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w:t>
                  </w:r>
                </w:p>
              </w:tc>
              <w:tc>
                <w:tcPr>
                  <w:tcW w:w="1283" w:type="dxa"/>
                  <w:noWrap w:val="0"/>
                  <w:vAlign w:val="top"/>
                </w:tcPr>
                <w:p w14:paraId="5E03E1FC">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0.8%</w:t>
                  </w:r>
                </w:p>
              </w:tc>
              <w:tc>
                <w:tcPr>
                  <w:tcW w:w="2079" w:type="dxa"/>
                  <w:noWrap w:val="0"/>
                  <w:vAlign w:val="top"/>
                </w:tcPr>
                <w:p w14:paraId="4288CBE7">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0.7%</w:t>
                  </w:r>
                </w:p>
              </w:tc>
            </w:tr>
            <w:tr w14:paraId="5793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709" w:type="dxa"/>
                  <w:noWrap w:val="0"/>
                  <w:vAlign w:val="top"/>
                </w:tcPr>
                <w:p w14:paraId="772C76EC">
                  <w:pPr>
                    <w:keepNext w:val="0"/>
                    <w:keepLines w:val="0"/>
                    <w:pageBreakBefore w:val="0"/>
                    <w:widowControl/>
                    <w:kinsoku/>
                    <w:overflowPunct/>
                    <w:topLinePunct w:val="0"/>
                    <w:bidi w:val="0"/>
                    <w:spacing w:line="360" w:lineRule="auto"/>
                    <w:jc w:val="center"/>
                    <w:textAlignment w:val="top"/>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500-1000</w:t>
                  </w:r>
                </w:p>
              </w:tc>
              <w:tc>
                <w:tcPr>
                  <w:tcW w:w="1688" w:type="dxa"/>
                  <w:noWrap w:val="0"/>
                  <w:vAlign w:val="top"/>
                </w:tcPr>
                <w:p w14:paraId="40143FD2">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0.8%</w:t>
                  </w:r>
                </w:p>
              </w:tc>
              <w:tc>
                <w:tcPr>
                  <w:tcW w:w="1283" w:type="dxa"/>
                  <w:noWrap w:val="0"/>
                  <w:vAlign w:val="top"/>
                </w:tcPr>
                <w:p w14:paraId="52CDAB6A">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0.45%</w:t>
                  </w:r>
                </w:p>
              </w:tc>
              <w:tc>
                <w:tcPr>
                  <w:tcW w:w="2079" w:type="dxa"/>
                  <w:noWrap w:val="0"/>
                  <w:vAlign w:val="top"/>
                </w:tcPr>
                <w:p w14:paraId="4BAF2CDB">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0.55%</w:t>
                  </w:r>
                </w:p>
              </w:tc>
            </w:tr>
            <w:tr w14:paraId="4ADD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dxa"/>
                  <w:noWrap w:val="0"/>
                  <w:vAlign w:val="top"/>
                </w:tcPr>
                <w:p w14:paraId="33E00359">
                  <w:pPr>
                    <w:keepNext w:val="0"/>
                    <w:keepLines w:val="0"/>
                    <w:pageBreakBefore w:val="0"/>
                    <w:widowControl/>
                    <w:kinsoku/>
                    <w:overflowPunct/>
                    <w:topLinePunct w:val="0"/>
                    <w:bidi w:val="0"/>
                    <w:spacing w:line="360" w:lineRule="auto"/>
                    <w:jc w:val="center"/>
                    <w:textAlignment w:val="top"/>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1000-5000</w:t>
                  </w:r>
                </w:p>
              </w:tc>
              <w:tc>
                <w:tcPr>
                  <w:tcW w:w="1688" w:type="dxa"/>
                  <w:noWrap w:val="0"/>
                  <w:vAlign w:val="top"/>
                </w:tcPr>
                <w:p w14:paraId="3B095E0D">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0.5%</w:t>
                  </w:r>
                </w:p>
              </w:tc>
              <w:tc>
                <w:tcPr>
                  <w:tcW w:w="1283" w:type="dxa"/>
                  <w:noWrap w:val="0"/>
                  <w:vAlign w:val="top"/>
                </w:tcPr>
                <w:p w14:paraId="7D75C636">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0.25%</w:t>
                  </w:r>
                </w:p>
              </w:tc>
              <w:tc>
                <w:tcPr>
                  <w:tcW w:w="2079" w:type="dxa"/>
                  <w:noWrap w:val="0"/>
                  <w:vAlign w:val="top"/>
                </w:tcPr>
                <w:p w14:paraId="264C9111">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0.35%</w:t>
                  </w:r>
                </w:p>
              </w:tc>
            </w:tr>
            <w:tr w14:paraId="7F2F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9" w:type="dxa"/>
                  <w:noWrap w:val="0"/>
                  <w:vAlign w:val="top"/>
                </w:tcPr>
                <w:p w14:paraId="2002C7F0">
                  <w:pPr>
                    <w:keepNext w:val="0"/>
                    <w:keepLines w:val="0"/>
                    <w:pageBreakBefore w:val="0"/>
                    <w:widowControl/>
                    <w:kinsoku/>
                    <w:overflowPunct/>
                    <w:topLinePunct w:val="0"/>
                    <w:bidi w:val="0"/>
                    <w:spacing w:line="360" w:lineRule="auto"/>
                    <w:jc w:val="center"/>
                    <w:textAlignment w:val="top"/>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5000-10000</w:t>
                  </w:r>
                </w:p>
              </w:tc>
              <w:tc>
                <w:tcPr>
                  <w:tcW w:w="1688" w:type="dxa"/>
                  <w:noWrap w:val="0"/>
                  <w:vAlign w:val="top"/>
                </w:tcPr>
                <w:p w14:paraId="320258D9">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0.25%</w:t>
                  </w:r>
                </w:p>
              </w:tc>
              <w:tc>
                <w:tcPr>
                  <w:tcW w:w="1283" w:type="dxa"/>
                  <w:noWrap w:val="0"/>
                  <w:vAlign w:val="top"/>
                </w:tcPr>
                <w:p w14:paraId="704CC478">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0.1%</w:t>
                  </w:r>
                </w:p>
              </w:tc>
              <w:tc>
                <w:tcPr>
                  <w:tcW w:w="2079" w:type="dxa"/>
                  <w:noWrap w:val="0"/>
                  <w:vAlign w:val="top"/>
                </w:tcPr>
                <w:p w14:paraId="7F9CEF5D">
                  <w:pPr>
                    <w:keepNext w:val="0"/>
                    <w:keepLines w:val="0"/>
                    <w:pageBreakBefore w:val="0"/>
                    <w:kinsoku/>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0.2%</w:t>
                  </w:r>
                </w:p>
              </w:tc>
            </w:tr>
          </w:tbl>
          <w:p w14:paraId="55965C97">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lang w:bidi="ar"/>
              </w:rPr>
              <w:sym w:font="Wingdings 2" w:char="0052"/>
            </w:r>
            <w:r>
              <w:rPr>
                <w:rFonts w:hint="eastAsia" w:ascii="宋体" w:hAnsi="宋体" w:eastAsia="宋体" w:cs="宋体"/>
                <w:color w:val="auto"/>
                <w:sz w:val="24"/>
                <w:szCs w:val="24"/>
                <w:highlight w:val="none"/>
                <w:lang w:bidi="ar"/>
              </w:rPr>
              <w:t>固定采购代理收费：</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cs="宋体"/>
                <w:color w:val="auto"/>
                <w:sz w:val="24"/>
                <w:szCs w:val="24"/>
                <w:highlight w:val="none"/>
                <w:u w:val="single"/>
                <w:lang w:val="en-US" w:eastAsia="zh-CN" w:bidi="ar"/>
              </w:rPr>
              <w:t>14000.00</w:t>
            </w:r>
            <w:r>
              <w:rPr>
                <w:rFonts w:hint="eastAsia" w:ascii="宋体" w:hAnsi="宋体" w:eastAsia="宋体" w:cs="宋体"/>
                <w:color w:val="auto"/>
                <w:sz w:val="24"/>
                <w:szCs w:val="24"/>
                <w:highlight w:val="none"/>
                <w:lang w:val="en-US" w:eastAsia="zh-CN" w:bidi="ar"/>
              </w:rPr>
              <w:t>元</w:t>
            </w:r>
          </w:p>
        </w:tc>
      </w:tr>
      <w:tr w14:paraId="6A668D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49" w:hRule="atLeast"/>
        </w:trPr>
        <w:tc>
          <w:tcPr>
            <w:tcW w:w="841" w:type="dxa"/>
            <w:vMerge w:val="continue"/>
            <w:tcBorders>
              <w:top w:val="single" w:color="auto" w:sz="4" w:space="0"/>
              <w:left w:val="single" w:color="auto" w:sz="4" w:space="0"/>
              <w:bottom w:val="single" w:color="auto" w:sz="4" w:space="0"/>
              <w:right w:val="single" w:color="auto" w:sz="4" w:space="0"/>
            </w:tcBorders>
            <w:noWrap w:val="0"/>
            <w:vAlign w:val="center"/>
          </w:tcPr>
          <w:p w14:paraId="4000BBC1">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65E465A4">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代理服务费收款账户信息</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0E88C934">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账户名称：广西邕政采购代理有限公司</w:t>
            </w:r>
          </w:p>
          <w:p w14:paraId="6EF9AA29">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开户银行：交通银行南宁东葛西支行</w:t>
            </w:r>
          </w:p>
          <w:p w14:paraId="2DA0F567">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银行账号：4510 6070 1018 1602 32818 </w:t>
            </w:r>
          </w:p>
          <w:p w14:paraId="54AA7B8C">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开户行行号：301611000718</w:t>
            </w:r>
          </w:p>
        </w:tc>
      </w:tr>
      <w:tr w14:paraId="22A2957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2B3C01FC">
            <w:pPr>
              <w:keepNext w:val="0"/>
              <w:keepLines w:val="0"/>
              <w:pageBreakBefore w:val="0"/>
              <w:kinsoku/>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41.1</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A097A61">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解释</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014F5F0A">
            <w:pPr>
              <w:keepNext w:val="0"/>
              <w:keepLines w:val="0"/>
              <w:pageBreakBefore w:val="0"/>
              <w:kinsoku/>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解释权：</w:t>
            </w:r>
            <w:r>
              <w:rPr>
                <w:rFonts w:hint="eastAsia" w:ascii="宋体" w:hAnsi="宋体" w:eastAsia="宋体" w:cs="宋体"/>
                <w:color w:val="auto"/>
                <w:sz w:val="24"/>
                <w:szCs w:val="24"/>
                <w:highlight w:val="none"/>
                <w:lang w:bidi="ar"/>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4"/>
                <w:szCs w:val="24"/>
                <w:highlight w:val="none"/>
                <w:lang w:bidi="ar"/>
              </w:rPr>
              <w:t>，由采购人或者采购代理机构负责解释。</w:t>
            </w:r>
          </w:p>
          <w:p w14:paraId="783E650D">
            <w:pPr>
              <w:keepNext w:val="0"/>
              <w:keepLines w:val="0"/>
              <w:pageBreakBefore w:val="0"/>
              <w:kinsoku/>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法律责任：</w:t>
            </w:r>
          </w:p>
          <w:p w14:paraId="7EB3BB5C">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5CF411E1">
            <w:pPr>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1245E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841" w:type="dxa"/>
            <w:tcBorders>
              <w:top w:val="single" w:color="auto" w:sz="4" w:space="0"/>
              <w:left w:val="single" w:color="auto" w:sz="4" w:space="0"/>
              <w:bottom w:val="single" w:color="auto" w:sz="4" w:space="0"/>
              <w:right w:val="single" w:color="auto" w:sz="4" w:space="0"/>
            </w:tcBorders>
            <w:noWrap w:val="0"/>
            <w:vAlign w:val="center"/>
          </w:tcPr>
          <w:p w14:paraId="0AAFD0E8">
            <w:pPr>
              <w:keepNext w:val="0"/>
              <w:keepLines w:val="0"/>
              <w:pageBreakBefore w:val="0"/>
              <w:kinsoku/>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41.2</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C9FAB67">
            <w:pPr>
              <w:keepNext w:val="0"/>
              <w:keepLines w:val="0"/>
              <w:pageBreakBefore w:val="0"/>
              <w:kinsoku/>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其他释义</w:t>
            </w:r>
          </w:p>
        </w:tc>
        <w:tc>
          <w:tcPr>
            <w:tcW w:w="6959" w:type="dxa"/>
            <w:tcBorders>
              <w:top w:val="single" w:color="auto" w:sz="4" w:space="0"/>
              <w:left w:val="single" w:color="auto" w:sz="4" w:space="0"/>
              <w:bottom w:val="single" w:color="auto" w:sz="4" w:space="0"/>
              <w:right w:val="single" w:color="auto" w:sz="4" w:space="0"/>
            </w:tcBorders>
            <w:noWrap w:val="0"/>
            <w:vAlign w:val="center"/>
          </w:tcPr>
          <w:p w14:paraId="7106E9DF">
            <w:pPr>
              <w:keepNext w:val="0"/>
              <w:keepLines w:val="0"/>
              <w:pageBreakBefore w:val="0"/>
              <w:widowControl/>
              <w:kinsoku/>
              <w:overflowPunct/>
              <w:topLinePunct w:val="0"/>
              <w:bidi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0EB3F348">
            <w:pPr>
              <w:keepNext w:val="0"/>
              <w:keepLines w:val="0"/>
              <w:pageBreakBefore w:val="0"/>
              <w:widowControl/>
              <w:kinsoku/>
              <w:overflowPunct/>
              <w:topLinePunct w:val="0"/>
              <w:bidi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A533923">
            <w:pPr>
              <w:keepNext w:val="0"/>
              <w:keepLines w:val="0"/>
              <w:pageBreakBefore w:val="0"/>
              <w:widowControl/>
              <w:kinsoku/>
              <w:overflowPunct/>
              <w:topLinePunct w:val="0"/>
              <w:bidi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4D592A5C">
            <w:pPr>
              <w:keepNext w:val="0"/>
              <w:keepLines w:val="0"/>
              <w:pageBreakBefore w:val="0"/>
              <w:widowControl/>
              <w:kinsoku/>
              <w:overflowPunct/>
              <w:topLinePunct w:val="0"/>
              <w:bidi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4.自然人投标的，招标文件规定盖公章处由自然人摁手指指印。</w:t>
            </w:r>
          </w:p>
          <w:p w14:paraId="5B4BB1DA">
            <w:pPr>
              <w:keepNext w:val="0"/>
              <w:keepLines w:val="0"/>
              <w:pageBreakBefore w:val="0"/>
              <w:kinsoku/>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5.本招标文件所称的“以上”“以下”“以内”“届满”，包括本数；所称的“不满”“超过”“以外”，不包括本数。</w:t>
            </w:r>
          </w:p>
        </w:tc>
      </w:tr>
    </w:tbl>
    <w:p w14:paraId="32613604">
      <w:pPr>
        <w:spacing w:line="410" w:lineRule="auto"/>
        <w:rPr>
          <w:rFonts w:hint="eastAsia" w:ascii="宋体" w:hAnsi="宋体" w:cs="宋体"/>
          <w:b/>
          <w:bCs/>
          <w:color w:val="auto"/>
          <w:sz w:val="32"/>
          <w:szCs w:val="32"/>
          <w:highlight w:val="none"/>
          <w:lang w:bidi="ar"/>
        </w:rPr>
        <w:sectPr>
          <w:pgSz w:w="11906" w:h="16838"/>
          <w:pgMar w:top="1135" w:right="1135" w:bottom="1135" w:left="1135" w:header="720" w:footer="720" w:gutter="0"/>
          <w:pgNumType w:fmt="decimal"/>
          <w:cols w:space="720" w:num="1"/>
          <w:docGrid w:type="lines" w:linePitch="331" w:charSpace="0"/>
        </w:sectPr>
      </w:pPr>
    </w:p>
    <w:p w14:paraId="4C49AEA0">
      <w:pPr>
        <w:rPr>
          <w:rFonts w:hint="eastAsia" w:ascii="宋体" w:hAnsi="宋体" w:cs="宋体"/>
          <w:color w:val="auto"/>
          <w:highlight w:val="none"/>
        </w:rPr>
      </w:pPr>
    </w:p>
    <w:p w14:paraId="30C473E4">
      <w:pPr>
        <w:keepNext/>
        <w:keepLines/>
        <w:widowControl/>
        <w:spacing w:before="260" w:after="260" w:line="412" w:lineRule="auto"/>
        <w:jc w:val="center"/>
        <w:outlineLvl w:val="1"/>
        <w:rPr>
          <w:rFonts w:hint="eastAsia" w:ascii="宋体" w:hAnsi="宋体" w:cs="宋体"/>
          <w:b/>
          <w:bCs/>
          <w:color w:val="auto"/>
          <w:sz w:val="32"/>
          <w:szCs w:val="32"/>
          <w:highlight w:val="none"/>
        </w:rPr>
      </w:pPr>
      <w:bookmarkStart w:id="85" w:name="_Toc11538"/>
      <w:bookmarkStart w:id="86" w:name="_Toc3932"/>
      <w:bookmarkStart w:id="87" w:name="_Toc25034"/>
      <w:r>
        <w:rPr>
          <w:rFonts w:hint="eastAsia" w:ascii="宋体" w:hAnsi="宋体" w:cs="宋体"/>
          <w:b/>
          <w:bCs/>
          <w:color w:val="auto"/>
          <w:sz w:val="32"/>
          <w:szCs w:val="32"/>
          <w:highlight w:val="none"/>
        </w:rPr>
        <w:t>第二节 投标人须知正文</w:t>
      </w:r>
      <w:bookmarkEnd w:id="85"/>
      <w:bookmarkEnd w:id="86"/>
      <w:bookmarkEnd w:id="87"/>
    </w:p>
    <w:p w14:paraId="6378665F">
      <w:pPr>
        <w:spacing w:line="400" w:lineRule="exact"/>
        <w:ind w:firstLine="643" w:firstLineChars="200"/>
        <w:jc w:val="center"/>
        <w:outlineLvl w:val="2"/>
        <w:rPr>
          <w:rFonts w:hint="eastAsia" w:ascii="宋体" w:hAnsi="宋体" w:cs="宋体"/>
          <w:b/>
          <w:bCs/>
          <w:color w:val="auto"/>
          <w:sz w:val="32"/>
          <w:szCs w:val="32"/>
          <w:highlight w:val="none"/>
        </w:rPr>
      </w:pPr>
      <w:bookmarkStart w:id="88" w:name="_Toc18733"/>
      <w:r>
        <w:rPr>
          <w:rFonts w:hint="eastAsia" w:ascii="宋体" w:hAnsi="宋体" w:cs="宋体"/>
          <w:b/>
          <w:bCs/>
          <w:color w:val="auto"/>
          <w:sz w:val="32"/>
          <w:szCs w:val="32"/>
          <w:highlight w:val="none"/>
        </w:rPr>
        <w:t>一、总  则</w:t>
      </w:r>
      <w:bookmarkEnd w:id="88"/>
    </w:p>
    <w:p w14:paraId="7061BA4F">
      <w:pPr>
        <w:spacing w:line="360" w:lineRule="auto"/>
        <w:ind w:firstLine="480" w:firstLineChars="200"/>
        <w:rPr>
          <w:rFonts w:hint="eastAsia" w:ascii="宋体" w:hAnsi="宋体" w:cs="宋体"/>
          <w:color w:val="auto"/>
          <w:sz w:val="24"/>
          <w:szCs w:val="24"/>
          <w:highlight w:val="none"/>
        </w:rPr>
      </w:pPr>
      <w:bookmarkStart w:id="89" w:name="_Toc254970527"/>
      <w:bookmarkStart w:id="90" w:name="_Toc254970668"/>
      <w:r>
        <w:rPr>
          <w:rFonts w:hint="eastAsia" w:ascii="宋体" w:hAnsi="宋体" w:cs="宋体"/>
          <w:color w:val="auto"/>
          <w:sz w:val="24"/>
          <w:szCs w:val="24"/>
          <w:highlight w:val="none"/>
          <w:lang w:bidi="ar"/>
        </w:rPr>
        <w:t>1.适用范围</w:t>
      </w:r>
      <w:bookmarkEnd w:id="89"/>
      <w:bookmarkEnd w:id="90"/>
    </w:p>
    <w:p w14:paraId="37DE148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068F119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1.2本招标文件</w:t>
      </w:r>
      <w:r>
        <w:rPr>
          <w:rFonts w:hint="eastAsia" w:ascii="宋体" w:hAnsi="宋体" w:cs="宋体"/>
          <w:color w:val="auto"/>
          <w:spacing w:val="-6"/>
          <w:sz w:val="24"/>
          <w:szCs w:val="24"/>
          <w:highlight w:val="none"/>
          <w:lang w:bidi="ar"/>
        </w:rPr>
        <w:t>适用于本项目的所有采购程序和环节（法律、法规另有规定的，从其规定）。</w:t>
      </w:r>
    </w:p>
    <w:p w14:paraId="69A99826">
      <w:pPr>
        <w:spacing w:line="360" w:lineRule="auto"/>
        <w:ind w:firstLine="480" w:firstLineChars="200"/>
        <w:rPr>
          <w:rFonts w:hint="eastAsia" w:ascii="宋体" w:hAnsi="宋体" w:cs="宋体"/>
          <w:color w:val="auto"/>
          <w:sz w:val="24"/>
          <w:szCs w:val="24"/>
          <w:highlight w:val="none"/>
        </w:rPr>
      </w:pPr>
      <w:bookmarkStart w:id="91" w:name="_Toc254970528"/>
      <w:bookmarkStart w:id="92" w:name="_Toc254970669"/>
      <w:r>
        <w:rPr>
          <w:rFonts w:hint="eastAsia" w:ascii="宋体" w:hAnsi="宋体" w:cs="宋体"/>
          <w:color w:val="auto"/>
          <w:sz w:val="24"/>
          <w:szCs w:val="24"/>
          <w:highlight w:val="none"/>
          <w:lang w:bidi="ar"/>
        </w:rPr>
        <w:t>2.定义</w:t>
      </w:r>
      <w:bookmarkEnd w:id="91"/>
      <w:bookmarkEnd w:id="92"/>
    </w:p>
    <w:p w14:paraId="756545F9">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2.1“采购人”是指依法进行政府采购的国家机关、事业单位、团体组织。</w:t>
      </w:r>
    </w:p>
    <w:p w14:paraId="0210ABDD">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2.2“采购代理机构” 指政府采购集中采购机构和集中采购机构以外的采购代理机构。</w:t>
      </w:r>
    </w:p>
    <w:p w14:paraId="1D4C2F06">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2.3“供应商”是指向采购人提供货物、工程或者服务的法人、其他组织或者自然人。</w:t>
      </w:r>
    </w:p>
    <w:p w14:paraId="6FD7A6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2.4“投标人”是指响应招标、参加投标竞争的法人、非法人组织或者自然人。</w:t>
      </w:r>
    </w:p>
    <w:p w14:paraId="52DC7EDD">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2.5“货物”是指各种形态和种类的物品，包括原材料、燃料、设备、产品等。</w:t>
      </w:r>
    </w:p>
    <w:p w14:paraId="480F7D90">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2.6“售后服务” 是指商品出售以后所提供的各种服务，包含但不限于投标人须承担的备品备件、包装、运输、装卸、保险、货到就位以及安装、调试、培训、保修以及其他各种服务。</w:t>
      </w:r>
    </w:p>
    <w:p w14:paraId="43F765D9">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2.7“书面形式”是指合同书、信件和数据电文（包括电报、电传、传真、电子数据交换和电子邮件）等可以有形地表现所载内容的形式。</w:t>
      </w:r>
    </w:p>
    <w:p w14:paraId="74ABCB6D">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2.8“实质性要求”是指招标文件中已经指明不满足则投标无效的条款，或者不能负偏离的条款，或者采购需求中带“▲”的条款。</w:t>
      </w:r>
    </w:p>
    <w:p w14:paraId="39D61EE2">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2.9 “正偏离”，是指投标文件对招标文件“采购需求”中有关条款作出的响应优于条款要求并有利于采购人的情形。</w:t>
      </w:r>
    </w:p>
    <w:p w14:paraId="08ED6B98">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2.10“负偏离”，是指投标文件对招标文件“采购需求”中有关条款作出的响应不满足条款要求，导致采购人要求不能得到满足的情形。</w:t>
      </w:r>
    </w:p>
    <w:p w14:paraId="372511FB">
      <w:pPr>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2.11“允许负偏离的条款”是指采购需求中的不属于“实质性要求”的条款。</w:t>
      </w:r>
    </w:p>
    <w:p w14:paraId="4BB28D76">
      <w:pPr>
        <w:spacing w:line="360" w:lineRule="auto"/>
        <w:ind w:firstLine="480" w:firstLineChars="200"/>
        <w:rPr>
          <w:rFonts w:hint="eastAsia" w:ascii="宋体" w:hAnsi="宋体" w:cs="宋体"/>
          <w:color w:val="auto"/>
          <w:sz w:val="24"/>
          <w:szCs w:val="24"/>
          <w:highlight w:val="none"/>
        </w:rPr>
      </w:pPr>
      <w:bookmarkStart w:id="93" w:name="_Toc254970670"/>
      <w:bookmarkStart w:id="94" w:name="_Toc254970529"/>
      <w:r>
        <w:rPr>
          <w:rFonts w:hint="eastAsia" w:ascii="宋体" w:hAnsi="宋体" w:cs="宋体"/>
          <w:color w:val="auto"/>
          <w:sz w:val="24"/>
          <w:szCs w:val="24"/>
          <w:highlight w:val="none"/>
          <w:lang w:bidi="ar"/>
        </w:rPr>
        <w:t>3.</w:t>
      </w:r>
      <w:bookmarkEnd w:id="93"/>
      <w:bookmarkEnd w:id="94"/>
      <w:r>
        <w:rPr>
          <w:rFonts w:hint="eastAsia" w:ascii="宋体" w:hAnsi="宋体" w:cs="宋体"/>
          <w:color w:val="auto"/>
          <w:sz w:val="24"/>
          <w:szCs w:val="24"/>
          <w:highlight w:val="none"/>
          <w:lang w:bidi="ar"/>
        </w:rPr>
        <w:t>投标人的资格要求</w:t>
      </w:r>
    </w:p>
    <w:p w14:paraId="0B2511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投标人的资格要求详见“招标公告”。</w:t>
      </w:r>
    </w:p>
    <w:p w14:paraId="6DB0C676">
      <w:pPr>
        <w:spacing w:line="360" w:lineRule="auto"/>
        <w:ind w:firstLine="480" w:firstLineChars="200"/>
        <w:rPr>
          <w:rFonts w:hint="eastAsia" w:ascii="宋体" w:hAnsi="宋体" w:cs="宋体"/>
          <w:color w:val="auto"/>
          <w:sz w:val="24"/>
          <w:szCs w:val="24"/>
          <w:highlight w:val="none"/>
        </w:rPr>
      </w:pPr>
      <w:bookmarkStart w:id="95" w:name="_Toc254970671"/>
      <w:bookmarkStart w:id="96" w:name="_Toc254970530"/>
      <w:r>
        <w:rPr>
          <w:rFonts w:hint="eastAsia" w:ascii="宋体" w:hAnsi="宋体" w:cs="宋体"/>
          <w:color w:val="auto"/>
          <w:sz w:val="24"/>
          <w:szCs w:val="24"/>
          <w:highlight w:val="none"/>
          <w:lang w:bidi="ar"/>
        </w:rPr>
        <w:t>4.投标委托</w:t>
      </w:r>
      <w:bookmarkEnd w:id="95"/>
      <w:bookmarkEnd w:id="96"/>
    </w:p>
    <w:p w14:paraId="282EDA5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投标人代表参加投标活动过程中必须携带个人有效身份证件。如投标人代表不是法定代表人，须持有法定代表人授权委托书（正本用原件，副本用复印件，按第六章要求格式填写）。</w:t>
      </w:r>
    </w:p>
    <w:p w14:paraId="40ADC68D">
      <w:pPr>
        <w:spacing w:line="360" w:lineRule="auto"/>
        <w:ind w:firstLine="480" w:firstLineChars="200"/>
        <w:rPr>
          <w:rFonts w:hint="eastAsia" w:ascii="宋体" w:hAnsi="宋体" w:cs="宋体"/>
          <w:color w:val="auto"/>
          <w:sz w:val="24"/>
          <w:szCs w:val="24"/>
          <w:highlight w:val="none"/>
        </w:rPr>
      </w:pPr>
      <w:bookmarkStart w:id="97" w:name="_5.投标费用"/>
      <w:bookmarkEnd w:id="97"/>
      <w:bookmarkStart w:id="98" w:name="_Toc254970531"/>
      <w:bookmarkStart w:id="99" w:name="_Toc254970672"/>
      <w:r>
        <w:rPr>
          <w:rFonts w:hint="eastAsia" w:ascii="宋体" w:hAnsi="宋体" w:cs="宋体"/>
          <w:color w:val="auto"/>
          <w:sz w:val="24"/>
          <w:szCs w:val="24"/>
          <w:highlight w:val="none"/>
          <w:lang w:bidi="ar"/>
        </w:rPr>
        <w:t>5.投标费用</w:t>
      </w:r>
      <w:bookmarkEnd w:id="98"/>
      <w:bookmarkEnd w:id="99"/>
    </w:p>
    <w:p w14:paraId="7D06CCE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投标费用：投标人应承担参与本次采购活动有关的所有费用，包括但不限于勘查现场、编制投标文件、参加澄清说明、签订合同等，不论投标结果如何，均应自行承担。</w:t>
      </w:r>
    </w:p>
    <w:p w14:paraId="24709A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6.联合体投标</w:t>
      </w:r>
    </w:p>
    <w:p w14:paraId="7B035B3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6.1本项目是否接受联合体投标，详见“投标人须知前附表”。</w:t>
      </w:r>
    </w:p>
    <w:p w14:paraId="2F5ADE5E">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6.2如接受联合体投标，联合体投标要求详见“投标人须知前附表”。</w:t>
      </w:r>
    </w:p>
    <w:p w14:paraId="39747F33">
      <w:pPr>
        <w:spacing w:line="360" w:lineRule="auto"/>
        <w:ind w:firstLine="480" w:firstLineChars="200"/>
        <w:rPr>
          <w:rFonts w:hint="eastAsia"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lang w:bidi="ar"/>
        </w:rPr>
        <w:t>6.3</w:t>
      </w:r>
      <w:r>
        <w:rPr>
          <w:rFonts w:hint="eastAsia" w:ascii="宋体" w:hAnsi="宋体" w:cs="宋体"/>
          <w:bCs/>
          <w:color w:val="auto"/>
          <w:sz w:val="24"/>
          <w:szCs w:val="24"/>
          <w:highlight w:val="none"/>
        </w:rPr>
        <w:t>根据《政府采购促进中小企业发展管理办法》（财库[2020]46号）第九条、《广西壮族自治区财政厅 广西壮族自治区工业和信息化厅转发财政部 工业和信息化部政府采购促进中小企业发展管理办法的通知》（桂财采〔2021〕70号）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《广西壮族自治区财政厅关于持续优化政府采购营商环境推动高质量发展的通知》（桂财采〔2024〕55号）</w:t>
      </w:r>
      <w:r>
        <w:rPr>
          <w:rFonts w:hint="eastAsia" w:ascii="宋体" w:hAnsi="宋体" w:eastAsia="宋体" w:cs="宋体"/>
          <w:bCs/>
          <w:color w:val="auto"/>
          <w:sz w:val="24"/>
          <w:szCs w:val="24"/>
          <w:highlight w:val="none"/>
          <w:lang w:val="en-US" w:eastAsia="zh-CN"/>
        </w:rPr>
        <w:t>等</w:t>
      </w:r>
      <w:r>
        <w:rPr>
          <w:rFonts w:hint="eastAsia" w:ascii="宋体" w:hAnsi="宋体" w:cs="宋体"/>
          <w:bCs/>
          <w:color w:val="auto"/>
          <w:sz w:val="24"/>
          <w:szCs w:val="24"/>
          <w:highlight w:val="none"/>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r>
        <w:rPr>
          <w:rFonts w:hint="eastAsia" w:ascii="宋体" w:hAnsi="宋体" w:cs="宋体"/>
          <w:bCs/>
          <w:color w:val="auto"/>
          <w:sz w:val="24"/>
          <w:szCs w:val="24"/>
          <w:highlight w:val="none"/>
          <w:lang w:bidi="ar"/>
        </w:rPr>
        <w:t>。</w:t>
      </w:r>
    </w:p>
    <w:p w14:paraId="677BD25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7.转包与分包             </w:t>
      </w:r>
    </w:p>
    <w:p w14:paraId="2C6DA75A">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608C328C">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7.2</w:t>
      </w:r>
      <w:r>
        <w:rPr>
          <w:rFonts w:hint="eastAsia" w:ascii="宋体" w:hAnsi="宋体" w:cs="宋体"/>
          <w:bCs/>
          <w:color w:val="auto"/>
          <w:sz w:val="24"/>
          <w:szCs w:val="24"/>
          <w:highlight w:val="none"/>
        </w:rPr>
        <w:t>根据《政府采购促进中小企业发展管理办法》（财库[2020]46号）第九条、</w:t>
      </w:r>
      <w:r>
        <w:rPr>
          <w:rFonts w:hint="eastAsia" w:ascii="宋体" w:hAnsi="宋体" w:cs="宋体"/>
          <w:color w:val="auto"/>
          <w:sz w:val="24"/>
          <w:szCs w:val="24"/>
          <w:highlight w:val="none"/>
        </w:rPr>
        <w:t>《广西壮族自治区财政厅关于贯彻落实政府采购支持中小企业发展政策的通知》（桂财采〔2022〕31号）</w:t>
      </w:r>
      <w:r>
        <w:rPr>
          <w:rFonts w:hint="eastAsia" w:ascii="宋体" w:hAnsi="宋体" w:cs="宋体"/>
          <w:color w:val="auto"/>
          <w:sz w:val="24"/>
          <w:szCs w:val="24"/>
          <w:highlight w:val="none"/>
          <w:lang w:val="en-US" w:eastAsia="zh-CN"/>
        </w:rPr>
        <w:t>及</w:t>
      </w:r>
      <w:r>
        <w:rPr>
          <w:rFonts w:hint="eastAsia" w:ascii="宋体" w:hAnsi="宋体" w:eastAsia="宋体" w:cs="宋体"/>
          <w:bCs/>
          <w:color w:val="auto"/>
          <w:sz w:val="24"/>
          <w:szCs w:val="24"/>
          <w:highlight w:val="none"/>
        </w:rPr>
        <w:t>《广西壮族自治区财政厅关于持续优化政府采购营商环境推动高质量发展的通知》（桂财采〔2024〕55号）</w:t>
      </w:r>
      <w:r>
        <w:rPr>
          <w:rFonts w:hint="eastAsia" w:ascii="宋体" w:hAnsi="宋体" w:cs="宋体"/>
          <w:bCs/>
          <w:color w:val="auto"/>
          <w:sz w:val="24"/>
          <w:szCs w:val="24"/>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hint="eastAsia" w:ascii="宋体" w:hAnsi="宋体" w:cs="宋体"/>
          <w:bCs/>
          <w:color w:val="auto"/>
          <w:sz w:val="24"/>
          <w:szCs w:val="24"/>
          <w:highlight w:val="none"/>
          <w:lang w:bidi="ar"/>
        </w:rPr>
        <w:t>。</w:t>
      </w:r>
    </w:p>
    <w:p w14:paraId="77FF3C5C">
      <w:pPr>
        <w:spacing w:line="360" w:lineRule="auto"/>
        <w:ind w:firstLine="480" w:firstLineChars="200"/>
        <w:rPr>
          <w:rFonts w:hint="eastAsia" w:ascii="宋体" w:hAnsi="宋体" w:cs="宋体"/>
          <w:color w:val="auto"/>
          <w:sz w:val="24"/>
          <w:szCs w:val="24"/>
          <w:highlight w:val="none"/>
        </w:rPr>
      </w:pPr>
      <w:bookmarkStart w:id="100" w:name="_Toc254970673"/>
      <w:bookmarkStart w:id="101" w:name="_Toc254970532"/>
      <w:r>
        <w:rPr>
          <w:rFonts w:hint="eastAsia" w:ascii="宋体" w:hAnsi="宋体" w:cs="宋体"/>
          <w:color w:val="auto"/>
          <w:sz w:val="24"/>
          <w:szCs w:val="24"/>
          <w:highlight w:val="none"/>
          <w:lang w:bidi="ar"/>
        </w:rPr>
        <w:t>8.特别说明：</w:t>
      </w:r>
      <w:bookmarkEnd w:id="100"/>
      <w:bookmarkEnd w:id="101"/>
      <w:bookmarkStart w:id="102" w:name="_8.1提供相同品牌产品且通过资格审查、符合性审查的不同投标人参加同一合"/>
      <w:bookmarkEnd w:id="102"/>
    </w:p>
    <w:p w14:paraId="4CA0838E">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8.1如果本招标文件要求投标人提供资格、信誉、荣誉、业绩与企业认证等材料的，则投标人所提供的以上材料必须为投标人所拥有。</w:t>
      </w:r>
    </w:p>
    <w:p w14:paraId="34E2BE36">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8.2投标人应仔细阅读招标文件的所有内容，按照招标文件的要求提交投标文件，并对所提供的全部资料的真实性承担法律责任。</w:t>
      </w:r>
    </w:p>
    <w:p w14:paraId="7A956879">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031CDA3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9.回避与串通投标</w:t>
      </w:r>
    </w:p>
    <w:p w14:paraId="54224544">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9.1在政府采购活动中，采购人员及相关人员与供应商有下列利害关系之一的，应当回避：</w:t>
      </w:r>
    </w:p>
    <w:p w14:paraId="21C6EB5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（1）参加采购活动前3年内与供应商存在劳动关系；</w:t>
      </w:r>
    </w:p>
    <w:p w14:paraId="4AB8C07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（2）参加采购活动前3年内担任供应商的董事、监事；</w:t>
      </w:r>
    </w:p>
    <w:p w14:paraId="5AC8F89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（3）参加采购活动前3年内是供应商的控股股东或者实际控制人；</w:t>
      </w:r>
    </w:p>
    <w:p w14:paraId="2F4A467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（4）与供应商的法定代表人或者负责人有夫妻、直系血亲、三代以内旁系血亲或者近姻亲关系；</w:t>
      </w:r>
    </w:p>
    <w:p w14:paraId="5A52D4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（5）与供应商有其他可能影响政府采购活动公平、公正进行的关系。</w:t>
      </w:r>
    </w:p>
    <w:p w14:paraId="25A9B57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0D9504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9.2有下列情形之一的视为投标人相互串通投标，投标文件将被视为无效：</w:t>
      </w:r>
    </w:p>
    <w:p w14:paraId="00E654FD">
      <w:pPr>
        <w:wordWrap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（1）不同投标人的投标文件由同一单位或者个人编制；或者不同投标人报名的IP地址一致的；或者编制标书硬件设备CPU编号、硬盘编号、网卡地址一致的情况。</w:t>
      </w:r>
    </w:p>
    <w:p w14:paraId="557514BB">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（2）不同投标人委托同一单位或者个人办理投标事宜；</w:t>
      </w:r>
    </w:p>
    <w:p w14:paraId="58C6DF7E">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（3）不同的投标人的投标文件载明的项目管理员为同一个人；</w:t>
      </w:r>
    </w:p>
    <w:p w14:paraId="496C145E">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（4）不同投标人的电子或纸质投标文件异常一致或者投标报价呈规律性差异；</w:t>
      </w:r>
    </w:p>
    <w:p w14:paraId="41C90CCE">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（5）不同投标人的纸质投标文件相互混装；</w:t>
      </w:r>
    </w:p>
    <w:p w14:paraId="3BF878B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9.3供应商有下列情形之一的，属于恶意串通行为，将报同级监督管理部门：</w:t>
      </w:r>
    </w:p>
    <w:p w14:paraId="4C65DF5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（1）供应商直接或者间接从采购人或者采购代理机构处获得其他供应商的相关信息并修改其投标文件或者投标文件；</w:t>
      </w:r>
    </w:p>
    <w:p w14:paraId="5915CDC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（2）供应商按照采购人或者采购代理机构的授意撤换、修改投标文件或者投标文件；</w:t>
      </w:r>
    </w:p>
    <w:p w14:paraId="4D5E93F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（3）供应商之间协商报价、技术方案等投标文件或者投标文件的实质性内容；</w:t>
      </w:r>
    </w:p>
    <w:p w14:paraId="74767CB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（4）属于同一集团、协会、商会等组织成员的供应商按照该组织要求协同参加政府采购活动；</w:t>
      </w:r>
    </w:p>
    <w:p w14:paraId="4ECFE47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（5）供应商之间事先约定一致抬高或者压低投标报价，或者在招标项目中事先约定轮流以高价位或者低价位中标，或者事先约定由某一特定供应商中标，然后再参加投标；</w:t>
      </w:r>
    </w:p>
    <w:p w14:paraId="01C1630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（6）供应商之间商定部分供应商放弃参加政府采购活动或者放弃中标；</w:t>
      </w:r>
    </w:p>
    <w:p w14:paraId="2AD7FEC3">
      <w:pPr>
        <w:spacing w:line="360" w:lineRule="auto"/>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bidi="ar"/>
        </w:rPr>
        <w:t>（7）供应商与采购人或者采购代理机构之间、供应商相互之间，为谋求特定供应商中标或者排斥其他供应商的其他串通行为。</w:t>
      </w:r>
    </w:p>
    <w:p w14:paraId="2ACE5BE3">
      <w:pPr>
        <w:widowControl/>
        <w:snapToGrid w:val="0"/>
        <w:spacing w:line="360" w:lineRule="auto"/>
        <w:ind w:left="2" w:leftChars="1" w:firstLine="422" w:firstLineChars="200"/>
        <w:rPr>
          <w:rFonts w:hint="eastAsia" w:ascii="宋体" w:hAnsi="宋体" w:cs="宋体"/>
          <w:b/>
          <w:color w:val="auto"/>
          <w:szCs w:val="20"/>
          <w:highlight w:val="none"/>
        </w:rPr>
      </w:pPr>
    </w:p>
    <w:p w14:paraId="5B34D641">
      <w:pPr>
        <w:spacing w:line="400" w:lineRule="exact"/>
        <w:ind w:firstLine="643" w:firstLineChars="200"/>
        <w:jc w:val="center"/>
        <w:outlineLvl w:val="2"/>
        <w:rPr>
          <w:rFonts w:hint="eastAsia" w:ascii="宋体" w:hAnsi="宋体" w:cs="宋体"/>
          <w:b/>
          <w:bCs/>
          <w:color w:val="auto"/>
          <w:sz w:val="32"/>
          <w:szCs w:val="32"/>
          <w:highlight w:val="none"/>
        </w:rPr>
      </w:pPr>
      <w:bookmarkStart w:id="103" w:name="_Toc3419"/>
      <w:bookmarkStart w:id="104" w:name="_Toc254970534"/>
      <w:bookmarkStart w:id="105" w:name="_Toc254970675"/>
      <w:r>
        <w:rPr>
          <w:rFonts w:hint="eastAsia" w:ascii="宋体" w:hAnsi="宋体" w:cs="宋体"/>
          <w:b/>
          <w:bCs/>
          <w:color w:val="auto"/>
          <w:sz w:val="32"/>
          <w:szCs w:val="32"/>
          <w:highlight w:val="none"/>
        </w:rPr>
        <w:t>二、招标文件</w:t>
      </w:r>
      <w:bookmarkEnd w:id="103"/>
      <w:bookmarkEnd w:id="104"/>
      <w:bookmarkEnd w:id="105"/>
    </w:p>
    <w:p w14:paraId="70E73B2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10.招标文件的组成</w:t>
      </w:r>
    </w:p>
    <w:p w14:paraId="5B3BE00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第一章 招标公告；</w:t>
      </w:r>
    </w:p>
    <w:p w14:paraId="1EBA575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第二章 采购需求； </w:t>
      </w:r>
    </w:p>
    <w:p w14:paraId="46EE929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第三章 投标人须知；</w:t>
      </w:r>
    </w:p>
    <w:p w14:paraId="532ADC3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第四章 评标方法及评标标准；</w:t>
      </w:r>
    </w:p>
    <w:p w14:paraId="20B408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第五章 拟签订的合同文本；</w:t>
      </w:r>
    </w:p>
    <w:p w14:paraId="0376E8C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第六章 投标文件格式；</w:t>
      </w:r>
    </w:p>
    <w:p w14:paraId="2464CD5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第七章 质疑、投诉材料格式</w:t>
      </w:r>
    </w:p>
    <w:p w14:paraId="4D0449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根据本章第11.1项的规定对公开招标文件所做的澄清、修改，构成招标文件的组成部分。当公开招标文件与招标文件的澄清和修改就同一内容的表述不一致时，以最后澄清或修改公告为准。</w:t>
      </w:r>
    </w:p>
    <w:p w14:paraId="27F7B5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11.招标文件的澄清、修改 、现场考察和答疑会</w:t>
      </w:r>
    </w:p>
    <w:p w14:paraId="11C7A0DA">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778CC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11.2 投标人应认真审阅本公开招标文件，如有疑问，或发现其中有误或有要求不合理的，应在投标人须知前附表规定的</w:t>
      </w:r>
      <w:r>
        <w:rPr>
          <w:rFonts w:hint="eastAsia" w:ascii="宋体" w:hAnsi="宋体" w:cs="宋体"/>
          <w:color w:val="auto"/>
          <w:kern w:val="0"/>
          <w:sz w:val="24"/>
          <w:szCs w:val="24"/>
          <w:highlight w:val="none"/>
          <w:lang w:bidi="ar"/>
        </w:rPr>
        <w:t>投标截止时间</w:t>
      </w:r>
      <w:r>
        <w:rPr>
          <w:rFonts w:hint="eastAsia" w:ascii="宋体" w:hAnsi="宋体" w:cs="宋体"/>
          <w:color w:val="auto"/>
          <w:sz w:val="24"/>
          <w:szCs w:val="24"/>
          <w:highlight w:val="none"/>
          <w:lang w:bidi="ar"/>
        </w:rPr>
        <w:t>前以书面形式要求采购人或采购代理机构对招标文件予以澄清；否则，由此产生的后果由投标人自行负责。</w:t>
      </w:r>
    </w:p>
    <w:p w14:paraId="7B4225E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11.3 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03B7BA1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11.4 采购人和采购代理机构可以视采购具体情况，变更投标截止时间和开标时间，将变更时间将在“投标人须知前附表”</w:t>
      </w:r>
      <w:r>
        <w:rPr>
          <w:rFonts w:hint="eastAsia" w:ascii="宋体" w:hAnsi="宋体" w:cs="宋体"/>
          <w:color w:val="auto"/>
          <w:kern w:val="0"/>
          <w:sz w:val="24"/>
          <w:szCs w:val="24"/>
          <w:highlight w:val="none"/>
          <w:lang w:bidi="ar"/>
        </w:rPr>
        <w:t>规定的政府采购信息发布媒体上</w:t>
      </w:r>
      <w:r>
        <w:rPr>
          <w:rFonts w:hint="eastAsia" w:ascii="宋体" w:hAnsi="宋体" w:cs="宋体"/>
          <w:color w:val="auto"/>
          <w:sz w:val="24"/>
          <w:szCs w:val="24"/>
          <w:highlight w:val="none"/>
          <w:lang w:bidi="ar"/>
        </w:rPr>
        <w:t>发布更正公告。</w:t>
      </w:r>
    </w:p>
    <w:p w14:paraId="27C712FA">
      <w:pPr>
        <w:spacing w:line="360" w:lineRule="auto"/>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bidi="ar"/>
        </w:rPr>
        <w:t>11.</w:t>
      </w:r>
      <w:bookmarkStart w:id="106" w:name="_Hlk53134511"/>
      <w:r>
        <w:rPr>
          <w:rFonts w:hint="eastAsia" w:ascii="宋体" w:hAnsi="宋体" w:cs="宋体"/>
          <w:color w:val="auto"/>
          <w:sz w:val="24"/>
          <w:szCs w:val="24"/>
          <w:highlight w:val="none"/>
          <w:lang w:bidi="ar"/>
        </w:rPr>
        <w:t>5采购人或者采购代理机构可以在招标文件提供期限截止后，组织已获取招标文件的潜在投标人现场考察或者召开开标前答疑会，具体详见“投标人须知前附表”。</w:t>
      </w:r>
    </w:p>
    <w:bookmarkEnd w:id="106"/>
    <w:p w14:paraId="26C04D11">
      <w:pPr>
        <w:spacing w:line="400" w:lineRule="exact"/>
        <w:ind w:firstLine="643" w:firstLineChars="200"/>
        <w:jc w:val="center"/>
        <w:outlineLvl w:val="2"/>
        <w:rPr>
          <w:rFonts w:hint="eastAsia" w:ascii="宋体" w:hAnsi="宋体" w:cs="宋体"/>
          <w:b/>
          <w:bCs/>
          <w:color w:val="auto"/>
          <w:sz w:val="32"/>
          <w:szCs w:val="32"/>
          <w:highlight w:val="none"/>
        </w:rPr>
      </w:pPr>
      <w:bookmarkStart w:id="107" w:name="_Toc26108"/>
      <w:bookmarkStart w:id="108" w:name="_Toc254970535"/>
      <w:bookmarkStart w:id="109" w:name="_Toc254970676"/>
      <w:r>
        <w:rPr>
          <w:rFonts w:hint="eastAsia" w:ascii="宋体" w:hAnsi="宋体" w:cs="宋体"/>
          <w:b/>
          <w:bCs/>
          <w:color w:val="auto"/>
          <w:sz w:val="32"/>
          <w:szCs w:val="32"/>
          <w:highlight w:val="none"/>
        </w:rPr>
        <w:t>三、投标文件的编制</w:t>
      </w:r>
      <w:bookmarkEnd w:id="107"/>
      <w:bookmarkEnd w:id="108"/>
      <w:bookmarkEnd w:id="109"/>
    </w:p>
    <w:p w14:paraId="76FA237A">
      <w:pPr>
        <w:spacing w:line="360" w:lineRule="auto"/>
        <w:ind w:firstLine="480" w:firstLineChars="200"/>
        <w:rPr>
          <w:rFonts w:hint="eastAsia" w:ascii="宋体" w:hAnsi="宋体" w:cs="宋体"/>
          <w:color w:val="auto"/>
          <w:sz w:val="24"/>
          <w:szCs w:val="24"/>
          <w:highlight w:val="none"/>
        </w:rPr>
      </w:pPr>
      <w:bookmarkStart w:id="110" w:name="_Toc254970677"/>
      <w:bookmarkStart w:id="111" w:name="_Toc254970536"/>
      <w:r>
        <w:rPr>
          <w:rFonts w:hint="eastAsia" w:ascii="宋体" w:hAnsi="宋体" w:cs="宋体"/>
          <w:color w:val="auto"/>
          <w:sz w:val="24"/>
          <w:szCs w:val="24"/>
          <w:highlight w:val="none"/>
          <w:lang w:bidi="ar"/>
        </w:rPr>
        <w:t>12.投标文件的编制原则</w:t>
      </w:r>
    </w:p>
    <w:p w14:paraId="7898DAA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12.1投标人必须按照招标文件的要求编制投标文件。投标文件必须对招标文件提出的要求和条件作出明确响应。</w:t>
      </w:r>
    </w:p>
    <w:p w14:paraId="34DA978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3CE3F25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13.投标文件的组成</w:t>
      </w:r>
      <w:bookmarkEnd w:id="110"/>
      <w:bookmarkEnd w:id="111"/>
    </w:p>
    <w:p w14:paraId="7BAB684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13.1投标文件由报价文件、资格证明文件、商务文件、技术文件四部分组成。</w:t>
      </w:r>
    </w:p>
    <w:p w14:paraId="5434F367">
      <w:pPr>
        <w:spacing w:line="360" w:lineRule="auto"/>
        <w:ind w:firstLine="480" w:firstLineChars="200"/>
        <w:rPr>
          <w:rFonts w:hint="eastAsia" w:ascii="宋体" w:hAnsi="宋体" w:cs="宋体"/>
          <w:bCs/>
          <w:color w:val="auto"/>
          <w:sz w:val="24"/>
          <w:szCs w:val="24"/>
          <w:highlight w:val="none"/>
        </w:rPr>
      </w:pPr>
      <w:bookmarkStart w:id="112" w:name="_13.2资格证明文件：具体材料见“投标人须知前附表”。"/>
      <w:bookmarkEnd w:id="112"/>
      <w:bookmarkStart w:id="113" w:name="_13.1报价文件:_具体材料见“投标人须知前附表”。"/>
      <w:bookmarkEnd w:id="113"/>
      <w:r>
        <w:rPr>
          <w:rFonts w:hint="eastAsia" w:ascii="宋体" w:hAnsi="宋体" w:cs="宋体"/>
          <w:bCs/>
          <w:color w:val="auto"/>
          <w:sz w:val="24"/>
          <w:szCs w:val="24"/>
          <w:highlight w:val="none"/>
          <w:lang w:bidi="ar"/>
        </w:rPr>
        <w:t>（1）资格证明文件：具体材料见“投标人须知前附表”。</w:t>
      </w:r>
    </w:p>
    <w:p w14:paraId="49A261AF">
      <w:pPr>
        <w:spacing w:line="360" w:lineRule="auto"/>
        <w:ind w:firstLine="480" w:firstLineChars="200"/>
        <w:rPr>
          <w:rFonts w:hint="eastAsia" w:ascii="宋体" w:hAnsi="宋体" w:cs="宋体"/>
          <w:bCs/>
          <w:color w:val="auto"/>
          <w:sz w:val="24"/>
          <w:szCs w:val="24"/>
          <w:highlight w:val="none"/>
        </w:rPr>
      </w:pPr>
      <w:bookmarkStart w:id="114" w:name="_13.3商务文件:_具体材料见“投标人须知前附表”。"/>
      <w:bookmarkEnd w:id="114"/>
      <w:r>
        <w:rPr>
          <w:rFonts w:hint="eastAsia" w:ascii="宋体" w:hAnsi="宋体" w:cs="宋体"/>
          <w:bCs/>
          <w:color w:val="auto"/>
          <w:sz w:val="24"/>
          <w:szCs w:val="24"/>
          <w:highlight w:val="none"/>
          <w:lang w:bidi="ar"/>
        </w:rPr>
        <w:t>（2）商务文件：具体材料见“投标人须知前附表”。</w:t>
      </w:r>
    </w:p>
    <w:p w14:paraId="751BD9D2">
      <w:pPr>
        <w:spacing w:line="360" w:lineRule="auto"/>
        <w:ind w:firstLine="480" w:firstLineChars="200"/>
        <w:rPr>
          <w:rFonts w:hint="eastAsia" w:ascii="宋体" w:hAnsi="宋体" w:cs="宋体"/>
          <w:bCs/>
          <w:color w:val="auto"/>
          <w:sz w:val="24"/>
          <w:szCs w:val="24"/>
          <w:highlight w:val="none"/>
        </w:rPr>
      </w:pPr>
      <w:bookmarkStart w:id="115" w:name="_13.4技术文件：具体材料见“投标人须知前附表”。"/>
      <w:bookmarkEnd w:id="115"/>
      <w:r>
        <w:rPr>
          <w:rFonts w:hint="eastAsia" w:ascii="宋体" w:hAnsi="宋体" w:cs="宋体"/>
          <w:bCs/>
          <w:color w:val="auto"/>
          <w:sz w:val="24"/>
          <w:szCs w:val="24"/>
          <w:highlight w:val="none"/>
          <w:lang w:bidi="ar"/>
        </w:rPr>
        <w:t xml:space="preserve">（3）技术文件：具体材料见“投标人须知前附表”。 </w:t>
      </w:r>
    </w:p>
    <w:p w14:paraId="11600848">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（4）报价文件： 具体材料见“投标人须知前附表”。</w:t>
      </w:r>
    </w:p>
    <w:p w14:paraId="14E06C1D">
      <w:pPr>
        <w:spacing w:line="360" w:lineRule="auto"/>
        <w:ind w:firstLine="480" w:firstLineChars="200"/>
        <w:rPr>
          <w:rFonts w:hint="eastAsia" w:ascii="宋体" w:hAnsi="宋体" w:cs="宋体"/>
          <w:bCs/>
          <w:color w:val="auto"/>
          <w:sz w:val="24"/>
          <w:szCs w:val="24"/>
          <w:highlight w:val="none"/>
        </w:rPr>
      </w:pPr>
      <w:bookmarkStart w:id="116" w:name="_13.5投标文件电子版：具体材料见“投标人须知前附表”。"/>
      <w:bookmarkEnd w:id="116"/>
      <w:r>
        <w:rPr>
          <w:rFonts w:hint="eastAsia" w:ascii="宋体" w:hAnsi="宋体" w:cs="宋体"/>
          <w:bCs/>
          <w:color w:val="auto"/>
          <w:sz w:val="24"/>
          <w:szCs w:val="24"/>
          <w:highlight w:val="none"/>
          <w:lang w:bidi="ar"/>
        </w:rPr>
        <w:t>13.2投标文件电子版：具体要求见本节19.投标文件编制。</w:t>
      </w:r>
    </w:p>
    <w:p w14:paraId="0490CE37">
      <w:pPr>
        <w:spacing w:line="360" w:lineRule="auto"/>
        <w:ind w:firstLine="480" w:firstLineChars="200"/>
        <w:rPr>
          <w:rFonts w:hint="eastAsia" w:ascii="宋体" w:hAnsi="宋体" w:cs="宋体"/>
          <w:color w:val="auto"/>
          <w:sz w:val="24"/>
          <w:szCs w:val="24"/>
          <w:highlight w:val="none"/>
        </w:rPr>
      </w:pPr>
      <w:bookmarkStart w:id="117" w:name="_Toc254970537"/>
      <w:bookmarkStart w:id="118" w:name="_Toc254970678"/>
      <w:r>
        <w:rPr>
          <w:rFonts w:hint="eastAsia" w:ascii="宋体" w:hAnsi="宋体" w:cs="宋体"/>
          <w:color w:val="auto"/>
          <w:sz w:val="24"/>
          <w:szCs w:val="24"/>
          <w:highlight w:val="none"/>
          <w:lang w:bidi="ar"/>
        </w:rPr>
        <w:t>14.投标文件的语言及计量</w:t>
      </w:r>
      <w:bookmarkEnd w:id="117"/>
      <w:bookmarkEnd w:id="118"/>
    </w:p>
    <w:p w14:paraId="4D1F1959">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14.1语言文字</w:t>
      </w:r>
    </w:p>
    <w:p w14:paraId="1F88BFF8">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91308ED">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14.2投标计量单位</w:t>
      </w:r>
    </w:p>
    <w:p w14:paraId="1BBECD56">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招标文件已有明确规定的，使用招标文件规定的计量单位；招标文件没有规定的，应采用中华人民共和国法定计量单位，货币种类为人民币，否则视同未响应。</w:t>
      </w:r>
    </w:p>
    <w:p w14:paraId="546DD7A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15.投标文件提交的风险</w:t>
      </w:r>
    </w:p>
    <w:p w14:paraId="13B11593">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ascii="宋体" w:hAnsi="宋体" w:cs="宋体"/>
          <w:b/>
          <w:bCs/>
          <w:color w:val="auto"/>
          <w:sz w:val="24"/>
          <w:szCs w:val="24"/>
          <w:highlight w:val="none"/>
        </w:rPr>
        <w:t>▲投标文件内容不齐全、未按规定的文件格式编制的、没有对招标文件作出实质性响应，投标无效；</w:t>
      </w:r>
    </w:p>
    <w:p w14:paraId="041414CA">
      <w:pPr>
        <w:spacing w:line="360" w:lineRule="auto"/>
        <w:ind w:firstLine="480" w:firstLineChars="200"/>
        <w:rPr>
          <w:rFonts w:hint="eastAsia" w:ascii="宋体" w:hAnsi="宋体" w:cs="宋体"/>
          <w:color w:val="auto"/>
          <w:sz w:val="24"/>
          <w:szCs w:val="24"/>
          <w:highlight w:val="none"/>
        </w:rPr>
      </w:pPr>
      <w:bookmarkStart w:id="119" w:name="_Toc254970538"/>
      <w:bookmarkStart w:id="120" w:name="_Toc254970679"/>
      <w:r>
        <w:rPr>
          <w:rFonts w:hint="eastAsia" w:ascii="宋体" w:hAnsi="宋体" w:cs="宋体"/>
          <w:color w:val="auto"/>
          <w:sz w:val="24"/>
          <w:szCs w:val="24"/>
          <w:highlight w:val="none"/>
          <w:lang w:bidi="ar"/>
        </w:rPr>
        <w:t>16.投标报价</w:t>
      </w:r>
      <w:bookmarkEnd w:id="119"/>
      <w:bookmarkEnd w:id="120"/>
    </w:p>
    <w:p w14:paraId="2E33051F">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16.1投标报价应按“第六章　投标文件格式”中“开标一览表”格式填写。</w:t>
      </w:r>
    </w:p>
    <w:p w14:paraId="642A283E">
      <w:pPr>
        <w:spacing w:line="360" w:lineRule="auto"/>
        <w:ind w:firstLine="480" w:firstLineChars="200"/>
        <w:rPr>
          <w:rFonts w:hint="eastAsia" w:ascii="宋体" w:hAnsi="宋体" w:cs="宋体"/>
          <w:bCs/>
          <w:color w:val="auto"/>
          <w:sz w:val="24"/>
          <w:szCs w:val="24"/>
          <w:highlight w:val="none"/>
        </w:rPr>
      </w:pPr>
      <w:bookmarkStart w:id="121" w:name="_16.2投标报价具体定义见投标人须知前附表。"/>
      <w:bookmarkEnd w:id="121"/>
      <w:r>
        <w:rPr>
          <w:rFonts w:hint="eastAsia" w:ascii="宋体" w:hAnsi="宋体" w:cs="宋体"/>
          <w:bCs/>
          <w:color w:val="auto"/>
          <w:sz w:val="24"/>
          <w:szCs w:val="24"/>
          <w:highlight w:val="none"/>
          <w:lang w:bidi="ar"/>
        </w:rPr>
        <w:t>16.2投标报价具体包括内容详见“投标人须知前附表”。</w:t>
      </w:r>
    </w:p>
    <w:p w14:paraId="7EA3F546">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16.3投标人必须就所投每个分标的全部内容分别作完整唯一总价报价，不得存在漏项报价；投标人必须就所投分标的单项内容作唯一报价。</w:t>
      </w:r>
    </w:p>
    <w:p w14:paraId="68C657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17.投标有效期</w:t>
      </w:r>
    </w:p>
    <w:p w14:paraId="02FE5B55">
      <w:pPr>
        <w:spacing w:line="360" w:lineRule="auto"/>
        <w:ind w:firstLine="480" w:firstLineChars="200"/>
        <w:rPr>
          <w:rFonts w:hint="eastAsia" w:ascii="宋体" w:hAnsi="宋体" w:cs="宋体"/>
          <w:bCs/>
          <w:color w:val="auto"/>
          <w:sz w:val="24"/>
          <w:szCs w:val="24"/>
          <w:highlight w:val="none"/>
        </w:rPr>
      </w:pPr>
      <w:bookmarkStart w:id="122" w:name="_17.1投标有效期应按“投标人须知中的前附表”规定的期限。"/>
      <w:bookmarkEnd w:id="122"/>
      <w:r>
        <w:rPr>
          <w:rFonts w:hint="eastAsia" w:ascii="宋体" w:hAnsi="宋体" w:cs="宋体"/>
          <w:bCs/>
          <w:color w:val="auto"/>
          <w:sz w:val="24"/>
          <w:szCs w:val="24"/>
          <w:highlight w:val="none"/>
          <w:lang w:bidi="ar"/>
        </w:rPr>
        <w:t>17.1投标有效期是指为保证采购人有足够的时间在开标后完成评标、定标、合同签订等工作而要求投标人提交的投标文件在一定时间内保持有效的期限。</w:t>
      </w:r>
    </w:p>
    <w:p w14:paraId="164374C2">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17.2</w:t>
      </w:r>
      <w:bookmarkStart w:id="123" w:name="_Toc254970540"/>
      <w:bookmarkStart w:id="124" w:name="_Toc254970681"/>
      <w:r>
        <w:rPr>
          <w:rFonts w:hint="eastAsia" w:ascii="宋体" w:hAnsi="宋体" w:cs="宋体"/>
          <w:bCs/>
          <w:color w:val="auto"/>
          <w:sz w:val="24"/>
          <w:szCs w:val="24"/>
          <w:highlight w:val="none"/>
          <w:lang w:bidi="ar"/>
        </w:rPr>
        <w:t xml:space="preserve"> 投标有效期应按规定的期限作出承诺，具体详见“投标人须知前附表”。</w:t>
      </w:r>
    </w:p>
    <w:p w14:paraId="5F75F584">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17.3投标人的投标文件在投标有效期内均保持有效。</w:t>
      </w:r>
      <w:bookmarkEnd w:id="123"/>
      <w:bookmarkEnd w:id="124"/>
    </w:p>
    <w:p w14:paraId="27902EE2">
      <w:pPr>
        <w:spacing w:line="360" w:lineRule="auto"/>
        <w:ind w:firstLine="480" w:firstLineChars="200"/>
        <w:rPr>
          <w:rFonts w:hint="eastAsia" w:ascii="宋体" w:hAnsi="宋体" w:cs="宋体"/>
          <w:color w:val="auto"/>
          <w:sz w:val="24"/>
          <w:szCs w:val="24"/>
          <w:highlight w:val="none"/>
        </w:rPr>
      </w:pPr>
      <w:bookmarkStart w:id="125" w:name="_18.投标保证金"/>
      <w:bookmarkEnd w:id="125"/>
      <w:bookmarkStart w:id="126" w:name="_Toc254970541"/>
      <w:bookmarkStart w:id="127" w:name="_Toc254970682"/>
      <w:r>
        <w:rPr>
          <w:rFonts w:hint="eastAsia" w:ascii="宋体" w:hAnsi="宋体" w:cs="宋体"/>
          <w:color w:val="auto"/>
          <w:sz w:val="24"/>
          <w:szCs w:val="24"/>
          <w:highlight w:val="none"/>
          <w:lang w:bidi="ar"/>
        </w:rPr>
        <w:t>18.投标保证金</w:t>
      </w:r>
      <w:bookmarkEnd w:id="126"/>
      <w:bookmarkEnd w:id="127"/>
    </w:p>
    <w:p w14:paraId="3BF6403A">
      <w:pPr>
        <w:spacing w:line="360" w:lineRule="auto"/>
        <w:ind w:firstLine="480" w:firstLineChars="200"/>
        <w:rPr>
          <w:rFonts w:hint="eastAsia" w:ascii="宋体" w:hAnsi="宋体" w:cs="宋体"/>
          <w:bCs/>
          <w:color w:val="auto"/>
          <w:sz w:val="24"/>
          <w:szCs w:val="24"/>
          <w:highlight w:val="none"/>
        </w:rPr>
      </w:pPr>
      <w:bookmarkStart w:id="128" w:name="_Toc254970683"/>
      <w:bookmarkStart w:id="129" w:name="_Toc254970542"/>
      <w:r>
        <w:rPr>
          <w:rFonts w:hint="eastAsia" w:ascii="宋体" w:hAnsi="宋体" w:cs="宋体"/>
          <w:bCs/>
          <w:color w:val="auto"/>
          <w:sz w:val="24"/>
          <w:szCs w:val="24"/>
          <w:highlight w:val="none"/>
          <w:lang w:bidi="ar"/>
        </w:rPr>
        <w:t>见“投标人须知前附表”。</w:t>
      </w:r>
    </w:p>
    <w:p w14:paraId="0C4489E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19.投标文件的</w:t>
      </w:r>
      <w:bookmarkEnd w:id="128"/>
      <w:bookmarkEnd w:id="129"/>
      <w:r>
        <w:rPr>
          <w:rFonts w:hint="eastAsia" w:ascii="宋体" w:hAnsi="宋体" w:cs="宋体"/>
          <w:color w:val="auto"/>
          <w:sz w:val="24"/>
          <w:szCs w:val="24"/>
          <w:highlight w:val="none"/>
          <w:lang w:bidi="ar"/>
        </w:rPr>
        <w:t>编制</w:t>
      </w:r>
    </w:p>
    <w:p w14:paraId="0F38FB2F">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lang w:bidi="ar"/>
        </w:rPr>
        <w:t xml:space="preserve"> </w:t>
      </w:r>
      <w:r>
        <w:rPr>
          <w:rFonts w:hint="eastAsia" w:ascii="宋体" w:hAnsi="宋体" w:cs="宋体"/>
          <w:color w:val="auto"/>
          <w:sz w:val="24"/>
          <w:szCs w:val="24"/>
          <w:highlight w:val="none"/>
          <w:lang w:bidi="ar"/>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30" w:name="_19.2投标文件应按报价文件、资格证明文件、商务文件、技术文件分别编制"/>
      <w:bookmarkEnd w:id="130"/>
      <w:r>
        <w:rPr>
          <w:rFonts w:hint="eastAsia" w:ascii="宋体" w:hAnsi="宋体" w:cs="宋体"/>
          <w:color w:val="auto"/>
          <w:sz w:val="24"/>
          <w:szCs w:val="24"/>
          <w:highlight w:val="none"/>
          <w:lang w:bidi="ar"/>
        </w:rPr>
        <w:t xml:space="preserve"> </w:t>
      </w:r>
    </w:p>
    <w:p w14:paraId="2EA77AFB">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4"/>
          <w:szCs w:val="24"/>
          <w:highlight w:val="none"/>
        </w:rPr>
        <w:t>其投标无效。</w:t>
      </w:r>
      <w:r>
        <w:rPr>
          <w:rFonts w:hint="eastAsia" w:ascii="宋体" w:hAnsi="宋体" w:cs="宋体"/>
          <w:color w:val="auto"/>
          <w:sz w:val="24"/>
          <w:szCs w:val="24"/>
          <w:highlight w:val="none"/>
        </w:rPr>
        <w:t>骑缝盖公章不视为在规定位置盖章。</w:t>
      </w:r>
    </w:p>
    <w:p w14:paraId="4EAFA661">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19.3为确保网上操作合法、有效和安全，投标人应当在投标截止时间前完成在“广西政府采购云”平台的身份认证，确保在电子投标过程中能够对相关数据电文进行加密和使用电子签名。</w:t>
      </w:r>
    </w:p>
    <w:p w14:paraId="3FC58559">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19.4投标文件中标注的投标人名称应与主体资格证明（如营业执照、事业单位法人证书、执业许可证、自然人身份证等）及公章一致，</w:t>
      </w:r>
      <w:r>
        <w:rPr>
          <w:rFonts w:hint="eastAsia" w:ascii="宋体" w:hAnsi="宋体" w:cs="宋体"/>
          <w:color w:val="auto"/>
          <w:sz w:val="24"/>
          <w:szCs w:val="24"/>
          <w:highlight w:val="none"/>
          <w:lang w:bidi="ar"/>
        </w:rPr>
        <w:t>否则作无效投标处理</w:t>
      </w:r>
      <w:r>
        <w:rPr>
          <w:rFonts w:hint="eastAsia" w:ascii="宋体" w:hAnsi="宋体" w:cs="宋体"/>
          <w:b/>
          <w:color w:val="auto"/>
          <w:sz w:val="24"/>
          <w:szCs w:val="24"/>
          <w:highlight w:val="none"/>
          <w:lang w:bidi="ar"/>
        </w:rPr>
        <w:t>。</w:t>
      </w:r>
    </w:p>
    <w:p w14:paraId="289F4A33">
      <w:pP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lang w:bidi="ar"/>
        </w:rPr>
        <w:t xml:space="preserve"> 19.5投标文件应避免涂改、行间插字或者删除，</w:t>
      </w:r>
      <w:r>
        <w:rPr>
          <w:rFonts w:hint="eastAsia" w:ascii="宋体" w:hAnsi="宋体" w:cs="宋体"/>
          <w:b/>
          <w:color w:val="auto"/>
          <w:sz w:val="24"/>
          <w:szCs w:val="24"/>
          <w:highlight w:val="none"/>
          <w:lang w:bidi="ar"/>
        </w:rPr>
        <w:t>否则其投标无效。</w:t>
      </w:r>
    </w:p>
    <w:p w14:paraId="48913B8A">
      <w:pPr>
        <w:spacing w:line="360" w:lineRule="auto"/>
        <w:ind w:firstLine="595" w:firstLineChars="248"/>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19.6 对招标文件的实质性要求和条件作出响应是指投标人必须对招标文件中标注为实质性要求和条件的货物内容及要求、商务条款</w:t>
      </w:r>
      <w:r>
        <w:rPr>
          <w:rFonts w:hint="eastAsia" w:ascii="宋体" w:hAnsi="宋体" w:cs="宋体"/>
          <w:color w:val="auto"/>
          <w:sz w:val="24"/>
          <w:szCs w:val="24"/>
          <w:highlight w:val="none"/>
          <w:lang w:eastAsia="zh-CN" w:bidi="ar"/>
        </w:rPr>
        <w:t>及其他</w:t>
      </w:r>
      <w:r>
        <w:rPr>
          <w:rFonts w:hint="eastAsia" w:ascii="宋体" w:hAnsi="宋体" w:cs="宋体"/>
          <w:color w:val="auto"/>
          <w:sz w:val="24"/>
          <w:szCs w:val="24"/>
          <w:highlight w:val="none"/>
          <w:lang w:bidi="ar"/>
        </w:rPr>
        <w:t>内容</w:t>
      </w:r>
      <w:r>
        <w:rPr>
          <w:rFonts w:hint="eastAsia" w:ascii="宋体" w:hAnsi="宋体" w:cs="宋体"/>
          <w:b/>
          <w:color w:val="auto"/>
          <w:sz w:val="24"/>
          <w:szCs w:val="24"/>
          <w:highlight w:val="none"/>
          <w:lang w:bidi="ar"/>
        </w:rPr>
        <w:t>作出满足或者优于原要求和条件的承诺</w:t>
      </w:r>
      <w:r>
        <w:rPr>
          <w:rFonts w:hint="eastAsia" w:ascii="宋体" w:hAnsi="宋体" w:cs="宋体"/>
          <w:color w:val="auto"/>
          <w:sz w:val="24"/>
          <w:szCs w:val="24"/>
          <w:highlight w:val="none"/>
          <w:lang w:bidi="ar"/>
        </w:rPr>
        <w:t>。</w:t>
      </w:r>
    </w:p>
    <w:p w14:paraId="2FADBEE5">
      <w:pPr>
        <w:spacing w:line="36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u w:val="single"/>
          <w:lang w:bidi="ar"/>
        </w:rPr>
        <w:t>19.7本项目为南宁市全流程电子化项目，异常情况见“第二节 投标人须知正文”中“四、24.2开标程序。</w:t>
      </w:r>
    </w:p>
    <w:p w14:paraId="0D8B726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20.备份投标文件</w:t>
      </w:r>
    </w:p>
    <w:p w14:paraId="6AEFFD1E">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lang w:eastAsia="zh-CN" w:bidi="ar"/>
        </w:rPr>
        <w:t>详见</w:t>
      </w:r>
      <w:r>
        <w:rPr>
          <w:rFonts w:hint="eastAsia" w:ascii="宋体" w:hAnsi="宋体" w:cs="宋体"/>
          <w:bCs/>
          <w:color w:val="auto"/>
          <w:sz w:val="24"/>
          <w:szCs w:val="24"/>
          <w:highlight w:val="none"/>
          <w:lang w:bidi="ar"/>
        </w:rPr>
        <w:t>“投标人须知前附表”。</w:t>
      </w:r>
    </w:p>
    <w:p w14:paraId="1A2D58E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21.投标文件的提交</w:t>
      </w:r>
    </w:p>
    <w:p w14:paraId="250A6F1B">
      <w:pPr>
        <w:spacing w:line="360" w:lineRule="auto"/>
        <w:ind w:firstLine="480" w:firstLineChars="200"/>
        <w:rPr>
          <w:rFonts w:hint="eastAsia" w:ascii="宋体" w:hAnsi="宋体" w:cs="宋体"/>
          <w:b/>
          <w:color w:val="auto"/>
          <w:sz w:val="24"/>
          <w:szCs w:val="24"/>
          <w:highlight w:val="none"/>
        </w:rPr>
      </w:pPr>
      <w:bookmarkStart w:id="131" w:name="_21.1投标人必须在“投标人须知中的前附表”规定的投标文件接收时间和投"/>
      <w:bookmarkEnd w:id="131"/>
      <w:r>
        <w:rPr>
          <w:rFonts w:hint="eastAsia" w:ascii="宋体" w:hAnsi="宋体" w:cs="宋体"/>
          <w:bCs/>
          <w:color w:val="auto"/>
          <w:sz w:val="24"/>
          <w:szCs w:val="24"/>
          <w:highlight w:val="none"/>
          <w:lang w:bidi="ar"/>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hAnsi="宋体" w:cs="宋体"/>
          <w:b/>
          <w:color w:val="auto"/>
          <w:sz w:val="24"/>
          <w:szCs w:val="24"/>
          <w:highlight w:val="none"/>
          <w:lang w:bidi="ar"/>
        </w:rPr>
        <w:t xml:space="preserve"> </w:t>
      </w:r>
    </w:p>
    <w:p w14:paraId="5D1630AE">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21.2未在规定时间内提交或者未按照招标文件要求密封或者标记的电子投标文件，“广西政府采购云”平台将拒收。</w:t>
      </w:r>
    </w:p>
    <w:p w14:paraId="22D9F8D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21.3电子版投标文件提交方式见“招标公告”中“四、提交投标文件截止时间、开标时间和地点”</w:t>
      </w:r>
      <w:r>
        <w:rPr>
          <w:rFonts w:hint="eastAsia" w:ascii="宋体" w:hAnsi="宋体" w:cs="宋体"/>
          <w:b/>
          <w:color w:val="auto"/>
          <w:sz w:val="24"/>
          <w:szCs w:val="24"/>
          <w:highlight w:val="none"/>
          <w:lang w:bidi="ar"/>
        </w:rPr>
        <w:t xml:space="preserve"> 。</w:t>
      </w:r>
    </w:p>
    <w:p w14:paraId="1613C24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22. 投标文件的补充、修改、撤回与退回</w:t>
      </w:r>
      <w:bookmarkStart w:id="132" w:name="_Toc254970684"/>
      <w:bookmarkStart w:id="133" w:name="_Toc254970543"/>
    </w:p>
    <w:p w14:paraId="6B86D50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5BD66AD5">
      <w:pPr>
        <w:widowControl/>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22.2“广西政府采购云”平台收到投标文件，将妥善保存并即时向供应商发出确认回执通知。在投标截止时间前，除供应商补充、修改或者撤回投标文件外，任何单位和个人不得解密或提取投标文件。</w:t>
      </w:r>
    </w:p>
    <w:bookmarkEnd w:id="132"/>
    <w:bookmarkEnd w:id="133"/>
    <w:p w14:paraId="5335FF17">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 w:val="24"/>
          <w:szCs w:val="24"/>
          <w:highlight w:val="none"/>
          <w:lang w:bidi="ar"/>
        </w:rPr>
        <w:t>22.3在投标截止时间止提交电子版投标文件的投标人不足3家时，电子版投标文件由代理机构在“广西政府采购云”平台操作退回，除此之外采购人和采购代理机构对已提交的投标文件概不退回。</w:t>
      </w:r>
    </w:p>
    <w:p w14:paraId="2E25EB00">
      <w:pPr>
        <w:widowControl/>
        <w:snapToGrid w:val="0"/>
        <w:spacing w:line="400" w:lineRule="exact"/>
        <w:ind w:firstLine="739"/>
        <w:rPr>
          <w:rFonts w:hint="eastAsia" w:ascii="宋体" w:hAnsi="宋体" w:cs="宋体"/>
          <w:snapToGrid w:val="0"/>
          <w:color w:val="auto"/>
          <w:spacing w:val="-4"/>
          <w:szCs w:val="21"/>
          <w:highlight w:val="none"/>
        </w:rPr>
      </w:pPr>
    </w:p>
    <w:p w14:paraId="5105946A">
      <w:pPr>
        <w:spacing w:line="400" w:lineRule="exact"/>
        <w:ind w:firstLine="643" w:firstLineChars="200"/>
        <w:jc w:val="center"/>
        <w:outlineLvl w:val="2"/>
        <w:rPr>
          <w:rFonts w:hint="eastAsia" w:ascii="宋体" w:hAnsi="宋体" w:cs="宋体"/>
          <w:b/>
          <w:bCs/>
          <w:color w:val="auto"/>
          <w:sz w:val="32"/>
          <w:szCs w:val="32"/>
          <w:highlight w:val="none"/>
        </w:rPr>
      </w:pPr>
      <w:bookmarkStart w:id="134" w:name="_Toc254970544"/>
      <w:bookmarkStart w:id="135" w:name="_Toc254970685"/>
      <w:bookmarkStart w:id="136" w:name="_Toc28683"/>
      <w:r>
        <w:rPr>
          <w:rFonts w:hint="eastAsia" w:ascii="宋体" w:hAnsi="宋体" w:cs="宋体"/>
          <w:b/>
          <w:bCs/>
          <w:color w:val="auto"/>
          <w:sz w:val="32"/>
          <w:szCs w:val="32"/>
          <w:highlight w:val="none"/>
        </w:rPr>
        <w:t>四、开    标</w:t>
      </w:r>
      <w:bookmarkEnd w:id="134"/>
      <w:bookmarkEnd w:id="135"/>
      <w:bookmarkEnd w:id="136"/>
    </w:p>
    <w:p w14:paraId="4D0009F7">
      <w:pPr>
        <w:keepNext w:val="0"/>
        <w:keepLines w:val="0"/>
        <w:pageBreakBefore w:val="0"/>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bookmarkStart w:id="137" w:name="_23.开标时间和地点"/>
      <w:bookmarkEnd w:id="137"/>
      <w:r>
        <w:rPr>
          <w:rFonts w:hint="eastAsia" w:ascii="宋体" w:hAnsi="宋体" w:cs="宋体"/>
          <w:color w:val="auto"/>
          <w:sz w:val="24"/>
          <w:szCs w:val="24"/>
          <w:highlight w:val="none"/>
          <w:lang w:bidi="ar"/>
        </w:rPr>
        <w:t>23.开标时间和地点</w:t>
      </w:r>
    </w:p>
    <w:p w14:paraId="001CACE7">
      <w:pPr>
        <w:keepNext w:val="0"/>
        <w:keepLines w:val="0"/>
        <w:pageBreakBefore w:val="0"/>
        <w:kinsoku/>
        <w:wordWrap/>
        <w:overflowPunct/>
        <w:topLinePunct w:val="0"/>
        <w:bidi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23.1开标时间及地点详见“投标人须知前附表”</w:t>
      </w:r>
    </w:p>
    <w:p w14:paraId="661479F1">
      <w:pPr>
        <w:keepNext w:val="0"/>
        <w:keepLines w:val="0"/>
        <w:pageBreakBefore w:val="0"/>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23.2如</w:t>
      </w:r>
      <w:r>
        <w:rPr>
          <w:rFonts w:hint="eastAsia" w:ascii="宋体" w:hAnsi="宋体" w:cs="宋体"/>
          <w:bCs/>
          <w:color w:val="auto"/>
          <w:sz w:val="24"/>
          <w:szCs w:val="24"/>
          <w:highlight w:val="none"/>
          <w:lang w:bidi="ar"/>
        </w:rPr>
        <w:t>投标人成功解密投标文件，但未在“广西政府采购云”电子开标大厅参加开标的，视同认可开标过程和结果，</w:t>
      </w:r>
      <w:r>
        <w:rPr>
          <w:rFonts w:hint="eastAsia" w:ascii="宋体" w:hAnsi="宋体" w:cs="宋体"/>
          <w:color w:val="auto"/>
          <w:sz w:val="24"/>
          <w:szCs w:val="24"/>
          <w:highlight w:val="none"/>
          <w:lang w:bidi="ar"/>
        </w:rPr>
        <w:t>由此产生的后果由投标人自行负责。 投标人不足3家的，不得开标。</w:t>
      </w:r>
    </w:p>
    <w:p w14:paraId="5BBD510E">
      <w:pPr>
        <w:keepNext w:val="0"/>
        <w:keepLines w:val="0"/>
        <w:pageBreakBefore w:val="0"/>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24.开标程序</w:t>
      </w:r>
    </w:p>
    <w:p w14:paraId="2B498249">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bCs/>
          <w:color w:val="auto"/>
          <w:sz w:val="24"/>
          <w:szCs w:val="24"/>
          <w:highlight w:val="none"/>
          <w:lang w:bidi="ar"/>
        </w:rPr>
        <w:t>24.1</w:t>
      </w:r>
      <w:r>
        <w:rPr>
          <w:rFonts w:hint="eastAsia" w:ascii="宋体" w:hAnsi="宋体" w:cs="宋体"/>
          <w:color w:val="auto"/>
          <w:kern w:val="0"/>
          <w:sz w:val="24"/>
          <w:szCs w:val="24"/>
          <w:highlight w:val="none"/>
          <w:lang w:bidi="ar"/>
        </w:rPr>
        <w:t>开标形式：</w:t>
      </w:r>
    </w:p>
    <w:p w14:paraId="3DB4539B">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color w:val="auto"/>
          <w:sz w:val="24"/>
          <w:szCs w:val="24"/>
          <w:highlight w:val="none"/>
          <w:lang w:bidi="ar"/>
        </w:rPr>
        <w:t>（1）</w:t>
      </w:r>
      <w:r>
        <w:rPr>
          <w:rFonts w:hint="eastAsia" w:ascii="宋体" w:hAnsi="宋体" w:cs="宋体"/>
          <w:bCs/>
          <w:color w:val="auto"/>
          <w:sz w:val="24"/>
          <w:szCs w:val="24"/>
          <w:highlight w:val="none"/>
          <w:lang w:bidi="ar"/>
        </w:rPr>
        <w:t>开标的准备工作由采购代理机构负责落实，采购代理机构必须基于“广西政府采购云”平台选取评审专家，如采购代理机构未按规定选取专家的，视为本次开评标无效，应当重新采购；</w:t>
      </w:r>
    </w:p>
    <w:p w14:paraId="158C72EF">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8F18E82">
      <w:pPr>
        <w:keepNext w:val="0"/>
        <w:keepLines w:val="0"/>
        <w:pageBreakBefore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24.2开标程序：</w:t>
      </w:r>
    </w:p>
    <w:p w14:paraId="2185AE76">
      <w:pPr>
        <w:keepNext w:val="0"/>
        <w:keepLines w:val="0"/>
        <w:pageBreakBefore w:val="0"/>
        <w:widowControl/>
        <w:kinsoku/>
        <w:wordWrap/>
        <w:overflowPunct/>
        <w:topLinePunct w:val="0"/>
        <w:bidi w:val="0"/>
        <w:snapToGrid w:val="0"/>
        <w:spacing w:line="360" w:lineRule="auto"/>
        <w:ind w:firstLine="482" w:firstLineChars="200"/>
        <w:textAlignment w:val="auto"/>
        <w:rPr>
          <w:rFonts w:hint="eastAsia" w:ascii="宋体" w:hAnsi="宋体" w:cs="宋体"/>
          <w:color w:val="auto"/>
          <w:sz w:val="24"/>
          <w:szCs w:val="24"/>
          <w:highlight w:val="none"/>
        </w:rPr>
      </w:pPr>
      <w:r>
        <w:rPr>
          <w:rFonts w:hint="eastAsia" w:ascii="宋体" w:hAnsi="宋体" w:cs="宋体"/>
          <w:b/>
          <w:color w:val="auto"/>
          <w:sz w:val="24"/>
          <w:szCs w:val="24"/>
          <w:highlight w:val="none"/>
        </w:rPr>
        <w:t>（1）解密电子投标文件。“</w:t>
      </w:r>
      <w:r>
        <w:rPr>
          <w:rFonts w:hint="eastAsia" w:ascii="宋体" w:hAnsi="宋体" w:cs="宋体"/>
          <w:color w:val="auto"/>
          <w:sz w:val="24"/>
          <w:szCs w:val="24"/>
          <w:highlight w:val="none"/>
        </w:rPr>
        <w:t>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ascii="宋体" w:hAnsi="宋体" w:cs="宋体"/>
          <w:b/>
          <w:color w:val="auto"/>
          <w:sz w:val="24"/>
          <w:szCs w:val="24"/>
          <w:highlight w:val="none"/>
        </w:rPr>
        <w:t>须携带加密时所用的CA锁准时登录到“广西政府采购云”平台电子开标大厅签到并对电子投标文件解密</w:t>
      </w:r>
      <w:r>
        <w:rPr>
          <w:rFonts w:hint="eastAsia" w:ascii="宋体" w:hAnsi="宋体" w:cs="宋体"/>
          <w:color w:val="auto"/>
          <w:sz w:val="24"/>
          <w:szCs w:val="24"/>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cs="宋体"/>
          <w:b/>
          <w:color w:val="auto"/>
          <w:sz w:val="24"/>
          <w:szCs w:val="24"/>
          <w:highlight w:val="none"/>
        </w:rPr>
        <w:t>均视为无效投标。</w:t>
      </w:r>
    </w:p>
    <w:p w14:paraId="7B2D4B1C">
      <w:pPr>
        <w:keepNext w:val="0"/>
        <w:keepLines w:val="0"/>
        <w:pageBreakBefore w:val="0"/>
        <w:widowControl/>
        <w:kinsoku/>
        <w:wordWrap/>
        <w:overflowPunct/>
        <w:topLinePunct w:val="0"/>
        <w:bidi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（解密</w:t>
      </w:r>
      <w:r>
        <w:rPr>
          <w:rFonts w:hint="eastAsia" w:ascii="宋体" w:hAnsi="宋体" w:cs="宋体"/>
          <w:bCs/>
          <w:color w:val="auto"/>
          <w:sz w:val="24"/>
          <w:szCs w:val="24"/>
          <w:highlight w:val="none"/>
        </w:rPr>
        <w:t>异常情况处理：详见本章</w:t>
      </w:r>
      <w:r>
        <w:rPr>
          <w:rFonts w:hint="eastAsia" w:ascii="宋体" w:hAnsi="宋体" w:cs="宋体"/>
          <w:color w:val="auto"/>
          <w:sz w:val="24"/>
          <w:szCs w:val="24"/>
          <w:highlight w:val="none"/>
        </w:rPr>
        <w:t>29.3 电子交易活动的中止。）</w:t>
      </w:r>
    </w:p>
    <w:p w14:paraId="03F8A0F2">
      <w:pPr>
        <w:keepNext w:val="0"/>
        <w:keepLines w:val="0"/>
        <w:pageBreakBefore w:val="0"/>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w:t>
      </w:r>
      <w:r>
        <w:rPr>
          <w:rFonts w:hint="eastAsia" w:ascii="宋体" w:hAnsi="宋体" w:cs="宋体"/>
          <w:b/>
          <w:color w:val="auto"/>
          <w:sz w:val="24"/>
          <w:szCs w:val="24"/>
          <w:highlight w:val="none"/>
          <w:lang w:bidi="ar"/>
        </w:rPr>
        <w:t>电子唱标。</w:t>
      </w:r>
      <w:r>
        <w:rPr>
          <w:rFonts w:hint="eastAsia" w:ascii="宋体" w:hAnsi="宋体" w:cs="宋体"/>
          <w:color w:val="auto"/>
          <w:sz w:val="24"/>
          <w:szCs w:val="24"/>
          <w:highlight w:val="none"/>
          <w:lang w:bidi="ar"/>
        </w:rPr>
        <w:t>投标文件解密结束，各投标供应商报价均在“广西政府采购云”平台远程不见面开标大厅展示；</w:t>
      </w:r>
    </w:p>
    <w:p w14:paraId="0EC7843B">
      <w:pPr>
        <w:keepNext w:val="0"/>
        <w:keepLines w:val="0"/>
        <w:pageBreakBefore w:val="0"/>
        <w:kinsoku/>
        <w:wordWrap/>
        <w:overflowPunct/>
        <w:topLinePunct w:val="0"/>
        <w:bidi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w:t>
      </w:r>
      <w:r>
        <w:rPr>
          <w:rFonts w:hint="eastAsia" w:ascii="宋体" w:hAnsi="宋体" w:cs="宋体"/>
          <w:b/>
          <w:color w:val="auto"/>
          <w:sz w:val="24"/>
          <w:szCs w:val="24"/>
          <w:highlight w:val="none"/>
          <w:lang w:bidi="ar"/>
        </w:rPr>
        <w:t>签署电子《政府采购活动现场确认声明书》。</w:t>
      </w:r>
      <w:r>
        <w:rPr>
          <w:rFonts w:hint="eastAsia" w:ascii="宋体" w:hAnsi="宋体" w:cs="宋体"/>
          <w:color w:val="auto"/>
          <w:sz w:val="24"/>
          <w:szCs w:val="24"/>
          <w:highlight w:val="none"/>
          <w:lang w:bidi="ar"/>
        </w:rPr>
        <w:t>通过邮件形式在远程不见面开标大厅发送各投标人签署电子《政府采购活动现场确认声明书》。</w:t>
      </w:r>
    </w:p>
    <w:p w14:paraId="76C12791">
      <w:pPr>
        <w:keepNext w:val="0"/>
        <w:keepLines w:val="0"/>
        <w:pageBreakBefore w:val="0"/>
        <w:kinsoku/>
        <w:wordWrap/>
        <w:overflowPunct/>
        <w:topLinePunct w:val="0"/>
        <w:bidi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（4）开标过程由采购代理机构如实记录，并电子留痕，由参加电子开标的各投标人代表对电子开标记录在开标记录公布后15分钟内进行当场校核及勘误，并线上确认，未确认的视同认可开标结果。</w:t>
      </w:r>
    </w:p>
    <w:p w14:paraId="76D6A301">
      <w:pPr>
        <w:keepNext w:val="0"/>
        <w:keepLines w:val="0"/>
        <w:pageBreakBefore w:val="0"/>
        <w:kinsoku/>
        <w:wordWrap/>
        <w:overflowPunct/>
        <w:topLinePunct w:val="0"/>
        <w:bidi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9A1011A">
      <w:pPr>
        <w:keepNext w:val="0"/>
        <w:keepLines w:val="0"/>
        <w:pageBreakBefore w:val="0"/>
        <w:kinsoku/>
        <w:wordWrap/>
        <w:overflowPunct/>
        <w:topLinePunct w:val="0"/>
        <w:bidi w:val="0"/>
        <w:spacing w:line="360" w:lineRule="auto"/>
        <w:ind w:firstLine="480" w:firstLineChars="200"/>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（6）开标结束。</w:t>
      </w:r>
    </w:p>
    <w:p w14:paraId="2777A824">
      <w:pPr>
        <w:keepNext w:val="0"/>
        <w:keepLines w:val="0"/>
        <w:pageBreakBefore w:val="0"/>
        <w:widowControl/>
        <w:kinsoku/>
        <w:wordWrap/>
        <w:overflowPunct/>
        <w:topLinePunct w:val="0"/>
        <w:bidi w:val="0"/>
        <w:snapToGrid w:val="0"/>
        <w:spacing w:line="360" w:lineRule="auto"/>
        <w:ind w:firstLine="482" w:firstLineChars="200"/>
        <w:textAlignment w:val="auto"/>
        <w:rPr>
          <w:rFonts w:hint="eastAsia" w:ascii="宋体" w:hAnsi="宋体" w:cs="宋体"/>
          <w:color w:val="auto"/>
          <w:szCs w:val="21"/>
          <w:highlight w:val="none"/>
        </w:rPr>
      </w:pPr>
      <w:r>
        <w:rPr>
          <w:rFonts w:hint="eastAsia" w:ascii="宋体" w:hAnsi="宋体" w:cs="宋体"/>
          <w:b/>
          <w:bCs/>
          <w:color w:val="auto"/>
          <w:sz w:val="24"/>
          <w:szCs w:val="24"/>
          <w:highlight w:val="none"/>
        </w:rPr>
        <w:t>特别说明：</w:t>
      </w:r>
      <w:r>
        <w:rPr>
          <w:rFonts w:hint="eastAsia" w:ascii="宋体" w:hAnsi="宋体" w:cs="宋体"/>
          <w:color w:val="auto"/>
          <w:sz w:val="24"/>
          <w:szCs w:val="24"/>
          <w:highlight w:val="none"/>
        </w:rPr>
        <w:t>如遇“广西政府采购云”平台电子化开标或评审程序调整的，按调整后执行。</w:t>
      </w:r>
    </w:p>
    <w:p w14:paraId="14971AF6">
      <w:pPr>
        <w:widowControl/>
        <w:snapToGrid w:val="0"/>
        <w:spacing w:line="400" w:lineRule="exact"/>
        <w:ind w:left="687" w:leftChars="227" w:hanging="210" w:hangingChars="100"/>
        <w:rPr>
          <w:rFonts w:hint="eastAsia" w:ascii="宋体" w:hAnsi="宋体" w:cs="宋体"/>
          <w:color w:val="auto"/>
          <w:szCs w:val="20"/>
          <w:highlight w:val="none"/>
        </w:rPr>
      </w:pPr>
    </w:p>
    <w:p w14:paraId="14A500E0">
      <w:pPr>
        <w:spacing w:line="400" w:lineRule="exact"/>
        <w:ind w:firstLine="643" w:firstLineChars="200"/>
        <w:jc w:val="center"/>
        <w:outlineLvl w:val="2"/>
        <w:rPr>
          <w:rFonts w:hint="eastAsia" w:ascii="宋体" w:hAnsi="宋体" w:cs="宋体"/>
          <w:b/>
          <w:bCs/>
          <w:color w:val="auto"/>
          <w:sz w:val="32"/>
          <w:szCs w:val="32"/>
          <w:highlight w:val="none"/>
        </w:rPr>
      </w:pPr>
      <w:bookmarkStart w:id="138" w:name="_Toc19386"/>
      <w:r>
        <w:rPr>
          <w:rFonts w:hint="eastAsia" w:ascii="宋体" w:hAnsi="宋体" w:cs="宋体"/>
          <w:b/>
          <w:bCs/>
          <w:color w:val="auto"/>
          <w:sz w:val="32"/>
          <w:szCs w:val="32"/>
          <w:highlight w:val="none"/>
        </w:rPr>
        <w:t>五、资格审查</w:t>
      </w:r>
      <w:bookmarkEnd w:id="138"/>
    </w:p>
    <w:p w14:paraId="46063BE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25.资格审查</w:t>
      </w:r>
    </w:p>
    <w:p w14:paraId="3525E3A0">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bidi="ar"/>
        </w:rPr>
        <w:t xml:space="preserve"> 25.1开标结束后，采购人或采购机构依法通过电子投标文件对投标人的资格进行线上审查。</w:t>
      </w:r>
    </w:p>
    <w:p w14:paraId="403EA4C5">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bidi="ar"/>
        </w:rPr>
        <w:t xml:space="preserve"> 25.2采购人或采购机构依据法律法规和招标文件的规定，对投标人的基本资格条件、特定资格条件进行审查。</w:t>
      </w:r>
    </w:p>
    <w:p w14:paraId="74DBF6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25.3资格审查标准为本“招标文件”中“投标人须知前附表”13.1点载明对投标人资格要求的条件。本项目资格审查采用合格制，凡符合招标文件规定的投标人资格要求的投标人均通过资格审查。</w:t>
      </w:r>
    </w:p>
    <w:p w14:paraId="6BA4F5C3">
      <w:pPr>
        <w:spacing w:line="360" w:lineRule="auto"/>
        <w:ind w:firstLine="482" w:firstLineChars="200"/>
        <w:rPr>
          <w:rFonts w:hint="eastAsia" w:ascii="宋体" w:hAnsi="宋体" w:cs="宋体"/>
          <w:b/>
          <w:bCs/>
          <w:color w:val="auto"/>
          <w:sz w:val="24"/>
          <w:szCs w:val="24"/>
          <w:highlight w:val="none"/>
        </w:rPr>
      </w:pPr>
      <w:bookmarkStart w:id="139" w:name="_25.3_投标人有下列情形之一的，资格审查不通过而导致其投标无效："/>
      <w:bookmarkEnd w:id="139"/>
      <w:r>
        <w:rPr>
          <w:rFonts w:hint="eastAsia" w:ascii="宋体" w:hAnsi="宋体" w:cs="宋体"/>
          <w:b/>
          <w:bCs/>
          <w:color w:val="auto"/>
          <w:sz w:val="24"/>
          <w:szCs w:val="24"/>
          <w:highlight w:val="none"/>
          <w:lang w:bidi="ar"/>
        </w:rPr>
        <w:t>25.4投标人有下列情形之一的，资格审查不通过，作无效投标处理：</w:t>
      </w:r>
    </w:p>
    <w:p w14:paraId="170E32B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（1）不具备招标文件中规定的资格要求的；（注：其中信用查询规则见“投标人须知前附表”，“广西政府采购云”平台已与“信用中国”平台做接口，审查专家可直接在线查询）</w:t>
      </w:r>
    </w:p>
    <w:p w14:paraId="6D17A2A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（2）投标文件未提供任一项“投标人须知前附表”资格证明文件规定的“必须提供”的文件资料的；</w:t>
      </w:r>
    </w:p>
    <w:p w14:paraId="3E56550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（3）投标文件提供的资格证明文件出现任一项不符合“投标人须知前附表”资格证明文件规定的“必须提供”的文件资料要求或者无效的。</w:t>
      </w:r>
    </w:p>
    <w:p w14:paraId="12DAF352">
      <w:pPr>
        <w:spacing w:line="360" w:lineRule="auto"/>
        <w:ind w:firstLine="480" w:firstLineChars="200"/>
        <w:rPr>
          <w:rFonts w:hint="eastAsia" w:ascii="宋体" w:hAnsi="宋体" w:cs="宋体"/>
          <w:color w:val="auto"/>
          <w:szCs w:val="20"/>
          <w:highlight w:val="none"/>
        </w:rPr>
      </w:pPr>
      <w:r>
        <w:rPr>
          <w:rFonts w:hint="eastAsia" w:ascii="宋体" w:hAnsi="宋体" w:cs="宋体"/>
          <w:color w:val="auto"/>
          <w:sz w:val="24"/>
          <w:szCs w:val="24"/>
          <w:highlight w:val="none"/>
        </w:rPr>
        <w:t>25.5资格审查的合格投标人不足3家的，不得评标。</w:t>
      </w:r>
    </w:p>
    <w:p w14:paraId="7C69F499">
      <w:pPr>
        <w:spacing w:line="360" w:lineRule="auto"/>
        <w:ind w:firstLine="643" w:firstLineChars="200"/>
        <w:jc w:val="center"/>
        <w:outlineLvl w:val="2"/>
        <w:rPr>
          <w:rFonts w:hint="eastAsia" w:ascii="宋体" w:hAnsi="宋体" w:cs="宋体"/>
          <w:b/>
          <w:bCs/>
          <w:color w:val="auto"/>
          <w:sz w:val="32"/>
          <w:szCs w:val="32"/>
          <w:highlight w:val="none"/>
        </w:rPr>
      </w:pPr>
      <w:bookmarkStart w:id="140" w:name="_Toc27146"/>
      <w:r>
        <w:rPr>
          <w:rFonts w:hint="eastAsia" w:ascii="宋体" w:hAnsi="宋体" w:cs="宋体"/>
          <w:b/>
          <w:bCs/>
          <w:color w:val="auto"/>
          <w:sz w:val="32"/>
          <w:szCs w:val="32"/>
          <w:highlight w:val="none"/>
        </w:rPr>
        <w:t>六、评   标</w:t>
      </w:r>
      <w:bookmarkEnd w:id="140"/>
    </w:p>
    <w:p w14:paraId="1324DF32">
      <w:pPr>
        <w:spacing w:line="360" w:lineRule="auto"/>
        <w:ind w:firstLine="480" w:firstLineChars="200"/>
        <w:rPr>
          <w:rFonts w:hint="eastAsia" w:ascii="宋体" w:hAnsi="宋体" w:cs="宋体"/>
          <w:color w:val="auto"/>
          <w:sz w:val="24"/>
          <w:szCs w:val="24"/>
          <w:highlight w:val="none"/>
        </w:rPr>
      </w:pPr>
      <w:bookmarkStart w:id="141" w:name="_26.组建评标委员会"/>
      <w:bookmarkEnd w:id="141"/>
      <w:r>
        <w:rPr>
          <w:rFonts w:hint="eastAsia" w:ascii="宋体" w:hAnsi="宋体" w:cs="宋体"/>
          <w:color w:val="auto"/>
          <w:sz w:val="24"/>
          <w:szCs w:val="24"/>
          <w:highlight w:val="none"/>
          <w:lang w:bidi="ar"/>
        </w:rPr>
        <w:t>26.组建评标委员会</w:t>
      </w:r>
    </w:p>
    <w:p w14:paraId="6340177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评标委员会由采购人代表和评审专家组成，人数为5人以上单数，其中评审专家不得少于成员总数的三分之二。</w:t>
      </w:r>
    </w:p>
    <w:p w14:paraId="6AAB6F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参加过采购项目前期咨询论证的专家，不得参加该采购项目的评审活动。</w:t>
      </w:r>
    </w:p>
    <w:p w14:paraId="4B68085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27.评标的依据</w:t>
      </w:r>
    </w:p>
    <w:p w14:paraId="77F53C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评标委员会以招标文件为依据对投标文件进行评审，“第四章 评标方法和评标标准”没有规定的方法、评审因素和标准，不作为评标依据。</w:t>
      </w:r>
    </w:p>
    <w:p w14:paraId="1C0355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28.评标原则</w:t>
      </w:r>
    </w:p>
    <w:p w14:paraId="024DBF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28.1评标原则。评标委员</w:t>
      </w:r>
      <w:r>
        <w:rPr>
          <w:rFonts w:hint="eastAsia" w:ascii="宋体" w:hAnsi="宋体" w:cs="宋体"/>
          <w:color w:val="auto"/>
          <w:sz w:val="24"/>
          <w:szCs w:val="24"/>
          <w:highlight w:val="none"/>
          <w:lang w:eastAsia="zh-CN" w:bidi="ar"/>
        </w:rPr>
        <w:t>会在</w:t>
      </w:r>
      <w:r>
        <w:rPr>
          <w:rFonts w:hint="eastAsia" w:ascii="宋体" w:hAnsi="宋体" w:cs="宋体"/>
          <w:color w:val="auto"/>
          <w:sz w:val="24"/>
          <w:szCs w:val="24"/>
          <w:highlight w:val="none"/>
          <w:lang w:bidi="ar"/>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4B608E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28.2评委表决。在评标过程中出现法律法规和招标文件均没有明确规定的情形时，由评标委员会现场协商解决，协商不一致的，由全体评委投票表决，以得票率二分之一以上专家的意见为准并由采购代理</w:t>
      </w:r>
      <w:r>
        <w:rPr>
          <w:rFonts w:hint="eastAsia" w:ascii="宋体" w:hAnsi="宋体" w:cs="宋体"/>
          <w:color w:val="auto"/>
          <w:sz w:val="24"/>
          <w:szCs w:val="24"/>
          <w:highlight w:val="none"/>
          <w:lang w:eastAsia="zh-CN" w:bidi="ar"/>
        </w:rPr>
        <w:t>机构做</w:t>
      </w:r>
      <w:r>
        <w:rPr>
          <w:rFonts w:hint="eastAsia" w:ascii="宋体" w:hAnsi="宋体" w:cs="宋体"/>
          <w:color w:val="auto"/>
          <w:sz w:val="24"/>
          <w:szCs w:val="24"/>
          <w:highlight w:val="none"/>
          <w:lang w:bidi="ar"/>
        </w:rPr>
        <w:t>记录。</w:t>
      </w:r>
      <w:bookmarkStart w:id="142" w:name="_28.3评标方法。本项目将按须知前附表规定的评标办法进行评标，具体评标"/>
      <w:bookmarkEnd w:id="142"/>
    </w:p>
    <w:p w14:paraId="3F18AE2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B66B44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28.4评标过程的监控。本项目电子评标过程实行网上留痕、全程录音、录像监控，投标人在评标过程中所进行的试图影响评标结果的不公正活动，可能导致其投标按无效处理。</w:t>
      </w:r>
    </w:p>
    <w:p w14:paraId="3FE9BB1B">
      <w:pPr>
        <w:widowControl/>
        <w:spacing w:line="560" w:lineRule="exact"/>
        <w:ind w:firstLine="480" w:firstLineChars="20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E7B26F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29.评标方法及评标标准</w:t>
      </w:r>
    </w:p>
    <w:p w14:paraId="72FE33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29.1本项目的评标方法详见“投标人须知前附表”。</w:t>
      </w:r>
    </w:p>
    <w:p w14:paraId="16A0A9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29.2 评标委员会按照</w:t>
      </w:r>
      <w:r>
        <w:rPr>
          <w:rFonts w:hint="eastAsia" w:ascii="宋体" w:hAnsi="宋体" w:cs="宋体"/>
          <w:b/>
          <w:color w:val="auto"/>
          <w:sz w:val="24"/>
          <w:szCs w:val="24"/>
          <w:highlight w:val="none"/>
          <w:lang w:bidi="ar"/>
        </w:rPr>
        <w:t>“第四章 评标方法和评标标准”</w:t>
      </w:r>
      <w:r>
        <w:rPr>
          <w:rFonts w:hint="eastAsia" w:ascii="宋体" w:hAnsi="宋体" w:cs="宋体"/>
          <w:color w:val="auto"/>
          <w:sz w:val="24"/>
          <w:szCs w:val="24"/>
          <w:highlight w:val="none"/>
          <w:lang w:bidi="ar"/>
        </w:rPr>
        <w:t>规定的方法、评审因素、标准和程序对投标文件进行评审。</w:t>
      </w:r>
    </w:p>
    <w:p w14:paraId="7431AB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29.3 电子交易活动的中止。采购过程中出现以下情形，导致电子交易平台无法正常运行，或者无法保证电子交易的公平、公正和安全时，采购机构可中止电子交易活动：</w:t>
      </w:r>
    </w:p>
    <w:p w14:paraId="108C05C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（1）电子交易平台发生故障而无法登录访问的； </w:t>
      </w:r>
    </w:p>
    <w:p w14:paraId="493D727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（2）电子交易平台应用或数据库出现错误，不能进行正常操作的；</w:t>
      </w:r>
    </w:p>
    <w:p w14:paraId="0F6FBE2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（3）电子交易平台发现严重安全漏洞，有潜在泄密危险的；</w:t>
      </w:r>
    </w:p>
    <w:p w14:paraId="7BC7C6F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（4）病毒发作导致不能进行正常操作的； </w:t>
      </w:r>
    </w:p>
    <w:p w14:paraId="71C19D6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（4）其他无法保证电子交易的公平、公正和安全的情况。</w:t>
      </w:r>
    </w:p>
    <w:p w14:paraId="6FA4F643">
      <w:pPr>
        <w:spacing w:line="360" w:lineRule="auto"/>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bidi="ar"/>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2E5BD2D">
      <w:pPr>
        <w:widowControl/>
        <w:snapToGrid w:val="0"/>
        <w:spacing w:line="400" w:lineRule="exact"/>
        <w:ind w:firstLine="420" w:firstLineChars="200"/>
        <w:rPr>
          <w:rFonts w:hint="eastAsia" w:ascii="宋体" w:hAnsi="宋体" w:cs="宋体"/>
          <w:color w:val="auto"/>
          <w:szCs w:val="20"/>
          <w:highlight w:val="none"/>
        </w:rPr>
      </w:pPr>
    </w:p>
    <w:p w14:paraId="6F216DB7">
      <w:pPr>
        <w:spacing w:line="400" w:lineRule="exact"/>
        <w:ind w:firstLine="643" w:firstLineChars="200"/>
        <w:jc w:val="center"/>
        <w:outlineLvl w:val="2"/>
        <w:rPr>
          <w:rFonts w:hint="eastAsia" w:ascii="宋体" w:hAnsi="宋体" w:cs="宋体"/>
          <w:b/>
          <w:bCs/>
          <w:color w:val="auto"/>
          <w:sz w:val="32"/>
          <w:szCs w:val="32"/>
          <w:highlight w:val="none"/>
        </w:rPr>
      </w:pPr>
      <w:bookmarkStart w:id="143" w:name="_Toc254970546"/>
      <w:bookmarkStart w:id="144" w:name="_Toc254970687"/>
      <w:bookmarkStart w:id="145" w:name="_Toc24110"/>
      <w:r>
        <w:rPr>
          <w:rFonts w:hint="eastAsia" w:ascii="宋体" w:hAnsi="宋体" w:cs="宋体"/>
          <w:b/>
          <w:bCs/>
          <w:color w:val="auto"/>
          <w:sz w:val="32"/>
          <w:szCs w:val="32"/>
          <w:highlight w:val="none"/>
        </w:rPr>
        <w:t>七、</w:t>
      </w:r>
      <w:bookmarkEnd w:id="143"/>
      <w:bookmarkEnd w:id="144"/>
      <w:r>
        <w:rPr>
          <w:rFonts w:hint="eastAsia" w:ascii="宋体" w:hAnsi="宋体" w:cs="宋体"/>
          <w:b/>
          <w:bCs/>
          <w:color w:val="auto"/>
          <w:sz w:val="32"/>
          <w:szCs w:val="32"/>
          <w:highlight w:val="none"/>
        </w:rPr>
        <w:t>中标和合同</w:t>
      </w:r>
      <w:bookmarkEnd w:id="145"/>
    </w:p>
    <w:p w14:paraId="6091E89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30.确定中标供应商</w:t>
      </w:r>
    </w:p>
    <w:p w14:paraId="73D25CBC">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bidi="ar"/>
        </w:rPr>
        <w:t>30.1本项目授权评标委员会直接按第四章“评标方法及标准”的规定排列中标候选人顺序，并依照次序确定中标供应商。</w:t>
      </w:r>
    </w:p>
    <w:p w14:paraId="277CE5B1">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bidi="ar"/>
        </w:rPr>
        <w:t>30.2提供相同品牌产品且通过资格审查、符合性审查的不同投标人参加同一合同项下投标的，按一家投标人计算，采用最低评标价法则以报价最低者参与评标，采用综合评分法则以评审得分最高者获得中标供应商推荐资格，采用最低评标价法报价相同的或者采用综合评分法评审得分相同的，按“投标人须知前附表”规定方式确定，确定后其他同品牌投标人投标无效或不作为中标候选人。</w:t>
      </w:r>
    </w:p>
    <w:p w14:paraId="50730ED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30.3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61389FA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30.4中标供应商无正当理由拒签合同的，根据《中华人民共和国政府采购法》第七十七条第一款规定处理。</w:t>
      </w:r>
    </w:p>
    <w:p w14:paraId="1885AC2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30.5根据《中华人民共和国民法典》第五百六十三条，因不可抗力致使不能实现合同目的的，当事人可以解除合同。</w:t>
      </w:r>
    </w:p>
    <w:p w14:paraId="3D17420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31. 结果公告</w:t>
      </w:r>
    </w:p>
    <w:p w14:paraId="7D1B8B8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31.1在中标供应商确定之日起2个工作日内，由采购代理机构</w:t>
      </w:r>
      <w:r>
        <w:rPr>
          <w:rFonts w:hint="eastAsia" w:ascii="宋体" w:hAnsi="宋体" w:cs="宋体"/>
          <w:b/>
          <w:color w:val="auto"/>
          <w:sz w:val="24"/>
          <w:szCs w:val="24"/>
          <w:highlight w:val="none"/>
          <w:lang w:bidi="ar"/>
        </w:rPr>
        <w:t>在招标公告发布媒体上</w:t>
      </w:r>
      <w:r>
        <w:rPr>
          <w:rFonts w:hint="eastAsia" w:ascii="宋体" w:hAnsi="宋体" w:cs="宋体"/>
          <w:color w:val="auto"/>
          <w:sz w:val="24"/>
          <w:szCs w:val="24"/>
          <w:highlight w:val="none"/>
          <w:lang w:bidi="ar"/>
        </w:rPr>
        <w:t>发布中标结果公告，中标结果公告期限为1个工作日，发布中标结果公告的同时向中标供应商发出中标通知书。</w:t>
      </w:r>
      <w:r>
        <w:rPr>
          <w:rFonts w:hint="eastAsia" w:ascii="宋体" w:hAnsi="宋体" w:cs="宋体"/>
          <w:b/>
          <w:color w:val="auto"/>
          <w:sz w:val="24"/>
          <w:szCs w:val="24"/>
          <w:highlight w:val="none"/>
          <w:lang w:bidi="ar"/>
        </w:rPr>
        <w:t>采购代理机构发出中标通知书前，应当对中标供应商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 w:val="24"/>
          <w:szCs w:val="24"/>
          <w:highlight w:val="none"/>
          <w:lang w:bidi="ar"/>
        </w:rPr>
        <w:t>排名第二的中标候选人因前款规定的同样原因被取消中标资格的，授权的评标委员会可以确定排名第三的中标候选人为中标供应商，以此类推。</w:t>
      </w:r>
    </w:p>
    <w:p w14:paraId="769E8E9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以上信息查询记录及相关证据与采购文件一并保存。</w:t>
      </w:r>
    </w:p>
    <w:p w14:paraId="7387CAA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69E38B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32.发出中标通知书</w:t>
      </w:r>
    </w:p>
    <w:p w14:paraId="79566CAA">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32.1在发布中标公告的同时，采购代理机构向中标供应商通过“广西政府采购云”平台发出电子中标通知书。</w:t>
      </w:r>
    </w:p>
    <w:p w14:paraId="33881BAC">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32.2对未通过资格审查的投标人，采购人或采购机构应当告知其未通过的原因；采用综合评分办法评审的，采购人或采购机构还应当告知未中标供应商本人的评审得分与排序。</w:t>
      </w:r>
    </w:p>
    <w:p w14:paraId="0ABF804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33. 无义务解释未中标原因</w:t>
      </w:r>
    </w:p>
    <w:p w14:paraId="0142D182">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采购代理机构无义务向未中标的投标人解释未中标原因和退还投标文件。</w:t>
      </w:r>
    </w:p>
    <w:p w14:paraId="09FF9D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34.合同授予标准</w:t>
      </w:r>
    </w:p>
    <w:p w14:paraId="4DBCE11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合同将授予被确定实质上响应招标文件要求，具备履行合同能力的中标供应商（招标文件另有约定多名中标供应商的除外）。</w:t>
      </w:r>
    </w:p>
    <w:p w14:paraId="353C7E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35.履约保证金</w:t>
      </w:r>
    </w:p>
    <w:p w14:paraId="4C52CFB7">
      <w:pPr>
        <w:widowControl/>
        <w:adjustRightInd w:val="0"/>
        <w:snapToGrid w:val="0"/>
        <w:spacing w:line="360" w:lineRule="auto"/>
        <w:ind w:firstLine="480" w:firstLineChars="200"/>
        <w:rPr>
          <w:rFonts w:hint="eastAsia" w:ascii="宋体" w:hAnsi="宋体" w:cs="宋体"/>
          <w:color w:val="auto"/>
          <w:kern w:val="0"/>
          <w:sz w:val="24"/>
          <w:szCs w:val="24"/>
          <w:highlight w:val="none"/>
          <w:lang w:val="zh-CN"/>
        </w:rPr>
      </w:pPr>
      <w:bookmarkStart w:id="146" w:name="_39.1中标人须于签订合同前按本须知前附表规定的金额转账或电汇到指定账"/>
      <w:bookmarkEnd w:id="146"/>
      <w:r>
        <w:rPr>
          <w:rFonts w:hint="eastAsia" w:ascii="宋体" w:hAnsi="宋体" w:cs="宋体"/>
          <w:color w:val="auto"/>
          <w:kern w:val="0"/>
          <w:sz w:val="24"/>
          <w:szCs w:val="24"/>
          <w:highlight w:val="none"/>
          <w:lang w:val="zh-CN"/>
        </w:rPr>
        <w:t>见“投标人须知前附表”。</w:t>
      </w:r>
    </w:p>
    <w:p w14:paraId="5ACF8B0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36.签订合同</w:t>
      </w:r>
    </w:p>
    <w:p w14:paraId="3440F2A3">
      <w:pPr>
        <w:widowControl/>
        <w:adjustRightInd w:val="0"/>
        <w:snapToGrid w:val="0"/>
        <w:spacing w:line="360" w:lineRule="auto"/>
        <w:ind w:firstLine="482" w:firstLineChars="200"/>
        <w:rPr>
          <w:rFonts w:hint="eastAsia" w:ascii="宋体" w:hAnsi="宋体" w:cs="宋体"/>
          <w:color w:val="auto"/>
          <w:kern w:val="0"/>
          <w:sz w:val="24"/>
          <w:szCs w:val="24"/>
          <w:highlight w:val="none"/>
          <w:lang w:val="zh-CN"/>
        </w:rPr>
      </w:pPr>
      <w:bookmarkStart w:id="147" w:name="_40.1投标人接到中标通知书后，按须知前附表规定向采购人出示相关资格证"/>
      <w:bookmarkEnd w:id="147"/>
      <w:r>
        <w:rPr>
          <w:rFonts w:hint="eastAsia" w:ascii="宋体" w:hAnsi="宋体" w:cs="宋体"/>
          <w:b/>
          <w:color w:val="auto"/>
          <w:sz w:val="24"/>
          <w:szCs w:val="24"/>
          <w:highlight w:val="none"/>
        </w:rPr>
        <w:t xml:space="preserve"> 36.1中标供应商领取电子中标通知书后，</w:t>
      </w:r>
      <w:r>
        <w:rPr>
          <w:rFonts w:hint="eastAsia" w:ascii="宋体" w:hAnsi="宋体" w:cs="宋体"/>
          <w:color w:val="auto"/>
          <w:kern w:val="0"/>
          <w:sz w:val="24"/>
          <w:szCs w:val="24"/>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78EC87A6">
      <w:pPr>
        <w:widowControl/>
        <w:adjustRightInd w:val="0"/>
        <w:snapToGrid w:val="0"/>
        <w:spacing w:line="360" w:lineRule="auto"/>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36.2</w:t>
      </w:r>
      <w:r>
        <w:rPr>
          <w:rFonts w:hint="eastAsia" w:ascii="宋体" w:hAnsi="宋体" w:cs="宋体"/>
          <w:color w:val="auto"/>
          <w:sz w:val="24"/>
          <w:szCs w:val="24"/>
          <w:highlight w:val="none"/>
        </w:rPr>
        <w:t>采购合同由采购人与中标供应商根据招标文件、投标文件等内容通过政府采购电子交易平台在线签订，自动备案。</w:t>
      </w:r>
    </w:p>
    <w:p w14:paraId="5E7207AD">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36.3签订合同时间：按中标通知书规定的时间与采购人签订合同（最长不能超过25日）。</w:t>
      </w:r>
    </w:p>
    <w:p w14:paraId="1AC069B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645FBA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8DB1F9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36.6采购人或中标供应商不得单方面向合同另一方提出任何招标文件没有约定的条件或不合理的要求，作为签订合同的条件；也不得协商另行订立背离招标文件和合同实质性内容的协议。</w:t>
      </w:r>
    </w:p>
    <w:p w14:paraId="3747615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36.7如签订合同并生效后，供应商无故拒绝或延期，除按照合同条款处理外，将承担相应的法律责任。</w:t>
      </w:r>
    </w:p>
    <w:p w14:paraId="2C3E20E3">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36.8采购人需追加与合同标的相同的服务或者货物的，在不改变原合同条款且已报财政部门批准落实资金的前提下，可从原中标供应商处添购， 所签订的补充添置合同的采购资金总额不超过原采购合同金额的10%。</w:t>
      </w:r>
    </w:p>
    <w:p w14:paraId="7A5B5448">
      <w:pPr>
        <w:spacing w:line="360" w:lineRule="auto"/>
        <w:ind w:firstLine="480" w:firstLineChars="200"/>
        <w:rPr>
          <w:rFonts w:hint="eastAsia" w:ascii="宋体" w:hAnsi="宋体" w:cs="宋体"/>
          <w:color w:val="auto"/>
          <w:sz w:val="24"/>
          <w:szCs w:val="24"/>
          <w:highlight w:val="none"/>
        </w:rPr>
      </w:pPr>
      <w:bookmarkStart w:id="148" w:name="_41.政府采购合同公告"/>
      <w:bookmarkEnd w:id="148"/>
      <w:r>
        <w:rPr>
          <w:rFonts w:hint="eastAsia" w:ascii="宋体" w:hAnsi="宋体" w:cs="宋体"/>
          <w:color w:val="auto"/>
          <w:sz w:val="24"/>
          <w:szCs w:val="24"/>
          <w:highlight w:val="none"/>
          <w:lang w:bidi="ar"/>
        </w:rPr>
        <w:t>37.政府采购合同公告</w:t>
      </w:r>
    </w:p>
    <w:p w14:paraId="5E84B3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采购人或者受托采购代理机构应当自政府采购合同签订之日起2个工作日内，将政府采购合同</w:t>
      </w:r>
      <w:r>
        <w:rPr>
          <w:rFonts w:hint="eastAsia" w:ascii="宋体" w:hAnsi="宋体" w:cs="宋体"/>
          <w:bCs/>
          <w:color w:val="auto"/>
          <w:sz w:val="24"/>
          <w:szCs w:val="24"/>
          <w:highlight w:val="none"/>
          <w:lang w:bidi="ar"/>
        </w:rPr>
        <w:t>在以下媒体上发布</w:t>
      </w:r>
      <w:r>
        <w:rPr>
          <w:rFonts w:hint="eastAsia" w:ascii="宋体" w:hAnsi="宋体" w:cs="宋体"/>
          <w:color w:val="auto"/>
          <w:kern w:val="0"/>
          <w:sz w:val="24"/>
          <w:szCs w:val="24"/>
          <w:highlight w:val="none"/>
          <w:lang w:bidi="ar"/>
        </w:rPr>
        <w:t xml:space="preserve"> “广西政府采购网”（http://zfcg.gxzf.gov.cn）</w:t>
      </w:r>
      <w:r>
        <w:rPr>
          <w:rFonts w:hint="eastAsia" w:ascii="宋体" w:hAnsi="宋体" w:cs="宋体"/>
          <w:color w:val="auto"/>
          <w:sz w:val="24"/>
          <w:szCs w:val="24"/>
          <w:highlight w:val="none"/>
          <w:lang w:bidi="ar"/>
        </w:rPr>
        <w:t>上公告，但政府采购合同中涉及国家秘密、商业秘密的内容除外。</w:t>
      </w:r>
    </w:p>
    <w:p w14:paraId="114CF22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38. 询问、质疑和投诉</w:t>
      </w:r>
    </w:p>
    <w:p w14:paraId="7EA7C4B7">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38.1询问</w:t>
      </w:r>
    </w:p>
    <w:p w14:paraId="5E8C4BB4">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38.1.1供应商在开标前对政府采购活动事项有疑问的，可以向采购人或采购代理机构项目负责人提出询问。</w:t>
      </w:r>
    </w:p>
    <w:p w14:paraId="41195EAB">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38.1.2采购人或采购人委托的采购代理机构自受理询问之日起3个工作日内对供应商依法提出的询问作出答复，</w:t>
      </w:r>
      <w:r>
        <w:rPr>
          <w:rFonts w:hint="eastAsia" w:ascii="宋体" w:hAnsi="宋体" w:cs="宋体"/>
          <w:color w:val="auto"/>
          <w:sz w:val="24"/>
          <w:szCs w:val="24"/>
          <w:highlight w:val="none"/>
          <w:lang w:bidi="ar"/>
        </w:rPr>
        <w:t>但答复内容不得涉及商业秘密</w:t>
      </w:r>
      <w:r>
        <w:rPr>
          <w:rFonts w:hint="eastAsia" w:ascii="宋体" w:hAnsi="宋体" w:cs="宋体"/>
          <w:bCs/>
          <w:color w:val="auto"/>
          <w:sz w:val="24"/>
          <w:szCs w:val="24"/>
          <w:highlight w:val="none"/>
          <w:lang w:bidi="ar"/>
        </w:rPr>
        <w:t>。</w:t>
      </w:r>
    </w:p>
    <w:p w14:paraId="4A278E09">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38.1.3 询问事项可能影响中标、成交结果的，采购人应当暂停签订合同，已经签订合同的，应当中止履行合同。</w:t>
      </w:r>
    </w:p>
    <w:p w14:paraId="78B3E079">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lang w:bidi="ar"/>
        </w:rPr>
        <w:t xml:space="preserve"> </w:t>
      </w:r>
      <w:r>
        <w:rPr>
          <w:rFonts w:hint="eastAsia" w:ascii="宋体" w:hAnsi="宋体" w:cs="宋体"/>
          <w:color w:val="auto"/>
          <w:sz w:val="24"/>
          <w:szCs w:val="24"/>
          <w:highlight w:val="none"/>
          <w:lang w:bidi="ar"/>
        </w:rPr>
        <w:t>38.2质疑</w:t>
      </w:r>
    </w:p>
    <w:p w14:paraId="41236CF7">
      <w:pP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lang w:bidi="ar"/>
        </w:rPr>
        <w:t>38.2.1</w:t>
      </w:r>
      <w:r>
        <w:rPr>
          <w:rFonts w:hint="eastAsia" w:ascii="宋体" w:hAnsi="宋体" w:cs="宋体"/>
          <w:b/>
          <w:color w:val="auto"/>
          <w:sz w:val="24"/>
          <w:szCs w:val="24"/>
          <w:highlight w:val="none"/>
          <w:lang w:bidi="ar"/>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3307024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（1）潜在供应商依法获取公开招标文件后，认为采购文件使自己的权益受到损害的，应当在公开招标文件公告期限届满之日起7个工作日内提出质疑。</w:t>
      </w:r>
      <w:r>
        <w:rPr>
          <w:rFonts w:hint="eastAsia" w:ascii="宋体" w:hAnsi="宋体" w:cs="宋体"/>
          <w:color w:val="auto"/>
          <w:sz w:val="24"/>
          <w:szCs w:val="24"/>
          <w:highlight w:val="none"/>
          <w:lang w:bidi="ar"/>
        </w:rPr>
        <w:t>委托代理协议无特殊约定的，</w:t>
      </w:r>
      <w:r>
        <w:rPr>
          <w:rFonts w:hint="eastAsia" w:ascii="宋体" w:hAnsi="宋体" w:cs="宋体"/>
          <w:bCs/>
          <w:color w:val="auto"/>
          <w:sz w:val="24"/>
          <w:szCs w:val="24"/>
          <w:highlight w:val="none"/>
          <w:lang w:bidi="ar"/>
        </w:rPr>
        <w:t>对公开招标文件中采购需求（含资格要求、采购预算和评分办法）的质疑由采购人受理并负责答复；对公开招标文件中的采购执行程序的质疑由采购代理机构受理并负责答复。</w:t>
      </w:r>
    </w:p>
    <w:p w14:paraId="350CE87D">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494386F">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（3）供应商认为中标或者成交结果使自己的权益受到损害的，应当在中标或者成交结果公告期限届满之日起7个工作日内提出质疑，由采购人受理并负责答复。</w:t>
      </w:r>
    </w:p>
    <w:p w14:paraId="68CD7118">
      <w:pPr>
        <w:spacing w:line="360" w:lineRule="auto"/>
        <w:ind w:firstLine="482" w:firstLineChars="200"/>
        <w:rPr>
          <w:rFonts w:hint="eastAsia" w:ascii="宋体" w:hAnsi="宋体" w:cs="宋体"/>
          <w:bCs/>
          <w:color w:val="auto"/>
          <w:sz w:val="24"/>
          <w:szCs w:val="24"/>
          <w:highlight w:val="none"/>
        </w:rPr>
      </w:pPr>
      <w:r>
        <w:rPr>
          <w:rFonts w:hint="eastAsia" w:ascii="宋体" w:hAnsi="宋体" w:cs="宋体"/>
          <w:b/>
          <w:bCs/>
          <w:color w:val="auto"/>
          <w:sz w:val="24"/>
          <w:szCs w:val="24"/>
          <w:highlight w:val="none"/>
          <w:lang w:bidi="ar"/>
        </w:rPr>
        <w:t>38.2.2</w:t>
      </w:r>
      <w:r>
        <w:rPr>
          <w:rFonts w:hint="eastAsia" w:ascii="宋体" w:hAnsi="宋体" w:cs="宋体"/>
          <w:bCs/>
          <w:color w:val="auto"/>
          <w:sz w:val="24"/>
          <w:szCs w:val="24"/>
          <w:highlight w:val="none"/>
          <w:lang w:bidi="ar"/>
        </w:rPr>
        <w:t>供应商质疑实行实名制，其质疑应当有具体的质疑事项及事实根据，质疑应当坚持依法依规、诚实信用原则，不得进行虚假、恶意质疑。</w:t>
      </w:r>
    </w:p>
    <w:p w14:paraId="199E284F">
      <w:pPr>
        <w:spacing w:line="360" w:lineRule="auto"/>
        <w:ind w:firstLine="482" w:firstLineChars="200"/>
        <w:rPr>
          <w:rFonts w:hint="eastAsia" w:ascii="宋体" w:hAnsi="宋体" w:cs="宋体"/>
          <w:bCs/>
          <w:color w:val="auto"/>
          <w:sz w:val="24"/>
          <w:szCs w:val="24"/>
          <w:highlight w:val="none"/>
        </w:rPr>
      </w:pPr>
      <w:r>
        <w:rPr>
          <w:rFonts w:hint="eastAsia" w:ascii="宋体" w:hAnsi="宋体" w:cs="宋体"/>
          <w:b/>
          <w:bCs/>
          <w:color w:val="auto"/>
          <w:sz w:val="24"/>
          <w:szCs w:val="24"/>
          <w:highlight w:val="none"/>
          <w:lang w:bidi="ar"/>
        </w:rPr>
        <w:t>38.2.3</w:t>
      </w:r>
      <w:r>
        <w:rPr>
          <w:rFonts w:hint="eastAsia" w:ascii="宋体" w:hAnsi="宋体" w:cs="宋体"/>
          <w:bCs/>
          <w:color w:val="auto"/>
          <w:sz w:val="24"/>
          <w:szCs w:val="24"/>
          <w:highlight w:val="none"/>
          <w:lang w:bidi="ar"/>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sz w:val="24"/>
          <w:szCs w:val="24"/>
          <w:highlight w:val="none"/>
          <w:lang w:bidi="ar"/>
        </w:rPr>
        <w:t>。</w:t>
      </w:r>
    </w:p>
    <w:p w14:paraId="76D0B791">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bidi="ar"/>
        </w:rPr>
        <w:t>38.2.4 质疑供应商提起质疑应当符合下列条件：</w:t>
      </w:r>
    </w:p>
    <w:p w14:paraId="6EC68522">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（1）质疑供应商是参与所质疑项目采购活动的供应商（潜在供应商已依法获取可</w:t>
      </w:r>
      <w:r>
        <w:rPr>
          <w:rFonts w:hint="eastAsia" w:ascii="宋体" w:hAnsi="宋体" w:cs="宋体"/>
          <w:bCs/>
          <w:color w:val="auto"/>
          <w:sz w:val="24"/>
          <w:szCs w:val="24"/>
          <w:highlight w:val="none"/>
          <w:lang w:val="en-US" w:eastAsia="zh-CN" w:bidi="ar"/>
        </w:rPr>
        <w:t>质疑</w:t>
      </w:r>
      <w:r>
        <w:rPr>
          <w:rFonts w:hint="eastAsia" w:ascii="宋体" w:hAnsi="宋体" w:cs="宋体"/>
          <w:bCs/>
          <w:color w:val="auto"/>
          <w:sz w:val="24"/>
          <w:szCs w:val="24"/>
          <w:highlight w:val="none"/>
          <w:lang w:bidi="ar"/>
        </w:rPr>
        <w:t>的采购文件的，可以对该采购文件质疑）；</w:t>
      </w:r>
    </w:p>
    <w:p w14:paraId="34D0474E">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（2）质疑函内容符合本章第38.2.5项的规定；</w:t>
      </w:r>
    </w:p>
    <w:p w14:paraId="44382A87">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（3）在质疑有效期限内提起质疑；</w:t>
      </w:r>
    </w:p>
    <w:p w14:paraId="58F8B850">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（4）属于所质疑的采购人或采购人委托的采购代理机构组织的采购活动；</w:t>
      </w:r>
    </w:p>
    <w:p w14:paraId="30ADCFA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 xml:space="preserve">（5）同一质疑事项未经采购人或采购人委托的采购代理机构质疑处理； </w:t>
      </w:r>
    </w:p>
    <w:p w14:paraId="48C15919">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（6）供应商对同一采购程序环节的质疑应当在质疑有效期内一次性提出；</w:t>
      </w:r>
    </w:p>
    <w:p w14:paraId="14C47CF9">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（7）供应商提交质疑应当提交必要的证明材料，证明材料应以合法手段取得；</w:t>
      </w:r>
    </w:p>
    <w:p w14:paraId="1D7CF991">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lang w:bidi="ar"/>
        </w:rPr>
        <w:t>（8）财政部门规定的其他条件。</w:t>
      </w:r>
    </w:p>
    <w:p w14:paraId="39A84192">
      <w:pPr>
        <w:spacing w:line="360" w:lineRule="auto"/>
        <w:ind w:firstLine="480" w:firstLineChars="200"/>
        <w:rPr>
          <w:rFonts w:hint="eastAsia" w:ascii="宋体" w:hAnsi="宋体" w:cs="宋体"/>
          <w:b/>
          <w:color w:val="auto"/>
          <w:sz w:val="24"/>
          <w:szCs w:val="24"/>
          <w:highlight w:val="none"/>
        </w:rPr>
      </w:pPr>
      <w:bookmarkStart w:id="149" w:name="_9.2质疑、投诉应当采用书面形式，质疑函、投诉书均应明确阐述招标文件、"/>
      <w:bookmarkEnd w:id="149"/>
      <w:r>
        <w:rPr>
          <w:rFonts w:hint="eastAsia" w:ascii="宋体" w:hAnsi="宋体" w:cs="宋体"/>
          <w:color w:val="auto"/>
          <w:sz w:val="24"/>
          <w:szCs w:val="24"/>
          <w:highlight w:val="none"/>
          <w:lang w:bidi="ar"/>
        </w:rPr>
        <w:t xml:space="preserve"> 38.2.5 </w:t>
      </w:r>
      <w:r>
        <w:rPr>
          <w:rFonts w:hint="eastAsia" w:ascii="宋体" w:hAnsi="宋体" w:cs="宋体"/>
          <w:bCs/>
          <w:color w:val="auto"/>
          <w:sz w:val="24"/>
          <w:szCs w:val="24"/>
          <w:highlight w:val="none"/>
          <w:lang w:bidi="ar"/>
        </w:rPr>
        <w:t>供应商提出质疑应当提交质疑函和必要的证明材料，针对同一采购程序环节的质疑必须在法定质疑期内一次性提出。质疑函应当包括下列内容（质疑函格式后附）：</w:t>
      </w:r>
    </w:p>
    <w:p w14:paraId="1E5C606F">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（1）供应商的姓名或者名称、地址、邮编、联系人及联系电话；</w:t>
      </w:r>
    </w:p>
    <w:p w14:paraId="55108BAA">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（2）质疑项目的名称、编号；</w:t>
      </w:r>
    </w:p>
    <w:p w14:paraId="400DD10F">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（3）具体、明确的质疑事项和与质疑事项相关的请求；</w:t>
      </w:r>
    </w:p>
    <w:p w14:paraId="7763C1DC">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（4）事实依据（列明权益受到损害的事实和理由）；</w:t>
      </w:r>
    </w:p>
    <w:p w14:paraId="603A07A6">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（5）必要的法律依据；</w:t>
      </w:r>
    </w:p>
    <w:p w14:paraId="503F9868">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（6）提出质疑的日期。</w:t>
      </w:r>
    </w:p>
    <w:p w14:paraId="209E03C6">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供应商为自然人的，应当由本人签字；供应商为法人或者其他组织的，应当由法定代表人、主要负责人，或者其委托代理人签字或者盖章，并加盖公章。</w:t>
      </w:r>
    </w:p>
    <w:p w14:paraId="289A6198">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6C3343B">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lang w:bidi="ar"/>
        </w:rPr>
        <w:t>3</w:t>
      </w:r>
      <w:r>
        <w:rPr>
          <w:rFonts w:hint="eastAsia" w:ascii="宋体" w:hAnsi="宋体" w:cs="宋体"/>
          <w:bCs/>
          <w:color w:val="auto"/>
          <w:sz w:val="24"/>
          <w:szCs w:val="24"/>
          <w:highlight w:val="none"/>
          <w:lang w:bidi="ar"/>
        </w:rPr>
        <w:t>8.2.7采购人、采购代理机构认为供应商质疑不成立，或者成立但未对中标结果构成影响的，继续开展采购活动；认为供应商质疑成立且影响或者可能影响中标结果的，按照下列情况处理：</w:t>
      </w:r>
    </w:p>
    <w:p w14:paraId="656EBF3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　　（一）对招标文件提出的质疑，依法通过澄清或者修改可以继续开展采购活动的，澄清或者修改招标文件后继续开展采购活动；否则应当修改招标文件后重新开展采购活动。</w:t>
      </w:r>
    </w:p>
    <w:p w14:paraId="53967E8C">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　　（二）对采购过程、中标结果提出的质疑，合格供应商符合法定数量时，可以从合格的中标候选人中另行确定中标供应商的，应当依法另行确定中标供应商；否则应当重新开展采购活动。</w:t>
      </w:r>
    </w:p>
    <w:p w14:paraId="664CAD5C">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bidi="ar"/>
        </w:rPr>
        <w:t>质疑答复导致中标结果改变的，采购人或者采购代理机构应当将有关情况书面报告本级财政部门。</w:t>
      </w:r>
    </w:p>
    <w:p w14:paraId="3A08DE12">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38.3投诉</w:t>
      </w:r>
    </w:p>
    <w:p w14:paraId="3D5A7883">
      <w:pPr>
        <w:spacing w:line="360" w:lineRule="auto"/>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lang w:bidi="ar"/>
        </w:rPr>
        <w:t>38.3</w:t>
      </w:r>
      <w:r>
        <w:rPr>
          <w:rFonts w:hint="eastAsia" w:ascii="宋体" w:hAnsi="宋体" w:cs="宋体"/>
          <w:bCs/>
          <w:color w:val="auto"/>
          <w:sz w:val="24"/>
          <w:szCs w:val="24"/>
          <w:highlight w:val="none"/>
          <w:lang w:bidi="ar"/>
        </w:rPr>
        <w:t>.</w:t>
      </w:r>
      <w:r>
        <w:rPr>
          <w:rFonts w:hint="eastAsia" w:ascii="宋体" w:hAnsi="宋体" w:cs="宋体"/>
          <w:b/>
          <w:bCs/>
          <w:color w:val="auto"/>
          <w:sz w:val="24"/>
          <w:szCs w:val="24"/>
          <w:highlight w:val="none"/>
          <w:lang w:bidi="ar"/>
        </w:rPr>
        <w:t xml:space="preserve">1 </w:t>
      </w:r>
      <w:r>
        <w:rPr>
          <w:rFonts w:hint="eastAsia" w:ascii="宋体" w:hAnsi="宋体" w:cs="宋体"/>
          <w:bCs/>
          <w:color w:val="auto"/>
          <w:sz w:val="24"/>
          <w:szCs w:val="24"/>
          <w:highlight w:val="none"/>
          <w:lang w:bidi="ar"/>
        </w:rPr>
        <w:t xml:space="preserve"> 供应商认为采购文件、采购过程、中标和成交结果使自己的合法权益受到损害的，应当首先依法向采购人或采购人委托的</w:t>
      </w:r>
      <w:r>
        <w:rPr>
          <w:rFonts w:hint="eastAsia" w:ascii="宋体" w:hAnsi="宋体" w:cs="宋体"/>
          <w:color w:val="auto"/>
          <w:sz w:val="24"/>
          <w:szCs w:val="24"/>
          <w:highlight w:val="none"/>
          <w:lang w:bidi="ar"/>
        </w:rPr>
        <w:t>采购代理机构</w:t>
      </w:r>
      <w:r>
        <w:rPr>
          <w:rFonts w:hint="eastAsia" w:ascii="宋体" w:hAnsi="宋体" w:cs="宋体"/>
          <w:bCs/>
          <w:color w:val="auto"/>
          <w:sz w:val="24"/>
          <w:szCs w:val="24"/>
          <w:highlight w:val="none"/>
          <w:lang w:bidi="ar"/>
        </w:rPr>
        <w:t>提出质疑。对采购人、</w:t>
      </w:r>
      <w:r>
        <w:rPr>
          <w:rFonts w:hint="eastAsia" w:ascii="宋体" w:hAnsi="宋体" w:cs="宋体"/>
          <w:color w:val="auto"/>
          <w:sz w:val="24"/>
          <w:szCs w:val="24"/>
          <w:highlight w:val="none"/>
          <w:lang w:bidi="ar"/>
        </w:rPr>
        <w:t>采购代理机构</w:t>
      </w:r>
      <w:r>
        <w:rPr>
          <w:rFonts w:hint="eastAsia" w:ascii="宋体" w:hAnsi="宋体" w:cs="宋体"/>
          <w:bCs/>
          <w:color w:val="auto"/>
          <w:sz w:val="24"/>
          <w:szCs w:val="24"/>
          <w:highlight w:val="none"/>
          <w:lang w:bidi="ar"/>
        </w:rPr>
        <w:t>的答复不满意，或者采购人、</w:t>
      </w:r>
      <w:r>
        <w:rPr>
          <w:rFonts w:hint="eastAsia" w:ascii="宋体" w:hAnsi="宋体" w:cs="宋体"/>
          <w:color w:val="auto"/>
          <w:sz w:val="24"/>
          <w:szCs w:val="24"/>
          <w:highlight w:val="none"/>
          <w:lang w:bidi="ar"/>
        </w:rPr>
        <w:t>采购代理机构</w:t>
      </w:r>
      <w:r>
        <w:rPr>
          <w:rFonts w:hint="eastAsia" w:ascii="宋体" w:hAnsi="宋体" w:cs="宋体"/>
          <w:bCs/>
          <w:color w:val="auto"/>
          <w:sz w:val="24"/>
          <w:szCs w:val="24"/>
          <w:highlight w:val="none"/>
          <w:lang w:bidi="ar"/>
        </w:rPr>
        <w:t>未在规定期限内</w:t>
      </w:r>
      <w:r>
        <w:rPr>
          <w:rFonts w:hint="eastAsia" w:ascii="宋体" w:hAnsi="宋体" w:cs="宋体"/>
          <w:bCs/>
          <w:color w:val="auto"/>
          <w:sz w:val="24"/>
          <w:szCs w:val="24"/>
          <w:highlight w:val="none"/>
          <w:lang w:eastAsia="zh-CN" w:bidi="ar"/>
        </w:rPr>
        <w:t>作出</w:t>
      </w:r>
      <w:r>
        <w:rPr>
          <w:rFonts w:hint="eastAsia" w:ascii="宋体" w:hAnsi="宋体" w:cs="宋体"/>
          <w:bCs/>
          <w:color w:val="auto"/>
          <w:sz w:val="24"/>
          <w:szCs w:val="24"/>
          <w:highlight w:val="none"/>
          <w:lang w:bidi="ar"/>
        </w:rPr>
        <w:t>答复的，供应商可以在答复期满后15个工作日内向南宁市政府采购监督管理部门提起投诉，投诉联系方式见“投标人须知前附表”。</w:t>
      </w:r>
    </w:p>
    <w:p w14:paraId="45E2114C">
      <w:pPr>
        <w:spacing w:line="360" w:lineRule="auto"/>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lang w:bidi="ar"/>
        </w:rPr>
        <w:t xml:space="preserve">38.3.2 </w:t>
      </w:r>
      <w:r>
        <w:rPr>
          <w:rFonts w:hint="eastAsia" w:ascii="宋体" w:hAnsi="宋体" w:cs="宋体"/>
          <w:color w:val="auto"/>
          <w:sz w:val="24"/>
          <w:szCs w:val="24"/>
          <w:highlight w:val="none"/>
          <w:lang w:bidi="ar"/>
        </w:rPr>
        <w:t xml:space="preserve"> 投诉人投诉时，应当提交投诉书，并按照被投诉采购人、采购代理机构和与投诉事项有关的供应商数量提供投诉书的副本。投诉书应当包括下列主要内容（如材料中有外文资料应同时附上对应的中文译本）</w:t>
      </w:r>
      <w:r>
        <w:rPr>
          <w:rFonts w:hint="eastAsia" w:ascii="宋体" w:hAnsi="宋体" w:cs="宋体"/>
          <w:bCs/>
          <w:color w:val="auto"/>
          <w:sz w:val="24"/>
          <w:szCs w:val="24"/>
          <w:highlight w:val="none"/>
          <w:lang w:bidi="ar"/>
        </w:rPr>
        <w:t>（投诉书格式后附）</w:t>
      </w:r>
      <w:r>
        <w:rPr>
          <w:rFonts w:hint="eastAsia" w:ascii="宋体" w:hAnsi="宋体" w:cs="宋体"/>
          <w:color w:val="auto"/>
          <w:sz w:val="24"/>
          <w:szCs w:val="24"/>
          <w:highlight w:val="none"/>
          <w:lang w:bidi="ar"/>
        </w:rPr>
        <w:t>：</w:t>
      </w:r>
    </w:p>
    <w:p w14:paraId="11DC97C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（1）投诉人和被投诉人的名称、地址、邮编、联系人及联系电话等； </w:t>
      </w:r>
    </w:p>
    <w:p w14:paraId="27C02D3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（2）质疑和质疑答复情况及相关证明材料； </w:t>
      </w:r>
    </w:p>
    <w:p w14:paraId="4DBE6C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（3）具体、明确的投诉事项和与投诉事项相关的投诉请求；</w:t>
      </w:r>
    </w:p>
    <w:p w14:paraId="566F13B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（4）事实依据；</w:t>
      </w:r>
    </w:p>
    <w:p w14:paraId="2AB435D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（5）法律依据；</w:t>
      </w:r>
    </w:p>
    <w:p w14:paraId="4FB724C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（6）提起投诉的日期。</w:t>
      </w:r>
    </w:p>
    <w:p w14:paraId="47CF168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sz w:val="24"/>
          <w:szCs w:val="24"/>
          <w:highlight w:val="none"/>
          <w:lang w:bidi="ar"/>
        </w:rPr>
        <w:tab/>
      </w:r>
    </w:p>
    <w:p w14:paraId="02C07882">
      <w:pPr>
        <w:spacing w:line="360" w:lineRule="auto"/>
        <w:ind w:firstLine="482" w:firstLineChars="200"/>
        <w:rPr>
          <w:rFonts w:hint="eastAsia" w:ascii="宋体" w:hAnsi="宋体" w:cs="宋体"/>
          <w:bCs/>
          <w:color w:val="auto"/>
          <w:sz w:val="24"/>
          <w:szCs w:val="24"/>
          <w:highlight w:val="none"/>
        </w:rPr>
      </w:pPr>
      <w:r>
        <w:rPr>
          <w:rFonts w:hint="eastAsia" w:ascii="宋体" w:hAnsi="宋体" w:cs="宋体"/>
          <w:b/>
          <w:color w:val="auto"/>
          <w:sz w:val="24"/>
          <w:szCs w:val="24"/>
          <w:highlight w:val="none"/>
          <w:lang w:bidi="ar"/>
        </w:rPr>
        <w:t xml:space="preserve">38.3.3  </w:t>
      </w:r>
      <w:r>
        <w:rPr>
          <w:rFonts w:hint="eastAsia" w:ascii="宋体" w:hAnsi="宋体" w:cs="宋体"/>
          <w:color w:val="auto"/>
          <w:sz w:val="24"/>
          <w:szCs w:val="24"/>
          <w:highlight w:val="none"/>
          <w:lang w:bidi="ar"/>
        </w:rPr>
        <w:t>投诉人可以委托代理人办理投诉事务。</w:t>
      </w:r>
      <w:r>
        <w:rPr>
          <w:rFonts w:hint="eastAsia" w:ascii="宋体" w:hAnsi="宋体" w:cs="宋体"/>
          <w:bCs/>
          <w:color w:val="auto"/>
          <w:sz w:val="24"/>
          <w:szCs w:val="24"/>
          <w:highlight w:val="none"/>
          <w:lang w:bidi="ar"/>
        </w:rPr>
        <w:t>委托代理人应熟悉相关业务情况。</w:t>
      </w:r>
      <w:r>
        <w:rPr>
          <w:rFonts w:hint="eastAsia" w:ascii="宋体" w:hAnsi="宋体" w:cs="宋体"/>
          <w:color w:val="auto"/>
          <w:sz w:val="24"/>
          <w:szCs w:val="24"/>
          <w:highlight w:val="none"/>
          <w:lang w:bidi="ar"/>
        </w:rPr>
        <w:t>代理人办理投诉事务时，除提交投诉书外，还应当提交投诉人的授权委托书和委托代理人身份证明复印件。</w:t>
      </w:r>
    </w:p>
    <w:p w14:paraId="2E17FA61">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lang w:bidi="ar"/>
        </w:rPr>
        <w:t>38.3.4</w:t>
      </w:r>
      <w:r>
        <w:rPr>
          <w:rFonts w:hint="eastAsia" w:ascii="宋体" w:hAnsi="宋体" w:cs="宋体"/>
          <w:color w:val="auto"/>
          <w:sz w:val="24"/>
          <w:szCs w:val="24"/>
          <w:highlight w:val="none"/>
          <w:lang w:bidi="ar"/>
        </w:rPr>
        <w:t xml:space="preserve">  投诉人提起投诉应当符合下列条件：</w:t>
      </w:r>
    </w:p>
    <w:p w14:paraId="7ABA793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（1）投诉人是参与所投诉政府采购活动的供应商；</w:t>
      </w:r>
    </w:p>
    <w:p w14:paraId="54826D8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（2）提起投诉前已依法进行质疑；</w:t>
      </w:r>
    </w:p>
    <w:p w14:paraId="431D2BD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（3）投诉书内容符合本章第38.3.2项的规定；</w:t>
      </w:r>
    </w:p>
    <w:p w14:paraId="377CA31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（4）在投诉有效期限内提起投诉；</w:t>
      </w:r>
    </w:p>
    <w:p w14:paraId="23875B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（5）属于南宁市政府采购监督管理部门管辖；</w:t>
      </w:r>
    </w:p>
    <w:p w14:paraId="4624CC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（6）同一投诉事项未经</w:t>
      </w:r>
      <w:r>
        <w:rPr>
          <w:rFonts w:hint="eastAsia" w:ascii="宋体" w:hAnsi="宋体" w:cs="宋体"/>
          <w:bCs/>
          <w:color w:val="auto"/>
          <w:sz w:val="24"/>
          <w:szCs w:val="24"/>
          <w:highlight w:val="none"/>
          <w:lang w:bidi="ar"/>
        </w:rPr>
        <w:t>南宁市政府采购监督管理部门</w:t>
      </w:r>
      <w:r>
        <w:rPr>
          <w:rFonts w:hint="eastAsia" w:ascii="宋体" w:hAnsi="宋体" w:cs="宋体"/>
          <w:color w:val="auto"/>
          <w:sz w:val="24"/>
          <w:szCs w:val="24"/>
          <w:highlight w:val="none"/>
          <w:lang w:bidi="ar"/>
        </w:rPr>
        <w:t>投诉处理；</w:t>
      </w:r>
    </w:p>
    <w:p w14:paraId="61F46D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（7）国务院财政部门规定的其他条件。</w:t>
      </w:r>
    </w:p>
    <w:p w14:paraId="3C69FC12">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lang w:bidi="ar"/>
        </w:rPr>
        <w:t>38.3.5</w:t>
      </w:r>
      <w:r>
        <w:rPr>
          <w:rFonts w:hint="eastAsia" w:ascii="宋体" w:hAnsi="宋体" w:cs="宋体"/>
          <w:color w:val="auto"/>
          <w:sz w:val="24"/>
          <w:szCs w:val="24"/>
          <w:highlight w:val="none"/>
          <w:lang w:bidi="ar"/>
        </w:rPr>
        <w:t xml:space="preserve">  南宁市政府采购监督管理部门自受理投诉之日起30个工作日内，对投诉事项作出处理决定，并以书面形式通知投诉人、被投诉人及其他与投诉处理结果有利害关系的政府采购当事人。并将投诉结果在http://zfcg.gxzf.gov.cn (广西壮族自治区政府采购网)发布。</w:t>
      </w:r>
    </w:p>
    <w:p w14:paraId="35B30489">
      <w:pPr>
        <w:spacing w:line="360" w:lineRule="auto"/>
        <w:ind w:firstLine="482" w:firstLineChars="200"/>
        <w:rPr>
          <w:rFonts w:hint="eastAsia" w:ascii="宋体" w:hAnsi="宋体" w:cs="宋体"/>
          <w:color w:val="auto"/>
          <w:highlight w:val="none"/>
        </w:rPr>
      </w:pPr>
      <w:r>
        <w:rPr>
          <w:rFonts w:hint="eastAsia" w:ascii="宋体" w:hAnsi="宋体" w:cs="宋体"/>
          <w:b/>
          <w:color w:val="auto"/>
          <w:sz w:val="24"/>
          <w:szCs w:val="24"/>
          <w:highlight w:val="none"/>
          <w:lang w:bidi="ar"/>
        </w:rPr>
        <w:t>38.3.6</w:t>
      </w:r>
      <w:r>
        <w:rPr>
          <w:rFonts w:hint="eastAsia" w:ascii="宋体" w:hAnsi="宋体" w:cs="宋体"/>
          <w:color w:val="auto"/>
          <w:sz w:val="24"/>
          <w:szCs w:val="24"/>
          <w:highlight w:val="none"/>
          <w:lang w:bidi="ar"/>
        </w:rPr>
        <w:t xml:space="preserve">  南宁市政府采购监督管理部门在处理投诉事项期间，可以视具体情况暂停采购活动。</w:t>
      </w:r>
    </w:p>
    <w:p w14:paraId="29C5E093">
      <w:pPr>
        <w:snapToGrid w:val="0"/>
        <w:spacing w:line="360" w:lineRule="auto"/>
        <w:ind w:left="118" w:leftChars="56" w:firstLine="482" w:firstLineChars="150"/>
        <w:jc w:val="center"/>
        <w:outlineLvl w:val="2"/>
        <w:rPr>
          <w:rFonts w:hint="eastAsia" w:ascii="宋体" w:hAnsi="宋体" w:cs="宋体"/>
          <w:b/>
          <w:bCs/>
          <w:color w:val="auto"/>
          <w:sz w:val="32"/>
          <w:szCs w:val="32"/>
          <w:highlight w:val="none"/>
        </w:rPr>
      </w:pPr>
      <w:bookmarkStart w:id="150" w:name="_Toc11001"/>
      <w:r>
        <w:rPr>
          <w:rFonts w:hint="eastAsia" w:ascii="宋体" w:hAnsi="宋体" w:cs="宋体"/>
          <w:b/>
          <w:bCs/>
          <w:color w:val="auto"/>
          <w:sz w:val="32"/>
          <w:szCs w:val="32"/>
          <w:highlight w:val="none"/>
          <w:lang w:bidi="ar"/>
        </w:rPr>
        <w:t>八、验收</w:t>
      </w:r>
      <w:bookmarkEnd w:id="150"/>
    </w:p>
    <w:p w14:paraId="2F4BF2DA">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39.验收</w:t>
      </w:r>
    </w:p>
    <w:p w14:paraId="0CE74ED5">
      <w:pPr>
        <w:tabs>
          <w:tab w:val="left" w:pos="0"/>
        </w:tabs>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BF9D695">
      <w:pPr>
        <w:tabs>
          <w:tab w:val="left" w:pos="0"/>
        </w:tabs>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39.2采购人可以邀请参加本项目的其他投标人或者第三方机构参与验收。参与验收的投标人或者第三方机构的意见作为验收书的参考资料一并存档。</w:t>
      </w:r>
    </w:p>
    <w:p w14:paraId="7A847DB3">
      <w:pPr>
        <w:tabs>
          <w:tab w:val="left" w:pos="0"/>
        </w:tabs>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39.3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DC2EF52">
      <w:pPr>
        <w:tabs>
          <w:tab w:val="left" w:pos="0"/>
        </w:tabs>
        <w:spacing w:line="360" w:lineRule="auto"/>
        <w:ind w:firstLine="480"/>
        <w:rPr>
          <w:rFonts w:hint="eastAsia" w:ascii="宋体" w:hAnsi="宋体" w:cs="宋体"/>
          <w:color w:val="auto"/>
          <w:highlight w:val="none"/>
        </w:rPr>
      </w:pPr>
      <w:r>
        <w:rPr>
          <w:rFonts w:hint="eastAsia" w:ascii="宋体" w:hAnsi="宋体" w:cs="宋体"/>
          <w:color w:val="auto"/>
          <w:sz w:val="24"/>
          <w:szCs w:val="24"/>
          <w:highlight w:val="none"/>
          <w:lang w:bidi="ar"/>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6970C18">
      <w:pPr>
        <w:widowControl/>
        <w:snapToGrid w:val="0"/>
        <w:spacing w:line="400" w:lineRule="exact"/>
        <w:rPr>
          <w:rFonts w:hint="eastAsia" w:ascii="宋体" w:hAnsi="宋体" w:cs="宋体"/>
          <w:color w:val="auto"/>
          <w:szCs w:val="20"/>
          <w:highlight w:val="none"/>
        </w:rPr>
      </w:pPr>
    </w:p>
    <w:p w14:paraId="6B2364C1">
      <w:pPr>
        <w:spacing w:line="360" w:lineRule="auto"/>
        <w:ind w:firstLine="643" w:firstLineChars="200"/>
        <w:jc w:val="center"/>
        <w:outlineLvl w:val="2"/>
        <w:rPr>
          <w:rFonts w:hint="eastAsia" w:ascii="宋体" w:hAnsi="宋体" w:cs="宋体"/>
          <w:b/>
          <w:bCs/>
          <w:color w:val="auto"/>
          <w:sz w:val="32"/>
          <w:szCs w:val="32"/>
          <w:highlight w:val="none"/>
        </w:rPr>
      </w:pPr>
      <w:bookmarkStart w:id="151" w:name="_八、其他事项"/>
      <w:bookmarkEnd w:id="151"/>
      <w:bookmarkStart w:id="152" w:name="_Toc17826"/>
      <w:r>
        <w:rPr>
          <w:rFonts w:hint="eastAsia" w:ascii="宋体" w:hAnsi="宋体" w:cs="宋体"/>
          <w:b/>
          <w:bCs/>
          <w:color w:val="auto"/>
          <w:sz w:val="32"/>
          <w:szCs w:val="32"/>
          <w:highlight w:val="none"/>
        </w:rPr>
        <w:t>九、其他事项</w:t>
      </w:r>
      <w:bookmarkEnd w:id="152"/>
    </w:p>
    <w:p w14:paraId="4D082FBB">
      <w:pPr>
        <w:spacing w:line="360" w:lineRule="auto"/>
        <w:ind w:firstLine="480" w:firstLineChars="200"/>
        <w:rPr>
          <w:rFonts w:hint="eastAsia" w:ascii="宋体" w:hAnsi="宋体" w:cs="宋体"/>
          <w:color w:val="auto"/>
          <w:sz w:val="24"/>
          <w:szCs w:val="24"/>
          <w:highlight w:val="none"/>
        </w:rPr>
      </w:pPr>
      <w:bookmarkStart w:id="153" w:name="_42.代理服务费"/>
      <w:bookmarkEnd w:id="153"/>
      <w:r>
        <w:rPr>
          <w:rFonts w:hint="eastAsia" w:ascii="宋体" w:hAnsi="宋体" w:cs="宋体"/>
          <w:color w:val="auto"/>
          <w:sz w:val="24"/>
          <w:szCs w:val="24"/>
          <w:highlight w:val="none"/>
          <w:lang w:bidi="ar"/>
        </w:rPr>
        <w:t>40.代理服务费</w:t>
      </w:r>
    </w:p>
    <w:p w14:paraId="3D6037EE">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代理服务费收费标准及缴费账户详见“投标人须知前附表”，投标人为联合体的，可以由联合体中的一方或者多方共同</w:t>
      </w:r>
      <w:r>
        <w:rPr>
          <w:rFonts w:hint="eastAsia" w:ascii="宋体" w:hAnsi="宋体" w:cs="宋体"/>
          <w:b/>
          <w:color w:val="auto"/>
          <w:sz w:val="24"/>
          <w:szCs w:val="24"/>
          <w:highlight w:val="none"/>
          <w:lang w:eastAsia="zh-CN" w:bidi="ar"/>
        </w:rPr>
        <w:t>缴纳</w:t>
      </w:r>
      <w:r>
        <w:rPr>
          <w:rFonts w:hint="eastAsia" w:ascii="宋体" w:hAnsi="宋体" w:cs="宋体"/>
          <w:b/>
          <w:color w:val="auto"/>
          <w:sz w:val="24"/>
          <w:szCs w:val="24"/>
          <w:highlight w:val="none"/>
          <w:lang w:bidi="ar"/>
        </w:rPr>
        <w:t>代理服务费。</w:t>
      </w:r>
    </w:p>
    <w:p w14:paraId="1B11F25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41. 需要补充的其他内容</w:t>
      </w:r>
    </w:p>
    <w:p w14:paraId="379B172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41.1本招标文件解释规则详见“投标人须知前附表”。</w:t>
      </w:r>
    </w:p>
    <w:p w14:paraId="5514C4E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41.2 其他事项详见“投标人须知前附表”。</w:t>
      </w:r>
    </w:p>
    <w:p w14:paraId="3A1207B2">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41.3</w:t>
      </w:r>
      <w:bookmarkStart w:id="154" w:name="_Hlk65857140"/>
      <w:r>
        <w:rPr>
          <w:rFonts w:hint="eastAsia" w:ascii="宋体" w:hAnsi="宋体" w:cs="宋体"/>
          <w:color w:val="auto"/>
          <w:sz w:val="24"/>
          <w:szCs w:val="24"/>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4B237AC1">
      <w:pPr>
        <w:widowControl/>
        <w:spacing w:before="120" w:after="120"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2BB2D5B">
      <w:pPr>
        <w:widowControl/>
        <w:spacing w:before="120" w:after="120" w:line="360" w:lineRule="auto"/>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依据本文件规定享受扶持政策获得政府采购合同的，小微企业不得将合同分包给大中型企业，中型企业不得将合同分包给大型企业。</w:t>
      </w:r>
      <w:bookmarkEnd w:id="154"/>
    </w:p>
    <w:p w14:paraId="4E9CB2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42. 政采贷相关说明</w:t>
      </w:r>
    </w:p>
    <w:p w14:paraId="0510CCAB">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为优化政府采购营商环境，缓解供应商资金难题，南宁市政府采购试行政府采购信用融资制度，中标供应商如有融资需求，可凭政府采购合同通过以下方式申请政府采购信用融资贷款：</w:t>
      </w:r>
    </w:p>
    <w:p w14:paraId="67FBE3B8">
      <w:pPr>
        <w:numPr>
          <w:ilvl w:val="0"/>
          <w:numId w:val="2"/>
        </w:num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线下渠道：在“南宁市公共资源交易中心”官网（网址：</w:t>
      </w:r>
      <w:r>
        <w:rPr>
          <w:rFonts w:hint="eastAsia" w:ascii="宋体" w:hAnsi="宋体" w:cs="宋体"/>
          <w:color w:val="auto"/>
          <w:sz w:val="24"/>
          <w:szCs w:val="24"/>
          <w:highlight w:val="none"/>
          <w:lang w:bidi="ar"/>
        </w:rPr>
        <w:fldChar w:fldCharType="begin"/>
      </w:r>
      <w:r>
        <w:rPr>
          <w:rFonts w:hint="eastAsia" w:ascii="宋体" w:hAnsi="宋体" w:cs="宋体"/>
          <w:color w:val="auto"/>
          <w:sz w:val="24"/>
          <w:szCs w:val="24"/>
          <w:highlight w:val="none"/>
          <w:lang w:bidi="ar"/>
        </w:rPr>
        <w:instrText xml:space="preserve"> HYPERLINK "http://www.nnggzy.org.cn）“交易信息-政府采购-政府采购信用融资”中融资银行和南宁市企业融资货物中心专栏信息申请政府采购信用融资。" </w:instrText>
      </w:r>
      <w:r>
        <w:rPr>
          <w:rFonts w:hint="eastAsia" w:ascii="宋体" w:hAnsi="宋体" w:cs="宋体"/>
          <w:color w:val="auto"/>
          <w:sz w:val="24"/>
          <w:szCs w:val="24"/>
          <w:highlight w:val="none"/>
          <w:lang w:bidi="ar"/>
        </w:rPr>
        <w:fldChar w:fldCharType="separate"/>
      </w:r>
      <w:r>
        <w:rPr>
          <w:rFonts w:hint="eastAsia" w:ascii="宋体" w:hAnsi="宋体" w:cs="宋体"/>
          <w:color w:val="auto"/>
          <w:sz w:val="24"/>
          <w:szCs w:val="24"/>
          <w:highlight w:val="none"/>
          <w:u w:val="single"/>
        </w:rPr>
        <w:t>http://www.nnggzy.org.cn）“交易信息-政府采购-政府采购信用融资”中融资银行和南宁市企业融资货物中心专栏信息申请政府采购信用融资。</w:t>
      </w:r>
      <w:r>
        <w:rPr>
          <w:rFonts w:hint="eastAsia" w:ascii="宋体" w:hAnsi="宋体" w:cs="宋体"/>
          <w:color w:val="auto"/>
          <w:sz w:val="24"/>
          <w:szCs w:val="24"/>
          <w:highlight w:val="none"/>
          <w:lang w:bidi="ar"/>
        </w:rPr>
        <w:fldChar w:fldCharType="end"/>
      </w:r>
    </w:p>
    <w:p w14:paraId="0569607B">
      <w:pPr>
        <w:numPr>
          <w:ilvl w:val="0"/>
          <w:numId w:val="2"/>
        </w:numPr>
        <w:wordWrap w:val="0"/>
        <w:spacing w:line="360" w:lineRule="auto"/>
        <w:ind w:firstLine="480" w:firstLineChars="200"/>
        <w:jc w:val="left"/>
        <w:rPr>
          <w:rFonts w:hint="eastAsia" w:ascii="宋体" w:hAnsi="宋体" w:cs="宋体"/>
          <w:color w:val="auto"/>
          <w:highlight w:val="none"/>
        </w:rPr>
      </w:pPr>
      <w:r>
        <w:rPr>
          <w:rFonts w:hint="eastAsia" w:ascii="宋体" w:hAnsi="宋体" w:cs="宋体"/>
          <w:color w:val="auto"/>
          <w:sz w:val="24"/>
          <w:szCs w:val="24"/>
          <w:highlight w:val="none"/>
          <w:lang w:bidi="ar"/>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cs="宋体"/>
          <w:color w:val="auto"/>
          <w:highlight w:val="none"/>
          <w:lang w:bidi="ar"/>
        </w:rPr>
        <w:br w:type="page"/>
      </w:r>
      <w:bookmarkStart w:id="155" w:name="_Toc532545043"/>
    </w:p>
    <w:p w14:paraId="74A8546E">
      <w:pPr>
        <w:widowControl/>
        <w:jc w:val="center"/>
        <w:outlineLvl w:val="0"/>
        <w:rPr>
          <w:rFonts w:hint="eastAsia" w:ascii="宋体" w:hAnsi="宋体" w:cs="宋体"/>
          <w:b/>
          <w:color w:val="auto"/>
          <w:sz w:val="36"/>
          <w:szCs w:val="20"/>
          <w:highlight w:val="none"/>
        </w:rPr>
      </w:pPr>
      <w:bookmarkStart w:id="156" w:name="_Toc16984"/>
      <w:bookmarkStart w:id="157" w:name="_Toc7960"/>
      <w:bookmarkStart w:id="158" w:name="_Toc15482"/>
      <w:r>
        <w:rPr>
          <w:rFonts w:hint="eastAsia" w:ascii="宋体" w:hAnsi="宋体" w:cs="宋体"/>
          <w:b/>
          <w:color w:val="auto"/>
          <w:sz w:val="36"/>
          <w:szCs w:val="20"/>
          <w:highlight w:val="none"/>
        </w:rPr>
        <w:t>第四章  评标方法</w:t>
      </w:r>
      <w:bookmarkEnd w:id="155"/>
      <w:r>
        <w:rPr>
          <w:rFonts w:hint="eastAsia" w:ascii="宋体" w:hAnsi="宋体" w:cs="宋体"/>
          <w:b/>
          <w:color w:val="auto"/>
          <w:sz w:val="36"/>
          <w:szCs w:val="20"/>
          <w:highlight w:val="none"/>
        </w:rPr>
        <w:t>及评分标准</w:t>
      </w:r>
      <w:bookmarkEnd w:id="156"/>
      <w:bookmarkEnd w:id="157"/>
      <w:bookmarkEnd w:id="158"/>
    </w:p>
    <w:p w14:paraId="319B3E84">
      <w:pPr>
        <w:widowControl/>
        <w:jc w:val="center"/>
        <w:outlineLvl w:val="1"/>
        <w:rPr>
          <w:rFonts w:hint="eastAsia" w:ascii="宋体" w:hAnsi="宋体" w:cs="宋体"/>
          <w:b/>
          <w:bCs/>
          <w:color w:val="auto"/>
          <w:sz w:val="32"/>
          <w:szCs w:val="32"/>
          <w:highlight w:val="none"/>
        </w:rPr>
      </w:pPr>
      <w:bookmarkStart w:id="159" w:name="_Toc1670"/>
      <w:bookmarkStart w:id="160" w:name="_Toc29262"/>
      <w:bookmarkStart w:id="161" w:name="_Toc26027"/>
      <w:r>
        <w:rPr>
          <w:rFonts w:hint="eastAsia" w:ascii="宋体" w:hAnsi="宋体" w:cs="宋体"/>
          <w:b/>
          <w:bCs/>
          <w:color w:val="auto"/>
          <w:sz w:val="32"/>
          <w:szCs w:val="32"/>
          <w:highlight w:val="none"/>
        </w:rPr>
        <w:t>第一节 评标方法</w:t>
      </w:r>
      <w:bookmarkEnd w:id="159"/>
      <w:bookmarkEnd w:id="160"/>
      <w:bookmarkEnd w:id="161"/>
    </w:p>
    <w:p w14:paraId="63E80F9E">
      <w:pPr>
        <w:widowControl/>
        <w:tabs>
          <w:tab w:val="left" w:pos="2472"/>
        </w:tabs>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本项目采用</w:t>
      </w:r>
      <w:r>
        <w:rPr>
          <w:rFonts w:hint="eastAsia" w:ascii="宋体" w:hAnsi="宋体" w:cs="宋体"/>
          <w:color w:val="auto"/>
          <w:sz w:val="24"/>
          <w:szCs w:val="24"/>
          <w:highlight w:val="none"/>
          <w:u w:val="single"/>
        </w:rPr>
        <w:t xml:space="preserve"> 以下勾选的方式</w:t>
      </w:r>
      <w:r>
        <w:rPr>
          <w:rFonts w:hint="eastAsia" w:ascii="宋体" w:hAnsi="宋体" w:cs="宋体"/>
          <w:color w:val="auto"/>
          <w:sz w:val="24"/>
          <w:szCs w:val="24"/>
          <w:highlight w:val="none"/>
        </w:rPr>
        <w:t>进行评审。</w:t>
      </w:r>
    </w:p>
    <w:p w14:paraId="2A017C60">
      <w:pPr>
        <w:widowControl/>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□最低评标价法，是指投标文件满足招标文件全部实质性要求，且投标报价最低的投标人为中标候选人的评标方法。</w:t>
      </w:r>
    </w:p>
    <w:p w14:paraId="466BFC40">
      <w:pPr>
        <w:autoSpaceDE w:val="0"/>
        <w:autoSpaceDN w:val="0"/>
        <w:adjustRightIn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lang w:bidi="ar"/>
        </w:rPr>
        <w:t xml:space="preserve">☑综合评分法，是指投标文件满足招标文件全部实质性要求，且按照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115532CA">
      <w:pPr>
        <w:widowControl/>
        <w:spacing w:line="360" w:lineRule="auto"/>
        <w:ind w:firstLine="420"/>
        <w:rPr>
          <w:rFonts w:hint="eastAsia" w:ascii="宋体" w:hAnsi="宋体" w:cs="宋体"/>
          <w:color w:val="auto"/>
          <w:szCs w:val="20"/>
          <w:highlight w:val="none"/>
        </w:rPr>
      </w:pPr>
    </w:p>
    <w:p w14:paraId="4BF18873">
      <w:pPr>
        <w:widowControl/>
        <w:tabs>
          <w:tab w:val="left" w:pos="2472"/>
        </w:tabs>
        <w:spacing w:line="460" w:lineRule="exact"/>
        <w:jc w:val="center"/>
        <w:outlineLvl w:val="1"/>
        <w:rPr>
          <w:rFonts w:hint="eastAsia" w:ascii="宋体" w:hAnsi="宋体" w:cs="宋体"/>
          <w:b/>
          <w:bCs/>
          <w:color w:val="auto"/>
          <w:sz w:val="32"/>
          <w:szCs w:val="32"/>
          <w:highlight w:val="none"/>
        </w:rPr>
      </w:pPr>
      <w:bookmarkStart w:id="162" w:name="_Toc23136"/>
      <w:bookmarkStart w:id="163" w:name="_Toc15197"/>
      <w:bookmarkStart w:id="164" w:name="_Toc11116"/>
      <w:r>
        <w:rPr>
          <w:rFonts w:hint="eastAsia" w:ascii="宋体" w:hAnsi="宋体" w:cs="宋体"/>
          <w:b/>
          <w:bCs/>
          <w:color w:val="auto"/>
          <w:sz w:val="32"/>
          <w:szCs w:val="32"/>
          <w:highlight w:val="none"/>
        </w:rPr>
        <w:t>第二节 评标程序</w:t>
      </w:r>
      <w:bookmarkEnd w:id="162"/>
      <w:bookmarkEnd w:id="163"/>
      <w:bookmarkEnd w:id="164"/>
    </w:p>
    <w:p w14:paraId="55FF6ABA">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1.符合性审查</w:t>
      </w:r>
    </w:p>
    <w:p w14:paraId="5F240A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评标委员会应当对符合资格的投标人的投标文件进行投标报价、商务、技术等实质性内容符合性审查，以确定其是否满足招标文件的实质性要求。</w:t>
      </w:r>
    </w:p>
    <w:p w14:paraId="55241172">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2.符合性审查不通过而导致投标无效的情形</w:t>
      </w:r>
    </w:p>
    <w:p w14:paraId="2F9E50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投标人的投标文件中存在对招标文件的任何实质性要求和条件的负偏离，将被视为投标无效。</w:t>
      </w:r>
    </w:p>
    <w:p w14:paraId="29FF1F0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2.1在报价评审时，如发现下列情形之一的，将被视为投标无效：</w:t>
      </w:r>
    </w:p>
    <w:p w14:paraId="28790D2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（1）投标文件未提供“投标人须知前附表”第13.1条规定中“必须提供”的文件资料的;</w:t>
      </w:r>
    </w:p>
    <w:p w14:paraId="416E75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（2）未采用人民币报价或者未按照招标文件标明的币种报价的；</w:t>
      </w:r>
    </w:p>
    <w:p w14:paraId="2655509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（3）报价超出招标文件规</w:t>
      </w:r>
      <w:r>
        <w:rPr>
          <w:rFonts w:hint="eastAsia" w:ascii="宋体" w:hAnsi="宋体" w:cs="宋体"/>
          <w:color w:val="auto"/>
          <w:sz w:val="24"/>
          <w:szCs w:val="24"/>
          <w:highlight w:val="none"/>
          <w:lang w:eastAsia="zh-CN" w:bidi="ar"/>
        </w:rPr>
        <w:t>定的</w:t>
      </w:r>
      <w:r>
        <w:rPr>
          <w:rFonts w:hint="eastAsia" w:ascii="宋体" w:hAnsi="宋体" w:cs="宋体"/>
          <w:color w:val="auto"/>
          <w:sz w:val="24"/>
          <w:szCs w:val="24"/>
          <w:highlight w:val="none"/>
          <w:lang w:bidi="ar"/>
        </w:rPr>
        <w:t>最高限价，或者超出采购预算金额（包括分项预算）的；</w:t>
      </w:r>
    </w:p>
    <w:p w14:paraId="5F3CEF0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85173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（5）修正后的报价，投标人不确认的；</w:t>
      </w:r>
    </w:p>
    <w:p w14:paraId="61B631A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（6）投标人属于本章第5条第（2）项情形的。</w:t>
      </w:r>
    </w:p>
    <w:p w14:paraId="19254EB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2.2在商务评审时，如发现下列情形之一的，将被视为投标无效：</w:t>
      </w:r>
    </w:p>
    <w:p w14:paraId="30C2136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（1）投标文件未按招标文件要求签署、盖章的；</w:t>
      </w:r>
    </w:p>
    <w:p w14:paraId="5B0F949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（2）委托代理人未能出具有效身份证明或者出具的身份证明与授权委托书中的信息不符的； </w:t>
      </w:r>
    </w:p>
    <w:p w14:paraId="2196650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（3）投标文件未提供“投标人须知前附表”第13.1条规定中“必须提供”或者“委托时必须提供”的文件资料的;</w:t>
      </w:r>
    </w:p>
    <w:p w14:paraId="1A8478F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（4）投标有效期、项目完成时间（交货时间、货物完成时间或者货物期等）、质保期、售后服务等招标文件中标“▲”的商务条款发生负偏离的；</w:t>
      </w:r>
    </w:p>
    <w:p w14:paraId="323E3AA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（5）商务条款评审允许负偏离的条款数超过“投标人须知前附表”规定项数的。</w:t>
      </w:r>
    </w:p>
    <w:p w14:paraId="6CE43A5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（6）投标文件的实质性内容未使用中文表述、使用计量单位不符合招标文件要求的；</w:t>
      </w:r>
    </w:p>
    <w:p w14:paraId="44686F1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（7）投标文件中的文件资料因填写不齐全或者内容虚假或者出现其他情形而导致被评标委员会认定无效的；</w:t>
      </w:r>
    </w:p>
    <w:p w14:paraId="44DC4F4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（8）投标文件含有采购人不能接受的附加条件的；</w:t>
      </w:r>
    </w:p>
    <w:p w14:paraId="3B6A105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（9）未响应招标文件实质性要求的；</w:t>
      </w:r>
    </w:p>
    <w:p w14:paraId="3906790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（10）属于投标人须知正文第9.2条情形的；</w:t>
      </w:r>
    </w:p>
    <w:p w14:paraId="41D4833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（11）法律、法规和招标文件规定的其他无效情形。</w:t>
      </w:r>
    </w:p>
    <w:p w14:paraId="0A2D811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2.3在技术评审时，如发现下列情形之一的，将被视为投标无效：</w:t>
      </w:r>
    </w:p>
    <w:p w14:paraId="1BC96A9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（1）不满足招标文件要求的货物内容、技术要求、安全、质量标准，或者与招标文件中标“▲”的技术需求发生负偏离的；</w:t>
      </w:r>
    </w:p>
    <w:p w14:paraId="7AB8FC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（2）技术需求评审允许负偏离的条款数超过“投标人须知前附表”规定项数的；</w:t>
      </w:r>
    </w:p>
    <w:p w14:paraId="3EAA038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（3）投标文件未提供“投标人须知前附表”第13.1条规定中“必须提供”的文件资料的;</w:t>
      </w:r>
    </w:p>
    <w:p w14:paraId="0483051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（4）虚假投标，或者出现其他情形而导致被评标委员会认定无效的；</w:t>
      </w:r>
    </w:p>
    <w:p w14:paraId="3A3D805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（5）招标文件要求提供技术方案的，投标技术方案不明确，招标文件未允许但存在一个或者一个以上备选（替代）投标方案的。</w:t>
      </w:r>
    </w:p>
    <w:p w14:paraId="7B6CD688">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3.澄清补正、说明或者补正</w:t>
      </w:r>
    </w:p>
    <w:p w14:paraId="5CB2FB3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31B99A3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07CA60A">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4.投标文件修正</w:t>
      </w:r>
    </w:p>
    <w:p w14:paraId="10CB206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4.1投标文件报价出现前后不一致的，按照下列规定修正： </w:t>
      </w:r>
    </w:p>
    <w:p w14:paraId="0976EDD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（1）报价文件中“开标一览表”内容与投标文件中相应内容不一致的，以“开标一览表”为准；</w:t>
      </w:r>
    </w:p>
    <w:p w14:paraId="0E64FBE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（2）大写金额和小写金额不一致的，以大写金额为准；</w:t>
      </w:r>
    </w:p>
    <w:p w14:paraId="0F7A92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（3）单价金额小数点或者百分比有明显错位的，以开标一览表的总价为准，并修改单价；</w:t>
      </w:r>
    </w:p>
    <w:p w14:paraId="271CB5D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（4）总价金额与按单价汇总金额不一致的，以单价金额计算结果为准。</w:t>
      </w:r>
    </w:p>
    <w:p w14:paraId="4A8836F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同时出现两种以上不一致的，按照以上（1）-（4）规定的顺序修正。修正后的报价经投标人确认后产生约束力，投标人不确认的，其投标无效。</w:t>
      </w:r>
    </w:p>
    <w:p w14:paraId="0ACC73F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4.2经投标人确认修正后的报价若超过采购预算金额或者最高限价，投标人的投标文件作无效投标处理。</w:t>
      </w:r>
    </w:p>
    <w:p w14:paraId="725158C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4.3经投标人确认修正后的报价作为签订合同的依据，并以此报价计算价格分。</w:t>
      </w:r>
    </w:p>
    <w:p w14:paraId="5CA6982D">
      <w:pPr>
        <w:spacing w:line="360" w:lineRule="auto"/>
        <w:ind w:firstLine="482" w:firstLineChars="200"/>
        <w:rPr>
          <w:rFonts w:hint="eastAsia" w:ascii="宋体" w:hAnsi="宋体" w:cs="宋体"/>
          <w:b/>
          <w:color w:val="auto"/>
          <w:sz w:val="24"/>
          <w:szCs w:val="24"/>
          <w:highlight w:val="none"/>
          <w:lang w:bidi="ar"/>
        </w:rPr>
      </w:pPr>
      <w:r>
        <w:rPr>
          <w:rFonts w:hint="eastAsia" w:ascii="宋体" w:hAnsi="宋体" w:cs="宋体"/>
          <w:b/>
          <w:color w:val="auto"/>
          <w:sz w:val="24"/>
          <w:szCs w:val="24"/>
          <w:highlight w:val="none"/>
          <w:lang w:bidi="ar"/>
        </w:rPr>
        <w:t>5.比较与评价</w:t>
      </w:r>
    </w:p>
    <w:p w14:paraId="7C59528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5.1评标委员会按照招标文件中规定的评标方法和评标标准，对符合性审查合格的投标文件进行商务和技术评估，综合比较与评价。</w:t>
      </w:r>
    </w:p>
    <w:p w14:paraId="299A91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5.2评标委员会独立对每个投标人的投标文件进行评价，并汇总每个投标人的得分。</w:t>
      </w:r>
    </w:p>
    <w:p w14:paraId="13E1B215">
      <w:pPr>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822FB8A">
      <w:pPr>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（2）评标委员会认为投标人的报价明显低于其他通过符合性审</w:t>
      </w:r>
      <w:r>
        <w:rPr>
          <w:rFonts w:hint="eastAsia" w:ascii="宋体" w:hAnsi="宋体" w:cs="宋体"/>
          <w:color w:val="auto"/>
          <w:sz w:val="24"/>
          <w:szCs w:val="24"/>
          <w:highlight w:val="none"/>
          <w:lang w:eastAsia="zh-CN" w:bidi="ar"/>
        </w:rPr>
        <w:t>查的</w:t>
      </w:r>
      <w:r>
        <w:rPr>
          <w:rFonts w:hint="eastAsia" w:ascii="宋体" w:hAnsi="宋体" w:cs="宋体"/>
          <w:color w:val="auto"/>
          <w:sz w:val="24"/>
          <w:szCs w:val="24"/>
          <w:highlight w:val="none"/>
          <w:lang w:bidi="ar"/>
        </w:rPr>
        <w:t>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8857F3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5.3评标委员会按照招标文件中规定的评标方法和标准计算各投标人的报价得分。在计算过程中，不得去掉最高报价或者最低报价。</w:t>
      </w:r>
    </w:p>
    <w:p w14:paraId="28011A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5.4各投标人的得分为所有评委的有效评分的算术平均数。</w:t>
      </w:r>
    </w:p>
    <w:p w14:paraId="2296B63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5.5评标委员会按照招标文件中的规定推荐中标候选人。</w:t>
      </w:r>
    </w:p>
    <w:p w14:paraId="222ED0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sz w:val="24"/>
          <w:szCs w:val="24"/>
          <w:highlight w:val="none"/>
          <w:lang w:eastAsia="zh-CN" w:bidi="ar"/>
        </w:rPr>
        <w:t>作出</w:t>
      </w:r>
      <w:r>
        <w:rPr>
          <w:rFonts w:hint="eastAsia" w:ascii="宋体" w:hAnsi="宋体" w:cs="宋体"/>
          <w:color w:val="auto"/>
          <w:sz w:val="24"/>
          <w:szCs w:val="24"/>
          <w:highlight w:val="none"/>
          <w:lang w:bidi="ar"/>
        </w:rPr>
        <w:t>结论。持不同意见的评标委员会应当在评标报告上签署不同意见及理由，否则视为同意评标报告。</w:t>
      </w:r>
    </w:p>
    <w:p w14:paraId="6D743BD4">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6.评审复核</w:t>
      </w:r>
    </w:p>
    <w:p w14:paraId="6E849CC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6.1评标报告签署前，评标委员会要对评审结果进行复核，复核意见要体现在评标报告中。</w:t>
      </w:r>
    </w:p>
    <w:p w14:paraId="3C51C7D6">
      <w:pPr>
        <w:widowControl/>
        <w:spacing w:line="560" w:lineRule="exact"/>
        <w:ind w:firstLine="480" w:firstLineChars="20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6.2评标结果汇总完成后，除下列情形外，任何人不得修改评标结果：</w:t>
      </w:r>
    </w:p>
    <w:p w14:paraId="60DE2A0A">
      <w:pPr>
        <w:widowControl/>
        <w:spacing w:line="560" w:lineRule="exact"/>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（一）分值汇总计算错误的；</w:t>
      </w:r>
    </w:p>
    <w:p w14:paraId="76BBD442">
      <w:pPr>
        <w:widowControl/>
        <w:spacing w:line="560" w:lineRule="exact"/>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（二）分项评分超出评分标准范围的；</w:t>
      </w:r>
    </w:p>
    <w:p w14:paraId="171BEC76">
      <w:pPr>
        <w:widowControl/>
        <w:spacing w:line="560" w:lineRule="exact"/>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（三）评标委员会成员对客观评审因素评分不一致的；</w:t>
      </w:r>
    </w:p>
    <w:p w14:paraId="7A985025">
      <w:pPr>
        <w:widowControl/>
        <w:spacing w:line="560" w:lineRule="exact"/>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（四）经评标委员会认定评分畸高、畸低的。</w:t>
      </w:r>
    </w:p>
    <w:p w14:paraId="009949D4">
      <w:pPr>
        <w:spacing w:line="360" w:lineRule="auto"/>
        <w:ind w:firstLine="480" w:firstLineChars="200"/>
        <w:rPr>
          <w:rFonts w:hint="eastAsia" w:ascii="宋体" w:hAnsi="宋体" w:cs="宋体"/>
          <w:color w:val="auto"/>
          <w:highlight w:val="none"/>
          <w:lang w:bidi="ar"/>
        </w:rPr>
      </w:pPr>
      <w:r>
        <w:rPr>
          <w:rFonts w:hint="eastAsia" w:ascii="宋体" w:hAnsi="宋体" w:cs="宋体"/>
          <w:color w:val="auto"/>
          <w:sz w:val="24"/>
          <w:szCs w:val="24"/>
          <w:highlight w:val="none"/>
          <w:lang w:bidi="ar"/>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bookmarkStart w:id="165" w:name="_Toc7957"/>
      <w:bookmarkStart w:id="166" w:name="_Toc12319"/>
    </w:p>
    <w:p w14:paraId="5D1B3E06">
      <w:pPr>
        <w:tabs>
          <w:tab w:val="center" w:pos="4153"/>
          <w:tab w:val="right" w:pos="8306"/>
        </w:tabs>
        <w:snapToGrid w:val="0"/>
        <w:jc w:val="left"/>
        <w:rPr>
          <w:rFonts w:hint="eastAsia" w:ascii="宋体" w:hAnsi="宋体" w:cs="宋体"/>
          <w:color w:val="auto"/>
          <w:sz w:val="18"/>
          <w:highlight w:val="none"/>
          <w:lang w:bidi="ar"/>
        </w:rPr>
      </w:pPr>
    </w:p>
    <w:p w14:paraId="10E7E7EA">
      <w:pPr>
        <w:rPr>
          <w:rFonts w:hint="eastAsia" w:ascii="宋体" w:hAnsi="宋体" w:cs="宋体"/>
          <w:color w:val="auto"/>
          <w:highlight w:val="none"/>
          <w:lang w:bidi="ar"/>
        </w:rPr>
      </w:pPr>
    </w:p>
    <w:p w14:paraId="048E6F0D">
      <w:pPr>
        <w:tabs>
          <w:tab w:val="center" w:pos="4153"/>
          <w:tab w:val="right" w:pos="8306"/>
        </w:tabs>
        <w:snapToGrid w:val="0"/>
        <w:jc w:val="left"/>
        <w:rPr>
          <w:rFonts w:hint="eastAsia" w:ascii="宋体" w:hAnsi="宋体" w:cs="宋体"/>
          <w:color w:val="auto"/>
          <w:sz w:val="18"/>
          <w:highlight w:val="none"/>
          <w:lang w:bidi="ar"/>
        </w:rPr>
      </w:pPr>
    </w:p>
    <w:p w14:paraId="74AE0BA1">
      <w:pPr>
        <w:rPr>
          <w:rFonts w:hint="eastAsia" w:ascii="宋体" w:hAnsi="宋体" w:cs="宋体"/>
          <w:color w:val="auto"/>
          <w:highlight w:val="none"/>
          <w:lang w:bidi="ar"/>
        </w:rPr>
      </w:pPr>
    </w:p>
    <w:p w14:paraId="1FC1EE06">
      <w:pPr>
        <w:tabs>
          <w:tab w:val="center" w:pos="4153"/>
          <w:tab w:val="right" w:pos="8306"/>
        </w:tabs>
        <w:snapToGrid w:val="0"/>
        <w:jc w:val="left"/>
        <w:rPr>
          <w:rFonts w:hint="eastAsia" w:ascii="宋体" w:hAnsi="宋体" w:cs="宋体"/>
          <w:color w:val="auto"/>
          <w:sz w:val="18"/>
          <w:highlight w:val="none"/>
          <w:lang w:bidi="ar"/>
        </w:rPr>
      </w:pPr>
    </w:p>
    <w:p w14:paraId="0D5E79CD">
      <w:pPr>
        <w:rPr>
          <w:rFonts w:hint="eastAsia" w:ascii="宋体" w:hAnsi="宋体" w:cs="宋体"/>
          <w:color w:val="auto"/>
          <w:highlight w:val="none"/>
          <w:lang w:bidi="ar"/>
        </w:rPr>
      </w:pPr>
    </w:p>
    <w:p w14:paraId="333DC9A6">
      <w:pPr>
        <w:tabs>
          <w:tab w:val="center" w:pos="4153"/>
          <w:tab w:val="right" w:pos="8306"/>
        </w:tabs>
        <w:snapToGrid w:val="0"/>
        <w:jc w:val="left"/>
        <w:rPr>
          <w:rFonts w:hint="eastAsia" w:ascii="宋体" w:hAnsi="宋体" w:cs="宋体"/>
          <w:color w:val="auto"/>
          <w:sz w:val="18"/>
          <w:highlight w:val="none"/>
          <w:lang w:bidi="ar"/>
        </w:rPr>
      </w:pPr>
    </w:p>
    <w:p w14:paraId="1A44DFFB">
      <w:pPr>
        <w:rPr>
          <w:rFonts w:hint="eastAsia" w:ascii="宋体" w:hAnsi="宋体" w:cs="宋体"/>
          <w:color w:val="auto"/>
          <w:highlight w:val="none"/>
          <w:lang w:bidi="ar"/>
        </w:rPr>
      </w:pPr>
    </w:p>
    <w:p w14:paraId="1FACBCC3">
      <w:pPr>
        <w:keepNext/>
        <w:keepLines/>
        <w:widowControl/>
        <w:spacing w:before="260" w:after="260" w:line="412" w:lineRule="auto"/>
        <w:jc w:val="center"/>
        <w:outlineLvl w:val="1"/>
        <w:rPr>
          <w:rFonts w:hint="eastAsia" w:ascii="宋体" w:hAnsi="宋体" w:cs="宋体"/>
          <w:bCs/>
          <w:color w:val="auto"/>
          <w:sz w:val="30"/>
          <w:szCs w:val="30"/>
          <w:highlight w:val="none"/>
        </w:rPr>
        <w:sectPr>
          <w:pgSz w:w="11906" w:h="16838"/>
          <w:pgMar w:top="1135" w:right="1135" w:bottom="1135" w:left="1135" w:header="720" w:footer="720" w:gutter="0"/>
          <w:pgNumType w:fmt="decimal"/>
          <w:cols w:space="720" w:num="1"/>
          <w:docGrid w:type="lines" w:linePitch="331" w:charSpace="0"/>
        </w:sectPr>
      </w:pPr>
    </w:p>
    <w:p w14:paraId="5740D7E3">
      <w:pPr>
        <w:keepNext/>
        <w:keepLines/>
        <w:widowControl/>
        <w:spacing w:before="260" w:after="260" w:line="412" w:lineRule="auto"/>
        <w:jc w:val="center"/>
        <w:outlineLvl w:val="1"/>
        <w:rPr>
          <w:rFonts w:hint="eastAsia" w:ascii="宋体" w:hAnsi="宋体" w:eastAsia="宋体" w:cs="宋体"/>
          <w:b/>
          <w:color w:val="auto"/>
          <w:sz w:val="30"/>
          <w:szCs w:val="30"/>
          <w:highlight w:val="none"/>
          <w:lang w:eastAsia="zh-CN"/>
        </w:rPr>
      </w:pPr>
      <w:bookmarkStart w:id="167" w:name="_Toc31304"/>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第三节 评分标准</w:t>
      </w:r>
      <w:bookmarkEnd w:id="165"/>
      <w:bookmarkEnd w:id="166"/>
      <w:bookmarkEnd w:id="167"/>
    </w:p>
    <w:p w14:paraId="0613DC22">
      <w:pPr>
        <w:widowControl/>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一、</w:t>
      </w:r>
      <w:r>
        <w:rPr>
          <w:rFonts w:hint="eastAsia" w:ascii="宋体" w:hAnsi="宋体" w:cs="宋体"/>
          <w:b/>
          <w:color w:val="auto"/>
          <w:sz w:val="30"/>
          <w:szCs w:val="30"/>
          <w:highlight w:val="none"/>
        </w:rPr>
        <w:t>综合评分法</w:t>
      </w:r>
    </w:p>
    <w:p w14:paraId="7A4E90B0">
      <w:pPr>
        <w:widowControl/>
        <w:spacing w:line="360" w:lineRule="auto"/>
        <w:ind w:firstLine="420"/>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注：1、计分方法按四舍五入取至百分位。</w:t>
      </w:r>
    </w:p>
    <w:p w14:paraId="19DA331D">
      <w:pPr>
        <w:widowControl/>
        <w:spacing w:line="360" w:lineRule="auto"/>
        <w:ind w:firstLine="420"/>
        <w:rPr>
          <w:rFonts w:hint="eastAsia" w:ascii="宋体" w:hAnsi="宋体" w:cs="宋体"/>
          <w:bCs/>
          <w:color w:val="auto"/>
          <w:sz w:val="24"/>
          <w:szCs w:val="24"/>
          <w:highlight w:val="none"/>
        </w:rPr>
      </w:pPr>
      <w:r>
        <w:rPr>
          <w:rFonts w:hint="eastAsia" w:ascii="宋体" w:hAnsi="宋体" w:cs="宋体"/>
          <w:bCs/>
          <w:color w:val="auto"/>
          <w:sz w:val="24"/>
          <w:szCs w:val="24"/>
          <w:highlight w:val="none"/>
        </w:rPr>
        <w:t>总得分=报价分+技术分+商务分</w:t>
      </w:r>
    </w:p>
    <w:p w14:paraId="18811422">
      <w:pPr>
        <w:keepNext w:val="0"/>
        <w:keepLines w:val="0"/>
        <w:pageBreakBefore w:val="0"/>
        <w:widowControl/>
        <w:kinsoku/>
        <w:overflowPunct/>
        <w:topLinePunct w:val="0"/>
        <w:autoSpaceDE/>
        <w:autoSpaceDN/>
        <w:bidi w:val="0"/>
        <w:spacing w:line="360" w:lineRule="auto"/>
        <w:ind w:firstLine="420"/>
        <w:rPr>
          <w:rFonts w:hint="eastAsia" w:ascii="宋体" w:hAnsi="宋体" w:cs="宋体"/>
          <w:color w:val="auto"/>
          <w:szCs w:val="20"/>
          <w:highlight w:val="none"/>
        </w:rPr>
      </w:pPr>
      <w:r>
        <w:rPr>
          <w:rFonts w:hint="eastAsia" w:ascii="宋体" w:hAnsi="宋体" w:cs="宋体"/>
          <w:bCs/>
          <w:color w:val="auto"/>
          <w:sz w:val="24"/>
          <w:szCs w:val="24"/>
          <w:highlight w:val="none"/>
        </w:rPr>
        <w:t>2、商务技术评审因素为客观评分项的，应在评分项目或评分标准中予以标注为“客观分”。对投标人的客观评分项目，各评标专家评分应当一致。</w:t>
      </w:r>
    </w:p>
    <w:tbl>
      <w:tblPr>
        <w:tblStyle w:val="39"/>
        <w:tblpPr w:leftFromText="180" w:rightFromText="180" w:vertAnchor="text" w:horzAnchor="page" w:tblpX="1255" w:tblpY="537"/>
        <w:tblOverlap w:val="never"/>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087"/>
        <w:gridCol w:w="1710"/>
        <w:gridCol w:w="5535"/>
        <w:gridCol w:w="863"/>
      </w:tblGrid>
      <w:tr w14:paraId="5389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90" w:type="dxa"/>
            <w:tcBorders>
              <w:top w:val="single" w:color="auto" w:sz="4" w:space="0"/>
              <w:left w:val="single" w:color="auto" w:sz="4" w:space="0"/>
              <w:bottom w:val="single" w:color="auto" w:sz="4" w:space="0"/>
              <w:right w:val="single" w:color="auto" w:sz="4" w:space="0"/>
            </w:tcBorders>
            <w:noWrap w:val="0"/>
            <w:vAlign w:val="center"/>
          </w:tcPr>
          <w:p w14:paraId="0D26F3F2">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color w:val="auto"/>
                <w:sz w:val="24"/>
                <w:szCs w:val="24"/>
                <w:highlight w:val="none"/>
              </w:rPr>
            </w:pPr>
            <w:bookmarkStart w:id="168" w:name="PO_TDCUS_ITEM_SM_TABLE_1"/>
            <w:bookmarkStart w:id="169" w:name="PO_TDCUS_ITEM_SM_TITLE_1"/>
            <w:bookmarkStart w:id="170" w:name="_Toc2225"/>
            <w:bookmarkStart w:id="171" w:name="_Toc12486"/>
            <w:bookmarkStart w:id="172" w:name="_Toc19818"/>
            <w:r>
              <w:rPr>
                <w:rFonts w:hint="eastAsia" w:asciiTheme="minorEastAsia" w:hAnsiTheme="minorEastAsia" w:eastAsiaTheme="minorEastAsia" w:cstheme="minorEastAsia"/>
                <w:b/>
                <w:color w:val="auto"/>
                <w:sz w:val="24"/>
                <w:szCs w:val="24"/>
                <w:highlight w:val="none"/>
              </w:rPr>
              <w:t>序号</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C4D2D90">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评分类型</w:t>
            </w:r>
          </w:p>
        </w:tc>
        <w:tc>
          <w:tcPr>
            <w:tcW w:w="7245" w:type="dxa"/>
            <w:gridSpan w:val="2"/>
            <w:tcBorders>
              <w:top w:val="single" w:color="auto" w:sz="4" w:space="0"/>
              <w:left w:val="single" w:color="auto" w:sz="4" w:space="0"/>
              <w:bottom w:val="single" w:color="auto" w:sz="4" w:space="0"/>
              <w:right w:val="single" w:color="auto" w:sz="4" w:space="0"/>
            </w:tcBorders>
            <w:noWrap w:val="0"/>
            <w:vAlign w:val="center"/>
          </w:tcPr>
          <w:p w14:paraId="220BBEF6">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评标标准</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0EFD386">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分值</w:t>
            </w:r>
          </w:p>
        </w:tc>
      </w:tr>
      <w:tr w14:paraId="2301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390" w:type="dxa"/>
            <w:tcBorders>
              <w:top w:val="single" w:color="auto" w:sz="4" w:space="0"/>
              <w:left w:val="single" w:color="auto" w:sz="4" w:space="0"/>
              <w:bottom w:val="single" w:color="auto" w:sz="4" w:space="0"/>
              <w:right w:val="single" w:color="auto" w:sz="4" w:space="0"/>
            </w:tcBorders>
            <w:noWrap w:val="0"/>
            <w:vAlign w:val="center"/>
          </w:tcPr>
          <w:p w14:paraId="2E4FA418">
            <w:pPr>
              <w:keepNext w:val="0"/>
              <w:keepLines w:val="0"/>
              <w:pageBreakBefore w:val="0"/>
              <w:kinsoku/>
              <w:overflowPunct/>
              <w:topLinePunct w:val="0"/>
              <w:autoSpaceDE/>
              <w:autoSpaceDN/>
              <w:bidi w:val="0"/>
              <w:adjustRightInd w:val="0"/>
              <w:spacing w:line="400" w:lineRule="exact"/>
              <w:jc w:val="both"/>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B0A6C1B">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报价分</w:t>
            </w:r>
          </w:p>
          <w:p w14:paraId="314C768D">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30</w:t>
            </w:r>
            <w:r>
              <w:rPr>
                <w:rFonts w:hint="eastAsia" w:asciiTheme="minorEastAsia" w:hAnsiTheme="minorEastAsia" w:eastAsiaTheme="minorEastAsia" w:cstheme="minorEastAsia"/>
                <w:b/>
                <w:color w:val="auto"/>
                <w:sz w:val="24"/>
                <w:szCs w:val="24"/>
                <w:highlight w:val="none"/>
              </w:rPr>
              <w:t>分）</w:t>
            </w:r>
          </w:p>
        </w:tc>
        <w:tc>
          <w:tcPr>
            <w:tcW w:w="7245" w:type="dxa"/>
            <w:gridSpan w:val="2"/>
            <w:tcBorders>
              <w:top w:val="single" w:color="auto" w:sz="4" w:space="0"/>
              <w:left w:val="single" w:color="auto" w:sz="4" w:space="0"/>
              <w:bottom w:val="single" w:color="auto" w:sz="4" w:space="0"/>
              <w:right w:val="single" w:color="auto" w:sz="4" w:space="0"/>
            </w:tcBorders>
            <w:noWrap w:val="0"/>
            <w:vAlign w:val="center"/>
          </w:tcPr>
          <w:p w14:paraId="252F73BB">
            <w:pPr>
              <w:wordWrap w:val="0"/>
              <w:snapToGrid w:val="0"/>
              <w:spacing w:line="440" w:lineRule="exact"/>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（1）评标报价为投标人的投标报价进行政策性扣除后的价格，评标报价只是作为评标时使用。最终中标人的中标金额等于投标报价。</w:t>
            </w:r>
          </w:p>
          <w:p w14:paraId="03A78BB3">
            <w:pPr>
              <w:wordWrap w:val="0"/>
              <w:snapToGrid w:val="0"/>
              <w:spacing w:line="440" w:lineRule="exact"/>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（2）政策性扣除计算方法。</w:t>
            </w:r>
          </w:p>
          <w:p w14:paraId="3FD283AB">
            <w:pPr>
              <w:wordWrap w:val="0"/>
              <w:snapToGrid w:val="0"/>
              <w:spacing w:line="440" w:lineRule="exact"/>
              <w:ind w:firstLine="506" w:firstLineChars="21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服务全部由小微企业承接，对供应商的竞标报价给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0%的扣除，扣除后的价格为评审价，即评审价=竞标报价×（1-</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审价，即评标报价=投标报价×（1-4%）。除上述情况外，评标报价=投标报价。</w:t>
            </w:r>
          </w:p>
          <w:p w14:paraId="77939850">
            <w:pPr>
              <w:wordWrap w:val="0"/>
              <w:snapToGrid w:val="0"/>
              <w:spacing w:line="440" w:lineRule="exact"/>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4"/>
                <w:szCs w:val="24"/>
                <w:highlight w:val="none"/>
              </w:rPr>
              <w:t>监狱企业属于小型、微型企业的，不重复享受政策。</w:t>
            </w:r>
          </w:p>
          <w:p w14:paraId="7631750F">
            <w:pPr>
              <w:wordWrap w:val="0"/>
              <w:snapToGrid w:val="0"/>
              <w:spacing w:line="440" w:lineRule="exact"/>
              <w:ind w:firstLine="266" w:firstLineChars="11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（4）按照</w:t>
            </w:r>
            <w:r>
              <w:rPr>
                <w:rFonts w:hint="eastAsia" w:ascii="宋体" w:hAnsi="宋体" w:eastAsia="宋体" w:cs="宋体"/>
                <w:bCs/>
                <w:color w:val="auto"/>
                <w:sz w:val="24"/>
                <w:szCs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4"/>
                <w:szCs w:val="24"/>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 w:val="24"/>
                <w:szCs w:val="24"/>
                <w:highlight w:val="none"/>
              </w:rPr>
              <w:t>残疾人福利性单位属于小型、微型企业的，不重复享受政策。</w:t>
            </w:r>
          </w:p>
          <w:p w14:paraId="5C61A272">
            <w:pPr>
              <w:snapToGrid w:val="0"/>
              <w:spacing w:line="460" w:lineRule="exact"/>
              <w:ind w:firstLine="267" w:firstLineChars="11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本项目专门面向</w:t>
            </w:r>
            <w:r>
              <w:rPr>
                <w:rFonts w:hint="eastAsia" w:ascii="宋体" w:hAnsi="宋体" w:eastAsia="宋体" w:cs="宋体"/>
                <w:b/>
                <w:color w:val="auto"/>
                <w:sz w:val="24"/>
                <w:szCs w:val="24"/>
                <w:highlight w:val="none"/>
                <w:lang w:val="en-US" w:eastAsia="zh-CN"/>
              </w:rPr>
              <w:t>中小</w:t>
            </w:r>
            <w:r>
              <w:rPr>
                <w:rFonts w:hint="eastAsia" w:ascii="宋体" w:hAnsi="宋体" w:eastAsia="宋体" w:cs="宋体"/>
                <w:b/>
                <w:color w:val="auto"/>
                <w:sz w:val="24"/>
                <w:szCs w:val="24"/>
                <w:highlight w:val="none"/>
              </w:rPr>
              <w:t>企业采购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小微企业、监狱企业,残疾人福利性单位均不再执行价格评审优惠的扶持政策；</w:t>
            </w:r>
          </w:p>
          <w:p w14:paraId="62DA2235">
            <w:pPr>
              <w:snapToGrid w:val="0"/>
              <w:spacing w:line="460" w:lineRule="exact"/>
              <w:ind w:firstLine="266" w:firstLineChars="11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rPr>
              <w:t>本项目为非专门面向中小企业采购项目(政府采购政策性扣除计算方法)；</w:t>
            </w:r>
          </w:p>
          <w:p w14:paraId="49088C12">
            <w:pPr>
              <w:wordWrap w:val="0"/>
              <w:snapToGrid w:val="0"/>
              <w:spacing w:line="440" w:lineRule="exact"/>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（5）满足招标文件要求且评标报价最低的评标报价为评标基准价，其价格分为满分。</w:t>
            </w:r>
          </w:p>
          <w:p w14:paraId="26D81492">
            <w:pPr>
              <w:wordWrap w:val="0"/>
              <w:spacing w:line="440" w:lineRule="exact"/>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（6）价格分计算公式：        </w:t>
            </w:r>
          </w:p>
          <w:p w14:paraId="50DBFDDC">
            <w:pPr>
              <w:pStyle w:val="19"/>
              <w:wordWrap w:val="0"/>
              <w:spacing w:line="440" w:lineRule="exact"/>
              <w:ind w:firstLine="266" w:firstLineChars="111"/>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bCs/>
                <w:color w:val="auto"/>
                <w:sz w:val="24"/>
                <w:szCs w:val="24"/>
                <w:highlight w:val="none"/>
              </w:rPr>
              <w:t>价格分=（评标基准价／评标报价）×</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2511F374">
            <w:pPr>
              <w:keepNext w:val="0"/>
              <w:keepLines w:val="0"/>
              <w:pageBreakBefore w:val="0"/>
              <w:kinsoku/>
              <w:overflowPunct/>
              <w:topLinePunct w:val="0"/>
              <w:autoSpaceDE/>
              <w:autoSpaceDN/>
              <w:bidi w:val="0"/>
              <w:adjustRightInd w:val="0"/>
              <w:spacing w:line="400" w:lineRule="exact"/>
              <w:textAlignment w:val="baseline"/>
              <w:rPr>
                <w:rFonts w:hint="eastAsia" w:asciiTheme="minorEastAsia" w:hAnsiTheme="minorEastAsia" w:eastAsiaTheme="minorEastAsia" w:cstheme="minorEastAsia"/>
                <w:bCs/>
                <w:color w:val="auto"/>
                <w:sz w:val="24"/>
                <w:szCs w:val="24"/>
                <w:highlight w:val="none"/>
                <w:lang w:val="en-US"/>
              </w:rPr>
            </w:pPr>
            <w:r>
              <w:rPr>
                <w:rFonts w:hint="eastAsia" w:asciiTheme="minorEastAsia" w:hAnsiTheme="minorEastAsia" w:eastAsiaTheme="minorEastAsia" w:cstheme="minorEastAsia"/>
                <w:bCs/>
                <w:color w:val="auto"/>
                <w:sz w:val="24"/>
                <w:szCs w:val="24"/>
                <w:highlight w:val="none"/>
                <w:lang w:val="en-US" w:eastAsia="zh-CN"/>
              </w:rPr>
              <w:t>0</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30</w:t>
            </w:r>
          </w:p>
        </w:tc>
      </w:tr>
      <w:tr w14:paraId="4CE0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90" w:type="dxa"/>
            <w:tcBorders>
              <w:top w:val="single" w:color="auto" w:sz="4" w:space="0"/>
              <w:left w:val="single" w:color="auto" w:sz="4" w:space="0"/>
              <w:right w:val="single" w:color="auto" w:sz="4" w:space="0"/>
            </w:tcBorders>
            <w:noWrap w:val="0"/>
            <w:vAlign w:val="center"/>
          </w:tcPr>
          <w:p w14:paraId="223F2126">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rPr>
            </w:pPr>
          </w:p>
        </w:tc>
        <w:tc>
          <w:tcPr>
            <w:tcW w:w="1087" w:type="dxa"/>
            <w:tcBorders>
              <w:top w:val="single" w:color="auto" w:sz="4" w:space="0"/>
              <w:left w:val="single" w:color="auto" w:sz="4" w:space="0"/>
              <w:right w:val="single" w:color="auto" w:sz="4" w:space="0"/>
            </w:tcBorders>
            <w:noWrap w:val="0"/>
            <w:vAlign w:val="center"/>
          </w:tcPr>
          <w:p w14:paraId="39C59EA3">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rPr>
            </w:pPr>
          </w:p>
        </w:tc>
        <w:tc>
          <w:tcPr>
            <w:tcW w:w="7245" w:type="dxa"/>
            <w:gridSpan w:val="2"/>
            <w:tcBorders>
              <w:top w:val="single" w:color="auto" w:sz="4" w:space="0"/>
              <w:left w:val="single" w:color="auto" w:sz="4" w:space="0"/>
              <w:right w:val="single" w:color="auto" w:sz="4" w:space="0"/>
            </w:tcBorders>
            <w:noWrap w:val="0"/>
            <w:vAlign w:val="center"/>
          </w:tcPr>
          <w:p w14:paraId="1EDE5B32">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color w:val="auto"/>
                <w:sz w:val="24"/>
                <w:szCs w:val="24"/>
                <w:highlight w:val="none"/>
              </w:rPr>
              <w:t>评审因素</w:t>
            </w:r>
          </w:p>
        </w:tc>
        <w:tc>
          <w:tcPr>
            <w:tcW w:w="863" w:type="dxa"/>
            <w:tcBorders>
              <w:top w:val="single" w:color="auto" w:sz="4" w:space="0"/>
              <w:left w:val="single" w:color="auto" w:sz="4" w:space="0"/>
              <w:right w:val="single" w:color="auto" w:sz="4" w:space="0"/>
            </w:tcBorders>
            <w:noWrap w:val="0"/>
            <w:vAlign w:val="center"/>
          </w:tcPr>
          <w:p w14:paraId="628E5B1A">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分值</w:t>
            </w:r>
          </w:p>
        </w:tc>
      </w:tr>
      <w:tr w14:paraId="6C41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90" w:type="dxa"/>
            <w:vMerge w:val="restart"/>
            <w:tcBorders>
              <w:top w:val="single" w:color="auto" w:sz="4" w:space="0"/>
              <w:left w:val="single" w:color="auto" w:sz="4" w:space="0"/>
              <w:right w:val="single" w:color="auto" w:sz="4" w:space="0"/>
            </w:tcBorders>
            <w:noWrap w:val="0"/>
            <w:vAlign w:val="center"/>
          </w:tcPr>
          <w:p w14:paraId="7FD7F621">
            <w:pPr>
              <w:keepNext w:val="0"/>
              <w:keepLines w:val="0"/>
              <w:pageBreakBefore w:val="0"/>
              <w:kinsoku/>
              <w:overflowPunct/>
              <w:topLinePunct w:val="0"/>
              <w:autoSpaceDE/>
              <w:autoSpaceDN/>
              <w:bidi w:val="0"/>
              <w:adjustRightInd w:val="0"/>
              <w:spacing w:line="400" w:lineRule="exact"/>
              <w:jc w:val="both"/>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w:t>
            </w:r>
          </w:p>
        </w:tc>
        <w:tc>
          <w:tcPr>
            <w:tcW w:w="1087" w:type="dxa"/>
            <w:vMerge w:val="restart"/>
            <w:tcBorders>
              <w:top w:val="single" w:color="auto" w:sz="4" w:space="0"/>
              <w:left w:val="single" w:color="auto" w:sz="4" w:space="0"/>
              <w:right w:val="single" w:color="auto" w:sz="4" w:space="0"/>
            </w:tcBorders>
            <w:noWrap w:val="0"/>
            <w:vAlign w:val="center"/>
          </w:tcPr>
          <w:p w14:paraId="537C243A">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技术分</w:t>
            </w:r>
          </w:p>
          <w:p w14:paraId="7DA6600E">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（满分</w:t>
            </w:r>
            <w:r>
              <w:rPr>
                <w:rFonts w:hint="eastAsia" w:asciiTheme="minorEastAsia" w:hAnsiTheme="minorEastAsia" w:eastAsiaTheme="minorEastAsia" w:cstheme="minorEastAsia"/>
                <w:b/>
                <w:color w:val="auto"/>
                <w:sz w:val="24"/>
                <w:szCs w:val="24"/>
                <w:highlight w:val="none"/>
                <w:lang w:val="en-US" w:eastAsia="zh-CN"/>
              </w:rPr>
              <w:t>64</w:t>
            </w:r>
            <w:r>
              <w:rPr>
                <w:rFonts w:hint="eastAsia" w:asciiTheme="minorEastAsia" w:hAnsiTheme="minorEastAsia" w:eastAsiaTheme="minorEastAsia" w:cstheme="minorEastAsia"/>
                <w:b/>
                <w:color w:val="auto"/>
                <w:sz w:val="24"/>
                <w:szCs w:val="24"/>
                <w:highlight w:val="none"/>
              </w:rPr>
              <w:t>分）</w:t>
            </w:r>
          </w:p>
        </w:tc>
        <w:tc>
          <w:tcPr>
            <w:tcW w:w="1710" w:type="dxa"/>
            <w:tcBorders>
              <w:top w:val="single" w:color="auto" w:sz="4" w:space="0"/>
              <w:left w:val="single" w:color="auto" w:sz="4" w:space="0"/>
              <w:right w:val="single" w:color="auto" w:sz="4" w:space="0"/>
            </w:tcBorders>
            <w:noWrap w:val="0"/>
            <w:vAlign w:val="center"/>
          </w:tcPr>
          <w:p w14:paraId="2D2F3FB8">
            <w:pPr>
              <w:keepNext w:val="0"/>
              <w:keepLines w:val="0"/>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产品性能分</w:t>
            </w:r>
          </w:p>
          <w:p w14:paraId="203E35ED">
            <w:pPr>
              <w:keepNext w:val="0"/>
              <w:keepLines w:val="0"/>
              <w:pageBreakBefore w:val="0"/>
              <w:widowControl/>
              <w:kinsoku/>
              <w:wordWrap/>
              <w:overflowPunct/>
              <w:topLinePunct w:val="0"/>
              <w:autoSpaceDE/>
              <w:autoSpaceDN/>
              <w:bidi w:val="0"/>
              <w:spacing w:line="36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（满分2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tc>
        <w:tc>
          <w:tcPr>
            <w:tcW w:w="5535" w:type="dxa"/>
            <w:tcBorders>
              <w:top w:val="single" w:color="auto" w:sz="4" w:space="0"/>
              <w:left w:val="single" w:color="auto" w:sz="4" w:space="0"/>
              <w:right w:val="single" w:color="auto" w:sz="4" w:space="0"/>
            </w:tcBorders>
            <w:noWrap w:val="0"/>
            <w:vAlign w:val="center"/>
          </w:tcPr>
          <w:p w14:paraId="2C4892F3">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产品性能分（2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货物需求一览表》中带“●”内容为本项目的重要技术指标、功能项，《货物需求一览表》中带“●”内容，能提供由国家检测部门或国家认可的第三方检测机构出具的检测证明材料或投标产品厂家出具的技术参数说明文件、或投标产品厂家公开发布的印刷资料做为佐证材料证明，每个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分，满分2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分，（投标时提供的证明材料扫描件必须加盖</w:t>
            </w: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lang w:val="en-US" w:eastAsia="zh-CN"/>
              </w:rPr>
              <w:t>公章）</w:t>
            </w:r>
            <w:r>
              <w:rPr>
                <w:rFonts w:hint="eastAsia" w:asciiTheme="minorEastAsia" w:hAnsiTheme="minorEastAsia" w:eastAsiaTheme="minorEastAsia" w:cstheme="minorEastAsia"/>
                <w:color w:val="auto"/>
                <w:sz w:val="24"/>
                <w:szCs w:val="24"/>
                <w:highlight w:val="none"/>
              </w:rPr>
              <w:t>。</w:t>
            </w:r>
          </w:p>
        </w:tc>
        <w:tc>
          <w:tcPr>
            <w:tcW w:w="863" w:type="dxa"/>
            <w:tcBorders>
              <w:top w:val="single" w:color="auto" w:sz="4" w:space="0"/>
              <w:left w:val="single" w:color="auto" w:sz="4" w:space="0"/>
              <w:right w:val="single" w:color="auto" w:sz="4" w:space="0"/>
            </w:tcBorders>
            <w:noWrap w:val="0"/>
            <w:vAlign w:val="center"/>
          </w:tcPr>
          <w:p w14:paraId="1A700355">
            <w:pPr>
              <w:keepNext w:val="0"/>
              <w:keepLines w:val="0"/>
              <w:pageBreakBefore w:val="0"/>
              <w:kinsoku/>
              <w:overflowPunct/>
              <w:topLinePunct w:val="0"/>
              <w:autoSpaceDE/>
              <w:autoSpaceDN/>
              <w:bidi w:val="0"/>
              <w:adjustRightInd w:val="0"/>
              <w:spacing w:line="400" w:lineRule="exact"/>
              <w:textAlignment w:val="baseline"/>
              <w:rPr>
                <w:rFonts w:hint="eastAsia" w:asciiTheme="minorEastAsia" w:hAnsiTheme="minorEastAsia" w:eastAsiaTheme="minorEastAsia" w:cstheme="minorEastAsia"/>
                <w:bCs/>
                <w:color w:val="auto"/>
                <w:sz w:val="24"/>
                <w:szCs w:val="24"/>
                <w:highlight w:val="none"/>
                <w:lang w:val="en-US"/>
              </w:rPr>
            </w:pP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24分</w:t>
            </w:r>
            <w:r>
              <w:rPr>
                <w:rFonts w:hint="eastAsia" w:asciiTheme="minorEastAsia" w:hAnsiTheme="minorEastAsia" w:eastAsiaTheme="minorEastAsia" w:cstheme="minorEastAsia"/>
                <w:bCs/>
                <w:color w:val="auto"/>
                <w:sz w:val="24"/>
                <w:szCs w:val="24"/>
                <w:highlight w:val="none"/>
              </w:rPr>
              <w:t>（客观分）</w:t>
            </w:r>
          </w:p>
        </w:tc>
      </w:tr>
      <w:tr w14:paraId="0503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90" w:type="dxa"/>
            <w:vMerge w:val="continue"/>
            <w:tcBorders>
              <w:left w:val="single" w:color="auto" w:sz="4" w:space="0"/>
              <w:right w:val="single" w:color="auto" w:sz="4" w:space="0"/>
            </w:tcBorders>
            <w:noWrap w:val="0"/>
            <w:vAlign w:val="center"/>
          </w:tcPr>
          <w:p w14:paraId="1A2A40F4">
            <w:pPr>
              <w:keepNext w:val="0"/>
              <w:keepLines w:val="0"/>
              <w:pageBreakBefore w:val="0"/>
              <w:kinsoku/>
              <w:overflowPunct/>
              <w:topLinePunct w:val="0"/>
              <w:autoSpaceDE/>
              <w:autoSpaceDN/>
              <w:bidi w:val="0"/>
              <w:adjustRightInd w:val="0"/>
              <w:spacing w:line="400" w:lineRule="exact"/>
              <w:ind w:firstLine="251" w:firstLineChars="104"/>
              <w:jc w:val="center"/>
              <w:textAlignment w:val="baseline"/>
              <w:rPr>
                <w:rFonts w:hint="eastAsia" w:asciiTheme="minorEastAsia" w:hAnsiTheme="minorEastAsia" w:eastAsiaTheme="minorEastAsia" w:cstheme="minorEastAsia"/>
                <w:b/>
                <w:color w:val="auto"/>
                <w:sz w:val="24"/>
                <w:szCs w:val="24"/>
                <w:highlight w:val="none"/>
              </w:rPr>
            </w:pPr>
          </w:p>
        </w:tc>
        <w:tc>
          <w:tcPr>
            <w:tcW w:w="1087" w:type="dxa"/>
            <w:vMerge w:val="continue"/>
            <w:tcBorders>
              <w:left w:val="single" w:color="auto" w:sz="4" w:space="0"/>
              <w:right w:val="single" w:color="auto" w:sz="4" w:space="0"/>
            </w:tcBorders>
            <w:noWrap w:val="0"/>
            <w:vAlign w:val="center"/>
          </w:tcPr>
          <w:p w14:paraId="446529A9">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rPr>
            </w:pPr>
          </w:p>
        </w:tc>
        <w:tc>
          <w:tcPr>
            <w:tcW w:w="1710" w:type="dxa"/>
            <w:tcBorders>
              <w:top w:val="single" w:color="auto" w:sz="4" w:space="0"/>
              <w:left w:val="single" w:color="auto" w:sz="4" w:space="0"/>
              <w:right w:val="single" w:color="auto" w:sz="4" w:space="0"/>
            </w:tcBorders>
            <w:noWrap w:val="0"/>
            <w:vAlign w:val="center"/>
          </w:tcPr>
          <w:p w14:paraId="632012B9">
            <w:pPr>
              <w:keepNext w:val="0"/>
              <w:keepLines w:val="0"/>
              <w:pageBreakBefore w:val="0"/>
              <w:widowControl/>
              <w:kinsoku/>
              <w:wordWrap/>
              <w:overflowPunct/>
              <w:topLinePunct w:val="0"/>
              <w:autoSpaceDE/>
              <w:autoSpaceDN/>
              <w:bidi w:val="0"/>
              <w:spacing w:line="36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技术方案</w:t>
            </w:r>
            <w:r>
              <w:rPr>
                <w:rFonts w:hint="eastAsia" w:asciiTheme="minorEastAsia" w:hAnsiTheme="minorEastAsia" w:eastAsiaTheme="minorEastAsia" w:cstheme="minorEastAsia"/>
                <w:color w:val="auto"/>
                <w:sz w:val="24"/>
                <w:szCs w:val="24"/>
                <w:highlight w:val="none"/>
              </w:rPr>
              <w:t>（满分</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分）</w:t>
            </w:r>
          </w:p>
        </w:tc>
        <w:tc>
          <w:tcPr>
            <w:tcW w:w="5535" w:type="dxa"/>
            <w:tcBorders>
              <w:top w:val="single" w:color="auto" w:sz="4" w:space="0"/>
              <w:left w:val="single" w:color="auto" w:sz="4" w:space="0"/>
              <w:right w:val="single" w:color="auto" w:sz="4" w:space="0"/>
            </w:tcBorders>
            <w:noWrap w:val="0"/>
            <w:vAlign w:val="center"/>
          </w:tcPr>
          <w:p w14:paraId="635D2F3A">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一档（5分）：提供的技术方案基本满足采购需求，</w:t>
            </w:r>
            <w:r>
              <w:rPr>
                <w:rFonts w:hint="eastAsia" w:asciiTheme="minorEastAsia" w:hAnsiTheme="minorEastAsia" w:eastAsiaTheme="minorEastAsia" w:cstheme="minorEastAsia"/>
                <w:color w:val="auto"/>
                <w:sz w:val="24"/>
                <w:szCs w:val="24"/>
                <w:highlight w:val="none"/>
                <w:lang w:eastAsia="zh-CN"/>
              </w:rPr>
              <w:t>设备</w:t>
            </w:r>
            <w:r>
              <w:rPr>
                <w:rFonts w:hint="eastAsia" w:asciiTheme="minorEastAsia" w:hAnsiTheme="minorEastAsia" w:eastAsiaTheme="minorEastAsia" w:cstheme="minorEastAsia"/>
                <w:color w:val="auto"/>
                <w:sz w:val="24"/>
                <w:szCs w:val="24"/>
                <w:highlight w:val="none"/>
              </w:rPr>
              <w:t>部署方案、组网方案、</w:t>
            </w:r>
            <w:r>
              <w:rPr>
                <w:rFonts w:hint="eastAsia" w:asciiTheme="minorEastAsia" w:hAnsiTheme="minorEastAsia" w:eastAsiaTheme="minorEastAsia" w:cstheme="minorEastAsia"/>
                <w:color w:val="auto"/>
                <w:sz w:val="24"/>
                <w:szCs w:val="24"/>
                <w:highlight w:val="none"/>
                <w:lang w:eastAsia="zh-CN"/>
              </w:rPr>
              <w:t>设备与</w:t>
            </w:r>
            <w:r>
              <w:rPr>
                <w:rFonts w:hint="eastAsia" w:asciiTheme="minorEastAsia" w:hAnsiTheme="minorEastAsia" w:eastAsiaTheme="minorEastAsia" w:cstheme="minorEastAsia"/>
                <w:color w:val="auto"/>
                <w:sz w:val="24"/>
                <w:szCs w:val="24"/>
                <w:highlight w:val="none"/>
              </w:rPr>
              <w:t>平台对接方案不清晰</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不准确</w:t>
            </w:r>
            <w:r>
              <w:rPr>
                <w:rFonts w:hint="eastAsia" w:asciiTheme="minorEastAsia" w:hAnsiTheme="minorEastAsia" w:eastAsiaTheme="minorEastAsia" w:cstheme="minorEastAsia"/>
                <w:color w:val="auto"/>
                <w:sz w:val="24"/>
                <w:szCs w:val="24"/>
                <w:highlight w:val="none"/>
                <w:lang w:eastAsia="zh-CN"/>
              </w:rPr>
              <w:t>，方案</w:t>
            </w:r>
            <w:r>
              <w:rPr>
                <w:rFonts w:hint="eastAsia" w:asciiTheme="minorEastAsia" w:hAnsiTheme="minorEastAsia" w:eastAsiaTheme="minorEastAsia" w:cstheme="minorEastAsia"/>
                <w:color w:val="auto"/>
                <w:sz w:val="24"/>
                <w:szCs w:val="24"/>
                <w:highlight w:val="none"/>
              </w:rPr>
              <w:t>描述</w:t>
            </w:r>
            <w:r>
              <w:rPr>
                <w:rFonts w:hint="eastAsia" w:asciiTheme="minorEastAsia" w:hAnsiTheme="minorEastAsia" w:eastAsiaTheme="minorEastAsia" w:cstheme="minorEastAsia"/>
                <w:color w:val="auto"/>
                <w:sz w:val="24"/>
                <w:szCs w:val="24"/>
                <w:highlight w:val="none"/>
                <w:lang w:eastAsia="zh-CN"/>
              </w:rPr>
              <w:t>简单的，可落地</w:t>
            </w:r>
            <w:r>
              <w:rPr>
                <w:rFonts w:hint="eastAsia" w:asciiTheme="minorEastAsia" w:hAnsiTheme="minorEastAsia" w:eastAsiaTheme="minorEastAsia" w:cstheme="minorEastAsia"/>
                <w:color w:val="auto"/>
                <w:sz w:val="24"/>
                <w:szCs w:val="24"/>
                <w:highlight w:val="none"/>
              </w:rPr>
              <w:t>。</w:t>
            </w:r>
          </w:p>
          <w:p w14:paraId="5A1B86D8">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二档（10分）：提供的技术方案满足采购人需求，方案考虑了采购项目建设现状，就项目建设背景、建设目标及建设内容展开论述，</w:t>
            </w:r>
            <w:r>
              <w:rPr>
                <w:rFonts w:hint="eastAsia" w:asciiTheme="minorEastAsia" w:hAnsiTheme="minorEastAsia" w:eastAsiaTheme="minorEastAsia" w:cstheme="minorEastAsia"/>
                <w:color w:val="auto"/>
                <w:sz w:val="24"/>
                <w:szCs w:val="24"/>
                <w:highlight w:val="none"/>
                <w:lang w:eastAsia="zh-CN"/>
              </w:rPr>
              <w:t>对</w:t>
            </w:r>
            <w:r>
              <w:rPr>
                <w:rFonts w:hint="eastAsia" w:asciiTheme="minorEastAsia" w:hAnsiTheme="minorEastAsia" w:eastAsiaTheme="minorEastAsia" w:cstheme="minorEastAsia"/>
                <w:color w:val="auto"/>
                <w:sz w:val="24"/>
                <w:szCs w:val="24"/>
                <w:highlight w:val="none"/>
              </w:rPr>
              <w:t>本项目交付要求理解清晰</w:t>
            </w:r>
            <w:r>
              <w:rPr>
                <w:rFonts w:hint="eastAsia" w:asciiTheme="minorEastAsia" w:hAnsiTheme="minorEastAsia" w:eastAsiaTheme="minorEastAsia" w:cstheme="minorEastAsia"/>
                <w:color w:val="auto"/>
                <w:sz w:val="24"/>
                <w:szCs w:val="24"/>
                <w:highlight w:val="none"/>
                <w:lang w:eastAsia="zh-CN"/>
              </w:rPr>
              <w:t>，设备</w:t>
            </w:r>
            <w:r>
              <w:rPr>
                <w:rFonts w:hint="eastAsia" w:asciiTheme="minorEastAsia" w:hAnsiTheme="minorEastAsia" w:eastAsiaTheme="minorEastAsia" w:cstheme="minorEastAsia"/>
                <w:color w:val="auto"/>
                <w:sz w:val="24"/>
                <w:szCs w:val="24"/>
                <w:highlight w:val="none"/>
              </w:rPr>
              <w:t>部署方案、组网方案、设备与</w:t>
            </w:r>
            <w:r>
              <w:rPr>
                <w:rFonts w:hint="eastAsia" w:asciiTheme="minorEastAsia" w:hAnsiTheme="minorEastAsia" w:eastAsiaTheme="minorEastAsia" w:cstheme="minorEastAsia"/>
                <w:color w:val="auto"/>
                <w:sz w:val="24"/>
                <w:szCs w:val="24"/>
                <w:highlight w:val="none"/>
                <w:lang w:eastAsia="zh-CN"/>
              </w:rPr>
              <w:t>平台</w:t>
            </w:r>
            <w:r>
              <w:rPr>
                <w:rFonts w:hint="eastAsia" w:asciiTheme="minorEastAsia" w:hAnsiTheme="minorEastAsia" w:eastAsiaTheme="minorEastAsia" w:cstheme="minorEastAsia"/>
                <w:color w:val="auto"/>
                <w:sz w:val="24"/>
                <w:szCs w:val="24"/>
                <w:highlight w:val="none"/>
              </w:rPr>
              <w:t>对接方案描述</w:t>
            </w:r>
            <w:r>
              <w:rPr>
                <w:rFonts w:hint="eastAsia" w:asciiTheme="minorEastAsia" w:hAnsiTheme="minorEastAsia" w:eastAsiaTheme="minorEastAsia" w:cstheme="minorEastAsia"/>
                <w:color w:val="auto"/>
                <w:sz w:val="24"/>
                <w:szCs w:val="24"/>
                <w:highlight w:val="none"/>
                <w:lang w:eastAsia="zh-CN"/>
              </w:rPr>
              <w:t>准确，满足视频、音频、双流、会议功能，方案具体且可执行落地。</w:t>
            </w:r>
          </w:p>
          <w:p w14:paraId="64189A78">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三档（15分）：提供的技术方案满足采购人需求，方案考虑了采购项目建设现状，就项目建设背景、建设目标及建设内容展开详细论述，对具体业务系统及采购人实际情况进行分析</w:t>
            </w:r>
            <w:r>
              <w:rPr>
                <w:rFonts w:hint="eastAsia" w:asciiTheme="minorEastAsia" w:hAnsiTheme="minorEastAsia" w:eastAsiaTheme="minorEastAsia" w:cstheme="minorEastAsia"/>
                <w:color w:val="auto"/>
                <w:sz w:val="24"/>
                <w:szCs w:val="24"/>
                <w:highlight w:val="none"/>
                <w:lang w:eastAsia="zh-CN"/>
              </w:rPr>
              <w:t>，对本项目交付要求理解清晰准确；设备</w:t>
            </w:r>
            <w:r>
              <w:rPr>
                <w:rFonts w:hint="eastAsia" w:asciiTheme="minorEastAsia" w:hAnsiTheme="minorEastAsia" w:eastAsiaTheme="minorEastAsia" w:cstheme="minorEastAsia"/>
                <w:color w:val="auto"/>
                <w:sz w:val="24"/>
                <w:szCs w:val="24"/>
                <w:highlight w:val="none"/>
              </w:rPr>
              <w:t>部署方案、组网方案、设备与平台对接方案描述清晰准确</w:t>
            </w:r>
            <w:r>
              <w:rPr>
                <w:rFonts w:hint="eastAsia" w:asciiTheme="minorEastAsia" w:hAnsiTheme="minorEastAsia" w:eastAsiaTheme="minorEastAsia" w:cstheme="minorEastAsia"/>
                <w:color w:val="auto"/>
                <w:sz w:val="24"/>
                <w:szCs w:val="24"/>
                <w:highlight w:val="none"/>
                <w:lang w:eastAsia="zh-CN"/>
              </w:rPr>
              <w:t>，对具体业务应用流程描述准确，数据流对接和应用描述准确，可无缝对接</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完全</w:t>
            </w:r>
            <w:r>
              <w:rPr>
                <w:rFonts w:hint="eastAsia" w:asciiTheme="minorEastAsia" w:hAnsiTheme="minorEastAsia" w:eastAsiaTheme="minorEastAsia" w:cstheme="minorEastAsia"/>
                <w:color w:val="auto"/>
                <w:sz w:val="24"/>
                <w:szCs w:val="24"/>
                <w:highlight w:val="none"/>
              </w:rPr>
              <w:t>满足视频、音频、双流、会议功能</w:t>
            </w:r>
            <w:r>
              <w:rPr>
                <w:rFonts w:hint="eastAsia" w:asciiTheme="minorEastAsia" w:hAnsiTheme="minorEastAsia" w:eastAsiaTheme="minorEastAsia" w:cstheme="minorEastAsia"/>
                <w:color w:val="auto"/>
                <w:sz w:val="24"/>
                <w:szCs w:val="24"/>
                <w:highlight w:val="none"/>
                <w:lang w:eastAsia="zh-CN"/>
              </w:rPr>
              <w:t>、业务功能需求</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方案详实且可执行落地；</w:t>
            </w:r>
            <w:r>
              <w:rPr>
                <w:rFonts w:hint="eastAsia" w:asciiTheme="minorEastAsia" w:hAnsiTheme="minorEastAsia" w:eastAsiaTheme="minorEastAsia" w:cstheme="minorEastAsia"/>
                <w:color w:val="auto"/>
                <w:sz w:val="24"/>
                <w:szCs w:val="24"/>
                <w:highlight w:val="none"/>
              </w:rPr>
              <w:t>有安全保障、风险隐患控制、应急处置措施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能体现系统的先进性、安全性、易用性、扩展性的</w:t>
            </w:r>
            <w:r>
              <w:rPr>
                <w:rFonts w:hint="eastAsia" w:asciiTheme="minorEastAsia" w:hAnsiTheme="minorEastAsia" w:eastAsiaTheme="minorEastAsia" w:cstheme="minorEastAsia"/>
                <w:color w:val="auto"/>
                <w:sz w:val="24"/>
                <w:szCs w:val="24"/>
                <w:highlight w:val="none"/>
                <w:lang w:eastAsia="zh-CN"/>
              </w:rPr>
              <w:t>。</w:t>
            </w:r>
          </w:p>
          <w:p w14:paraId="59F26F7C">
            <w:pPr>
              <w:keepNext w:val="0"/>
              <w:keepLines w:val="0"/>
              <w:pageBreakBefore w:val="0"/>
              <w:widowControl/>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备注：不提供技术方案的得0分。</w:t>
            </w:r>
          </w:p>
        </w:tc>
        <w:tc>
          <w:tcPr>
            <w:tcW w:w="863" w:type="dxa"/>
            <w:tcBorders>
              <w:top w:val="single" w:color="auto" w:sz="4" w:space="0"/>
              <w:left w:val="single" w:color="auto" w:sz="4" w:space="0"/>
              <w:right w:val="single" w:color="auto" w:sz="4" w:space="0"/>
            </w:tcBorders>
            <w:noWrap w:val="0"/>
            <w:vAlign w:val="center"/>
          </w:tcPr>
          <w:p w14:paraId="739DD666">
            <w:pPr>
              <w:keepNext w:val="0"/>
              <w:keepLines w:val="0"/>
              <w:pageBreakBefore w:val="0"/>
              <w:kinsoku/>
              <w:overflowPunct/>
              <w:topLinePunct w:val="0"/>
              <w:autoSpaceDE/>
              <w:autoSpaceDN/>
              <w:bidi w:val="0"/>
              <w:adjustRightInd w:val="0"/>
              <w:spacing w:line="400" w:lineRule="exact"/>
              <w:textAlignment w:val="baseline"/>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lang w:val="en-US" w:eastAsia="zh-CN"/>
              </w:rPr>
              <w:t>分（主观分）</w:t>
            </w:r>
          </w:p>
        </w:tc>
      </w:tr>
      <w:tr w14:paraId="22CA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90" w:type="dxa"/>
            <w:vMerge w:val="continue"/>
            <w:tcBorders>
              <w:left w:val="single" w:color="auto" w:sz="4" w:space="0"/>
              <w:right w:val="single" w:color="auto" w:sz="4" w:space="0"/>
            </w:tcBorders>
            <w:noWrap w:val="0"/>
            <w:vAlign w:val="center"/>
          </w:tcPr>
          <w:p w14:paraId="763DF5D8">
            <w:pPr>
              <w:keepNext w:val="0"/>
              <w:keepLines w:val="0"/>
              <w:pageBreakBefore w:val="0"/>
              <w:kinsoku/>
              <w:overflowPunct/>
              <w:topLinePunct w:val="0"/>
              <w:autoSpaceDE/>
              <w:autoSpaceDN/>
              <w:bidi w:val="0"/>
              <w:adjustRightInd w:val="0"/>
              <w:spacing w:line="400" w:lineRule="exact"/>
              <w:ind w:firstLine="251" w:firstLineChars="104"/>
              <w:jc w:val="center"/>
              <w:textAlignment w:val="baseline"/>
              <w:rPr>
                <w:rFonts w:hint="eastAsia" w:asciiTheme="minorEastAsia" w:hAnsiTheme="minorEastAsia" w:eastAsiaTheme="minorEastAsia" w:cstheme="minorEastAsia"/>
                <w:b/>
                <w:color w:val="auto"/>
                <w:sz w:val="24"/>
                <w:szCs w:val="24"/>
                <w:highlight w:val="none"/>
              </w:rPr>
            </w:pPr>
          </w:p>
        </w:tc>
        <w:tc>
          <w:tcPr>
            <w:tcW w:w="1087" w:type="dxa"/>
            <w:vMerge w:val="continue"/>
            <w:tcBorders>
              <w:left w:val="single" w:color="auto" w:sz="4" w:space="0"/>
              <w:right w:val="single" w:color="auto" w:sz="4" w:space="0"/>
            </w:tcBorders>
            <w:noWrap w:val="0"/>
            <w:vAlign w:val="center"/>
          </w:tcPr>
          <w:p w14:paraId="27F3B2A4">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rPr>
            </w:pPr>
          </w:p>
        </w:tc>
        <w:tc>
          <w:tcPr>
            <w:tcW w:w="1710" w:type="dxa"/>
            <w:tcBorders>
              <w:top w:val="single" w:color="auto" w:sz="4" w:space="0"/>
              <w:left w:val="single" w:color="auto" w:sz="4" w:space="0"/>
              <w:right w:val="single" w:color="auto" w:sz="4" w:space="0"/>
            </w:tcBorders>
            <w:noWrap w:val="0"/>
            <w:vAlign w:val="center"/>
          </w:tcPr>
          <w:p w14:paraId="4AC7663E">
            <w:pPr>
              <w:keepNext w:val="0"/>
              <w:keepLines w:val="0"/>
              <w:pageBreakBefore w:val="0"/>
              <w:widowControl/>
              <w:kinsoku/>
              <w:wordWrap/>
              <w:overflowPunct/>
              <w:topLinePunct w:val="0"/>
              <w:autoSpaceDE/>
              <w:autoSpaceDN/>
              <w:bidi w:val="0"/>
              <w:spacing w:line="36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实施方案</w:t>
            </w:r>
            <w:r>
              <w:rPr>
                <w:rFonts w:hint="eastAsia" w:asciiTheme="minorEastAsia" w:hAnsiTheme="minorEastAsia" w:eastAsiaTheme="minorEastAsia" w:cstheme="minorEastAsia"/>
                <w:color w:val="auto"/>
                <w:sz w:val="24"/>
                <w:szCs w:val="24"/>
                <w:highlight w:val="none"/>
              </w:rPr>
              <w:t>（满分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tc>
        <w:tc>
          <w:tcPr>
            <w:tcW w:w="5535" w:type="dxa"/>
            <w:tcBorders>
              <w:top w:val="single" w:color="auto" w:sz="4" w:space="0"/>
              <w:left w:val="single" w:color="auto" w:sz="4" w:space="0"/>
              <w:right w:val="single" w:color="auto" w:sz="4" w:space="0"/>
            </w:tcBorders>
            <w:noWrap w:val="0"/>
            <w:vAlign w:val="center"/>
          </w:tcPr>
          <w:p w14:paraId="3562B6F3">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一档（</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分）：投标人提供了项目实施方案，实施方案简单，项目需求论述简单；</w:t>
            </w:r>
          </w:p>
          <w:p w14:paraId="6FA9E4B2">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二档（</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分）：投标人提供的项目实施方案包含有人员配备、分工、实施准备、进度安排、质量控制、检测及验收等方面内容，没有缺项或明显错误，能满足项目实施要求的。</w:t>
            </w:r>
          </w:p>
          <w:p w14:paraId="7BD99FFB">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三档（</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分）：投标人</w:t>
            </w:r>
            <w:r>
              <w:rPr>
                <w:rFonts w:hint="eastAsia" w:asciiTheme="minorEastAsia" w:hAnsiTheme="minorEastAsia" w:eastAsiaTheme="minorEastAsia" w:cstheme="minorEastAsia"/>
                <w:color w:val="auto"/>
                <w:sz w:val="24"/>
                <w:szCs w:val="24"/>
                <w:highlight w:val="none"/>
                <w:lang w:val="en-US" w:eastAsia="zh-CN"/>
              </w:rPr>
              <w:t>充分了解业务要求，</w:t>
            </w:r>
            <w:r>
              <w:rPr>
                <w:rFonts w:hint="eastAsia" w:asciiTheme="minorEastAsia" w:hAnsiTheme="minorEastAsia" w:eastAsiaTheme="minorEastAsia" w:cstheme="minorEastAsia"/>
                <w:color w:val="auto"/>
                <w:sz w:val="24"/>
                <w:szCs w:val="24"/>
                <w:highlight w:val="none"/>
              </w:rPr>
              <w:t>提供的项目实施方案完整包含有人员配备、分工、实施准备、实施进度计划、质量控制、检测及验收等方面内容，内容有针对性，能够有利于保障项目实施要求。</w:t>
            </w:r>
          </w:p>
          <w:p w14:paraId="00F1BA9B">
            <w:pPr>
              <w:keepNext w:val="0"/>
              <w:keepLines w:val="0"/>
              <w:pageBreakBefore w:val="0"/>
              <w:widowControl/>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备注：不提供项目项目实施方案的得0分。</w:t>
            </w:r>
          </w:p>
        </w:tc>
        <w:tc>
          <w:tcPr>
            <w:tcW w:w="863" w:type="dxa"/>
            <w:tcBorders>
              <w:top w:val="single" w:color="auto" w:sz="4" w:space="0"/>
              <w:left w:val="single" w:color="auto" w:sz="4" w:space="0"/>
              <w:right w:val="single" w:color="auto" w:sz="4" w:space="0"/>
            </w:tcBorders>
            <w:noWrap w:val="0"/>
            <w:vAlign w:val="center"/>
          </w:tcPr>
          <w:p w14:paraId="016B7064">
            <w:pPr>
              <w:keepNext w:val="0"/>
              <w:keepLines w:val="0"/>
              <w:pageBreakBefore w:val="0"/>
              <w:kinsoku/>
              <w:overflowPunct/>
              <w:topLinePunct w:val="0"/>
              <w:autoSpaceDE/>
              <w:autoSpaceDN/>
              <w:bidi w:val="0"/>
              <w:adjustRightInd w:val="0"/>
              <w:spacing w:line="400" w:lineRule="exact"/>
              <w:textAlignment w:val="baseline"/>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分（主观分）</w:t>
            </w:r>
          </w:p>
        </w:tc>
      </w:tr>
      <w:tr w14:paraId="6294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90" w:type="dxa"/>
            <w:vMerge w:val="continue"/>
            <w:tcBorders>
              <w:left w:val="single" w:color="auto" w:sz="4" w:space="0"/>
              <w:right w:val="single" w:color="auto" w:sz="4" w:space="0"/>
            </w:tcBorders>
            <w:noWrap w:val="0"/>
            <w:vAlign w:val="center"/>
          </w:tcPr>
          <w:p w14:paraId="5CB6FD3C">
            <w:pPr>
              <w:keepNext w:val="0"/>
              <w:keepLines w:val="0"/>
              <w:pageBreakBefore w:val="0"/>
              <w:kinsoku/>
              <w:overflowPunct/>
              <w:topLinePunct w:val="0"/>
              <w:autoSpaceDE/>
              <w:autoSpaceDN/>
              <w:bidi w:val="0"/>
              <w:adjustRightInd w:val="0"/>
              <w:spacing w:line="400" w:lineRule="exact"/>
              <w:ind w:firstLine="251" w:firstLineChars="104"/>
              <w:jc w:val="center"/>
              <w:textAlignment w:val="baseline"/>
              <w:rPr>
                <w:rFonts w:hint="eastAsia" w:asciiTheme="minorEastAsia" w:hAnsiTheme="minorEastAsia" w:eastAsiaTheme="minorEastAsia" w:cstheme="minorEastAsia"/>
                <w:b/>
                <w:color w:val="auto"/>
                <w:sz w:val="24"/>
                <w:szCs w:val="24"/>
                <w:highlight w:val="none"/>
              </w:rPr>
            </w:pPr>
          </w:p>
        </w:tc>
        <w:tc>
          <w:tcPr>
            <w:tcW w:w="1087" w:type="dxa"/>
            <w:vMerge w:val="continue"/>
            <w:tcBorders>
              <w:left w:val="single" w:color="auto" w:sz="4" w:space="0"/>
              <w:right w:val="single" w:color="auto" w:sz="4" w:space="0"/>
            </w:tcBorders>
            <w:noWrap w:val="0"/>
            <w:vAlign w:val="center"/>
          </w:tcPr>
          <w:p w14:paraId="46E49B94">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rPr>
            </w:pPr>
          </w:p>
        </w:tc>
        <w:tc>
          <w:tcPr>
            <w:tcW w:w="1710" w:type="dxa"/>
            <w:tcBorders>
              <w:top w:val="single" w:color="auto" w:sz="4" w:space="0"/>
              <w:left w:val="single" w:color="auto" w:sz="4" w:space="0"/>
              <w:right w:val="single" w:color="auto" w:sz="4" w:space="0"/>
            </w:tcBorders>
            <w:noWrap w:val="0"/>
            <w:vAlign w:val="center"/>
          </w:tcPr>
          <w:p w14:paraId="58672A98">
            <w:pPr>
              <w:keepNext w:val="0"/>
              <w:keepLines w:val="0"/>
              <w:pageBreakBefore w:val="0"/>
              <w:widowControl/>
              <w:kinsoku/>
              <w:wordWrap/>
              <w:overflowPunct/>
              <w:topLinePunct w:val="0"/>
              <w:autoSpaceDE/>
              <w:autoSpaceDN/>
              <w:bidi w:val="0"/>
              <w:spacing w:line="36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rPr>
              <w:t>拟投入</w:t>
            </w:r>
            <w:r>
              <w:rPr>
                <w:rFonts w:hint="eastAsia" w:asciiTheme="minorEastAsia" w:hAnsiTheme="minorEastAsia" w:eastAsiaTheme="minorEastAsia" w:cstheme="minorEastAsia"/>
                <w:b w:val="0"/>
                <w:bCs w:val="0"/>
                <w:color w:val="auto"/>
                <w:kern w:val="0"/>
                <w:sz w:val="24"/>
                <w:szCs w:val="24"/>
                <w:highlight w:val="none"/>
                <w:lang w:val="en-US" w:eastAsia="zh-CN"/>
              </w:rPr>
              <w:t>项目实施</w:t>
            </w:r>
            <w:r>
              <w:rPr>
                <w:rFonts w:hint="eastAsia" w:asciiTheme="minorEastAsia" w:hAnsiTheme="minorEastAsia" w:eastAsiaTheme="minorEastAsia" w:cstheme="minorEastAsia"/>
                <w:b w:val="0"/>
                <w:bCs w:val="0"/>
                <w:color w:val="auto"/>
                <w:kern w:val="0"/>
                <w:sz w:val="24"/>
                <w:szCs w:val="24"/>
                <w:highlight w:val="none"/>
              </w:rPr>
              <w:t>人员分（满分8分）</w:t>
            </w:r>
          </w:p>
        </w:tc>
        <w:tc>
          <w:tcPr>
            <w:tcW w:w="5535" w:type="dxa"/>
            <w:tcBorders>
              <w:top w:val="single" w:color="auto" w:sz="4" w:space="0"/>
              <w:left w:val="single" w:color="auto" w:sz="4" w:space="0"/>
              <w:right w:val="single" w:color="auto" w:sz="4" w:space="0"/>
            </w:tcBorders>
            <w:noWrap w:val="0"/>
            <w:vAlign w:val="center"/>
          </w:tcPr>
          <w:p w14:paraId="0D3B6B79">
            <w:pPr>
              <w:keepNext w:val="0"/>
              <w:keepLines w:val="0"/>
              <w:pageBreakBefore w:val="0"/>
              <w:widowControl/>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拟投入本项目的项目经理</w:t>
            </w:r>
            <w:r>
              <w:rPr>
                <w:rFonts w:hint="eastAsia" w:asciiTheme="minorEastAsia" w:hAnsiTheme="minorEastAsia" w:eastAsiaTheme="minorEastAsia" w:cstheme="minorEastAsia"/>
                <w:color w:val="auto"/>
                <w:sz w:val="24"/>
                <w:szCs w:val="24"/>
                <w:highlight w:val="none"/>
              </w:rPr>
              <w:t>获得信息系统项目管理师认证证书的，得3分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满分3分</w:t>
            </w:r>
            <w:r>
              <w:rPr>
                <w:rFonts w:hint="eastAsia" w:asciiTheme="minorEastAsia" w:hAnsiTheme="minorEastAsia" w:eastAsiaTheme="minorEastAsia" w:cstheme="minorEastAsia"/>
                <w:color w:val="auto"/>
                <w:sz w:val="24"/>
                <w:szCs w:val="24"/>
                <w:highlight w:val="none"/>
              </w:rPr>
              <w:t>。</w:t>
            </w:r>
          </w:p>
          <w:p w14:paraId="1662A16F">
            <w:pPr>
              <w:keepNext w:val="0"/>
              <w:keepLines w:val="0"/>
              <w:pageBreakBefore w:val="0"/>
              <w:widowControl/>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rPr>
              <w:t>拟投入本项目的主要技术人员（不含项目经理人员）具有软件设计师资格证书或系统集成项目管理师（中级）或信息安全工程师（中级）或系统架构设计师或专业软件测评师或软件过程能力评估师</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，每</w:t>
            </w:r>
            <w:r>
              <w:rPr>
                <w:rFonts w:hint="eastAsia" w:asciiTheme="minorEastAsia" w:hAnsiTheme="minorEastAsia" w:eastAsiaTheme="minorEastAsia" w:cstheme="minorEastAsia"/>
                <w:color w:val="auto"/>
                <w:sz w:val="24"/>
                <w:szCs w:val="24"/>
                <w:highlight w:val="none"/>
                <w:lang w:val="en-US" w:eastAsia="zh-CN"/>
              </w:rPr>
              <w:t>个证书得</w:t>
            </w:r>
            <w:r>
              <w:rPr>
                <w:rFonts w:hint="eastAsia" w:asciiTheme="minorEastAsia" w:hAnsiTheme="minorEastAsia" w:eastAsiaTheme="minorEastAsia" w:cstheme="minorEastAsia"/>
                <w:color w:val="auto"/>
                <w:sz w:val="24"/>
                <w:szCs w:val="24"/>
                <w:highlight w:val="none"/>
              </w:rPr>
              <w:t>1分，满分5分。</w:t>
            </w:r>
          </w:p>
          <w:p w14:paraId="6DD0B496">
            <w:pPr>
              <w:keepNext w:val="0"/>
              <w:keepLines w:val="0"/>
              <w:pageBreakBefore w:val="0"/>
              <w:widowControl/>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注：以上人员须提供证书原件（或复印件）扫描件及与供应商签订的劳动合同或供应商为其缴纳的响应截止之日前半年内供应商任意1个月社保证明并加盖投标人公章。</w:t>
            </w:r>
          </w:p>
        </w:tc>
        <w:tc>
          <w:tcPr>
            <w:tcW w:w="863" w:type="dxa"/>
            <w:tcBorders>
              <w:top w:val="single" w:color="auto" w:sz="4" w:space="0"/>
              <w:left w:val="single" w:color="auto" w:sz="4" w:space="0"/>
              <w:right w:val="single" w:color="auto" w:sz="4" w:space="0"/>
            </w:tcBorders>
            <w:noWrap w:val="0"/>
            <w:vAlign w:val="center"/>
          </w:tcPr>
          <w:p w14:paraId="793CBA04">
            <w:pPr>
              <w:keepNext w:val="0"/>
              <w:keepLines w:val="0"/>
              <w:pageBreakBefore w:val="0"/>
              <w:kinsoku/>
              <w:overflowPunct/>
              <w:topLinePunct w:val="0"/>
              <w:autoSpaceDE/>
              <w:autoSpaceDN/>
              <w:bidi w:val="0"/>
              <w:adjustRightInd w:val="0"/>
              <w:spacing w:line="400" w:lineRule="exac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分（客观分）</w:t>
            </w:r>
          </w:p>
        </w:tc>
      </w:tr>
      <w:tr w14:paraId="047A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90" w:type="dxa"/>
            <w:vMerge w:val="continue"/>
            <w:tcBorders>
              <w:left w:val="single" w:color="auto" w:sz="4" w:space="0"/>
              <w:right w:val="single" w:color="auto" w:sz="4" w:space="0"/>
            </w:tcBorders>
            <w:noWrap w:val="0"/>
            <w:vAlign w:val="center"/>
          </w:tcPr>
          <w:p w14:paraId="01F3F1C4">
            <w:pPr>
              <w:keepNext w:val="0"/>
              <w:keepLines w:val="0"/>
              <w:pageBreakBefore w:val="0"/>
              <w:kinsoku/>
              <w:overflowPunct/>
              <w:topLinePunct w:val="0"/>
              <w:autoSpaceDE/>
              <w:autoSpaceDN/>
              <w:bidi w:val="0"/>
              <w:adjustRightInd w:val="0"/>
              <w:spacing w:line="400" w:lineRule="exact"/>
              <w:ind w:firstLine="251" w:firstLineChars="104"/>
              <w:jc w:val="center"/>
              <w:textAlignment w:val="baseline"/>
              <w:rPr>
                <w:rFonts w:hint="eastAsia" w:asciiTheme="minorEastAsia" w:hAnsiTheme="minorEastAsia" w:eastAsiaTheme="minorEastAsia" w:cstheme="minorEastAsia"/>
                <w:b/>
                <w:color w:val="auto"/>
                <w:sz w:val="24"/>
                <w:szCs w:val="24"/>
                <w:highlight w:val="none"/>
              </w:rPr>
            </w:pPr>
          </w:p>
        </w:tc>
        <w:tc>
          <w:tcPr>
            <w:tcW w:w="1087" w:type="dxa"/>
            <w:vMerge w:val="continue"/>
            <w:tcBorders>
              <w:left w:val="single" w:color="auto" w:sz="4" w:space="0"/>
              <w:right w:val="single" w:color="auto" w:sz="4" w:space="0"/>
            </w:tcBorders>
            <w:noWrap w:val="0"/>
            <w:vAlign w:val="center"/>
          </w:tcPr>
          <w:p w14:paraId="1B146611">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rPr>
            </w:pPr>
          </w:p>
        </w:tc>
        <w:tc>
          <w:tcPr>
            <w:tcW w:w="1710" w:type="dxa"/>
            <w:tcBorders>
              <w:top w:val="single" w:color="auto" w:sz="4" w:space="0"/>
              <w:left w:val="single" w:color="auto" w:sz="4" w:space="0"/>
              <w:right w:val="single" w:color="auto" w:sz="4" w:space="0"/>
            </w:tcBorders>
            <w:noWrap w:val="0"/>
            <w:vAlign w:val="center"/>
          </w:tcPr>
          <w:p w14:paraId="0096C6A4">
            <w:pPr>
              <w:keepNext w:val="0"/>
              <w:keepLines w:val="0"/>
              <w:pageBreakBefore w:val="0"/>
              <w:widowControl/>
              <w:kinsoku/>
              <w:wordWrap/>
              <w:overflowPunct/>
              <w:topLinePunct w:val="0"/>
              <w:autoSpaceDE/>
              <w:autoSpaceDN/>
              <w:bidi w:val="0"/>
              <w:spacing w:line="36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售后服务</w:t>
            </w:r>
            <w:r>
              <w:rPr>
                <w:rFonts w:hint="eastAsia" w:asciiTheme="minorEastAsia" w:hAnsiTheme="minorEastAsia" w:eastAsiaTheme="minorEastAsia" w:cstheme="minorEastAsia"/>
                <w:color w:val="auto"/>
                <w:sz w:val="24"/>
                <w:szCs w:val="24"/>
                <w:highlight w:val="none"/>
              </w:rPr>
              <w:t>（满分</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分）</w:t>
            </w:r>
          </w:p>
        </w:tc>
        <w:tc>
          <w:tcPr>
            <w:tcW w:w="5535" w:type="dxa"/>
            <w:tcBorders>
              <w:top w:val="single" w:color="auto" w:sz="4" w:space="0"/>
              <w:left w:val="single" w:color="auto" w:sz="4" w:space="0"/>
              <w:right w:val="single" w:color="auto" w:sz="4" w:space="0"/>
            </w:tcBorders>
            <w:noWrap w:val="0"/>
            <w:vAlign w:val="center"/>
          </w:tcPr>
          <w:p w14:paraId="1D355F8F">
            <w:pPr>
              <w:keepNext w:val="0"/>
              <w:keepLines w:val="0"/>
              <w:pageBreakBefore w:val="0"/>
              <w:kinsoku/>
              <w:wordWrap/>
              <w:overflowPunct/>
              <w:topLinePunct w:val="0"/>
              <w:autoSpaceDE/>
              <w:autoSpaceDN/>
              <w:bidi w:val="0"/>
              <w:spacing w:line="360" w:lineRule="auto"/>
              <w:ind w:firstLine="5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档（</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分）：方案比较细致、合理、可行，保障响应措施较有力，服务经验较丰富，提供的实施阶段及后期配合服务措施较为合理。</w:t>
            </w:r>
          </w:p>
          <w:p w14:paraId="3C11CCDC">
            <w:pPr>
              <w:keepNext w:val="0"/>
              <w:keepLines w:val="0"/>
              <w:pageBreakBefore w:val="0"/>
              <w:kinsoku/>
              <w:wordWrap/>
              <w:overflowPunct/>
              <w:topLinePunct w:val="0"/>
              <w:autoSpaceDE/>
              <w:autoSpaceDN/>
              <w:bidi w:val="0"/>
              <w:spacing w:line="360" w:lineRule="auto"/>
              <w:ind w:firstLine="5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档（</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方案能较好满足采购需求，符合实际，有一定的针对性、可行性；售后服务有承诺，并有定期回访制度，有主要零配件储备供应清单，常用的、容易损坏的备品备件及易损件配备的齐全及价格合理，保障响应措施较有力，服务经验较丰富，能够胜任日常运维服务工作；</w:t>
            </w:r>
          </w:p>
          <w:p w14:paraId="1E49E100">
            <w:pPr>
              <w:pStyle w:val="19"/>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档（</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分）：售后服务方案及承诺详细、全面，各项内容编制思路合理、完整周全，安排有专职售后服务人员且职责明确，故障出现解决方案、免费保修期外维修方案详细全面、可操作性强，有质保期内的免费保修等条款，有完善的定期回访计划，且投标人或投标人所投的投标产品厂商具有充足的售后资源及规范的管理制度，快速的服务响应体系（接到通知到达现场处理故障时间、一般故障承诺解决时间、故障无法排除时的解决方案等方面）。</w:t>
            </w:r>
          </w:p>
          <w:p w14:paraId="0BA93AE5">
            <w:pPr>
              <w:keepNext w:val="0"/>
              <w:keepLines w:val="0"/>
              <w:pageBreakBefore w:val="0"/>
              <w:widowControl/>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备注：不提供售后服务方案的得0分。</w:t>
            </w:r>
          </w:p>
        </w:tc>
        <w:tc>
          <w:tcPr>
            <w:tcW w:w="863" w:type="dxa"/>
            <w:tcBorders>
              <w:top w:val="single" w:color="auto" w:sz="4" w:space="0"/>
              <w:left w:val="single" w:color="auto" w:sz="4" w:space="0"/>
              <w:right w:val="single" w:color="auto" w:sz="4" w:space="0"/>
            </w:tcBorders>
            <w:noWrap w:val="0"/>
            <w:vAlign w:val="center"/>
          </w:tcPr>
          <w:p w14:paraId="20495400">
            <w:pPr>
              <w:keepNext w:val="0"/>
              <w:keepLines w:val="0"/>
              <w:pageBreakBefore w:val="0"/>
              <w:kinsoku/>
              <w:overflowPunct/>
              <w:topLinePunct w:val="0"/>
              <w:autoSpaceDE/>
              <w:autoSpaceDN/>
              <w:bidi w:val="0"/>
              <w:adjustRightInd w:val="0"/>
              <w:spacing w:line="400" w:lineRule="exact"/>
              <w:textAlignment w:val="baseline"/>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分（主观分）</w:t>
            </w:r>
          </w:p>
        </w:tc>
      </w:tr>
      <w:tr w14:paraId="3073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390" w:type="dxa"/>
            <w:vMerge w:val="restart"/>
            <w:tcBorders>
              <w:top w:val="single" w:color="auto" w:sz="4" w:space="0"/>
              <w:left w:val="single" w:color="auto" w:sz="4" w:space="0"/>
              <w:right w:val="single" w:color="auto" w:sz="4" w:space="0"/>
            </w:tcBorders>
            <w:noWrap w:val="0"/>
            <w:vAlign w:val="center"/>
          </w:tcPr>
          <w:p w14:paraId="744BAF35">
            <w:pPr>
              <w:keepNext w:val="0"/>
              <w:keepLines w:val="0"/>
              <w:pageBreakBefore w:val="0"/>
              <w:kinsoku/>
              <w:overflowPunct/>
              <w:topLinePunct w:val="0"/>
              <w:autoSpaceDE/>
              <w:autoSpaceDN/>
              <w:bidi w:val="0"/>
              <w:spacing w:line="400" w:lineRule="exact"/>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p>
        </w:tc>
        <w:tc>
          <w:tcPr>
            <w:tcW w:w="1087" w:type="dxa"/>
            <w:vMerge w:val="restart"/>
            <w:tcBorders>
              <w:top w:val="single" w:color="auto" w:sz="4" w:space="0"/>
              <w:left w:val="single" w:color="auto" w:sz="4" w:space="0"/>
              <w:right w:val="single" w:color="auto" w:sz="4" w:space="0"/>
            </w:tcBorders>
            <w:noWrap w:val="0"/>
            <w:vAlign w:val="center"/>
          </w:tcPr>
          <w:p w14:paraId="3F9F473A">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商务分</w:t>
            </w:r>
          </w:p>
          <w:p w14:paraId="4F0280FF">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（满分</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分）</w:t>
            </w:r>
          </w:p>
        </w:tc>
        <w:tc>
          <w:tcPr>
            <w:tcW w:w="1710" w:type="dxa"/>
            <w:tcBorders>
              <w:top w:val="single" w:color="auto" w:sz="4" w:space="0"/>
              <w:left w:val="single" w:color="auto" w:sz="4" w:space="0"/>
              <w:right w:val="single" w:color="auto" w:sz="4" w:space="0"/>
            </w:tcBorders>
            <w:noWrap w:val="0"/>
            <w:vAlign w:val="center"/>
          </w:tcPr>
          <w:p w14:paraId="58FF9EF0">
            <w:pPr>
              <w:keepNext w:val="0"/>
              <w:keepLines w:val="0"/>
              <w:pageBreakBefore w:val="0"/>
              <w:kinsoku/>
              <w:wordWrap/>
              <w:overflowPunct/>
              <w:topLinePunct w:val="0"/>
              <w:autoSpaceDE/>
              <w:autoSpaceDN/>
              <w:bidi w:val="0"/>
              <w:adjustRightInd w:val="0"/>
              <w:snapToGrid w:val="0"/>
              <w:spacing w:line="360" w:lineRule="auto"/>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业绩分（满分</w:t>
            </w:r>
            <w:r>
              <w:rPr>
                <w:rFonts w:hint="eastAsia" w:asciiTheme="minorEastAsia" w:hAnsiTheme="minorEastAsia" w:eastAsiaTheme="minorEastAsia" w:cstheme="minorEastAsia"/>
                <w:b w:val="0"/>
                <w:bCs/>
                <w:color w:val="auto"/>
                <w:kern w:val="0"/>
                <w:sz w:val="24"/>
                <w:szCs w:val="24"/>
                <w:highlight w:val="none"/>
                <w:lang w:eastAsia="zh-CN"/>
              </w:rPr>
              <w:t>4</w:t>
            </w:r>
            <w:r>
              <w:rPr>
                <w:rFonts w:hint="eastAsia" w:asciiTheme="minorEastAsia" w:hAnsiTheme="minorEastAsia" w:eastAsiaTheme="minorEastAsia" w:cstheme="minorEastAsia"/>
                <w:b w:val="0"/>
                <w:bCs/>
                <w:color w:val="auto"/>
                <w:kern w:val="0"/>
                <w:sz w:val="24"/>
                <w:szCs w:val="24"/>
                <w:highlight w:val="none"/>
              </w:rPr>
              <w:t>分）</w:t>
            </w:r>
          </w:p>
        </w:tc>
        <w:tc>
          <w:tcPr>
            <w:tcW w:w="5535" w:type="dxa"/>
            <w:tcBorders>
              <w:top w:val="single" w:color="auto" w:sz="4" w:space="0"/>
              <w:left w:val="single" w:color="auto" w:sz="4" w:space="0"/>
              <w:right w:val="single" w:color="auto" w:sz="4" w:space="0"/>
            </w:tcBorders>
            <w:noWrap w:val="0"/>
            <w:vAlign w:val="center"/>
          </w:tcPr>
          <w:p w14:paraId="0CB054D0">
            <w:pPr>
              <w:keepNext w:val="0"/>
              <w:keepLines w:val="0"/>
              <w:pageBreakBefore w:val="0"/>
              <w:widowControl/>
              <w:kinsoku/>
              <w:wordWrap/>
              <w:overflowPunct/>
              <w:topLinePunct w:val="0"/>
              <w:autoSpaceDE/>
              <w:autoSpaceDN/>
              <w:bidi w:val="0"/>
              <w:spacing w:line="36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供应商具有同类项目业绩的，每提供一份合同得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分，满分</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注：需提供采购合同或中标/成交通知书原件（或复印件）扫描件并加盖投标人公章</w:t>
            </w:r>
            <w:r>
              <w:rPr>
                <w:rFonts w:hint="eastAsia" w:asciiTheme="minorEastAsia" w:hAnsiTheme="minorEastAsia" w:eastAsiaTheme="minorEastAsia" w:cstheme="minorEastAsia"/>
                <w:b/>
                <w:bCs/>
                <w:color w:val="auto"/>
                <w:sz w:val="24"/>
                <w:szCs w:val="24"/>
                <w:highlight w:val="none"/>
                <w:lang w:eastAsia="zh-CN"/>
              </w:rPr>
              <w:t>）</w:t>
            </w:r>
          </w:p>
        </w:tc>
        <w:tc>
          <w:tcPr>
            <w:tcW w:w="863" w:type="dxa"/>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5E819575">
            <w:pPr>
              <w:keepNext w:val="0"/>
              <w:keepLines w:val="0"/>
              <w:pageBreakBefore w:val="0"/>
              <w:kinsoku/>
              <w:overflowPunct/>
              <w:topLinePunct w:val="0"/>
              <w:autoSpaceDE/>
              <w:autoSpaceDN/>
              <w:bidi w:val="0"/>
              <w:spacing w:line="400" w:lineRule="exact"/>
              <w:ind w:firstLine="240" w:firstLineChars="1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4分</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客观分</w:t>
            </w:r>
            <w:r>
              <w:rPr>
                <w:rFonts w:hint="eastAsia" w:asciiTheme="minorEastAsia" w:hAnsiTheme="minorEastAsia" w:eastAsiaTheme="minorEastAsia" w:cstheme="minorEastAsia"/>
                <w:bCs/>
                <w:color w:val="auto"/>
                <w:sz w:val="24"/>
                <w:szCs w:val="24"/>
                <w:highlight w:val="none"/>
              </w:rPr>
              <w:t>）</w:t>
            </w:r>
          </w:p>
        </w:tc>
      </w:tr>
      <w:tr w14:paraId="41C3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390" w:type="dxa"/>
            <w:vMerge w:val="continue"/>
            <w:tcBorders>
              <w:left w:val="single" w:color="auto" w:sz="4" w:space="0"/>
              <w:right w:val="single" w:color="auto" w:sz="4" w:space="0"/>
            </w:tcBorders>
            <w:noWrap w:val="0"/>
            <w:vAlign w:val="center"/>
          </w:tcPr>
          <w:p w14:paraId="10B32A20">
            <w:pPr>
              <w:keepNext w:val="0"/>
              <w:keepLines w:val="0"/>
              <w:pageBreakBefore w:val="0"/>
              <w:kinsoku/>
              <w:overflowPunct/>
              <w:topLinePunct w:val="0"/>
              <w:autoSpaceDE/>
              <w:autoSpaceDN/>
              <w:bidi w:val="0"/>
              <w:spacing w:line="400" w:lineRule="exact"/>
              <w:jc w:val="center"/>
              <w:rPr>
                <w:rFonts w:hint="eastAsia" w:asciiTheme="minorEastAsia" w:hAnsiTheme="minorEastAsia" w:eastAsiaTheme="minorEastAsia" w:cstheme="minorEastAsia"/>
                <w:b/>
                <w:color w:val="auto"/>
                <w:sz w:val="24"/>
                <w:szCs w:val="24"/>
                <w:highlight w:val="none"/>
              </w:rPr>
            </w:pPr>
          </w:p>
        </w:tc>
        <w:tc>
          <w:tcPr>
            <w:tcW w:w="1087" w:type="dxa"/>
            <w:vMerge w:val="continue"/>
            <w:tcBorders>
              <w:left w:val="single" w:color="auto" w:sz="4" w:space="0"/>
              <w:right w:val="single" w:color="auto" w:sz="4" w:space="0"/>
            </w:tcBorders>
            <w:noWrap w:val="0"/>
            <w:vAlign w:val="center"/>
          </w:tcPr>
          <w:p w14:paraId="3F998AC8">
            <w:pPr>
              <w:keepNext w:val="0"/>
              <w:keepLines w:val="0"/>
              <w:pageBreakBefore w:val="0"/>
              <w:kinsoku/>
              <w:overflowPunct/>
              <w:topLinePunct w:val="0"/>
              <w:autoSpaceDE/>
              <w:autoSpaceDN/>
              <w:bidi w:val="0"/>
              <w:adjustRightInd w:val="0"/>
              <w:spacing w:line="400" w:lineRule="exact"/>
              <w:jc w:val="center"/>
              <w:textAlignment w:val="baseline"/>
              <w:rPr>
                <w:rFonts w:hint="eastAsia" w:asciiTheme="minorEastAsia" w:hAnsiTheme="minorEastAsia" w:eastAsiaTheme="minorEastAsia" w:cstheme="minorEastAsia"/>
                <w:b/>
                <w:color w:val="auto"/>
                <w:sz w:val="24"/>
                <w:szCs w:val="24"/>
                <w:highlight w:val="none"/>
              </w:rPr>
            </w:pPr>
          </w:p>
        </w:tc>
        <w:tc>
          <w:tcPr>
            <w:tcW w:w="1710" w:type="dxa"/>
            <w:tcBorders>
              <w:top w:val="single" w:color="auto" w:sz="4" w:space="0"/>
              <w:left w:val="single" w:color="auto" w:sz="4" w:space="0"/>
              <w:right w:val="single" w:color="auto" w:sz="4" w:space="0"/>
            </w:tcBorders>
            <w:noWrap w:val="0"/>
            <w:vAlign w:val="center"/>
          </w:tcPr>
          <w:p w14:paraId="2B162D7F">
            <w:pPr>
              <w:keepNext w:val="0"/>
              <w:keepLines w:val="0"/>
              <w:pageBreakBefore w:val="0"/>
              <w:kinsoku/>
              <w:wordWrap/>
              <w:overflowPunct/>
              <w:topLinePunct w:val="0"/>
              <w:autoSpaceDE/>
              <w:autoSpaceDN/>
              <w:bidi w:val="0"/>
              <w:adjustRightInd w:val="0"/>
              <w:snapToGrid w:val="0"/>
              <w:spacing w:line="360" w:lineRule="auto"/>
              <w:jc w:val="both"/>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信誉分（满分2分）</w:t>
            </w:r>
          </w:p>
        </w:tc>
        <w:tc>
          <w:tcPr>
            <w:tcW w:w="5535" w:type="dxa"/>
            <w:tcBorders>
              <w:top w:val="single" w:color="auto" w:sz="4" w:space="0"/>
              <w:left w:val="single" w:color="auto" w:sz="4" w:space="0"/>
              <w:right w:val="single" w:color="auto" w:sz="4" w:space="0"/>
            </w:tcBorders>
            <w:noWrap w:val="0"/>
            <w:vAlign w:val="center"/>
          </w:tcPr>
          <w:p w14:paraId="01B225F8">
            <w:pPr>
              <w:keepNext w:val="0"/>
              <w:keepLines w:val="0"/>
              <w:pageBreakBefore w:val="0"/>
              <w:widowControl/>
              <w:kinsoku/>
              <w:wordWrap/>
              <w:overflowPunct/>
              <w:topLinePunct w:val="0"/>
              <w:autoSpaceDE/>
              <w:autoSpaceDN/>
              <w:bidi w:val="0"/>
              <w:spacing w:line="360" w:lineRule="auto"/>
              <w:ind w:firstLine="0" w:firstLineChars="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供应商通过质量管理体系认证或信息技术服务管理体系认证或信息安全管理体系认证，提供其中之一有效的认证证书得2分，满分2分。</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注：需提供证书原件（或复印件）扫描件并加盖投标人公章</w:t>
            </w:r>
            <w:r>
              <w:rPr>
                <w:rFonts w:hint="eastAsia" w:asciiTheme="minorEastAsia" w:hAnsiTheme="minorEastAsia" w:eastAsiaTheme="minorEastAsia" w:cstheme="minorEastAsia"/>
                <w:b/>
                <w:bCs/>
                <w:color w:val="auto"/>
                <w:sz w:val="24"/>
                <w:szCs w:val="24"/>
                <w:highlight w:val="none"/>
                <w:lang w:eastAsia="zh-CN"/>
              </w:rPr>
              <w:t>】</w:t>
            </w:r>
          </w:p>
        </w:tc>
        <w:tc>
          <w:tcPr>
            <w:tcW w:w="863" w:type="dxa"/>
            <w:tcBorders>
              <w:top w:val="single" w:color="auto" w:sz="4" w:space="0"/>
              <w:left w:val="single" w:color="auto" w:sz="4" w:space="0"/>
              <w:right w:val="single" w:color="auto" w:sz="4" w:space="0"/>
            </w:tcBorders>
            <w:noWrap w:val="0"/>
            <w:vAlign w:val="center"/>
          </w:tcPr>
          <w:p w14:paraId="05045178">
            <w:pPr>
              <w:keepNext w:val="0"/>
              <w:keepLines w:val="0"/>
              <w:pageBreakBefore w:val="0"/>
              <w:kinsoku/>
              <w:overflowPunct/>
              <w:topLinePunct w:val="0"/>
              <w:autoSpaceDE/>
              <w:autoSpaceDN/>
              <w:bidi w:val="0"/>
              <w:spacing w:line="40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0~</w:t>
            </w: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分（客观分）</w:t>
            </w:r>
          </w:p>
        </w:tc>
      </w:tr>
      <w:tr w14:paraId="7B7E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85" w:type="dxa"/>
            <w:gridSpan w:val="5"/>
            <w:tcBorders>
              <w:top w:val="single" w:color="auto" w:sz="4" w:space="0"/>
              <w:left w:val="single" w:color="auto" w:sz="4" w:space="0"/>
              <w:bottom w:val="single" w:color="auto" w:sz="4" w:space="0"/>
              <w:right w:val="single" w:color="auto" w:sz="4" w:space="0"/>
            </w:tcBorders>
            <w:noWrap w:val="0"/>
            <w:vAlign w:val="center"/>
          </w:tcPr>
          <w:p w14:paraId="11D877CD">
            <w:pPr>
              <w:keepNext w:val="0"/>
              <w:keepLines w:val="0"/>
              <w:pageBreakBefore w:val="0"/>
              <w:kinsoku/>
              <w:overflowPunct/>
              <w:topLinePunct w:val="0"/>
              <w:autoSpaceDE/>
              <w:autoSpaceDN/>
              <w:bidi w:val="0"/>
              <w:spacing w:line="400" w:lineRule="exact"/>
              <w:ind w:firstLine="42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总得分=1+2+3</w:t>
            </w:r>
          </w:p>
        </w:tc>
      </w:tr>
      <w:bookmarkEnd w:id="168"/>
      <w:bookmarkEnd w:id="169"/>
    </w:tbl>
    <w:p w14:paraId="31FEC31E">
      <w:pPr>
        <w:keepNext/>
        <w:keepLines/>
        <w:widowControl/>
        <w:spacing w:before="260" w:after="260" w:line="412" w:lineRule="auto"/>
        <w:jc w:val="center"/>
        <w:rPr>
          <w:rFonts w:hint="eastAsia" w:ascii="宋体" w:hAnsi="宋体" w:cs="宋体"/>
          <w:bCs/>
          <w:color w:val="auto"/>
          <w:sz w:val="30"/>
          <w:szCs w:val="30"/>
          <w:highlight w:val="none"/>
        </w:rPr>
      </w:pPr>
    </w:p>
    <w:p w14:paraId="1955918D">
      <w:pPr>
        <w:keepNext/>
        <w:keepLines/>
        <w:widowControl/>
        <w:spacing w:before="260" w:after="260" w:line="412" w:lineRule="auto"/>
        <w:jc w:val="center"/>
        <w:outlineLvl w:val="1"/>
        <w:rPr>
          <w:rFonts w:hint="eastAsia" w:ascii="宋体" w:hAnsi="宋体" w:cs="宋体"/>
          <w:bCs/>
          <w:color w:val="auto"/>
          <w:sz w:val="30"/>
          <w:szCs w:val="30"/>
          <w:highlight w:val="none"/>
        </w:rPr>
      </w:pPr>
      <w:r>
        <w:rPr>
          <w:rFonts w:hint="eastAsia" w:ascii="宋体" w:hAnsi="宋体" w:cs="宋体"/>
          <w:bCs/>
          <w:color w:val="auto"/>
          <w:sz w:val="30"/>
          <w:szCs w:val="30"/>
          <w:highlight w:val="none"/>
        </w:rPr>
        <w:t>第四节 中标候选人推荐原则</w:t>
      </w:r>
      <w:bookmarkEnd w:id="170"/>
      <w:bookmarkEnd w:id="171"/>
      <w:bookmarkEnd w:id="172"/>
    </w:p>
    <w:p w14:paraId="2106198E">
      <w:pPr>
        <w:widowControl/>
        <w:numPr>
          <w:ilvl w:val="0"/>
          <w:numId w:val="3"/>
        </w:numPr>
        <w:spacing w:before="100" w:beforeAutospacing="1" w:after="100" w:afterAutospacing="1" w:line="360" w:lineRule="auto"/>
        <w:contextualSpacing/>
        <w:rPr>
          <w:rFonts w:hint="eastAsia" w:ascii="宋体" w:hAnsi="宋体" w:cs="宋体"/>
          <w:b/>
          <w:bCs/>
          <w:color w:val="auto"/>
          <w:sz w:val="24"/>
          <w:highlight w:val="none"/>
        </w:rPr>
      </w:pPr>
      <w:r>
        <w:rPr>
          <w:rFonts w:hint="eastAsia" w:ascii="宋体" w:hAnsi="宋体" w:cs="宋体"/>
          <w:b/>
          <w:bCs/>
          <w:color w:val="auto"/>
          <w:sz w:val="24"/>
          <w:highlight w:val="none"/>
        </w:rPr>
        <w:t>综合评分法</w:t>
      </w:r>
    </w:p>
    <w:p w14:paraId="0AE6CFD9">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B684C35">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w:t>
      </w:r>
      <w:r>
        <w:rPr>
          <w:rFonts w:hint="eastAsia" w:ascii="宋体" w:hAnsi="宋体" w:eastAsia="宋体" w:cs="宋体"/>
          <w:color w:val="auto"/>
          <w:sz w:val="24"/>
          <w:szCs w:val="24"/>
          <w:highlight w:val="none"/>
        </w:rPr>
        <w:t>，按一家投标人计算，评审后得分最高的同品牌投标人获得中标供应商推荐资格；评审得分相同的，按照“投标人须知前附表”及“投标人须知正文”30.2规定推荐。</w:t>
      </w:r>
    </w:p>
    <w:p w14:paraId="7C483ECB">
      <w:pPr>
        <w:pStyle w:val="47"/>
        <w:rPr>
          <w:rFonts w:hint="eastAsia" w:ascii="宋体" w:hAnsi="宋体" w:cs="宋体"/>
          <w:color w:val="auto"/>
          <w:highlight w:val="none"/>
        </w:rPr>
      </w:pPr>
    </w:p>
    <w:p w14:paraId="2BC87FF1">
      <w:pPr>
        <w:keepNext/>
        <w:keepLines/>
        <w:widowControl/>
        <w:spacing w:line="360" w:lineRule="auto"/>
        <w:ind w:firstLine="600" w:firstLineChars="200"/>
        <w:jc w:val="center"/>
        <w:outlineLvl w:val="1"/>
        <w:rPr>
          <w:rFonts w:hint="eastAsia" w:ascii="宋体" w:hAnsi="宋体" w:cs="宋体"/>
          <w:bCs/>
          <w:color w:val="auto"/>
          <w:sz w:val="30"/>
          <w:szCs w:val="30"/>
          <w:highlight w:val="none"/>
        </w:rPr>
      </w:pPr>
      <w:bookmarkStart w:id="173" w:name="_Toc28585"/>
      <w:bookmarkStart w:id="174" w:name="_Toc24131"/>
      <w:bookmarkStart w:id="175" w:name="_Toc1985"/>
      <w:r>
        <w:rPr>
          <w:rFonts w:hint="eastAsia" w:ascii="宋体" w:hAnsi="宋体" w:cs="宋体"/>
          <w:bCs/>
          <w:color w:val="auto"/>
          <w:sz w:val="30"/>
          <w:szCs w:val="30"/>
          <w:highlight w:val="none"/>
        </w:rPr>
        <w:t>第五节 评标报告</w:t>
      </w:r>
      <w:bookmarkEnd w:id="173"/>
      <w:bookmarkEnd w:id="174"/>
      <w:bookmarkEnd w:id="175"/>
    </w:p>
    <w:p w14:paraId="68BB9114">
      <w:pPr>
        <w:widowControl/>
        <w:adjustRightIn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（一）评标报告与推荐中标候选人</w:t>
      </w:r>
    </w:p>
    <w:p w14:paraId="4D427244">
      <w:pPr>
        <w:widowControl/>
        <w:tabs>
          <w:tab w:val="left" w:pos="2472"/>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评标委员会根据原始评标记录和评标结果编写评标报告，并通过电子交易平台向采购人、采购代理机构提交。</w:t>
      </w:r>
    </w:p>
    <w:p w14:paraId="53928DEF">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bidi="ar"/>
        </w:rPr>
        <w:t>（二）评标争议事项处理</w:t>
      </w:r>
    </w:p>
    <w:p w14:paraId="1C005DEE">
      <w:pPr>
        <w:widowControl/>
        <w:tabs>
          <w:tab w:val="left" w:pos="2472"/>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7669731E">
      <w:pPr>
        <w:rPr>
          <w:rFonts w:hint="eastAsia" w:ascii="宋体" w:hAnsi="宋体" w:cs="宋体"/>
          <w:b/>
          <w:color w:val="auto"/>
          <w:sz w:val="24"/>
          <w:szCs w:val="24"/>
          <w:highlight w:val="none"/>
          <w:lang w:bidi="ar"/>
        </w:rPr>
        <w:sectPr>
          <w:pgSz w:w="11906" w:h="16838"/>
          <w:pgMar w:top="1135" w:right="1135" w:bottom="1135" w:left="1135" w:header="720" w:footer="720" w:gutter="0"/>
          <w:pgNumType w:fmt="decimal"/>
          <w:cols w:space="720" w:num="1"/>
          <w:docGrid w:type="lines" w:linePitch="331" w:charSpace="0"/>
        </w:sectPr>
      </w:pPr>
    </w:p>
    <w:p w14:paraId="59C2A4F1">
      <w:pPr>
        <w:widowControl/>
        <w:tabs>
          <w:tab w:val="left" w:pos="2472"/>
        </w:tabs>
        <w:spacing w:line="460" w:lineRule="exact"/>
        <w:jc w:val="center"/>
        <w:rPr>
          <w:rFonts w:hint="eastAsia" w:ascii="宋体" w:hAnsi="宋体" w:cs="宋体"/>
          <w:b/>
          <w:color w:val="auto"/>
          <w:sz w:val="36"/>
          <w:szCs w:val="20"/>
          <w:highlight w:val="none"/>
        </w:rPr>
      </w:pPr>
    </w:p>
    <w:p w14:paraId="3752664D">
      <w:pPr>
        <w:widowControl/>
        <w:tabs>
          <w:tab w:val="left" w:pos="2472"/>
        </w:tabs>
        <w:spacing w:line="460" w:lineRule="exact"/>
        <w:jc w:val="center"/>
        <w:rPr>
          <w:rFonts w:hint="eastAsia" w:ascii="宋体" w:hAnsi="宋体" w:cs="宋体"/>
          <w:b/>
          <w:color w:val="auto"/>
          <w:sz w:val="36"/>
          <w:szCs w:val="20"/>
          <w:highlight w:val="none"/>
        </w:rPr>
      </w:pPr>
    </w:p>
    <w:p w14:paraId="771D9168">
      <w:pPr>
        <w:widowControl/>
        <w:tabs>
          <w:tab w:val="left" w:pos="2472"/>
        </w:tabs>
        <w:spacing w:line="460" w:lineRule="exact"/>
        <w:jc w:val="center"/>
        <w:rPr>
          <w:rFonts w:hint="eastAsia" w:ascii="宋体" w:hAnsi="宋体" w:cs="宋体"/>
          <w:b/>
          <w:color w:val="auto"/>
          <w:sz w:val="36"/>
          <w:szCs w:val="20"/>
          <w:highlight w:val="none"/>
        </w:rPr>
      </w:pPr>
    </w:p>
    <w:p w14:paraId="5787EDB5">
      <w:pPr>
        <w:widowControl/>
        <w:tabs>
          <w:tab w:val="left" w:pos="2472"/>
        </w:tabs>
        <w:spacing w:line="460" w:lineRule="exact"/>
        <w:jc w:val="center"/>
        <w:rPr>
          <w:rFonts w:hint="eastAsia" w:ascii="宋体" w:hAnsi="宋体" w:cs="宋体"/>
          <w:b/>
          <w:color w:val="auto"/>
          <w:sz w:val="36"/>
          <w:szCs w:val="20"/>
          <w:highlight w:val="none"/>
        </w:rPr>
      </w:pPr>
    </w:p>
    <w:p w14:paraId="5EC1BC75">
      <w:pPr>
        <w:widowControl/>
        <w:tabs>
          <w:tab w:val="left" w:pos="2472"/>
        </w:tabs>
        <w:spacing w:line="460" w:lineRule="exact"/>
        <w:jc w:val="center"/>
        <w:rPr>
          <w:rFonts w:hint="eastAsia" w:ascii="宋体" w:hAnsi="宋体" w:cs="宋体"/>
          <w:b/>
          <w:color w:val="auto"/>
          <w:sz w:val="36"/>
          <w:szCs w:val="20"/>
          <w:highlight w:val="none"/>
        </w:rPr>
      </w:pPr>
    </w:p>
    <w:p w14:paraId="46026BAB">
      <w:pPr>
        <w:widowControl/>
        <w:tabs>
          <w:tab w:val="left" w:pos="2472"/>
        </w:tabs>
        <w:spacing w:line="460" w:lineRule="exact"/>
        <w:jc w:val="center"/>
        <w:rPr>
          <w:rFonts w:hint="eastAsia" w:ascii="宋体" w:hAnsi="宋体" w:cs="宋体"/>
          <w:b/>
          <w:color w:val="auto"/>
          <w:sz w:val="36"/>
          <w:szCs w:val="20"/>
          <w:highlight w:val="none"/>
        </w:rPr>
      </w:pPr>
    </w:p>
    <w:p w14:paraId="7F79D4A3">
      <w:pPr>
        <w:widowControl/>
        <w:tabs>
          <w:tab w:val="left" w:pos="2472"/>
        </w:tabs>
        <w:spacing w:line="460" w:lineRule="exact"/>
        <w:jc w:val="center"/>
        <w:rPr>
          <w:rFonts w:hint="eastAsia" w:ascii="宋体" w:hAnsi="宋体" w:cs="宋体"/>
          <w:b/>
          <w:color w:val="auto"/>
          <w:sz w:val="36"/>
          <w:szCs w:val="20"/>
          <w:highlight w:val="none"/>
        </w:rPr>
      </w:pPr>
    </w:p>
    <w:p w14:paraId="7BEEA160">
      <w:pPr>
        <w:widowControl/>
        <w:tabs>
          <w:tab w:val="left" w:pos="2472"/>
        </w:tabs>
        <w:spacing w:line="460" w:lineRule="exact"/>
        <w:jc w:val="center"/>
        <w:rPr>
          <w:rFonts w:hint="eastAsia" w:ascii="宋体" w:hAnsi="宋体" w:cs="宋体"/>
          <w:b/>
          <w:color w:val="auto"/>
          <w:sz w:val="36"/>
          <w:szCs w:val="20"/>
          <w:highlight w:val="none"/>
        </w:rPr>
      </w:pPr>
    </w:p>
    <w:p w14:paraId="16732A7D">
      <w:pPr>
        <w:widowControl/>
        <w:tabs>
          <w:tab w:val="left" w:pos="2472"/>
        </w:tabs>
        <w:spacing w:line="460" w:lineRule="exact"/>
        <w:jc w:val="center"/>
        <w:rPr>
          <w:rFonts w:hint="eastAsia" w:ascii="宋体" w:hAnsi="宋体" w:cs="宋体"/>
          <w:b/>
          <w:color w:val="auto"/>
          <w:sz w:val="36"/>
          <w:szCs w:val="20"/>
          <w:highlight w:val="none"/>
        </w:rPr>
      </w:pPr>
    </w:p>
    <w:p w14:paraId="282F9C5A">
      <w:pPr>
        <w:widowControl/>
        <w:tabs>
          <w:tab w:val="left" w:pos="2472"/>
        </w:tabs>
        <w:spacing w:line="460" w:lineRule="exact"/>
        <w:jc w:val="center"/>
        <w:rPr>
          <w:rFonts w:hint="eastAsia" w:ascii="宋体" w:hAnsi="宋体" w:cs="宋体"/>
          <w:b/>
          <w:color w:val="auto"/>
          <w:sz w:val="36"/>
          <w:szCs w:val="20"/>
          <w:highlight w:val="none"/>
        </w:rPr>
      </w:pPr>
    </w:p>
    <w:p w14:paraId="5FAFED88">
      <w:pPr>
        <w:widowControl/>
        <w:tabs>
          <w:tab w:val="left" w:pos="2472"/>
        </w:tabs>
        <w:spacing w:line="460" w:lineRule="exact"/>
        <w:jc w:val="center"/>
        <w:rPr>
          <w:rFonts w:hint="eastAsia" w:ascii="宋体" w:hAnsi="宋体" w:cs="宋体"/>
          <w:b/>
          <w:color w:val="auto"/>
          <w:sz w:val="36"/>
          <w:szCs w:val="20"/>
          <w:highlight w:val="none"/>
        </w:rPr>
      </w:pPr>
    </w:p>
    <w:p w14:paraId="382860B7">
      <w:pPr>
        <w:widowControl/>
        <w:tabs>
          <w:tab w:val="left" w:pos="2472"/>
        </w:tabs>
        <w:spacing w:line="460" w:lineRule="exact"/>
        <w:jc w:val="center"/>
        <w:rPr>
          <w:rFonts w:hint="eastAsia" w:ascii="宋体" w:hAnsi="宋体" w:cs="宋体"/>
          <w:b/>
          <w:color w:val="auto"/>
          <w:sz w:val="36"/>
          <w:szCs w:val="20"/>
          <w:highlight w:val="none"/>
        </w:rPr>
      </w:pPr>
    </w:p>
    <w:p w14:paraId="4B8F7C26">
      <w:pPr>
        <w:widowControl/>
        <w:tabs>
          <w:tab w:val="left" w:pos="2472"/>
        </w:tabs>
        <w:spacing w:line="460" w:lineRule="exact"/>
        <w:jc w:val="center"/>
        <w:rPr>
          <w:rFonts w:hint="eastAsia" w:ascii="宋体" w:hAnsi="宋体" w:cs="宋体"/>
          <w:b/>
          <w:color w:val="auto"/>
          <w:sz w:val="36"/>
          <w:szCs w:val="20"/>
          <w:highlight w:val="none"/>
        </w:rPr>
      </w:pPr>
    </w:p>
    <w:p w14:paraId="3D875643">
      <w:pPr>
        <w:widowControl/>
        <w:tabs>
          <w:tab w:val="left" w:pos="2472"/>
        </w:tabs>
        <w:spacing w:line="460" w:lineRule="exact"/>
        <w:jc w:val="center"/>
        <w:outlineLvl w:val="0"/>
        <w:rPr>
          <w:rFonts w:hint="eastAsia" w:ascii="宋体" w:hAnsi="宋体" w:cs="宋体"/>
          <w:b/>
          <w:color w:val="auto"/>
          <w:sz w:val="36"/>
          <w:szCs w:val="20"/>
          <w:highlight w:val="none"/>
        </w:rPr>
      </w:pPr>
      <w:bookmarkStart w:id="176" w:name="_Toc26901"/>
      <w:bookmarkStart w:id="177" w:name="_Toc10348"/>
      <w:bookmarkStart w:id="178" w:name="_Toc25758"/>
      <w:r>
        <w:rPr>
          <w:rFonts w:hint="eastAsia" w:ascii="宋体" w:hAnsi="宋体" w:cs="宋体"/>
          <w:b/>
          <w:color w:val="auto"/>
          <w:sz w:val="36"/>
          <w:szCs w:val="20"/>
          <w:highlight w:val="none"/>
        </w:rPr>
        <w:t>第五章 拟签订的合同文本</w:t>
      </w:r>
      <w:bookmarkEnd w:id="176"/>
      <w:bookmarkEnd w:id="177"/>
      <w:bookmarkEnd w:id="178"/>
    </w:p>
    <w:p w14:paraId="0681CDAA">
      <w:pPr>
        <w:rPr>
          <w:rFonts w:hint="eastAsia" w:ascii="宋体" w:hAnsi="宋体" w:cs="宋体"/>
          <w:bCs/>
          <w:color w:val="auto"/>
          <w:szCs w:val="20"/>
          <w:highlight w:val="none"/>
          <w:lang w:bidi="ar"/>
        </w:rPr>
        <w:sectPr>
          <w:pgSz w:w="11906" w:h="16838"/>
          <w:pgMar w:top="1135" w:right="1135" w:bottom="1135" w:left="1135" w:header="720" w:footer="720" w:gutter="0"/>
          <w:pgNumType w:fmt="decimal"/>
          <w:cols w:space="720" w:num="1"/>
          <w:docGrid w:type="lines" w:linePitch="331" w:charSpace="0"/>
        </w:sectPr>
      </w:pPr>
    </w:p>
    <w:p w14:paraId="10E7C09C">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6CA73F22">
      <w:pPr>
        <w:spacing w:line="360" w:lineRule="auto"/>
        <w:jc w:val="center"/>
        <w:rPr>
          <w:rFonts w:hint="eastAsia" w:ascii="宋体" w:hAnsi="宋体" w:cs="宋体"/>
          <w:b/>
          <w:bCs/>
          <w:color w:val="auto"/>
          <w:sz w:val="52"/>
          <w:highlight w:val="none"/>
        </w:rPr>
      </w:pPr>
    </w:p>
    <w:p w14:paraId="0D6F5914">
      <w:pPr>
        <w:spacing w:line="360" w:lineRule="auto"/>
        <w:jc w:val="center"/>
        <w:rPr>
          <w:rFonts w:hint="eastAsia" w:ascii="宋体" w:hAnsi="宋体" w:cs="宋体"/>
          <w:b/>
          <w:bCs/>
          <w:color w:val="auto"/>
          <w:sz w:val="52"/>
          <w:highlight w:val="none"/>
        </w:rPr>
      </w:pPr>
      <w:r>
        <w:rPr>
          <w:rFonts w:hint="eastAsia" w:ascii="宋体" w:hAnsi="宋体" w:cs="宋体"/>
          <w:b/>
          <w:bCs/>
          <w:color w:val="auto"/>
          <w:sz w:val="52"/>
          <w:highlight w:val="none"/>
        </w:rPr>
        <w:t>南 宁 市 政 府 采 购</w:t>
      </w:r>
    </w:p>
    <w:p w14:paraId="18D0407C">
      <w:pPr>
        <w:spacing w:line="360" w:lineRule="auto"/>
        <w:ind w:firstLine="420" w:firstLineChars="200"/>
        <w:rPr>
          <w:rFonts w:hint="eastAsia" w:ascii="宋体" w:hAnsi="宋体" w:cs="宋体"/>
          <w:color w:val="auto"/>
          <w:highlight w:val="none"/>
        </w:rPr>
      </w:pPr>
    </w:p>
    <w:p w14:paraId="102D0A6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                                                 </w:t>
      </w:r>
    </w:p>
    <w:p w14:paraId="7F79F91D">
      <w:pPr>
        <w:spacing w:line="360" w:lineRule="auto"/>
        <w:jc w:val="center"/>
        <w:rPr>
          <w:rFonts w:hint="eastAsia" w:ascii="宋体" w:hAnsi="宋体" w:eastAsia="宋体" w:cs="宋体"/>
          <w:b/>
          <w:bCs/>
          <w:color w:val="auto"/>
          <w:sz w:val="44"/>
          <w:highlight w:val="none"/>
          <w:lang w:eastAsia="zh-CN"/>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 xml:space="preserve">合同 </w:t>
      </w:r>
    </w:p>
    <w:p w14:paraId="1882582A">
      <w:pPr>
        <w:spacing w:line="360" w:lineRule="auto"/>
        <w:jc w:val="center"/>
        <w:rPr>
          <w:rFonts w:hint="eastAsia" w:ascii="宋体" w:hAnsi="宋体" w:cs="宋体"/>
          <w:b/>
          <w:bCs/>
          <w:color w:val="auto"/>
          <w:sz w:val="44"/>
          <w:highlight w:val="none"/>
        </w:rPr>
      </w:pPr>
    </w:p>
    <w:p w14:paraId="01E48A41">
      <w:pPr>
        <w:spacing w:line="360" w:lineRule="auto"/>
        <w:ind w:firstLine="3507" w:firstLineChars="794"/>
        <w:rPr>
          <w:rFonts w:hint="eastAsia" w:ascii="宋体" w:hAnsi="宋体" w:cs="宋体"/>
          <w:b/>
          <w:bCs/>
          <w:color w:val="auto"/>
          <w:sz w:val="44"/>
          <w:highlight w:val="none"/>
        </w:rPr>
      </w:pPr>
    </w:p>
    <w:p w14:paraId="1110EA1C">
      <w:pPr>
        <w:spacing w:line="360" w:lineRule="auto"/>
        <w:ind w:firstLine="3507" w:firstLineChars="794"/>
        <w:rPr>
          <w:rFonts w:hint="eastAsia" w:ascii="宋体" w:hAnsi="宋体" w:cs="宋体"/>
          <w:b/>
          <w:bCs/>
          <w:color w:val="auto"/>
          <w:sz w:val="44"/>
          <w:highlight w:val="none"/>
        </w:rPr>
      </w:pPr>
    </w:p>
    <w:p w14:paraId="50E99331">
      <w:pPr>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项目编号：</w:t>
      </w:r>
      <w:r>
        <w:rPr>
          <w:rFonts w:hint="eastAsia" w:ascii="宋体" w:hAnsi="宋体" w:cs="宋体"/>
          <w:b/>
          <w:color w:val="auto"/>
          <w:sz w:val="36"/>
          <w:szCs w:val="36"/>
          <w:highlight w:val="none"/>
          <w:u w:val="single"/>
        </w:rPr>
        <w:t xml:space="preserve">                    </w:t>
      </w:r>
    </w:p>
    <w:p w14:paraId="7074FC97">
      <w:pPr>
        <w:wordWrap w:val="0"/>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计划编号：</w:t>
      </w:r>
      <w:r>
        <w:rPr>
          <w:rFonts w:hint="eastAsia" w:ascii="宋体" w:hAnsi="宋体" w:cs="宋体"/>
          <w:b/>
          <w:color w:val="auto"/>
          <w:sz w:val="36"/>
          <w:szCs w:val="36"/>
          <w:highlight w:val="none"/>
          <w:u w:val="single"/>
        </w:rPr>
        <w:t xml:space="preserve">                    </w:t>
      </w:r>
    </w:p>
    <w:p w14:paraId="517E7903">
      <w:pPr>
        <w:rPr>
          <w:rFonts w:hint="eastAsia" w:ascii="宋体" w:hAnsi="宋体" w:cs="宋体"/>
          <w:b/>
          <w:color w:val="auto"/>
          <w:sz w:val="36"/>
          <w:szCs w:val="36"/>
          <w:highlight w:val="none"/>
          <w:u w:val="single"/>
        </w:rPr>
      </w:pPr>
    </w:p>
    <w:p w14:paraId="3EE8CA67">
      <w:pPr>
        <w:ind w:firstLine="1995" w:firstLineChars="552"/>
        <w:rPr>
          <w:rFonts w:hint="eastAsia" w:ascii="宋体" w:hAnsi="宋体" w:cs="宋体"/>
          <w:b/>
          <w:color w:val="auto"/>
          <w:sz w:val="36"/>
          <w:szCs w:val="36"/>
          <w:highlight w:val="none"/>
          <w:u w:val="single"/>
        </w:rPr>
      </w:pPr>
    </w:p>
    <w:p w14:paraId="5257BA33">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2CCEAD38">
      <w:pPr>
        <w:tabs>
          <w:tab w:val="left" w:pos="7380"/>
        </w:tabs>
        <w:spacing w:line="360" w:lineRule="auto"/>
        <w:ind w:firstLine="1995" w:firstLineChars="552"/>
        <w:rPr>
          <w:rFonts w:hint="eastAsia"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3997E36B">
      <w:pPr>
        <w:tabs>
          <w:tab w:val="left" w:pos="7380"/>
        </w:tabs>
        <w:spacing w:line="360" w:lineRule="auto"/>
        <w:rPr>
          <w:rFonts w:hint="eastAsia" w:ascii="宋体" w:hAnsi="宋体" w:cs="宋体"/>
          <w:b/>
          <w:bCs/>
          <w:color w:val="auto"/>
          <w:sz w:val="44"/>
          <w:highlight w:val="none"/>
        </w:rPr>
      </w:pPr>
    </w:p>
    <w:p w14:paraId="2A23F950">
      <w:pPr>
        <w:spacing w:before="120" w:line="360" w:lineRule="auto"/>
        <w:ind w:firstLine="960" w:firstLineChars="400"/>
        <w:rPr>
          <w:rFonts w:hint="eastAsia" w:ascii="宋体" w:hAnsi="宋体" w:cs="宋体"/>
          <w:color w:val="auto"/>
          <w:sz w:val="24"/>
          <w:highlight w:val="none"/>
        </w:rPr>
      </w:pPr>
    </w:p>
    <w:p w14:paraId="4F0EC43A">
      <w:pPr>
        <w:spacing w:before="120" w:line="360" w:lineRule="auto"/>
        <w:ind w:firstLine="960" w:firstLineChars="400"/>
        <w:rPr>
          <w:rFonts w:hint="eastAsia" w:ascii="宋体" w:hAnsi="宋体" w:cs="宋体"/>
          <w:color w:val="auto"/>
          <w:sz w:val="24"/>
          <w:highlight w:val="none"/>
        </w:rPr>
      </w:pPr>
    </w:p>
    <w:p w14:paraId="6993EE1D">
      <w:pPr>
        <w:spacing w:before="120" w:line="360" w:lineRule="auto"/>
        <w:ind w:firstLine="2280" w:firstLineChars="95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FA4BC49">
      <w:pPr>
        <w:pStyle w:val="104"/>
        <w:widowControl/>
        <w:ind w:firstLine="883"/>
        <w:jc w:val="center"/>
        <w:rPr>
          <w:rFonts w:hint="eastAsia" w:ascii="宋体" w:hAnsi="宋体" w:cs="宋体"/>
          <w:b/>
          <w:bCs/>
          <w:color w:val="auto"/>
          <w:sz w:val="44"/>
          <w:highlight w:val="none"/>
        </w:rPr>
      </w:pPr>
    </w:p>
    <w:p w14:paraId="5EE6DF09">
      <w:pPr>
        <w:snapToGrid w:val="0"/>
        <w:spacing w:line="360" w:lineRule="auto"/>
        <w:jc w:val="center"/>
        <w:rPr>
          <w:rFonts w:hint="eastAsia" w:ascii="宋体" w:hAnsi="宋体" w:cs="宋体"/>
          <w:b/>
          <w:color w:val="auto"/>
          <w:sz w:val="30"/>
          <w:szCs w:val="30"/>
          <w:highlight w:val="none"/>
        </w:rPr>
        <w:sectPr>
          <w:pgSz w:w="11906" w:h="16838"/>
          <w:pgMar w:top="1135" w:right="1135" w:bottom="1135" w:left="1135" w:header="720" w:footer="720" w:gutter="0"/>
          <w:pgNumType w:fmt="decimal" w:chapStyle="3"/>
          <w:cols w:space="720" w:num="1"/>
          <w:docGrid w:type="lines" w:linePitch="331" w:charSpace="0"/>
        </w:sectPr>
      </w:pPr>
    </w:p>
    <w:p w14:paraId="405F16B6">
      <w:pPr>
        <w:snapToGrid w:val="0"/>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合 同 目 录</w:t>
      </w:r>
    </w:p>
    <w:p w14:paraId="7AAEBC00">
      <w:pPr>
        <w:jc w:val="center"/>
        <w:rPr>
          <w:rFonts w:hint="eastAsia" w:ascii="宋体" w:hAnsi="宋体" w:cs="宋体"/>
          <w:color w:val="auto"/>
          <w:sz w:val="30"/>
          <w:szCs w:val="30"/>
          <w:highlight w:val="none"/>
        </w:rPr>
      </w:pPr>
    </w:p>
    <w:p w14:paraId="65203C7C">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一、</w:t>
      </w:r>
      <w:r>
        <w:rPr>
          <w:rFonts w:hint="eastAsia" w:ascii="宋体" w:hAnsi="宋体" w:cs="宋体"/>
          <w:color w:val="auto"/>
          <w:sz w:val="24"/>
          <w:highlight w:val="none"/>
          <w:lang w:bidi="ar"/>
        </w:rPr>
        <w:t>第一部分 合同书</w:t>
      </w:r>
      <w:r>
        <w:rPr>
          <w:rFonts w:hint="eastAsia" w:ascii="宋体" w:hAnsi="宋体" w:cs="宋体"/>
          <w:color w:val="auto"/>
          <w:kern w:val="0"/>
          <w:sz w:val="24"/>
          <w:highlight w:val="none"/>
          <w:lang w:bidi="ar"/>
        </w:rPr>
        <w:t>……………………………………………………………（页码）</w:t>
      </w:r>
    </w:p>
    <w:p w14:paraId="1AE2429B">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二、第二部分 合同一般条款……………………………………………………（页码）</w:t>
      </w:r>
    </w:p>
    <w:p w14:paraId="6EF4B39C">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三、第三部分 合同专用条款……………………………………………………（页码）</w:t>
      </w:r>
    </w:p>
    <w:p w14:paraId="26AA80D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四、</w:t>
      </w:r>
      <w:r>
        <w:rPr>
          <w:rFonts w:hint="eastAsia" w:ascii="宋体" w:hAnsi="宋体" w:cs="宋体"/>
          <w:color w:val="auto"/>
          <w:sz w:val="24"/>
          <w:highlight w:val="none"/>
          <w:lang w:bidi="ar"/>
        </w:rPr>
        <w:t>第四部分 合同附件</w:t>
      </w:r>
      <w:r>
        <w:rPr>
          <w:rFonts w:hint="eastAsia" w:ascii="宋体" w:hAnsi="宋体" w:cs="宋体"/>
          <w:color w:val="auto"/>
          <w:kern w:val="0"/>
          <w:sz w:val="24"/>
          <w:highlight w:val="none"/>
          <w:lang w:bidi="ar"/>
        </w:rPr>
        <w:t>…………………………………………………………（页码）</w:t>
      </w:r>
    </w:p>
    <w:p w14:paraId="06789D26">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4.1中标通知书 …………………………………………………………………（页码）</w:t>
      </w:r>
    </w:p>
    <w:p w14:paraId="0AA1ACA7">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4.2招标文件服务需求一览表 …………………………………………………（页码）</w:t>
      </w:r>
    </w:p>
    <w:p w14:paraId="3C91E58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4.3招标文件的更改通知（如有） ……………………………………………（页码）</w:t>
      </w:r>
    </w:p>
    <w:p w14:paraId="1273C963">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4.4投标函 ………………………………………………………………………（页码）</w:t>
      </w:r>
    </w:p>
    <w:p w14:paraId="506478B8">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4.5开标一览表 …………………………………………………………………（页码）</w:t>
      </w:r>
    </w:p>
    <w:p w14:paraId="0D8DFB63">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4.6投标服务技术偏离表 ………………………………………………………（页码）</w:t>
      </w:r>
    </w:p>
    <w:p w14:paraId="70DEE032">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4.7商务条款偏离表 ……………………………………………………………（页码）</w:t>
      </w:r>
    </w:p>
    <w:p w14:paraId="543745CD">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4.8中标供应商澄清函（如有请提供） ………………………………………（页码）</w:t>
      </w:r>
    </w:p>
    <w:p w14:paraId="71147176">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4.9其他与本合同相关的资料（如有请提供） ………………………………（页码）</w:t>
      </w:r>
    </w:p>
    <w:p w14:paraId="6A18D2FF">
      <w:pPr>
        <w:snapToGrid w:val="0"/>
        <w:spacing w:line="360" w:lineRule="auto"/>
        <w:rPr>
          <w:rFonts w:hint="eastAsia" w:ascii="宋体" w:hAnsi="宋体" w:cs="宋体"/>
          <w:color w:val="auto"/>
          <w:kern w:val="0"/>
          <w:sz w:val="24"/>
          <w:highlight w:val="none"/>
        </w:rPr>
      </w:pPr>
    </w:p>
    <w:p w14:paraId="5DBA2E27">
      <w:pPr>
        <w:rPr>
          <w:rFonts w:hint="eastAsia" w:ascii="宋体" w:hAnsi="宋体" w:cs="宋体"/>
          <w:color w:val="auto"/>
          <w:spacing w:val="-4"/>
          <w:sz w:val="18"/>
          <w:szCs w:val="20"/>
          <w:highlight w:val="none"/>
        </w:rPr>
        <w:sectPr>
          <w:footerReference r:id="rId5" w:type="default"/>
          <w:pgSz w:w="11906" w:h="16838"/>
          <w:pgMar w:top="1135" w:right="1135" w:bottom="1135" w:left="1135" w:header="720" w:footer="720" w:gutter="0"/>
          <w:pgNumType w:fmt="decimal" w:chapStyle="3"/>
          <w:cols w:space="720" w:num="1"/>
          <w:docGrid w:type="lines" w:linePitch="331" w:charSpace="0"/>
        </w:sectPr>
      </w:pPr>
    </w:p>
    <w:p w14:paraId="00A81965">
      <w:pPr>
        <w:pStyle w:val="104"/>
        <w:widowControl/>
        <w:spacing w:line="420" w:lineRule="exact"/>
        <w:ind w:firstLine="562"/>
        <w:jc w:val="center"/>
        <w:outlineLvl w:val="0"/>
        <w:rPr>
          <w:rFonts w:ascii="宋体" w:hAnsi="宋体" w:cs="宋体"/>
          <w:b/>
          <w:color w:val="auto"/>
          <w:sz w:val="28"/>
          <w:szCs w:val="28"/>
          <w:highlight w:val="none"/>
        </w:rPr>
      </w:pPr>
      <w:bookmarkStart w:id="179" w:name="_Toc23319"/>
      <w:r>
        <w:rPr>
          <w:rFonts w:hint="eastAsia" w:ascii="宋体" w:hAnsi="宋体" w:cs="宋体"/>
          <w:b/>
          <w:color w:val="auto"/>
          <w:sz w:val="28"/>
          <w:szCs w:val="28"/>
          <w:highlight w:val="none"/>
        </w:rPr>
        <w:t>第一部分 合同书</w:t>
      </w:r>
      <w:bookmarkEnd w:id="179"/>
    </w:p>
    <w:p w14:paraId="7CFBBFA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bidi="ar"/>
        </w:rPr>
        <w:t xml:space="preserve">     </w:t>
      </w:r>
      <w:r>
        <w:rPr>
          <w:rFonts w:hint="eastAsia" w:ascii="宋体" w:hAnsi="宋体" w:cs="宋体"/>
          <w:color w:val="auto"/>
          <w:sz w:val="24"/>
          <w:highlight w:val="none"/>
          <w:lang w:val="zh-CN" w:bidi="ar"/>
        </w:rPr>
        <w:t>年</w:t>
      </w:r>
      <w:r>
        <w:rPr>
          <w:rFonts w:hint="eastAsia" w:ascii="宋体" w:hAnsi="宋体" w:cs="宋体"/>
          <w:color w:val="auto"/>
          <w:sz w:val="24"/>
          <w:highlight w:val="none"/>
          <w:u w:val="single"/>
          <w:lang w:val="zh-CN" w:bidi="ar"/>
        </w:rPr>
        <w:t xml:space="preserve">    </w:t>
      </w:r>
      <w:r>
        <w:rPr>
          <w:rFonts w:hint="eastAsia" w:ascii="宋体" w:hAnsi="宋体" w:cs="宋体"/>
          <w:color w:val="auto"/>
          <w:sz w:val="24"/>
          <w:highlight w:val="none"/>
          <w:lang w:val="zh-CN" w:bidi="ar"/>
        </w:rPr>
        <w:t>月</w:t>
      </w:r>
      <w:r>
        <w:rPr>
          <w:rFonts w:hint="eastAsia" w:ascii="宋体" w:hAnsi="宋体" w:cs="宋体"/>
          <w:color w:val="auto"/>
          <w:sz w:val="24"/>
          <w:highlight w:val="none"/>
          <w:u w:val="single"/>
          <w:lang w:val="zh-CN" w:bidi="ar"/>
        </w:rPr>
        <w:t xml:space="preserve">    </w:t>
      </w:r>
      <w:r>
        <w:rPr>
          <w:rFonts w:hint="eastAsia" w:ascii="宋体" w:hAnsi="宋体" w:cs="宋体"/>
          <w:color w:val="auto"/>
          <w:sz w:val="24"/>
          <w:highlight w:val="none"/>
          <w:lang w:val="zh-CN" w:bidi="ar"/>
        </w:rPr>
        <w:t>日</w:t>
      </w:r>
      <w:r>
        <w:rPr>
          <w:rFonts w:hint="eastAsia" w:ascii="宋体" w:hAnsi="宋体" w:cs="宋体"/>
          <w:color w:val="auto"/>
          <w:sz w:val="24"/>
          <w:highlight w:val="none"/>
          <w:lang w:bidi="ar"/>
        </w:rPr>
        <w:t>，</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u w:val="single"/>
          <w:lang w:val="en-US" w:eastAsia="zh-CN" w:bidi="ar"/>
        </w:rPr>
        <w:t xml:space="preserve"> </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以</w:t>
      </w:r>
      <w:r>
        <w:rPr>
          <w:rFonts w:hint="eastAsia" w:ascii="宋体" w:hAnsi="宋体" w:cs="宋体"/>
          <w:color w:val="auto"/>
          <w:sz w:val="24"/>
          <w:highlight w:val="none"/>
          <w:u w:val="single"/>
          <w:lang w:bidi="ar"/>
        </w:rPr>
        <w:t xml:space="preserve">   公开招标方式  </w:t>
      </w:r>
      <w:r>
        <w:rPr>
          <w:rFonts w:hint="eastAsia" w:ascii="宋体" w:hAnsi="宋体" w:cs="宋体"/>
          <w:color w:val="auto"/>
          <w:sz w:val="24"/>
          <w:highlight w:val="none"/>
          <w:lang w:bidi="ar"/>
        </w:rPr>
        <w:t>对</w:t>
      </w:r>
      <w:r>
        <w:rPr>
          <w:rFonts w:hint="eastAsia" w:ascii="宋体" w:hAnsi="宋体" w:cs="宋体"/>
          <w:color w:val="auto"/>
          <w:sz w:val="24"/>
          <w:highlight w:val="none"/>
          <w:u w:val="single"/>
          <w:lang w:val="en-US" w:eastAsia="zh-CN" w:bidi="ar"/>
        </w:rPr>
        <w:t xml:space="preserve">            </w:t>
      </w:r>
      <w:r>
        <w:rPr>
          <w:rFonts w:hint="eastAsia" w:ascii="宋体" w:hAnsi="宋体" w:cs="宋体"/>
          <w:color w:val="auto"/>
          <w:sz w:val="24"/>
          <w:highlight w:val="none"/>
          <w:lang w:bidi="ar"/>
        </w:rPr>
        <w:t>项目进行了采购。经</w:t>
      </w:r>
      <w:r>
        <w:rPr>
          <w:rFonts w:hint="eastAsia" w:ascii="宋体" w:hAnsi="宋体" w:cs="宋体"/>
          <w:color w:val="auto"/>
          <w:sz w:val="24"/>
          <w:highlight w:val="none"/>
          <w:u w:val="single"/>
          <w:lang w:bidi="ar"/>
        </w:rPr>
        <w:t xml:space="preserve">   （相关评定主体名称）   </w:t>
      </w:r>
      <w:r>
        <w:rPr>
          <w:rFonts w:hint="eastAsia" w:ascii="宋体" w:hAnsi="宋体" w:cs="宋体"/>
          <w:color w:val="auto"/>
          <w:sz w:val="24"/>
          <w:highlight w:val="none"/>
          <w:lang w:bidi="ar"/>
        </w:rPr>
        <w:t>评定，</w:t>
      </w:r>
      <w:r>
        <w:rPr>
          <w:rFonts w:hint="eastAsia" w:ascii="宋体" w:hAnsi="宋体" w:cs="宋体"/>
          <w:color w:val="auto"/>
          <w:sz w:val="24"/>
          <w:highlight w:val="none"/>
          <w:u w:val="single"/>
          <w:lang w:bidi="ar"/>
        </w:rPr>
        <w:t xml:space="preserve">   （中标供应商名称）</w:t>
      </w:r>
      <w:r>
        <w:rPr>
          <w:rFonts w:hint="eastAsia" w:ascii="宋体" w:hAnsi="宋体" w:cs="宋体"/>
          <w:color w:val="auto"/>
          <w:sz w:val="24"/>
          <w:highlight w:val="none"/>
          <w:lang w:bidi="ar"/>
        </w:rPr>
        <w:t>为该项目中标供应商。现于中标通知书发出之日起二十五日内，按照采购文件确定的事项签订本合同。</w:t>
      </w:r>
    </w:p>
    <w:p w14:paraId="3AE355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bidi="ar"/>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u w:val="single"/>
          <w:lang w:val="en-US" w:eastAsia="zh-CN" w:bidi="ar"/>
        </w:rPr>
        <w:t xml:space="preserve">       </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val="zh-CN" w:bidi="ar"/>
        </w:rPr>
        <w:t>(以下简称：甲方)和</w:t>
      </w:r>
      <w:r>
        <w:rPr>
          <w:rFonts w:hint="eastAsia" w:ascii="宋体" w:hAnsi="宋体" w:cs="宋体"/>
          <w:color w:val="auto"/>
          <w:sz w:val="24"/>
          <w:highlight w:val="none"/>
          <w:u w:val="single"/>
          <w:lang w:bidi="ar"/>
        </w:rPr>
        <w:t xml:space="preserve">   （中标供应商名称）   </w:t>
      </w:r>
      <w:r>
        <w:rPr>
          <w:rFonts w:hint="eastAsia" w:ascii="宋体" w:hAnsi="宋体" w:cs="宋体"/>
          <w:color w:val="auto"/>
          <w:sz w:val="24"/>
          <w:highlight w:val="none"/>
          <w:lang w:val="zh-CN" w:bidi="ar"/>
        </w:rPr>
        <w:t>(以下简称：乙方)协商一致，约定以下合同</w:t>
      </w:r>
      <w:r>
        <w:rPr>
          <w:rFonts w:hint="eastAsia" w:ascii="宋体" w:hAnsi="宋体" w:cs="宋体"/>
          <w:color w:val="auto"/>
          <w:sz w:val="24"/>
          <w:highlight w:val="none"/>
          <w:lang w:bidi="ar"/>
        </w:rPr>
        <w:t>条款，以兹共同遵守、全面履行。</w:t>
      </w:r>
    </w:p>
    <w:p w14:paraId="3D4B1FFF">
      <w:pPr>
        <w:spacing w:line="360" w:lineRule="auto"/>
        <w:ind w:firstLine="482" w:firstLineChars="200"/>
        <w:rPr>
          <w:rFonts w:hint="eastAsia" w:ascii="宋体" w:hAnsi="宋体" w:cs="宋体"/>
          <w:b/>
          <w:color w:val="auto"/>
          <w:sz w:val="24"/>
          <w:highlight w:val="none"/>
        </w:rPr>
      </w:pPr>
      <w:bookmarkStart w:id="180" w:name="_Toc2232"/>
      <w:bookmarkStart w:id="181" w:name="_Toc3029"/>
      <w:bookmarkStart w:id="182" w:name="_Toc24059"/>
      <w:r>
        <w:rPr>
          <w:rFonts w:hint="eastAsia" w:ascii="宋体" w:hAnsi="宋体" w:cs="宋体"/>
          <w:b/>
          <w:color w:val="auto"/>
          <w:sz w:val="24"/>
          <w:highlight w:val="none"/>
          <w:lang w:bidi="ar"/>
        </w:rPr>
        <w:t>1.1 合同组成部分</w:t>
      </w:r>
      <w:bookmarkEnd w:id="180"/>
      <w:bookmarkEnd w:id="181"/>
      <w:bookmarkEnd w:id="182"/>
    </w:p>
    <w:p w14:paraId="5A57B61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5EAB82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1.1.1 本合同及其补充合同、变更协议；</w:t>
      </w:r>
    </w:p>
    <w:p w14:paraId="4E28E5E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1.1.2 中标通知书；</w:t>
      </w:r>
    </w:p>
    <w:p w14:paraId="7C9FF2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1.1.3 投标文件及“投标报价”（含澄清或者说明文件）；</w:t>
      </w:r>
    </w:p>
    <w:p w14:paraId="330819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1.1.4 招标文件（含澄清或者修改文件）；</w:t>
      </w:r>
    </w:p>
    <w:p w14:paraId="7ACF260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1.1.5 其他相关采购文件。</w:t>
      </w:r>
    </w:p>
    <w:p w14:paraId="78C1BBA8">
      <w:pPr>
        <w:spacing w:line="360" w:lineRule="auto"/>
        <w:ind w:firstLine="482" w:firstLineChars="200"/>
        <w:rPr>
          <w:rFonts w:hint="eastAsia" w:ascii="宋体" w:hAnsi="宋体" w:cs="宋体"/>
          <w:b/>
          <w:color w:val="auto"/>
          <w:sz w:val="24"/>
          <w:highlight w:val="none"/>
        </w:rPr>
      </w:pPr>
      <w:bookmarkStart w:id="183" w:name="_Toc21295"/>
      <w:bookmarkStart w:id="184" w:name="_Toc27126"/>
      <w:bookmarkStart w:id="185" w:name="_Toc24300"/>
      <w:r>
        <w:rPr>
          <w:rFonts w:hint="eastAsia" w:ascii="宋体" w:hAnsi="宋体" w:cs="宋体"/>
          <w:b/>
          <w:color w:val="auto"/>
          <w:sz w:val="24"/>
          <w:highlight w:val="none"/>
          <w:lang w:bidi="ar"/>
        </w:rPr>
        <w:t>1.2 标的物</w:t>
      </w:r>
      <w:bookmarkEnd w:id="183"/>
      <w:bookmarkEnd w:id="184"/>
      <w:bookmarkEnd w:id="185"/>
    </w:p>
    <w:p w14:paraId="046EE6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1.2.1 标的物1信息</w:t>
      </w:r>
    </w:p>
    <w:p w14:paraId="11B8DF97">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bidi="ar"/>
        </w:rPr>
        <w:t>1.2.1.1名称：</w:t>
      </w:r>
      <w:r>
        <w:rPr>
          <w:rFonts w:hint="eastAsia" w:ascii="宋体" w:hAnsi="宋体" w:cs="宋体"/>
          <w:color w:val="auto"/>
          <w:sz w:val="24"/>
          <w:highlight w:val="none"/>
          <w:u w:val="single"/>
          <w:lang w:bidi="ar"/>
        </w:rPr>
        <w:t xml:space="preserve"> 详见合同附件开标一览表</w:t>
      </w:r>
      <w:r>
        <w:rPr>
          <w:rFonts w:hint="eastAsia" w:ascii="宋体" w:hAnsi="宋体" w:cs="宋体"/>
          <w:color w:val="auto"/>
          <w:sz w:val="24"/>
          <w:highlight w:val="none"/>
          <w:lang w:bidi="ar"/>
        </w:rPr>
        <w:t>；</w:t>
      </w:r>
    </w:p>
    <w:p w14:paraId="0A40F3D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bidi="ar"/>
        </w:rPr>
        <w:t>1.2.1.2数量：</w:t>
      </w:r>
      <w:r>
        <w:rPr>
          <w:rFonts w:hint="eastAsia" w:ascii="宋体" w:hAnsi="宋体" w:cs="宋体"/>
          <w:color w:val="auto"/>
          <w:sz w:val="24"/>
          <w:highlight w:val="none"/>
          <w:u w:val="single"/>
          <w:lang w:bidi="ar"/>
        </w:rPr>
        <w:t xml:space="preserve"> 详见合同附件开标一览表</w:t>
      </w:r>
      <w:r>
        <w:rPr>
          <w:rFonts w:hint="eastAsia" w:ascii="宋体" w:hAnsi="宋体" w:cs="宋体"/>
          <w:color w:val="auto"/>
          <w:sz w:val="24"/>
          <w:highlight w:val="none"/>
          <w:lang w:bidi="ar"/>
        </w:rPr>
        <w:t>；</w:t>
      </w:r>
    </w:p>
    <w:p w14:paraId="1EC635D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1.2.1.3质量：</w:t>
      </w:r>
      <w:r>
        <w:rPr>
          <w:rFonts w:hint="eastAsia" w:ascii="宋体" w:hAnsi="宋体" w:cs="宋体"/>
          <w:color w:val="auto"/>
          <w:sz w:val="24"/>
          <w:highlight w:val="none"/>
          <w:u w:val="single"/>
          <w:lang w:bidi="ar"/>
        </w:rPr>
        <w:t>　</w:t>
      </w:r>
      <w:r>
        <w:rPr>
          <w:rFonts w:hint="eastAsia" w:ascii="宋体" w:hAnsi="宋体" w:cs="宋体"/>
          <w:color w:val="auto"/>
          <w:sz w:val="24"/>
          <w:highlight w:val="none"/>
          <w:u w:val="single"/>
          <w:lang w:val="en-US" w:eastAsia="zh-CN" w:bidi="ar"/>
        </w:rPr>
        <w:t>合格</w:t>
      </w:r>
      <w:r>
        <w:rPr>
          <w:rFonts w:hint="eastAsia" w:ascii="宋体" w:hAnsi="宋体" w:cs="宋体"/>
          <w:color w:val="auto"/>
          <w:sz w:val="24"/>
          <w:highlight w:val="none"/>
          <w:lang w:bidi="ar"/>
        </w:rPr>
        <w:t>。</w:t>
      </w:r>
    </w:p>
    <w:p w14:paraId="002FFF4F">
      <w:pPr>
        <w:spacing w:line="360" w:lineRule="auto"/>
        <w:ind w:firstLine="482" w:firstLineChars="200"/>
        <w:rPr>
          <w:rFonts w:hint="eastAsia" w:ascii="宋体" w:hAnsi="宋体" w:cs="宋体"/>
          <w:b/>
          <w:color w:val="auto"/>
          <w:sz w:val="24"/>
          <w:highlight w:val="none"/>
        </w:rPr>
      </w:pPr>
      <w:bookmarkStart w:id="186" w:name="_Toc23292"/>
      <w:bookmarkStart w:id="187" w:name="_Toc21551"/>
      <w:bookmarkStart w:id="188" w:name="_Toc21631"/>
      <w:r>
        <w:rPr>
          <w:rFonts w:hint="eastAsia" w:ascii="宋体" w:hAnsi="宋体" w:cs="宋体"/>
          <w:b/>
          <w:color w:val="auto"/>
          <w:sz w:val="24"/>
          <w:highlight w:val="none"/>
          <w:lang w:bidi="ar"/>
        </w:rPr>
        <w:t>1.3 价款</w:t>
      </w:r>
      <w:bookmarkEnd w:id="186"/>
      <w:bookmarkEnd w:id="187"/>
      <w:bookmarkEnd w:id="188"/>
    </w:p>
    <w:p w14:paraId="3E8EC6D2">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bidi="ar"/>
        </w:rPr>
        <w:t>本合同总价</w:t>
      </w:r>
      <w:r>
        <w:rPr>
          <w:rFonts w:hint="eastAsia" w:ascii="宋体" w:hAnsi="宋体" w:cs="宋体"/>
          <w:color w:val="auto"/>
          <w:sz w:val="24"/>
          <w:highlight w:val="none"/>
          <w:lang w:eastAsia="zh-CN" w:bidi="ar"/>
        </w:rPr>
        <w:t>（</w:t>
      </w:r>
      <w:r>
        <w:rPr>
          <w:rFonts w:hint="eastAsia" w:ascii="宋体" w:hAnsi="宋体" w:eastAsia="宋体" w:cs="宋体"/>
          <w:color w:val="auto"/>
          <w:sz w:val="24"/>
          <w:highlight w:val="none"/>
          <w:lang w:val="en-US" w:eastAsia="zh-CN" w:bidi="ar"/>
        </w:rPr>
        <w:t>含税</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bidi="ar"/>
        </w:rPr>
        <w:t>为：</w:t>
      </w:r>
      <w:r>
        <w:rPr>
          <w:rFonts w:hint="eastAsia" w:ascii="宋体" w:hAnsi="宋体" w:eastAsia="宋体" w:cs="宋体"/>
          <w:color w:val="auto"/>
          <w:sz w:val="24"/>
          <w:highlight w:val="none"/>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198E242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bidi="ar"/>
        </w:rPr>
        <w:t>分项价格：</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3395"/>
        <w:gridCol w:w="2545"/>
      </w:tblGrid>
      <w:tr w14:paraId="6C0B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5720159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bidi="ar"/>
              </w:rPr>
              <w:t>序号</w:t>
            </w:r>
          </w:p>
        </w:tc>
        <w:tc>
          <w:tcPr>
            <w:tcW w:w="3395" w:type="dxa"/>
            <w:tcBorders>
              <w:top w:val="single" w:color="auto" w:sz="4" w:space="0"/>
              <w:left w:val="single" w:color="auto" w:sz="4" w:space="0"/>
              <w:bottom w:val="single" w:color="auto" w:sz="4" w:space="0"/>
              <w:right w:val="single" w:color="auto" w:sz="4" w:space="0"/>
            </w:tcBorders>
            <w:noWrap w:val="0"/>
            <w:vAlign w:val="center"/>
          </w:tcPr>
          <w:p w14:paraId="4986FFB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bidi="ar"/>
              </w:rPr>
              <w:t>分项名称</w:t>
            </w:r>
          </w:p>
        </w:tc>
        <w:tc>
          <w:tcPr>
            <w:tcW w:w="2545" w:type="dxa"/>
            <w:tcBorders>
              <w:top w:val="single" w:color="auto" w:sz="4" w:space="0"/>
              <w:left w:val="single" w:color="auto" w:sz="4" w:space="0"/>
              <w:bottom w:val="single" w:color="auto" w:sz="4" w:space="0"/>
              <w:right w:val="single" w:color="auto" w:sz="4" w:space="0"/>
            </w:tcBorders>
            <w:noWrap w:val="0"/>
            <w:vAlign w:val="center"/>
          </w:tcPr>
          <w:p w14:paraId="7066CE8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bidi="ar"/>
              </w:rPr>
              <w:t>分项价格</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元</w:t>
            </w:r>
            <w:r>
              <w:rPr>
                <w:rFonts w:hint="eastAsia" w:ascii="宋体" w:hAnsi="宋体" w:cs="宋体"/>
                <w:color w:val="auto"/>
                <w:sz w:val="24"/>
                <w:highlight w:val="none"/>
                <w:lang w:eastAsia="zh-CN" w:bidi="ar"/>
              </w:rPr>
              <w:t>）</w:t>
            </w:r>
          </w:p>
        </w:tc>
      </w:tr>
      <w:tr w14:paraId="13F4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46CBA06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highlight w:val="none"/>
              </w:rPr>
            </w:pPr>
          </w:p>
        </w:tc>
        <w:tc>
          <w:tcPr>
            <w:tcW w:w="3395" w:type="dxa"/>
            <w:tcBorders>
              <w:top w:val="single" w:color="auto" w:sz="4" w:space="0"/>
              <w:left w:val="single" w:color="auto" w:sz="4" w:space="0"/>
              <w:bottom w:val="single" w:color="auto" w:sz="4" w:space="0"/>
              <w:right w:val="single" w:color="auto" w:sz="4" w:space="0"/>
            </w:tcBorders>
            <w:noWrap w:val="0"/>
            <w:vAlign w:val="center"/>
          </w:tcPr>
          <w:p w14:paraId="14335BF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highlight w:val="none"/>
              </w:rPr>
            </w:pPr>
          </w:p>
        </w:tc>
        <w:tc>
          <w:tcPr>
            <w:tcW w:w="2545" w:type="dxa"/>
            <w:tcBorders>
              <w:top w:val="single" w:color="auto" w:sz="4" w:space="0"/>
              <w:left w:val="single" w:color="auto" w:sz="4" w:space="0"/>
              <w:bottom w:val="single" w:color="auto" w:sz="4" w:space="0"/>
              <w:right w:val="single" w:color="auto" w:sz="4" w:space="0"/>
            </w:tcBorders>
            <w:noWrap w:val="0"/>
            <w:vAlign w:val="center"/>
          </w:tcPr>
          <w:p w14:paraId="5068FCD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highlight w:val="none"/>
              </w:rPr>
            </w:pPr>
          </w:p>
        </w:tc>
      </w:tr>
      <w:tr w14:paraId="3B84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7BD8E32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highlight w:val="none"/>
              </w:rPr>
            </w:pPr>
          </w:p>
        </w:tc>
        <w:tc>
          <w:tcPr>
            <w:tcW w:w="3395" w:type="dxa"/>
            <w:tcBorders>
              <w:top w:val="single" w:color="auto" w:sz="4" w:space="0"/>
              <w:left w:val="single" w:color="auto" w:sz="4" w:space="0"/>
              <w:bottom w:val="single" w:color="auto" w:sz="4" w:space="0"/>
              <w:right w:val="single" w:color="auto" w:sz="4" w:space="0"/>
            </w:tcBorders>
            <w:noWrap w:val="0"/>
            <w:vAlign w:val="center"/>
          </w:tcPr>
          <w:p w14:paraId="60A1BA6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highlight w:val="none"/>
              </w:rPr>
            </w:pPr>
          </w:p>
        </w:tc>
        <w:tc>
          <w:tcPr>
            <w:tcW w:w="2545" w:type="dxa"/>
            <w:tcBorders>
              <w:top w:val="single" w:color="auto" w:sz="4" w:space="0"/>
              <w:left w:val="single" w:color="auto" w:sz="4" w:space="0"/>
              <w:bottom w:val="single" w:color="auto" w:sz="4" w:space="0"/>
              <w:right w:val="single" w:color="auto" w:sz="4" w:space="0"/>
            </w:tcBorders>
            <w:noWrap w:val="0"/>
            <w:vAlign w:val="center"/>
          </w:tcPr>
          <w:p w14:paraId="68CE997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highlight w:val="none"/>
              </w:rPr>
            </w:pPr>
          </w:p>
        </w:tc>
      </w:tr>
      <w:tr w14:paraId="1555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76AE51D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highlight w:val="none"/>
              </w:rPr>
            </w:pPr>
          </w:p>
        </w:tc>
        <w:tc>
          <w:tcPr>
            <w:tcW w:w="3395" w:type="dxa"/>
            <w:tcBorders>
              <w:top w:val="single" w:color="auto" w:sz="4" w:space="0"/>
              <w:left w:val="single" w:color="auto" w:sz="4" w:space="0"/>
              <w:bottom w:val="single" w:color="auto" w:sz="4" w:space="0"/>
              <w:right w:val="single" w:color="auto" w:sz="4" w:space="0"/>
            </w:tcBorders>
            <w:noWrap w:val="0"/>
            <w:vAlign w:val="center"/>
          </w:tcPr>
          <w:p w14:paraId="6063694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highlight w:val="none"/>
              </w:rPr>
            </w:pPr>
          </w:p>
        </w:tc>
        <w:tc>
          <w:tcPr>
            <w:tcW w:w="2545" w:type="dxa"/>
            <w:tcBorders>
              <w:top w:val="single" w:color="auto" w:sz="4" w:space="0"/>
              <w:left w:val="single" w:color="auto" w:sz="4" w:space="0"/>
              <w:bottom w:val="single" w:color="auto" w:sz="4" w:space="0"/>
              <w:right w:val="single" w:color="auto" w:sz="4" w:space="0"/>
            </w:tcBorders>
            <w:noWrap w:val="0"/>
            <w:vAlign w:val="center"/>
          </w:tcPr>
          <w:p w14:paraId="346F9BD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highlight w:val="none"/>
              </w:rPr>
            </w:pPr>
          </w:p>
        </w:tc>
      </w:tr>
      <w:tr w14:paraId="5FD2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593" w:type="dxa"/>
            <w:gridSpan w:val="2"/>
            <w:tcBorders>
              <w:top w:val="single" w:color="auto" w:sz="4" w:space="0"/>
              <w:left w:val="single" w:color="auto" w:sz="4" w:space="0"/>
              <w:bottom w:val="single" w:color="auto" w:sz="4" w:space="0"/>
              <w:right w:val="single" w:color="auto" w:sz="4" w:space="0"/>
            </w:tcBorders>
            <w:noWrap w:val="0"/>
            <w:vAlign w:val="center"/>
          </w:tcPr>
          <w:p w14:paraId="158BCE8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bidi="ar"/>
              </w:rPr>
              <w:t>总价</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元</w:t>
            </w:r>
            <w:r>
              <w:rPr>
                <w:rFonts w:hint="eastAsia" w:ascii="宋体" w:hAnsi="宋体" w:cs="宋体"/>
                <w:color w:val="auto"/>
                <w:sz w:val="24"/>
                <w:highlight w:val="none"/>
                <w:lang w:eastAsia="zh-CN" w:bidi="ar"/>
              </w:rPr>
              <w:t>）</w:t>
            </w:r>
          </w:p>
        </w:tc>
        <w:tc>
          <w:tcPr>
            <w:tcW w:w="2545" w:type="dxa"/>
            <w:tcBorders>
              <w:top w:val="single" w:color="auto" w:sz="4" w:space="0"/>
              <w:left w:val="single" w:color="auto" w:sz="4" w:space="0"/>
              <w:bottom w:val="single" w:color="auto" w:sz="4" w:space="0"/>
              <w:right w:val="single" w:color="auto" w:sz="4" w:space="0"/>
            </w:tcBorders>
            <w:noWrap w:val="0"/>
            <w:vAlign w:val="center"/>
          </w:tcPr>
          <w:p w14:paraId="3AB5159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cs="宋体"/>
                <w:color w:val="auto"/>
                <w:sz w:val="24"/>
                <w:highlight w:val="none"/>
              </w:rPr>
            </w:pPr>
          </w:p>
        </w:tc>
      </w:tr>
    </w:tbl>
    <w:p w14:paraId="6FE0A797">
      <w:pPr>
        <w:spacing w:line="360" w:lineRule="auto"/>
        <w:ind w:firstLine="482" w:firstLineChars="200"/>
        <w:rPr>
          <w:rFonts w:hint="eastAsia" w:ascii="宋体" w:hAnsi="宋体" w:cs="宋体"/>
          <w:b/>
          <w:color w:val="auto"/>
          <w:sz w:val="24"/>
          <w:highlight w:val="none"/>
        </w:rPr>
      </w:pPr>
      <w:bookmarkStart w:id="189" w:name="_Toc22618"/>
      <w:bookmarkStart w:id="190" w:name="_Toc10340"/>
      <w:bookmarkStart w:id="191" w:name="_Toc1814"/>
      <w:r>
        <w:rPr>
          <w:rFonts w:hint="eastAsia" w:ascii="宋体" w:hAnsi="宋体" w:cs="宋体"/>
          <w:b/>
          <w:color w:val="auto"/>
          <w:sz w:val="24"/>
          <w:highlight w:val="none"/>
          <w:lang w:bidi="ar"/>
        </w:rPr>
        <w:t>1.4 付款方式和发票开具方式</w:t>
      </w:r>
      <w:bookmarkEnd w:id="189"/>
      <w:bookmarkEnd w:id="190"/>
      <w:bookmarkEnd w:id="191"/>
    </w:p>
    <w:p w14:paraId="79A239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1.4.1 付款方式：</w:t>
      </w:r>
      <w:r>
        <w:rPr>
          <w:rFonts w:hint="eastAsia" w:ascii="宋体" w:hAnsi="宋体" w:cs="宋体"/>
          <w:i w:val="0"/>
          <w:iCs w:val="0"/>
          <w:color w:val="auto"/>
          <w:sz w:val="24"/>
          <w:highlight w:val="none"/>
          <w:u w:val="single"/>
          <w:lang w:val="en-US" w:eastAsia="zh-CN" w:bidi="ar"/>
        </w:rPr>
        <w:t xml:space="preserve">                      </w:t>
      </w:r>
      <w:r>
        <w:rPr>
          <w:rFonts w:hint="eastAsia" w:ascii="宋体" w:hAnsi="宋体" w:cs="宋体"/>
          <w:color w:val="auto"/>
          <w:sz w:val="24"/>
          <w:highlight w:val="none"/>
          <w:lang w:bidi="ar"/>
        </w:rPr>
        <w:t>；</w:t>
      </w:r>
    </w:p>
    <w:p w14:paraId="1E29AC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1.4.2 发票开具方式：</w:t>
      </w:r>
      <w:r>
        <w:rPr>
          <w:rFonts w:hint="eastAsia" w:ascii="宋体" w:hAnsi="宋体" w:cs="宋体"/>
          <w:i w:val="0"/>
          <w:iCs w:val="0"/>
          <w:color w:val="auto"/>
          <w:sz w:val="24"/>
          <w:highlight w:val="none"/>
          <w:u w:val="single"/>
          <w:lang w:bidi="ar"/>
        </w:rPr>
        <w:t>乙方开具对应金额发票给甲方，见票付款</w:t>
      </w:r>
      <w:r>
        <w:rPr>
          <w:rFonts w:hint="eastAsia" w:ascii="宋体" w:hAnsi="宋体" w:cs="宋体"/>
          <w:color w:val="auto"/>
          <w:sz w:val="24"/>
          <w:highlight w:val="none"/>
          <w:lang w:bidi="ar"/>
        </w:rPr>
        <w:t>。</w:t>
      </w:r>
    </w:p>
    <w:p w14:paraId="02122E95">
      <w:pPr>
        <w:spacing w:line="360" w:lineRule="auto"/>
        <w:ind w:firstLine="482" w:firstLineChars="200"/>
        <w:rPr>
          <w:rFonts w:hint="eastAsia" w:ascii="宋体" w:hAnsi="宋体" w:cs="宋体"/>
          <w:b/>
          <w:color w:val="auto"/>
          <w:sz w:val="24"/>
          <w:highlight w:val="none"/>
        </w:rPr>
      </w:pPr>
      <w:bookmarkStart w:id="192" w:name="_Toc32071"/>
      <w:bookmarkStart w:id="193" w:name="_Toc19304"/>
      <w:bookmarkStart w:id="194" w:name="_Toc2846"/>
      <w:r>
        <w:rPr>
          <w:rFonts w:hint="eastAsia" w:ascii="宋体" w:hAnsi="宋体" w:cs="宋体"/>
          <w:b/>
          <w:color w:val="auto"/>
          <w:sz w:val="24"/>
          <w:highlight w:val="none"/>
          <w:lang w:bidi="ar"/>
        </w:rPr>
        <w:t>1.5 标的物交付期限、地点、方式</w:t>
      </w:r>
      <w:bookmarkEnd w:id="192"/>
      <w:bookmarkEnd w:id="193"/>
      <w:bookmarkEnd w:id="194"/>
      <w:r>
        <w:rPr>
          <w:rFonts w:hint="eastAsia" w:ascii="宋体" w:hAnsi="宋体" w:cs="宋体"/>
          <w:b/>
          <w:color w:val="auto"/>
          <w:sz w:val="24"/>
          <w:highlight w:val="none"/>
          <w:lang w:bidi="ar"/>
        </w:rPr>
        <w:t>和货物期限</w:t>
      </w:r>
    </w:p>
    <w:p w14:paraId="4623F5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i w:val="0"/>
          <w:iCs w:val="0"/>
          <w:color w:val="auto"/>
          <w:sz w:val="24"/>
          <w:highlight w:val="none"/>
          <w:u w:val="single"/>
        </w:rPr>
      </w:pPr>
      <w:r>
        <w:rPr>
          <w:rFonts w:hint="eastAsia" w:ascii="宋体" w:hAnsi="宋体" w:cs="宋体"/>
          <w:color w:val="auto"/>
          <w:sz w:val="24"/>
          <w:highlight w:val="none"/>
          <w:lang w:bidi="ar"/>
        </w:rPr>
        <w:t xml:space="preserve">1.5.1 </w:t>
      </w:r>
      <w:r>
        <w:rPr>
          <w:rFonts w:hint="eastAsia" w:ascii="宋体" w:hAnsi="宋体" w:cs="宋体"/>
          <w:color w:val="auto"/>
          <w:sz w:val="24"/>
          <w:highlight w:val="none"/>
          <w:lang w:val="en-US" w:eastAsia="zh-CN" w:bidi="ar"/>
        </w:rPr>
        <w:t>交货期</w:t>
      </w:r>
      <w:r>
        <w:rPr>
          <w:rFonts w:hint="eastAsia" w:ascii="宋体" w:hAnsi="宋体" w:cs="宋体"/>
          <w:i w:val="0"/>
          <w:iCs w:val="0"/>
          <w:color w:val="auto"/>
          <w:sz w:val="24"/>
          <w:highlight w:val="none"/>
          <w:lang w:bidi="ar"/>
        </w:rPr>
        <w:t>：</w:t>
      </w:r>
      <w:r>
        <w:rPr>
          <w:rFonts w:hint="eastAsia" w:ascii="宋体" w:hAnsi="宋体" w:cs="宋体"/>
          <w:i w:val="0"/>
          <w:iCs w:val="0"/>
          <w:color w:val="auto"/>
          <w:sz w:val="24"/>
          <w:highlight w:val="none"/>
          <w:u w:val="single"/>
          <w:lang w:bidi="ar"/>
        </w:rPr>
        <w:t xml:space="preserve"> </w:t>
      </w:r>
      <w:r>
        <w:rPr>
          <w:rFonts w:hint="eastAsia" w:ascii="宋体" w:hAnsi="宋体" w:cs="宋体"/>
          <w:i w:val="0"/>
          <w:iCs w:val="0"/>
          <w:color w:val="auto"/>
          <w:sz w:val="24"/>
          <w:highlight w:val="none"/>
          <w:u w:val="single"/>
          <w:lang w:val="en-US" w:eastAsia="zh-CN" w:bidi="ar"/>
        </w:rPr>
        <w:t xml:space="preserve">  南宁市人民检察院             </w:t>
      </w:r>
      <w:r>
        <w:rPr>
          <w:rFonts w:hint="eastAsia" w:ascii="宋体" w:hAnsi="宋体" w:cs="宋体"/>
          <w:i w:val="0"/>
          <w:iCs w:val="0"/>
          <w:color w:val="auto"/>
          <w:sz w:val="24"/>
          <w:highlight w:val="none"/>
          <w:u w:val="single"/>
          <w:lang w:bidi="ar"/>
        </w:rPr>
        <w:t xml:space="preserve"> ；</w:t>
      </w:r>
    </w:p>
    <w:p w14:paraId="73CFC8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bidi="ar"/>
        </w:rPr>
        <w:t>1.5.2 交付地点：</w:t>
      </w:r>
      <w:r>
        <w:rPr>
          <w:rFonts w:hint="eastAsia" w:ascii="宋体" w:hAnsi="宋体" w:cs="宋体"/>
          <w:i w:val="0"/>
          <w:iCs w:val="0"/>
          <w:color w:val="auto"/>
          <w:sz w:val="24"/>
          <w:highlight w:val="none"/>
          <w:u w:val="single"/>
          <w:lang w:bidi="ar"/>
        </w:rPr>
        <w:t>采购人指定地点</w:t>
      </w:r>
      <w:r>
        <w:rPr>
          <w:rFonts w:hint="eastAsia" w:ascii="宋体" w:hAnsi="宋体" w:cs="宋体"/>
          <w:i w:val="0"/>
          <w:iCs w:val="0"/>
          <w:color w:val="auto"/>
          <w:sz w:val="24"/>
          <w:highlight w:val="none"/>
          <w:lang w:bidi="ar"/>
        </w:rPr>
        <w:t>；</w:t>
      </w:r>
    </w:p>
    <w:p w14:paraId="6B482E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bidi="ar"/>
        </w:rPr>
        <w:t>1.5.3 交付方式：</w:t>
      </w:r>
      <w:r>
        <w:rPr>
          <w:rFonts w:hint="eastAsia" w:ascii="宋体" w:hAnsi="宋体" w:cs="宋体"/>
          <w:i w:val="0"/>
          <w:iCs w:val="0"/>
          <w:color w:val="auto"/>
          <w:sz w:val="24"/>
          <w:highlight w:val="none"/>
          <w:u w:val="single"/>
          <w:lang w:bidi="ar"/>
        </w:rPr>
        <w:t xml:space="preserve">  现场交货 </w:t>
      </w:r>
      <w:r>
        <w:rPr>
          <w:rFonts w:hint="eastAsia" w:ascii="宋体" w:hAnsi="宋体" w:cs="宋体"/>
          <w:i w:val="0"/>
          <w:iCs w:val="0"/>
          <w:color w:val="auto"/>
          <w:sz w:val="24"/>
          <w:highlight w:val="none"/>
          <w:lang w:bidi="ar"/>
        </w:rPr>
        <w:t>；</w:t>
      </w:r>
    </w:p>
    <w:p w14:paraId="582CD0DB">
      <w:pPr>
        <w:spacing w:line="360" w:lineRule="auto"/>
        <w:ind w:firstLine="480" w:firstLineChars="200"/>
        <w:rPr>
          <w:rFonts w:hint="eastAsia" w:ascii="宋体" w:hAnsi="宋体" w:cs="宋体"/>
          <w:color w:val="auto"/>
          <w:sz w:val="24"/>
          <w:highlight w:val="none"/>
        </w:rPr>
      </w:pPr>
      <w:r>
        <w:rPr>
          <w:rFonts w:hint="eastAsia" w:ascii="宋体" w:hAnsi="宋体" w:cs="宋体"/>
          <w:i w:val="0"/>
          <w:iCs w:val="0"/>
          <w:color w:val="auto"/>
          <w:sz w:val="24"/>
          <w:highlight w:val="none"/>
          <w:lang w:bidi="ar"/>
        </w:rPr>
        <w:t>1.5.4 货物及质保期限：</w:t>
      </w:r>
      <w:r>
        <w:rPr>
          <w:rFonts w:hint="eastAsia" w:ascii="宋体" w:hAnsi="宋体" w:cs="宋体"/>
          <w:i w:val="0"/>
          <w:iCs w:val="0"/>
          <w:color w:val="auto"/>
          <w:sz w:val="24"/>
          <w:highlight w:val="none"/>
          <w:u w:val="single"/>
          <w:lang w:bidi="ar"/>
        </w:rPr>
        <w:t xml:space="preserve"> </w:t>
      </w:r>
      <w:r>
        <w:rPr>
          <w:rFonts w:hint="eastAsia" w:ascii="宋体" w:hAnsi="宋体" w:eastAsia="宋体" w:cs="宋体"/>
          <w:i w:val="0"/>
          <w:iCs w:val="0"/>
          <w:color w:val="auto"/>
          <w:sz w:val="24"/>
          <w:szCs w:val="24"/>
          <w:highlight w:val="none"/>
          <w:u w:val="single"/>
          <w:lang w:bidi="ar"/>
        </w:rPr>
        <w:t>详见</w:t>
      </w:r>
      <w:r>
        <w:rPr>
          <w:rFonts w:hint="eastAsia" w:ascii="宋体" w:hAnsi="宋体" w:cs="宋体"/>
          <w:i w:val="0"/>
          <w:iCs w:val="0"/>
          <w:color w:val="auto"/>
          <w:sz w:val="24"/>
          <w:highlight w:val="none"/>
          <w:u w:val="single"/>
          <w:lang w:bidi="ar"/>
        </w:rPr>
        <w:t>采购文件及投标文件</w:t>
      </w:r>
      <w:r>
        <w:rPr>
          <w:rFonts w:hint="eastAsia" w:ascii="宋体" w:hAnsi="宋体" w:cs="宋体"/>
          <w:color w:val="auto"/>
          <w:sz w:val="24"/>
          <w:highlight w:val="none"/>
          <w:lang w:bidi="ar"/>
        </w:rPr>
        <w:t>。</w:t>
      </w:r>
    </w:p>
    <w:p w14:paraId="194D5654">
      <w:pPr>
        <w:spacing w:line="360" w:lineRule="auto"/>
        <w:ind w:firstLine="482" w:firstLineChars="200"/>
        <w:rPr>
          <w:rFonts w:hint="eastAsia" w:ascii="宋体" w:hAnsi="宋体" w:cs="宋体"/>
          <w:b/>
          <w:color w:val="auto"/>
          <w:sz w:val="24"/>
          <w:highlight w:val="none"/>
        </w:rPr>
      </w:pPr>
      <w:bookmarkStart w:id="195" w:name="_Toc21423"/>
      <w:bookmarkStart w:id="196" w:name="_Toc19554"/>
      <w:bookmarkStart w:id="197" w:name="_Toc27250"/>
      <w:r>
        <w:rPr>
          <w:rFonts w:hint="eastAsia" w:ascii="宋体" w:hAnsi="宋体" w:cs="宋体"/>
          <w:b/>
          <w:color w:val="auto"/>
          <w:sz w:val="24"/>
          <w:highlight w:val="none"/>
          <w:lang w:bidi="ar"/>
        </w:rPr>
        <w:t>1.6 违约责任</w:t>
      </w:r>
      <w:bookmarkEnd w:id="195"/>
      <w:bookmarkEnd w:id="196"/>
      <w:bookmarkEnd w:id="197"/>
    </w:p>
    <w:p w14:paraId="7A164A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%；迟延超过【</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20%</w:t>
      </w:r>
      <w:r>
        <w:rPr>
          <w:rFonts w:hint="eastAsia" w:ascii="宋体" w:hAnsi="宋体" w:cs="宋体"/>
          <w:color w:val="auto"/>
          <w:sz w:val="24"/>
          <w:highlight w:val="none"/>
        </w:rPr>
        <w:t>向甲方支付违约金；</w:t>
      </w:r>
    </w:p>
    <w:p w14:paraId="50E765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计算，最高限额为欠付金额的</w:t>
      </w:r>
      <w:r>
        <w:rPr>
          <w:rFonts w:hint="eastAsia" w:ascii="宋体" w:hAnsi="宋体" w:cs="宋体"/>
          <w:color w:val="auto"/>
          <w:sz w:val="24"/>
          <w:highlight w:val="none"/>
          <w:u w:val="single"/>
        </w:rPr>
        <w:t xml:space="preserve"> 20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06BCF2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50AAB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1.6.4乙方在质保期内未按承诺提供售后等货物的，每发生一次向甲方支付</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元的违约金。</w:t>
      </w:r>
    </w:p>
    <w:p w14:paraId="231848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1.6.5 乙方违反本合同第二部分合同一般条款中2.3款知识产权的约定，导致甲方无法实现合同目的的，甲方有权解除本合同，乙方应退回全部已收取的合同价款并按合同总金额的20%向甲方支付违约金；</w:t>
      </w:r>
    </w:p>
    <w:p w14:paraId="1D5A79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1.6.</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E5184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1.6.</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F3E6C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1.6.</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 如果出现政府采购监督管理部门在处理投诉事项期间，书面通知甲方暂停采购活动的情形，或者询问或质疑事项可能影响中标结果的，导致甲方中止履行合同的情形，均不视为甲方违约。</w:t>
      </w:r>
    </w:p>
    <w:p w14:paraId="7939EC5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ascii="宋体" w:hAnsi="宋体" w:cs="宋体"/>
          <w:b/>
          <w:color w:val="auto"/>
          <w:sz w:val="24"/>
          <w:highlight w:val="none"/>
        </w:rPr>
      </w:pPr>
      <w:bookmarkStart w:id="198" w:name="_Toc16021"/>
      <w:bookmarkStart w:id="199" w:name="_Toc28375"/>
      <w:bookmarkStart w:id="200" w:name="_Toc15583"/>
      <w:r>
        <w:rPr>
          <w:rFonts w:hint="eastAsia" w:ascii="宋体" w:hAnsi="宋体" w:cs="宋体"/>
          <w:b/>
          <w:color w:val="auto"/>
          <w:sz w:val="24"/>
          <w:highlight w:val="none"/>
        </w:rPr>
        <w:t>1.7 合同争议的解决</w:t>
      </w:r>
      <w:bookmarkEnd w:id="198"/>
      <w:bookmarkEnd w:id="199"/>
      <w:bookmarkEnd w:id="200"/>
    </w:p>
    <w:p w14:paraId="14340D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1.7.2 </w:t>
      </w:r>
      <w:r>
        <w:rPr>
          <w:rFonts w:hint="eastAsia" w:ascii="宋体" w:hAnsi="宋体" w:cs="宋体"/>
          <w:color w:val="auto"/>
          <w:sz w:val="24"/>
          <w:highlight w:val="none"/>
        </w:rPr>
        <w:t>种方式解决：</w:t>
      </w:r>
    </w:p>
    <w:p w14:paraId="6C758A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3E75DD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rPr>
        <w:t>有管辖权的人民法院起诉。</w:t>
      </w:r>
    </w:p>
    <w:p w14:paraId="7E91393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ascii="宋体" w:hAnsi="宋体" w:cs="宋体"/>
          <w:b/>
          <w:color w:val="auto"/>
          <w:sz w:val="24"/>
          <w:highlight w:val="none"/>
        </w:rPr>
      </w:pPr>
      <w:bookmarkStart w:id="201" w:name="_Toc11173"/>
      <w:bookmarkStart w:id="202" w:name="_Toc7245"/>
      <w:bookmarkStart w:id="203" w:name="_Toc15322"/>
      <w:r>
        <w:rPr>
          <w:rFonts w:hint="eastAsia" w:ascii="宋体" w:hAnsi="宋体" w:cs="宋体"/>
          <w:b/>
          <w:color w:val="auto"/>
          <w:sz w:val="24"/>
          <w:highlight w:val="none"/>
        </w:rPr>
        <w:t>1.8 合同生效</w:t>
      </w:r>
      <w:bookmarkEnd w:id="201"/>
      <w:bookmarkEnd w:id="202"/>
      <w:bookmarkEnd w:id="203"/>
    </w:p>
    <w:p w14:paraId="42693E88">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本合同自双方当事人加盖有效公章时生效</w:t>
      </w:r>
      <w:r>
        <w:rPr>
          <w:rFonts w:hint="eastAsia" w:ascii="宋体" w:hAnsi="宋体" w:cs="宋体"/>
          <w:color w:val="auto"/>
          <w:sz w:val="24"/>
          <w:highlight w:val="none"/>
          <w:lang w:bidi="ar"/>
        </w:rPr>
        <w:t>。</w:t>
      </w:r>
    </w:p>
    <w:p w14:paraId="2719BA71">
      <w:pPr>
        <w:spacing w:line="360" w:lineRule="auto"/>
        <w:ind w:firstLine="200"/>
        <w:rPr>
          <w:rFonts w:hint="eastAsia" w:ascii="宋体" w:hAnsi="宋体" w:cs="宋体"/>
          <w:color w:val="auto"/>
          <w:sz w:val="24"/>
          <w:highlight w:val="none"/>
          <w:lang w:val="zh-CN" w:bidi="ar"/>
        </w:rPr>
      </w:pPr>
    </w:p>
    <w:p w14:paraId="4D3024D5">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甲方：广西壮族自治区南宁市人民检察院                 乙方：</w:t>
      </w:r>
    </w:p>
    <w:p w14:paraId="32A5487F">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统一社会信用代码：                       统一社会信用代码或身份证号码：</w:t>
      </w:r>
    </w:p>
    <w:p w14:paraId="149BD5D8">
      <w:pPr>
        <w:spacing w:line="360" w:lineRule="auto"/>
        <w:ind w:firstLine="200"/>
        <w:rPr>
          <w:rFonts w:hint="eastAsia" w:ascii="宋体" w:hAnsi="宋体" w:cs="宋体"/>
          <w:color w:val="auto"/>
          <w:sz w:val="24"/>
          <w:highlight w:val="none"/>
          <w:lang w:val="zh-CN"/>
        </w:rPr>
      </w:pPr>
    </w:p>
    <w:p w14:paraId="4C08A4FD">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 xml:space="preserve">住所：南宁市民族大道72号              </w:t>
      </w:r>
      <w:r>
        <w:rPr>
          <w:rFonts w:hint="eastAsia" w:ascii="宋体" w:hAnsi="宋体" w:cs="宋体"/>
          <w:color w:val="auto"/>
          <w:sz w:val="24"/>
          <w:highlight w:val="none"/>
          <w:lang w:val="en-US" w:eastAsia="zh-CN" w:bidi="ar"/>
        </w:rPr>
        <w:t xml:space="preserve">  </w:t>
      </w:r>
      <w:r>
        <w:rPr>
          <w:rFonts w:hint="eastAsia" w:ascii="宋体" w:hAnsi="宋体" w:cs="宋体"/>
          <w:color w:val="auto"/>
          <w:sz w:val="24"/>
          <w:highlight w:val="none"/>
          <w:lang w:val="zh-CN" w:bidi="ar"/>
        </w:rPr>
        <w:t>住所：</w:t>
      </w:r>
    </w:p>
    <w:p w14:paraId="69107B27">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法定代表人或                             法定代表人</w:t>
      </w:r>
    </w:p>
    <w:p w14:paraId="2B8084FD">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 xml:space="preserve">授权代表（签字或盖章）：                 或授权代表（签字或盖章）: </w:t>
      </w:r>
    </w:p>
    <w:p w14:paraId="06F2EFDB">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联系人：                                 联系人：</w:t>
      </w:r>
    </w:p>
    <w:p w14:paraId="11E51E55">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 xml:space="preserve">约定送达地址：南宁市民族大道72号      </w:t>
      </w:r>
      <w:r>
        <w:rPr>
          <w:rFonts w:hint="eastAsia" w:ascii="宋体" w:hAnsi="宋体" w:cs="宋体"/>
          <w:color w:val="auto"/>
          <w:sz w:val="24"/>
          <w:highlight w:val="none"/>
          <w:lang w:val="en-US" w:eastAsia="zh-CN" w:bidi="ar"/>
        </w:rPr>
        <w:t xml:space="preserve">  </w:t>
      </w:r>
      <w:r>
        <w:rPr>
          <w:rFonts w:hint="eastAsia" w:ascii="宋体" w:hAnsi="宋体" w:cs="宋体"/>
          <w:color w:val="auto"/>
          <w:sz w:val="24"/>
          <w:highlight w:val="none"/>
          <w:lang w:val="zh-CN" w:bidi="ar"/>
        </w:rPr>
        <w:t>约定送达地址：</w:t>
      </w:r>
    </w:p>
    <w:p w14:paraId="41499E0A">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邮政编码：                               邮政编码：</w:t>
      </w:r>
    </w:p>
    <w:p w14:paraId="32AE823C">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 xml:space="preserve">电话:                                    电话: </w:t>
      </w:r>
    </w:p>
    <w:p w14:paraId="5F6B7D77">
      <w:pPr>
        <w:spacing w:line="360" w:lineRule="auto"/>
        <w:ind w:firstLine="200"/>
        <w:rPr>
          <w:rFonts w:hint="eastAsia" w:ascii="宋体" w:hAnsi="宋体" w:cs="宋体"/>
          <w:color w:val="auto"/>
          <w:sz w:val="24"/>
          <w:highlight w:val="none"/>
          <w:lang w:val="zh-CN"/>
        </w:rPr>
      </w:pPr>
      <w:r>
        <w:rPr>
          <w:rFonts w:hint="eastAsia" w:ascii="宋体" w:hAnsi="宋体" w:cs="宋体"/>
          <w:color w:val="auto"/>
          <w:sz w:val="24"/>
          <w:highlight w:val="none"/>
          <w:lang w:val="zh-CN" w:bidi="ar"/>
        </w:rPr>
        <w:t>传真:                                    传真:</w:t>
      </w:r>
    </w:p>
    <w:p w14:paraId="3C992301">
      <w:pPr>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lang w:val="zh-CN" w:bidi="ar"/>
        </w:rPr>
        <w:t>电子邮箱：                               电子邮箱：</w:t>
      </w:r>
    </w:p>
    <w:p w14:paraId="15193915">
      <w:pPr>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lang w:bidi="ar"/>
        </w:rPr>
        <w:t xml:space="preserve">开户银行：                               开户银行： </w:t>
      </w:r>
    </w:p>
    <w:p w14:paraId="0A749E08">
      <w:pPr>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lang w:bidi="ar"/>
        </w:rPr>
        <w:t xml:space="preserve">开户名称：                               开户名称： </w:t>
      </w:r>
    </w:p>
    <w:p w14:paraId="08546A53">
      <w:pPr>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lang w:bidi="ar"/>
        </w:rPr>
        <w:t>开户账号：</w:t>
      </w:r>
      <w:r>
        <w:rPr>
          <w:rFonts w:hint="eastAsia" w:ascii="宋体" w:hAnsi="宋体" w:cs="宋体"/>
          <w:color w:val="auto"/>
          <w:sz w:val="24"/>
          <w:highlight w:val="none"/>
          <w:lang w:val="zh-CN" w:bidi="ar"/>
        </w:rPr>
        <w:t xml:space="preserve">                               </w:t>
      </w:r>
      <w:r>
        <w:rPr>
          <w:rFonts w:hint="eastAsia" w:ascii="宋体" w:hAnsi="宋体" w:cs="宋体"/>
          <w:color w:val="auto"/>
          <w:sz w:val="24"/>
          <w:highlight w:val="none"/>
          <w:lang w:bidi="ar"/>
        </w:rPr>
        <w:t>开户账号：</w:t>
      </w:r>
    </w:p>
    <w:p w14:paraId="0EA976A2">
      <w:pPr>
        <w:spacing w:line="360" w:lineRule="auto"/>
        <w:ind w:firstLine="200"/>
        <w:jc w:val="center"/>
        <w:rPr>
          <w:rFonts w:hint="eastAsia" w:ascii="宋体" w:hAnsi="宋体" w:cs="宋体"/>
          <w:b/>
          <w:color w:val="auto"/>
          <w:sz w:val="28"/>
          <w:szCs w:val="28"/>
          <w:highlight w:val="none"/>
        </w:rPr>
      </w:pPr>
      <w:r>
        <w:rPr>
          <w:rFonts w:hint="eastAsia" w:ascii="宋体" w:hAnsi="宋体" w:cs="宋体"/>
          <w:b/>
          <w:color w:val="auto"/>
          <w:highlight w:val="none"/>
          <w:lang w:bidi="ar"/>
        </w:rPr>
        <w:br w:type="page"/>
      </w:r>
      <w:bookmarkStart w:id="204" w:name="_Toc331685783"/>
      <w:r>
        <w:rPr>
          <w:rFonts w:hint="eastAsia" w:ascii="宋体" w:hAnsi="宋体" w:cs="宋体"/>
          <w:b/>
          <w:color w:val="auto"/>
          <w:sz w:val="28"/>
          <w:szCs w:val="28"/>
          <w:highlight w:val="none"/>
          <w:lang w:bidi="ar"/>
        </w:rPr>
        <w:t>第二部分 合同一般条款</w:t>
      </w:r>
      <w:bookmarkEnd w:id="204"/>
    </w:p>
    <w:p w14:paraId="1B867454">
      <w:pPr>
        <w:spacing w:line="360" w:lineRule="auto"/>
        <w:ind w:firstLine="482" w:firstLineChars="200"/>
        <w:rPr>
          <w:rFonts w:hint="eastAsia" w:ascii="宋体" w:hAnsi="宋体" w:cs="宋体"/>
          <w:b/>
          <w:color w:val="auto"/>
          <w:sz w:val="24"/>
          <w:highlight w:val="none"/>
        </w:rPr>
      </w:pPr>
      <w:bookmarkStart w:id="205" w:name="_Ref467378499"/>
      <w:bookmarkStart w:id="206" w:name="_Ref467379214"/>
      <w:bookmarkStart w:id="207" w:name="_Toc16917"/>
      <w:bookmarkStart w:id="208" w:name="_Toc487900349"/>
      <w:bookmarkStart w:id="209" w:name="_Ref467378404"/>
      <w:bookmarkStart w:id="210" w:name="_Ref467379205"/>
      <w:bookmarkStart w:id="211" w:name="_Ref467379094"/>
      <w:bookmarkStart w:id="212" w:name="_Ref467379195"/>
      <w:bookmarkStart w:id="213" w:name="_Toc259093669"/>
      <w:bookmarkStart w:id="214" w:name="_Ref467379109"/>
      <w:bookmarkStart w:id="215" w:name="_Ref467379225"/>
      <w:bookmarkStart w:id="216" w:name="_Ref467379101"/>
      <w:bookmarkStart w:id="217" w:name="_Toc279701240"/>
      <w:bookmarkStart w:id="218" w:name="_Toc19614"/>
      <w:bookmarkStart w:id="219" w:name="_Ref467378463"/>
      <w:bookmarkStart w:id="220" w:name="_Toc28763"/>
      <w:r>
        <w:rPr>
          <w:rFonts w:hint="eastAsia" w:ascii="宋体" w:hAnsi="宋体" w:cs="宋体"/>
          <w:b/>
          <w:color w:val="auto"/>
          <w:sz w:val="24"/>
          <w:highlight w:val="none"/>
          <w:lang w:bidi="ar"/>
        </w:rPr>
        <w:t>2.1 定义</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742792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本合同中的下列词语应按以下内容进行解释：</w:t>
      </w:r>
    </w:p>
    <w:p w14:paraId="4E71DB1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2.1.1 “合同”系指采购人和中标供应商签订的载明双方当事人所达成的协议，并包括所有的附件、附录和构成合同的其他文件。</w:t>
      </w:r>
    </w:p>
    <w:p w14:paraId="668D48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2.1.2 “合同价”系指根据合同约定，中标供应商在完全履行合同义务后，采购人应支付给中标供应商的价格。</w:t>
      </w:r>
    </w:p>
    <w:p w14:paraId="3AF83F6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2.1.3 “标的物”系指中标供应商根据合同约定应向采购人交付的一切各种形态和种类的货物、货物和工程，包括但不限于原材料、燃料、设备、机械、仪表、备件、计算机软件、信息化系统、信息化维保、物业货物、产品等，并包括工具、手册等其他相关资料。</w:t>
      </w:r>
    </w:p>
    <w:p w14:paraId="5C18F0E8">
      <w:pPr>
        <w:spacing w:line="360" w:lineRule="auto"/>
        <w:ind w:firstLine="480" w:firstLineChars="200"/>
        <w:rPr>
          <w:rFonts w:hint="eastAsia" w:ascii="宋体" w:hAnsi="宋体" w:cs="宋体"/>
          <w:color w:val="auto"/>
          <w:sz w:val="24"/>
          <w:highlight w:val="none"/>
        </w:rPr>
      </w:pPr>
      <w:bookmarkStart w:id="221" w:name="_Ref467378840"/>
      <w:r>
        <w:rPr>
          <w:rFonts w:hint="eastAsia" w:ascii="宋体" w:hAnsi="宋体" w:cs="宋体"/>
          <w:color w:val="auto"/>
          <w:sz w:val="24"/>
          <w:highlight w:val="none"/>
          <w:lang w:bidi="ar"/>
        </w:rPr>
        <w:t>2.1.4 “甲方”系指与中标供应商签署合同的采购人</w:t>
      </w:r>
      <w:bookmarkEnd w:id="221"/>
      <w:r>
        <w:rPr>
          <w:rFonts w:hint="eastAsia" w:ascii="宋体" w:hAnsi="宋体" w:cs="宋体"/>
          <w:color w:val="auto"/>
          <w:sz w:val="24"/>
          <w:highlight w:val="none"/>
          <w:lang w:bidi="ar"/>
        </w:rPr>
        <w:t>；采购人委托采购机构代表其与乙方签订合同的，采购人的授权委托书作为合同附件。</w:t>
      </w:r>
    </w:p>
    <w:p w14:paraId="6F95FD2B">
      <w:pPr>
        <w:spacing w:line="360" w:lineRule="auto"/>
        <w:ind w:firstLine="480" w:firstLineChars="200"/>
        <w:rPr>
          <w:rFonts w:hint="eastAsia" w:ascii="宋体" w:hAnsi="宋体" w:cs="宋体"/>
          <w:color w:val="auto"/>
          <w:sz w:val="24"/>
          <w:highlight w:val="none"/>
        </w:rPr>
      </w:pPr>
      <w:bookmarkStart w:id="222" w:name="_Ref467379400"/>
      <w:r>
        <w:rPr>
          <w:rFonts w:hint="eastAsia" w:ascii="宋体" w:hAnsi="宋体" w:cs="宋体"/>
          <w:color w:val="auto"/>
          <w:sz w:val="24"/>
          <w:highlight w:val="none"/>
          <w:lang w:bidi="ar"/>
        </w:rPr>
        <w:t>2.1.5 “乙方”系指根据合同约定交付标的物的</w:t>
      </w:r>
      <w:bookmarkEnd w:id="222"/>
      <w:r>
        <w:rPr>
          <w:rFonts w:hint="eastAsia" w:ascii="宋体" w:hAnsi="宋体" w:cs="宋体"/>
          <w:color w:val="auto"/>
          <w:sz w:val="24"/>
          <w:highlight w:val="none"/>
          <w:lang w:bidi="ar"/>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6DBC6A96">
      <w:pPr>
        <w:spacing w:line="360" w:lineRule="auto"/>
        <w:ind w:firstLine="480" w:firstLineChars="200"/>
        <w:rPr>
          <w:rFonts w:hint="eastAsia" w:ascii="宋体" w:hAnsi="宋体" w:cs="宋体"/>
          <w:color w:val="auto"/>
          <w:sz w:val="24"/>
          <w:highlight w:val="none"/>
        </w:rPr>
      </w:pPr>
      <w:bookmarkStart w:id="223" w:name="_Ref467379436"/>
      <w:r>
        <w:rPr>
          <w:rFonts w:hint="eastAsia" w:ascii="宋体" w:hAnsi="宋体" w:cs="宋体"/>
          <w:color w:val="auto"/>
          <w:sz w:val="24"/>
          <w:highlight w:val="none"/>
          <w:lang w:bidi="ar"/>
        </w:rPr>
        <w:t>2.1.6 “现场”系指合同约定标的物将要运至或者实施或者安装的地点。</w:t>
      </w:r>
      <w:bookmarkEnd w:id="223"/>
    </w:p>
    <w:p w14:paraId="08A2EC5F">
      <w:pPr>
        <w:spacing w:line="360" w:lineRule="auto"/>
        <w:ind w:firstLine="482" w:firstLineChars="200"/>
        <w:rPr>
          <w:rFonts w:hint="eastAsia" w:ascii="宋体" w:hAnsi="宋体" w:cs="宋体"/>
          <w:b/>
          <w:color w:val="auto"/>
          <w:sz w:val="24"/>
          <w:highlight w:val="none"/>
        </w:rPr>
      </w:pPr>
      <w:bookmarkStart w:id="224" w:name="_Toc32504"/>
      <w:bookmarkStart w:id="225" w:name="_Toc13336"/>
      <w:bookmarkStart w:id="226" w:name="_Toc487900350"/>
      <w:bookmarkStart w:id="227" w:name="_Toc259093670"/>
      <w:bookmarkStart w:id="228" w:name="_Toc27635"/>
      <w:bookmarkStart w:id="229" w:name="_Toc279701241"/>
      <w:r>
        <w:rPr>
          <w:rFonts w:hint="eastAsia" w:ascii="宋体" w:hAnsi="宋体" w:cs="宋体"/>
          <w:b/>
          <w:color w:val="auto"/>
          <w:sz w:val="24"/>
          <w:highlight w:val="none"/>
          <w:lang w:bidi="ar"/>
        </w:rPr>
        <w:t>2.2 技术规范</w:t>
      </w:r>
      <w:bookmarkEnd w:id="224"/>
      <w:bookmarkEnd w:id="225"/>
      <w:bookmarkEnd w:id="226"/>
      <w:bookmarkEnd w:id="227"/>
      <w:bookmarkEnd w:id="228"/>
      <w:bookmarkEnd w:id="229"/>
    </w:p>
    <w:p w14:paraId="3A1372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5C0C8ACC">
      <w:pPr>
        <w:spacing w:line="360" w:lineRule="auto"/>
        <w:ind w:firstLine="482" w:firstLineChars="200"/>
        <w:rPr>
          <w:rFonts w:hint="eastAsia" w:ascii="宋体" w:hAnsi="宋体" w:cs="宋体"/>
          <w:b/>
          <w:color w:val="auto"/>
          <w:sz w:val="24"/>
          <w:highlight w:val="none"/>
        </w:rPr>
      </w:pPr>
      <w:bookmarkStart w:id="230" w:name="_Toc279701242"/>
      <w:bookmarkStart w:id="231" w:name="_Toc9829"/>
      <w:bookmarkStart w:id="232" w:name="_Toc487900351"/>
      <w:bookmarkStart w:id="233" w:name="_Toc31634"/>
      <w:bookmarkStart w:id="234" w:name="_Toc259093671"/>
      <w:bookmarkStart w:id="235" w:name="_Toc27853"/>
      <w:r>
        <w:rPr>
          <w:rFonts w:hint="eastAsia" w:ascii="宋体" w:hAnsi="宋体" w:cs="宋体"/>
          <w:b/>
          <w:color w:val="auto"/>
          <w:sz w:val="24"/>
          <w:highlight w:val="none"/>
          <w:lang w:bidi="ar"/>
        </w:rPr>
        <w:t>2.3 知识产权</w:t>
      </w:r>
      <w:bookmarkEnd w:id="230"/>
      <w:bookmarkEnd w:id="231"/>
      <w:bookmarkEnd w:id="232"/>
      <w:bookmarkEnd w:id="233"/>
      <w:bookmarkEnd w:id="234"/>
      <w:bookmarkEnd w:id="235"/>
    </w:p>
    <w:p w14:paraId="4EFE68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84E90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2.3.2具有知识产权的计算机软件等标的物的知识产权归属，详见</w:t>
      </w:r>
      <w:r>
        <w:rPr>
          <w:rFonts w:hint="eastAsia" w:ascii="宋体" w:hAnsi="宋体" w:cs="宋体"/>
          <w:b/>
          <w:i/>
          <w:color w:val="auto"/>
          <w:sz w:val="24"/>
          <w:highlight w:val="none"/>
          <w:u w:val="single"/>
          <w:lang w:bidi="ar"/>
        </w:rPr>
        <w:t>合同专用条款</w:t>
      </w:r>
      <w:r>
        <w:rPr>
          <w:rFonts w:hint="eastAsia" w:ascii="宋体" w:hAnsi="宋体" w:cs="宋体"/>
          <w:color w:val="auto"/>
          <w:sz w:val="24"/>
          <w:highlight w:val="none"/>
          <w:lang w:bidi="ar"/>
        </w:rPr>
        <w:t>。</w:t>
      </w:r>
    </w:p>
    <w:p w14:paraId="32703AB1">
      <w:pPr>
        <w:spacing w:line="360" w:lineRule="auto"/>
        <w:ind w:firstLine="482" w:firstLineChars="200"/>
        <w:rPr>
          <w:rFonts w:hint="eastAsia" w:ascii="宋体" w:hAnsi="宋体" w:cs="宋体"/>
          <w:b/>
          <w:color w:val="auto"/>
          <w:sz w:val="24"/>
          <w:highlight w:val="none"/>
        </w:rPr>
      </w:pPr>
      <w:bookmarkStart w:id="236" w:name="_Toc29149"/>
      <w:bookmarkStart w:id="237" w:name="_Toc11932"/>
      <w:bookmarkStart w:id="238" w:name="_Toc4194"/>
      <w:r>
        <w:rPr>
          <w:rFonts w:hint="eastAsia" w:ascii="宋体" w:hAnsi="宋体" w:cs="宋体"/>
          <w:b/>
          <w:color w:val="auto"/>
          <w:sz w:val="24"/>
          <w:highlight w:val="none"/>
          <w:lang w:bidi="ar"/>
        </w:rPr>
        <w:t>2.4 包装和装运</w:t>
      </w:r>
      <w:bookmarkEnd w:id="236"/>
      <w:bookmarkEnd w:id="237"/>
      <w:bookmarkEnd w:id="238"/>
    </w:p>
    <w:p w14:paraId="26BE84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2.4.1除</w:t>
      </w:r>
      <w:r>
        <w:rPr>
          <w:rFonts w:hint="eastAsia" w:ascii="宋体" w:hAnsi="宋体" w:cs="宋体"/>
          <w:b/>
          <w:i/>
          <w:color w:val="auto"/>
          <w:sz w:val="24"/>
          <w:highlight w:val="none"/>
          <w:u w:val="single"/>
          <w:lang w:bidi="ar"/>
        </w:rPr>
        <w:t>合同专用条款</w:t>
      </w:r>
      <w:r>
        <w:rPr>
          <w:rFonts w:hint="eastAsia" w:ascii="宋体" w:hAnsi="宋体" w:cs="宋体"/>
          <w:color w:val="auto"/>
          <w:sz w:val="24"/>
          <w:highlight w:val="none"/>
          <w:lang w:bidi="ar"/>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631B87A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2.4.2 装运标的物的要求和通知，详见</w:t>
      </w:r>
      <w:r>
        <w:rPr>
          <w:rFonts w:hint="eastAsia" w:ascii="宋体" w:hAnsi="宋体" w:cs="宋体"/>
          <w:b/>
          <w:i/>
          <w:color w:val="auto"/>
          <w:sz w:val="24"/>
          <w:highlight w:val="none"/>
          <w:u w:val="single"/>
          <w:lang w:bidi="ar"/>
        </w:rPr>
        <w:t>合同专用条款</w:t>
      </w:r>
      <w:r>
        <w:rPr>
          <w:rFonts w:hint="eastAsia" w:ascii="宋体" w:hAnsi="宋体" w:cs="宋体"/>
          <w:color w:val="auto"/>
          <w:sz w:val="24"/>
          <w:highlight w:val="none"/>
          <w:lang w:bidi="ar"/>
        </w:rPr>
        <w:t>。</w:t>
      </w:r>
    </w:p>
    <w:p w14:paraId="0C26337D">
      <w:pPr>
        <w:spacing w:line="360" w:lineRule="auto"/>
        <w:ind w:firstLine="482" w:firstLineChars="200"/>
        <w:rPr>
          <w:rFonts w:hint="eastAsia" w:ascii="宋体" w:hAnsi="宋体" w:cs="宋体"/>
          <w:b/>
          <w:color w:val="auto"/>
          <w:sz w:val="24"/>
          <w:highlight w:val="none"/>
        </w:rPr>
      </w:pPr>
      <w:bookmarkStart w:id="239" w:name="_Ref467378541"/>
      <w:bookmarkStart w:id="240" w:name="_Toc487900354"/>
      <w:bookmarkStart w:id="241" w:name="_Ref467379542"/>
      <w:bookmarkStart w:id="242" w:name="_Ref467379527"/>
      <w:bookmarkStart w:id="243" w:name="_Toc259093674"/>
      <w:bookmarkStart w:id="244" w:name="_Ref467378591"/>
      <w:bookmarkStart w:id="245" w:name="_Toc279701245"/>
      <w:bookmarkStart w:id="246" w:name="_Ref467379536"/>
      <w:bookmarkStart w:id="247" w:name="_Toc26182"/>
      <w:bookmarkStart w:id="248" w:name="_Toc30272"/>
      <w:bookmarkStart w:id="249" w:name="_Toc19074"/>
      <w:r>
        <w:rPr>
          <w:rFonts w:hint="eastAsia" w:ascii="宋体" w:hAnsi="宋体" w:cs="宋体"/>
          <w:b/>
          <w:color w:val="auto"/>
          <w:sz w:val="24"/>
          <w:highlight w:val="none"/>
          <w:lang w:bidi="ar"/>
        </w:rPr>
        <w:t>2.</w:t>
      </w:r>
      <w:bookmarkEnd w:id="239"/>
      <w:bookmarkEnd w:id="240"/>
      <w:bookmarkEnd w:id="241"/>
      <w:bookmarkEnd w:id="242"/>
      <w:bookmarkEnd w:id="243"/>
      <w:bookmarkEnd w:id="244"/>
      <w:bookmarkEnd w:id="245"/>
      <w:bookmarkEnd w:id="246"/>
      <w:r>
        <w:rPr>
          <w:rFonts w:hint="eastAsia" w:ascii="宋体" w:hAnsi="宋体" w:cs="宋体"/>
          <w:b/>
          <w:color w:val="auto"/>
          <w:sz w:val="24"/>
          <w:highlight w:val="none"/>
          <w:lang w:bidi="ar"/>
        </w:rPr>
        <w:t>5 履约检查和问题反馈</w:t>
      </w:r>
      <w:bookmarkEnd w:id="247"/>
      <w:bookmarkEnd w:id="248"/>
      <w:bookmarkEnd w:id="249"/>
    </w:p>
    <w:p w14:paraId="6B180FE6">
      <w:pPr>
        <w:spacing w:line="360" w:lineRule="auto"/>
        <w:ind w:firstLine="480" w:firstLineChars="200"/>
        <w:rPr>
          <w:rFonts w:hint="eastAsia" w:ascii="宋体" w:hAnsi="宋体" w:cs="宋体"/>
          <w:color w:val="auto"/>
          <w:sz w:val="24"/>
          <w:highlight w:val="none"/>
        </w:rPr>
      </w:pPr>
      <w:bookmarkStart w:id="250" w:name="_Ref467379657"/>
      <w:r>
        <w:rPr>
          <w:rFonts w:hint="eastAsia" w:ascii="宋体" w:hAnsi="宋体" w:cs="宋体"/>
          <w:color w:val="auto"/>
          <w:sz w:val="24"/>
          <w:highlight w:val="none"/>
          <w:lang w:bidi="ar"/>
        </w:rPr>
        <w:t>2.5.1</w:t>
      </w:r>
      <w:bookmarkEnd w:id="250"/>
      <w:bookmarkStart w:id="251" w:name="_Toc186431854"/>
      <w:bookmarkStart w:id="252" w:name="_Ref467379793"/>
      <w:bookmarkStart w:id="253" w:name="_Toc259093676"/>
      <w:bookmarkStart w:id="254" w:name="_Ref467379807"/>
      <w:bookmarkStart w:id="255" w:name="_Toc279701247"/>
      <w:bookmarkStart w:id="256" w:name="_Toc487900357"/>
      <w:r>
        <w:rPr>
          <w:rFonts w:hint="eastAsia" w:ascii="宋体" w:hAnsi="宋体" w:cs="宋体"/>
          <w:color w:val="auto"/>
          <w:sz w:val="24"/>
          <w:highlight w:val="none"/>
          <w:lang w:bidi="ar"/>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493D3D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2.5.2 合同履行期间，甲方有权将履行过程中出现的问题反馈给乙方，双方当事人应以书面形式约定需要完善和改进的内容</w:t>
      </w:r>
      <w:bookmarkEnd w:id="251"/>
      <w:bookmarkStart w:id="257" w:name="_Toc186431855"/>
      <w:r>
        <w:rPr>
          <w:rFonts w:hint="eastAsia" w:ascii="宋体" w:hAnsi="宋体" w:cs="宋体"/>
          <w:color w:val="auto"/>
          <w:sz w:val="24"/>
          <w:highlight w:val="none"/>
          <w:lang w:bidi="ar"/>
        </w:rPr>
        <w:t>。</w:t>
      </w:r>
    </w:p>
    <w:bookmarkEnd w:id="257"/>
    <w:p w14:paraId="3880D056">
      <w:pPr>
        <w:spacing w:line="360" w:lineRule="auto"/>
        <w:ind w:firstLine="482" w:firstLineChars="200"/>
        <w:rPr>
          <w:rFonts w:hint="eastAsia" w:ascii="宋体" w:hAnsi="宋体" w:cs="宋体"/>
          <w:b/>
          <w:color w:val="auto"/>
          <w:sz w:val="24"/>
          <w:highlight w:val="none"/>
        </w:rPr>
      </w:pPr>
      <w:bookmarkStart w:id="258" w:name="_Toc28451"/>
      <w:bookmarkStart w:id="259" w:name="_Toc7836"/>
      <w:bookmarkStart w:id="260" w:name="_Toc19219"/>
      <w:r>
        <w:rPr>
          <w:rFonts w:hint="eastAsia" w:ascii="宋体" w:hAnsi="宋体" w:cs="宋体"/>
          <w:b/>
          <w:color w:val="auto"/>
          <w:sz w:val="24"/>
          <w:highlight w:val="none"/>
          <w:lang w:bidi="ar"/>
        </w:rPr>
        <w:t>2.6 结算方式和付款条件</w:t>
      </w:r>
      <w:bookmarkEnd w:id="252"/>
      <w:bookmarkEnd w:id="253"/>
      <w:bookmarkEnd w:id="254"/>
      <w:bookmarkEnd w:id="255"/>
      <w:bookmarkEnd w:id="256"/>
      <w:bookmarkEnd w:id="258"/>
      <w:bookmarkEnd w:id="259"/>
      <w:bookmarkEnd w:id="260"/>
    </w:p>
    <w:p w14:paraId="57EAB4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详见</w:t>
      </w:r>
      <w:r>
        <w:rPr>
          <w:rFonts w:hint="eastAsia" w:ascii="宋体" w:hAnsi="宋体" w:cs="宋体"/>
          <w:b/>
          <w:i/>
          <w:color w:val="auto"/>
          <w:sz w:val="24"/>
          <w:highlight w:val="none"/>
          <w:u w:val="single"/>
          <w:lang w:bidi="ar"/>
        </w:rPr>
        <w:t>合同专用条款</w:t>
      </w:r>
      <w:r>
        <w:rPr>
          <w:rFonts w:hint="eastAsia" w:ascii="宋体" w:hAnsi="宋体" w:cs="宋体"/>
          <w:color w:val="auto"/>
          <w:sz w:val="24"/>
          <w:highlight w:val="none"/>
          <w:lang w:bidi="ar"/>
        </w:rPr>
        <w:t>。</w:t>
      </w:r>
    </w:p>
    <w:p w14:paraId="0010883C">
      <w:pPr>
        <w:spacing w:line="360" w:lineRule="auto"/>
        <w:ind w:firstLine="482" w:firstLineChars="200"/>
        <w:rPr>
          <w:rFonts w:hint="eastAsia" w:ascii="宋体" w:hAnsi="宋体" w:cs="宋体"/>
          <w:b/>
          <w:color w:val="auto"/>
          <w:sz w:val="24"/>
          <w:highlight w:val="none"/>
        </w:rPr>
      </w:pPr>
      <w:bookmarkStart w:id="261" w:name="_Ref467379923"/>
      <w:bookmarkStart w:id="262" w:name="_Ref467379852"/>
      <w:bookmarkStart w:id="263" w:name="_Toc279701248"/>
      <w:bookmarkStart w:id="264" w:name="_Toc259093677"/>
      <w:bookmarkStart w:id="265" w:name="_Ref467379863"/>
      <w:bookmarkStart w:id="266" w:name="_Toc487900358"/>
      <w:bookmarkStart w:id="267" w:name="_Toc3225"/>
      <w:bookmarkStart w:id="268" w:name="_Toc774"/>
      <w:bookmarkStart w:id="269" w:name="_Toc16110"/>
      <w:r>
        <w:rPr>
          <w:rFonts w:hint="eastAsia" w:ascii="宋体" w:hAnsi="宋体" w:cs="宋体"/>
          <w:b/>
          <w:color w:val="auto"/>
          <w:sz w:val="24"/>
          <w:highlight w:val="none"/>
          <w:lang w:bidi="ar"/>
        </w:rPr>
        <w:t>2.7 技术资料</w:t>
      </w:r>
      <w:bookmarkEnd w:id="261"/>
      <w:bookmarkEnd w:id="262"/>
      <w:bookmarkEnd w:id="263"/>
      <w:bookmarkEnd w:id="264"/>
      <w:bookmarkEnd w:id="265"/>
      <w:bookmarkEnd w:id="266"/>
      <w:r>
        <w:rPr>
          <w:rFonts w:hint="eastAsia" w:ascii="宋体" w:hAnsi="宋体" w:cs="宋体"/>
          <w:b/>
          <w:color w:val="auto"/>
          <w:sz w:val="24"/>
          <w:highlight w:val="none"/>
          <w:lang w:bidi="ar"/>
        </w:rPr>
        <w:t>和保密义务</w:t>
      </w:r>
      <w:bookmarkEnd w:id="267"/>
      <w:bookmarkEnd w:id="268"/>
      <w:bookmarkEnd w:id="269"/>
    </w:p>
    <w:p w14:paraId="509BED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2.7.1 乙方有权依据合同约定和项目需要，向甲方了解有关情况，调阅有关资料等，甲方应予积极配合；</w:t>
      </w:r>
    </w:p>
    <w:p w14:paraId="6C141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2.7.2 乙方有义务妥善保管和保护由甲方提供的前款信息和资料等；</w:t>
      </w:r>
    </w:p>
    <w:p w14:paraId="061F4B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11C04CB">
      <w:pPr>
        <w:spacing w:line="360" w:lineRule="auto"/>
        <w:ind w:firstLine="482" w:firstLineChars="200"/>
        <w:rPr>
          <w:rFonts w:hint="eastAsia" w:ascii="宋体" w:hAnsi="宋体" w:cs="宋体"/>
          <w:b/>
          <w:color w:val="auto"/>
          <w:sz w:val="24"/>
          <w:highlight w:val="none"/>
        </w:rPr>
      </w:pPr>
      <w:bookmarkStart w:id="270" w:name="_Toc7860"/>
      <w:r>
        <w:rPr>
          <w:rFonts w:hint="eastAsia" w:ascii="宋体" w:hAnsi="宋体" w:cs="宋体"/>
          <w:b/>
          <w:color w:val="auto"/>
          <w:sz w:val="24"/>
          <w:highlight w:val="none"/>
          <w:lang w:bidi="ar"/>
        </w:rPr>
        <w:t>2.8 质量保证</w:t>
      </w:r>
      <w:bookmarkEnd w:id="270"/>
    </w:p>
    <w:p w14:paraId="0AACD1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2.8.1 乙方应建立和完善履行合同的内部质量保证体系，并提供相关内部规章制度给甲方，以便甲方进行监督检查；</w:t>
      </w:r>
    </w:p>
    <w:p w14:paraId="41EC5C5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2.8.2 乙方应保证履行合同的人员数量和素质、软件和硬件设备的配置、场地、环境和设施等满足全面履行合同的要求，并应接受甲方的监督检查。</w:t>
      </w:r>
    </w:p>
    <w:p w14:paraId="54F099D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lang w:bidi="ar"/>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lang w:bidi="ar"/>
        </w:rPr>
        <w:t>甲方有权放弃或终止合同，并没收履约保证金。</w:t>
      </w:r>
    </w:p>
    <w:p w14:paraId="39B8D2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lang w:bidi="ar"/>
        </w:rPr>
        <w:t>30%</w:t>
      </w:r>
      <w:r>
        <w:rPr>
          <w:rFonts w:hint="eastAsia" w:ascii="宋体" w:hAnsi="宋体" w:cs="宋体"/>
          <w:color w:val="auto"/>
          <w:sz w:val="24"/>
          <w:highlight w:val="none"/>
          <w:lang w:bidi="ar"/>
        </w:rPr>
        <w:t>（根据项目实际情况填写，一般为30%）。</w:t>
      </w:r>
    </w:p>
    <w:p w14:paraId="10FDEF96">
      <w:pPr>
        <w:spacing w:line="360" w:lineRule="auto"/>
        <w:ind w:firstLine="482" w:firstLineChars="200"/>
        <w:rPr>
          <w:rFonts w:hint="eastAsia" w:ascii="宋体" w:hAnsi="宋体" w:cs="宋体"/>
          <w:b/>
          <w:color w:val="auto"/>
          <w:sz w:val="24"/>
          <w:highlight w:val="none"/>
        </w:rPr>
      </w:pPr>
      <w:bookmarkStart w:id="271" w:name="_Toc17244"/>
      <w:bookmarkStart w:id="272" w:name="_Toc279701252"/>
      <w:bookmarkStart w:id="273" w:name="_Toc487900362"/>
      <w:bookmarkStart w:id="274" w:name="_Toc259093681"/>
      <w:r>
        <w:rPr>
          <w:rFonts w:hint="eastAsia" w:ascii="宋体" w:hAnsi="宋体" w:cs="宋体"/>
          <w:b/>
          <w:color w:val="auto"/>
          <w:sz w:val="24"/>
          <w:highlight w:val="none"/>
          <w:lang w:bidi="ar"/>
        </w:rPr>
        <w:t>2.9 标的物的风险负担</w:t>
      </w:r>
      <w:bookmarkEnd w:id="271"/>
    </w:p>
    <w:p w14:paraId="1671666F">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lang w:bidi="ar"/>
        </w:rPr>
        <w:t>标的物或者在途标的物或者交付给第一承运人后的标的物毁损、灭失的风险负担详见</w:t>
      </w:r>
      <w:r>
        <w:rPr>
          <w:rFonts w:hint="eastAsia" w:ascii="宋体" w:hAnsi="宋体" w:cs="宋体"/>
          <w:b/>
          <w:i/>
          <w:color w:val="auto"/>
          <w:sz w:val="24"/>
          <w:highlight w:val="none"/>
          <w:u w:val="single"/>
          <w:lang w:bidi="ar"/>
        </w:rPr>
        <w:t>合同专用条款</w:t>
      </w:r>
      <w:r>
        <w:rPr>
          <w:rFonts w:hint="eastAsia" w:ascii="宋体" w:hAnsi="宋体" w:cs="宋体"/>
          <w:color w:val="auto"/>
          <w:sz w:val="24"/>
          <w:highlight w:val="none"/>
          <w:lang w:bidi="ar"/>
        </w:rPr>
        <w:t>。</w:t>
      </w:r>
    </w:p>
    <w:p w14:paraId="08014175">
      <w:pPr>
        <w:spacing w:line="360" w:lineRule="auto"/>
        <w:ind w:firstLine="482" w:firstLineChars="200"/>
        <w:rPr>
          <w:rFonts w:hint="eastAsia" w:ascii="宋体" w:hAnsi="宋体" w:cs="宋体"/>
          <w:b/>
          <w:color w:val="auto"/>
          <w:sz w:val="24"/>
          <w:highlight w:val="none"/>
        </w:rPr>
      </w:pPr>
      <w:bookmarkStart w:id="275" w:name="_Toc14055"/>
      <w:r>
        <w:rPr>
          <w:rFonts w:hint="eastAsia" w:ascii="宋体" w:hAnsi="宋体" w:cs="宋体"/>
          <w:b/>
          <w:color w:val="auto"/>
          <w:sz w:val="24"/>
          <w:highlight w:val="none"/>
          <w:lang w:bidi="ar"/>
        </w:rPr>
        <w:t>2.10 延迟交货</w:t>
      </w:r>
      <w:bookmarkEnd w:id="272"/>
      <w:bookmarkEnd w:id="273"/>
      <w:bookmarkEnd w:id="274"/>
      <w:bookmarkEnd w:id="275"/>
      <w:r>
        <w:rPr>
          <w:rFonts w:hint="eastAsia" w:ascii="宋体" w:hAnsi="宋体" w:cs="宋体"/>
          <w:b/>
          <w:color w:val="auto"/>
          <w:sz w:val="24"/>
          <w:highlight w:val="none"/>
          <w:lang w:bidi="ar"/>
        </w:rPr>
        <w:t>/交付</w:t>
      </w:r>
    </w:p>
    <w:p w14:paraId="000609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FA24A6F">
      <w:pPr>
        <w:spacing w:line="360" w:lineRule="auto"/>
        <w:ind w:firstLine="482" w:firstLineChars="200"/>
        <w:rPr>
          <w:rFonts w:hint="eastAsia" w:ascii="宋体" w:hAnsi="宋体" w:cs="宋体"/>
          <w:b/>
          <w:color w:val="auto"/>
          <w:sz w:val="24"/>
          <w:highlight w:val="none"/>
        </w:rPr>
      </w:pPr>
      <w:bookmarkStart w:id="276" w:name="_Toc7502"/>
      <w:bookmarkStart w:id="277" w:name="_Ref467378121"/>
      <w:bookmarkStart w:id="278" w:name="_Toc487900364"/>
      <w:bookmarkStart w:id="279" w:name="_Toc259093683"/>
      <w:bookmarkStart w:id="280" w:name="_Toc279701254"/>
      <w:r>
        <w:rPr>
          <w:rFonts w:hint="eastAsia" w:ascii="宋体" w:hAnsi="宋体" w:cs="宋体"/>
          <w:b/>
          <w:color w:val="auto"/>
          <w:sz w:val="24"/>
          <w:highlight w:val="none"/>
          <w:lang w:bidi="ar"/>
        </w:rPr>
        <w:t>2.11 合同变更</w:t>
      </w:r>
      <w:bookmarkEnd w:id="276"/>
    </w:p>
    <w:p w14:paraId="0B813C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5996DA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2.11.2 合同继续履行将损害国家利益和社会公共利益的，双方当事人应当以书面形式变更合同。有过错的一方应当承担赔偿责任，双方当事人都有过错的，各自承担相应的责任。</w:t>
      </w:r>
      <w:bookmarkStart w:id="281" w:name="_Toc279701259"/>
      <w:bookmarkStart w:id="282" w:name="_Toc487900369"/>
      <w:bookmarkStart w:id="283" w:name="_Toc259093688"/>
    </w:p>
    <w:p w14:paraId="6B8096C4">
      <w:pPr>
        <w:spacing w:line="360" w:lineRule="auto"/>
        <w:ind w:firstLine="482" w:firstLineChars="200"/>
        <w:rPr>
          <w:rFonts w:hint="eastAsia" w:ascii="宋体" w:hAnsi="宋体" w:cs="宋体"/>
          <w:b/>
          <w:color w:val="auto"/>
          <w:sz w:val="24"/>
          <w:highlight w:val="none"/>
        </w:rPr>
      </w:pPr>
      <w:bookmarkStart w:id="284" w:name="_Toc15237"/>
      <w:bookmarkStart w:id="285" w:name="_Toc10366"/>
      <w:bookmarkStart w:id="286" w:name="_Toc22955"/>
      <w:r>
        <w:rPr>
          <w:rFonts w:hint="eastAsia" w:ascii="宋体" w:hAnsi="宋体" w:cs="宋体"/>
          <w:b/>
          <w:color w:val="auto"/>
          <w:sz w:val="24"/>
          <w:highlight w:val="none"/>
          <w:lang w:bidi="ar"/>
        </w:rPr>
        <w:t>2.12 合同转让</w:t>
      </w:r>
      <w:bookmarkEnd w:id="281"/>
      <w:bookmarkEnd w:id="282"/>
      <w:bookmarkEnd w:id="283"/>
      <w:r>
        <w:rPr>
          <w:rFonts w:hint="eastAsia" w:ascii="宋体" w:hAnsi="宋体" w:cs="宋体"/>
          <w:b/>
          <w:color w:val="auto"/>
          <w:sz w:val="24"/>
          <w:highlight w:val="none"/>
          <w:lang w:bidi="ar"/>
        </w:rPr>
        <w:t>和分包</w:t>
      </w:r>
      <w:bookmarkEnd w:id="284"/>
      <w:bookmarkEnd w:id="285"/>
      <w:bookmarkEnd w:id="286"/>
    </w:p>
    <w:p w14:paraId="04931E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2B48560">
      <w:pPr>
        <w:spacing w:line="360" w:lineRule="auto"/>
        <w:ind w:firstLine="482" w:firstLineChars="200"/>
        <w:rPr>
          <w:rFonts w:hint="eastAsia" w:ascii="宋体" w:hAnsi="宋体" w:cs="宋体"/>
          <w:b/>
          <w:color w:val="auto"/>
          <w:sz w:val="24"/>
          <w:highlight w:val="none"/>
        </w:rPr>
      </w:pPr>
      <w:bookmarkStart w:id="287" w:name="_Toc14066"/>
      <w:bookmarkStart w:id="288" w:name="_Toc16508"/>
      <w:bookmarkStart w:id="289" w:name="_Toc13566"/>
      <w:r>
        <w:rPr>
          <w:rFonts w:hint="eastAsia" w:ascii="宋体" w:hAnsi="宋体" w:cs="宋体"/>
          <w:b/>
          <w:color w:val="auto"/>
          <w:sz w:val="24"/>
          <w:highlight w:val="none"/>
          <w:lang w:bidi="ar"/>
        </w:rPr>
        <w:t>2.13 不可抗力</w:t>
      </w:r>
      <w:bookmarkEnd w:id="287"/>
      <w:bookmarkEnd w:id="288"/>
      <w:bookmarkEnd w:id="289"/>
    </w:p>
    <w:p w14:paraId="1FEAD0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2.13.1如果任何一方遭遇法律规定的不可抗力，致使合同履行受阻时，履行合同的期限应予延长，延长的期限应相当于不可抗力所影响的时间；</w:t>
      </w:r>
    </w:p>
    <w:p w14:paraId="1B82CB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2.13.2受不可抗力影响的一方在不可抗力发生后，应在</w:t>
      </w:r>
      <w:r>
        <w:rPr>
          <w:rFonts w:hint="eastAsia" w:ascii="宋体" w:hAnsi="宋体" w:cs="宋体"/>
          <w:b/>
          <w:i/>
          <w:color w:val="auto"/>
          <w:sz w:val="24"/>
          <w:highlight w:val="none"/>
          <w:u w:val="single"/>
          <w:lang w:bidi="ar"/>
        </w:rPr>
        <w:t>合同专用条款</w:t>
      </w:r>
      <w:r>
        <w:rPr>
          <w:rFonts w:hint="eastAsia" w:ascii="宋体" w:hAnsi="宋体" w:cs="宋体"/>
          <w:color w:val="auto"/>
          <w:sz w:val="24"/>
          <w:highlight w:val="none"/>
          <w:lang w:bidi="ar"/>
        </w:rPr>
        <w:t>约定时间内以书面形式通知对方当事人，并在</w:t>
      </w:r>
      <w:r>
        <w:rPr>
          <w:rFonts w:hint="eastAsia" w:ascii="宋体" w:hAnsi="宋体" w:cs="宋体"/>
          <w:b/>
          <w:i/>
          <w:color w:val="auto"/>
          <w:sz w:val="24"/>
          <w:highlight w:val="none"/>
          <w:u w:val="single"/>
          <w:lang w:bidi="ar"/>
        </w:rPr>
        <w:t>合同专用条款</w:t>
      </w:r>
      <w:r>
        <w:rPr>
          <w:rFonts w:hint="eastAsia" w:ascii="宋体" w:hAnsi="宋体" w:cs="宋体"/>
          <w:color w:val="auto"/>
          <w:sz w:val="24"/>
          <w:highlight w:val="none"/>
          <w:lang w:bidi="ar"/>
        </w:rPr>
        <w:t>约定时间内，将有关部门出具的证明文件送达对方当事人。</w:t>
      </w:r>
    </w:p>
    <w:p w14:paraId="40BB25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2.13.3 因不可抗力致使不能实现合同目的的，当事人可以解除合同；</w:t>
      </w:r>
    </w:p>
    <w:p w14:paraId="0705292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2.13.4 因不可抗力致使合同有变更必要的，双方当事人应在</w:t>
      </w:r>
      <w:r>
        <w:rPr>
          <w:rFonts w:hint="eastAsia" w:ascii="宋体" w:hAnsi="宋体" w:cs="宋体"/>
          <w:b/>
          <w:i/>
          <w:color w:val="auto"/>
          <w:sz w:val="24"/>
          <w:highlight w:val="none"/>
          <w:u w:val="single"/>
          <w:lang w:bidi="ar"/>
        </w:rPr>
        <w:t>合同专用条款</w:t>
      </w:r>
      <w:r>
        <w:rPr>
          <w:rFonts w:hint="eastAsia" w:ascii="宋体" w:hAnsi="宋体" w:cs="宋体"/>
          <w:color w:val="auto"/>
          <w:sz w:val="24"/>
          <w:highlight w:val="none"/>
          <w:lang w:bidi="ar"/>
        </w:rPr>
        <w:t>约定时间内以书面形式变更合同；</w:t>
      </w:r>
    </w:p>
    <w:p w14:paraId="1AE5F4E0">
      <w:pPr>
        <w:spacing w:line="360" w:lineRule="auto"/>
        <w:ind w:firstLine="482" w:firstLineChars="200"/>
        <w:rPr>
          <w:rFonts w:hint="eastAsia" w:ascii="宋体" w:hAnsi="宋体" w:cs="宋体"/>
          <w:b/>
          <w:color w:val="auto"/>
          <w:sz w:val="24"/>
          <w:highlight w:val="none"/>
        </w:rPr>
      </w:pPr>
      <w:bookmarkStart w:id="290" w:name="_Toc689"/>
      <w:bookmarkStart w:id="291" w:name="_Toc279701255"/>
      <w:bookmarkStart w:id="292" w:name="_Toc6969"/>
      <w:bookmarkStart w:id="293" w:name="_Toc487900365"/>
      <w:bookmarkStart w:id="294" w:name="_Toc259093684"/>
      <w:bookmarkStart w:id="295" w:name="_Toc30676"/>
      <w:r>
        <w:rPr>
          <w:rFonts w:hint="eastAsia" w:ascii="宋体" w:hAnsi="宋体" w:cs="宋体"/>
          <w:b/>
          <w:color w:val="auto"/>
          <w:sz w:val="24"/>
          <w:highlight w:val="none"/>
          <w:lang w:bidi="ar"/>
        </w:rPr>
        <w:t>2.14 税费</w:t>
      </w:r>
      <w:bookmarkEnd w:id="290"/>
      <w:bookmarkEnd w:id="291"/>
      <w:bookmarkEnd w:id="292"/>
      <w:bookmarkEnd w:id="293"/>
      <w:bookmarkEnd w:id="294"/>
      <w:bookmarkEnd w:id="295"/>
    </w:p>
    <w:p w14:paraId="05ED9C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与合同有关的一切税费，均按照中华人民共和国法律的相关规定执行。</w:t>
      </w:r>
    </w:p>
    <w:p w14:paraId="373833FE">
      <w:pPr>
        <w:spacing w:line="360" w:lineRule="auto"/>
        <w:ind w:firstLine="482" w:firstLineChars="200"/>
        <w:rPr>
          <w:rFonts w:hint="eastAsia" w:ascii="宋体" w:hAnsi="宋体" w:cs="宋体"/>
          <w:b/>
          <w:color w:val="auto"/>
          <w:sz w:val="24"/>
          <w:highlight w:val="none"/>
        </w:rPr>
      </w:pPr>
      <w:bookmarkStart w:id="296" w:name="_Toc279701258"/>
      <w:bookmarkStart w:id="297" w:name="_Toc16959"/>
      <w:bookmarkStart w:id="298" w:name="_Toc8298"/>
      <w:bookmarkStart w:id="299" w:name="_Toc259093687"/>
      <w:bookmarkStart w:id="300" w:name="_Toc487900368"/>
      <w:bookmarkStart w:id="301" w:name="_Toc7102"/>
      <w:r>
        <w:rPr>
          <w:rFonts w:hint="eastAsia" w:ascii="宋体" w:hAnsi="宋体" w:cs="宋体"/>
          <w:b/>
          <w:color w:val="auto"/>
          <w:sz w:val="24"/>
          <w:highlight w:val="none"/>
          <w:lang w:bidi="ar"/>
        </w:rPr>
        <w:t>2.15 乙方破产</w:t>
      </w:r>
      <w:bookmarkEnd w:id="296"/>
      <w:bookmarkEnd w:id="297"/>
      <w:bookmarkEnd w:id="298"/>
      <w:bookmarkEnd w:id="299"/>
      <w:bookmarkEnd w:id="300"/>
      <w:bookmarkEnd w:id="301"/>
    </w:p>
    <w:p w14:paraId="4BE0C0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2264930">
      <w:pPr>
        <w:spacing w:line="360" w:lineRule="auto"/>
        <w:ind w:firstLine="482" w:firstLineChars="200"/>
        <w:rPr>
          <w:rFonts w:hint="eastAsia" w:ascii="宋体" w:hAnsi="宋体" w:cs="宋体"/>
          <w:b/>
          <w:color w:val="auto"/>
          <w:sz w:val="24"/>
          <w:highlight w:val="none"/>
        </w:rPr>
      </w:pPr>
      <w:bookmarkStart w:id="302" w:name="_Toc6134"/>
      <w:bookmarkStart w:id="303" w:name="_Toc29333"/>
      <w:bookmarkStart w:id="304" w:name="_Toc15387"/>
      <w:r>
        <w:rPr>
          <w:rFonts w:hint="eastAsia" w:ascii="宋体" w:hAnsi="宋体" w:cs="宋体"/>
          <w:b/>
          <w:color w:val="auto"/>
          <w:sz w:val="24"/>
          <w:highlight w:val="none"/>
          <w:lang w:bidi="ar"/>
        </w:rPr>
        <w:t>2.16 合同中止、终止</w:t>
      </w:r>
      <w:bookmarkEnd w:id="302"/>
      <w:bookmarkEnd w:id="303"/>
      <w:bookmarkEnd w:id="304"/>
    </w:p>
    <w:p w14:paraId="68C9E9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2.16.1 双方当事人不得擅自中止或者终止合同；</w:t>
      </w:r>
    </w:p>
    <w:p w14:paraId="75E991E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2.16.2合同继续履行将损害国家利益和社会公共利益的，双方当事人应当中止或者终止合同。有过错的一方应当承担赔偿责任，双方当事人都有过错的，各自承担相应的责任。</w:t>
      </w:r>
    </w:p>
    <w:p w14:paraId="24BD33F9">
      <w:pPr>
        <w:spacing w:line="360" w:lineRule="auto"/>
        <w:ind w:firstLine="482" w:firstLineChars="200"/>
        <w:rPr>
          <w:rFonts w:hint="eastAsia" w:ascii="宋体" w:hAnsi="宋体" w:cs="宋体"/>
          <w:b/>
          <w:color w:val="auto"/>
          <w:sz w:val="24"/>
          <w:highlight w:val="none"/>
        </w:rPr>
      </w:pPr>
      <w:bookmarkStart w:id="305" w:name="_Toc6596"/>
      <w:bookmarkStart w:id="306" w:name="_Toc14563"/>
      <w:bookmarkStart w:id="307" w:name="_Toc1125"/>
      <w:r>
        <w:rPr>
          <w:rFonts w:hint="eastAsia" w:ascii="宋体" w:hAnsi="宋体" w:cs="宋体"/>
          <w:b/>
          <w:color w:val="auto"/>
          <w:sz w:val="24"/>
          <w:highlight w:val="none"/>
          <w:lang w:bidi="ar"/>
        </w:rPr>
        <w:t>2.17 检验和验收</w:t>
      </w:r>
      <w:bookmarkEnd w:id="305"/>
      <w:bookmarkEnd w:id="306"/>
      <w:bookmarkEnd w:id="307"/>
    </w:p>
    <w:p w14:paraId="1196EA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lang w:bidi="ar"/>
        </w:rPr>
        <w:t>合同专用条款</w:t>
      </w:r>
      <w:r>
        <w:rPr>
          <w:rFonts w:hint="eastAsia" w:ascii="宋体" w:hAnsi="宋体" w:cs="宋体"/>
          <w:color w:val="auto"/>
          <w:sz w:val="24"/>
          <w:highlight w:val="none"/>
          <w:lang w:bidi="ar"/>
        </w:rPr>
        <w:t>约定时间内组织验收，并可依法邀请相关方参加，验收应出具验收书。</w:t>
      </w:r>
    </w:p>
    <w:p w14:paraId="445BBD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50E8D9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2.17.3 检验和验收标准、程序等具体内容以及前述验收书的效力详见</w:t>
      </w:r>
      <w:r>
        <w:rPr>
          <w:rFonts w:hint="eastAsia" w:ascii="宋体" w:hAnsi="宋体" w:cs="宋体"/>
          <w:b/>
          <w:i/>
          <w:color w:val="auto"/>
          <w:sz w:val="24"/>
          <w:highlight w:val="none"/>
          <w:u w:val="single"/>
          <w:lang w:bidi="ar"/>
        </w:rPr>
        <w:t>合同专用条款</w:t>
      </w:r>
      <w:r>
        <w:rPr>
          <w:rFonts w:hint="eastAsia" w:ascii="宋体" w:hAnsi="宋体" w:cs="宋体"/>
          <w:i/>
          <w:color w:val="auto"/>
          <w:sz w:val="24"/>
          <w:highlight w:val="none"/>
          <w:lang w:bidi="ar"/>
        </w:rPr>
        <w:t>。</w:t>
      </w:r>
    </w:p>
    <w:bookmarkEnd w:id="277"/>
    <w:bookmarkEnd w:id="278"/>
    <w:bookmarkEnd w:id="279"/>
    <w:bookmarkEnd w:id="280"/>
    <w:p w14:paraId="1E6F804B">
      <w:pPr>
        <w:spacing w:line="360" w:lineRule="auto"/>
        <w:ind w:firstLine="482" w:firstLineChars="200"/>
        <w:rPr>
          <w:rFonts w:hint="eastAsia" w:ascii="宋体" w:hAnsi="宋体" w:cs="宋体"/>
          <w:b/>
          <w:color w:val="auto"/>
          <w:sz w:val="24"/>
          <w:highlight w:val="none"/>
        </w:rPr>
      </w:pPr>
      <w:bookmarkStart w:id="308" w:name="_Toc487900371"/>
      <w:bookmarkStart w:id="309" w:name="_Toc279701261"/>
      <w:bookmarkStart w:id="310" w:name="_Toc259093690"/>
      <w:bookmarkStart w:id="311" w:name="_Toc19604"/>
      <w:bookmarkStart w:id="312" w:name="_Toc25182"/>
      <w:bookmarkStart w:id="313" w:name="_Toc11284"/>
      <w:r>
        <w:rPr>
          <w:rFonts w:hint="eastAsia" w:ascii="宋体" w:hAnsi="宋体" w:cs="宋体"/>
          <w:b/>
          <w:color w:val="auto"/>
          <w:sz w:val="24"/>
          <w:highlight w:val="none"/>
          <w:lang w:bidi="ar"/>
        </w:rPr>
        <w:t>2.18 通知</w:t>
      </w:r>
      <w:bookmarkEnd w:id="308"/>
      <w:bookmarkEnd w:id="309"/>
      <w:bookmarkEnd w:id="310"/>
      <w:r>
        <w:rPr>
          <w:rFonts w:hint="eastAsia" w:ascii="宋体" w:hAnsi="宋体" w:cs="宋体"/>
          <w:b/>
          <w:color w:val="auto"/>
          <w:sz w:val="24"/>
          <w:highlight w:val="none"/>
          <w:lang w:bidi="ar"/>
        </w:rPr>
        <w:t>和送达</w:t>
      </w:r>
      <w:bookmarkEnd w:id="311"/>
      <w:bookmarkEnd w:id="312"/>
      <w:bookmarkEnd w:id="313"/>
    </w:p>
    <w:p w14:paraId="45AA8246">
      <w:pPr>
        <w:spacing w:line="360" w:lineRule="auto"/>
        <w:ind w:firstLine="480" w:firstLineChars="200"/>
        <w:rPr>
          <w:rFonts w:hint="eastAsia" w:ascii="宋体" w:hAnsi="宋体" w:cs="宋体"/>
          <w:color w:val="auto"/>
          <w:sz w:val="24"/>
          <w:highlight w:val="none"/>
        </w:rPr>
      </w:pPr>
      <w:bookmarkStart w:id="314" w:name="_Toc3135"/>
      <w:bookmarkStart w:id="315" w:name="_Toc6698"/>
      <w:bookmarkStart w:id="316" w:name="_Toc259093691"/>
      <w:bookmarkStart w:id="317" w:name="_Toc279701262"/>
      <w:bookmarkStart w:id="318" w:name="_Toc487900372"/>
      <w:r>
        <w:rPr>
          <w:rFonts w:hint="eastAsia" w:ascii="宋体" w:hAnsi="宋体" w:cs="宋体"/>
          <w:color w:val="auto"/>
          <w:sz w:val="24"/>
          <w:highlight w:val="none"/>
          <w:lang w:bidi="ar"/>
        </w:rPr>
        <w:t>2.18.1 任何一方因履行合同而以合同第一部分尾部所列明的</w:t>
      </w:r>
      <w:r>
        <w:rPr>
          <w:rFonts w:hint="eastAsia" w:ascii="宋体" w:hAnsi="宋体" w:cs="宋体"/>
          <w:color w:val="auto"/>
          <w:sz w:val="24"/>
          <w:highlight w:val="none"/>
          <w:u w:val="single"/>
          <w:lang w:bidi="ar"/>
        </w:rPr>
        <w:t>“约定送达地址”</w:t>
      </w:r>
      <w:r>
        <w:rPr>
          <w:rFonts w:hint="eastAsia" w:ascii="宋体" w:hAnsi="宋体" w:cs="宋体"/>
          <w:color w:val="auto"/>
          <w:sz w:val="24"/>
          <w:highlight w:val="none"/>
          <w:lang w:bidi="ar"/>
        </w:rPr>
        <w:t>为收件地址的所有通知、文件、材料，均视为已向对方当事人送达；任何一方变更上述送达方式或者地址的，应于</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u w:val="single"/>
          <w:lang w:val="en-US" w:eastAsia="zh-CN" w:bidi="ar"/>
        </w:rPr>
        <w:t>7</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个工作日（根据项目实际填写）内书面通知对方当事人，在对方当事人收到有关变更通知之前，变更前的约定送达方式或者地址仍视为有效。</w:t>
      </w:r>
      <w:bookmarkEnd w:id="314"/>
      <w:bookmarkEnd w:id="315"/>
    </w:p>
    <w:p w14:paraId="73D27B28">
      <w:pPr>
        <w:spacing w:line="360" w:lineRule="auto"/>
        <w:ind w:firstLine="480" w:firstLineChars="200"/>
        <w:rPr>
          <w:rFonts w:hint="eastAsia" w:ascii="宋体" w:hAnsi="宋体" w:cs="宋体"/>
          <w:color w:val="auto"/>
          <w:sz w:val="24"/>
          <w:highlight w:val="none"/>
        </w:rPr>
      </w:pPr>
      <w:bookmarkStart w:id="319" w:name="_Toc23128"/>
      <w:bookmarkStart w:id="320" w:name="_Toc23294"/>
      <w:r>
        <w:rPr>
          <w:rFonts w:hint="eastAsia" w:ascii="宋体" w:hAnsi="宋体" w:cs="宋体"/>
          <w:color w:val="auto"/>
          <w:sz w:val="24"/>
          <w:highlight w:val="none"/>
          <w:lang w:bidi="ar"/>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9"/>
      <w:bookmarkEnd w:id="320"/>
    </w:p>
    <w:p w14:paraId="5E44C15E">
      <w:pPr>
        <w:spacing w:line="360" w:lineRule="auto"/>
        <w:ind w:firstLine="482" w:firstLineChars="200"/>
        <w:rPr>
          <w:rFonts w:hint="eastAsia" w:ascii="宋体" w:hAnsi="宋体" w:cs="宋体"/>
          <w:b/>
          <w:color w:val="auto"/>
          <w:sz w:val="24"/>
          <w:highlight w:val="none"/>
        </w:rPr>
      </w:pPr>
      <w:bookmarkStart w:id="321" w:name="_Toc30599"/>
      <w:bookmarkStart w:id="322" w:name="_Toc4355"/>
      <w:bookmarkStart w:id="323" w:name="_Toc18540"/>
      <w:r>
        <w:rPr>
          <w:rFonts w:hint="eastAsia" w:ascii="宋体" w:hAnsi="宋体" w:cs="宋体"/>
          <w:b/>
          <w:color w:val="auto"/>
          <w:sz w:val="24"/>
          <w:highlight w:val="none"/>
          <w:lang w:bidi="ar"/>
        </w:rPr>
        <w:t>2.19 计量单位</w:t>
      </w:r>
      <w:bookmarkEnd w:id="316"/>
      <w:bookmarkEnd w:id="317"/>
      <w:bookmarkEnd w:id="318"/>
      <w:bookmarkEnd w:id="321"/>
      <w:bookmarkEnd w:id="322"/>
      <w:bookmarkEnd w:id="323"/>
    </w:p>
    <w:p w14:paraId="527D94D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除技术规范中另有规定外,合同的计量单位均使用国家法定计量单位。</w:t>
      </w:r>
    </w:p>
    <w:p w14:paraId="40044EC2">
      <w:pPr>
        <w:spacing w:line="360" w:lineRule="auto"/>
        <w:ind w:firstLine="482" w:firstLineChars="200"/>
        <w:rPr>
          <w:rFonts w:hint="eastAsia" w:ascii="宋体" w:hAnsi="宋体" w:cs="宋体"/>
          <w:b/>
          <w:color w:val="auto"/>
          <w:sz w:val="24"/>
          <w:highlight w:val="none"/>
        </w:rPr>
      </w:pPr>
      <w:bookmarkStart w:id="324" w:name="_Toc279701263"/>
      <w:bookmarkStart w:id="325" w:name="_Toc487900373"/>
      <w:bookmarkStart w:id="326" w:name="_Toc18567"/>
      <w:bookmarkStart w:id="327" w:name="_Toc259093692"/>
      <w:bookmarkStart w:id="328" w:name="_Toc12773"/>
      <w:bookmarkStart w:id="329" w:name="_Toc10330"/>
      <w:r>
        <w:rPr>
          <w:rFonts w:hint="eastAsia" w:ascii="宋体" w:hAnsi="宋体" w:cs="宋体"/>
          <w:b/>
          <w:color w:val="auto"/>
          <w:sz w:val="24"/>
          <w:highlight w:val="none"/>
          <w:lang w:bidi="ar"/>
        </w:rPr>
        <w:t>2.20 合同使用的文字和适用的法律</w:t>
      </w:r>
      <w:bookmarkEnd w:id="324"/>
      <w:bookmarkEnd w:id="325"/>
      <w:bookmarkEnd w:id="326"/>
      <w:bookmarkEnd w:id="327"/>
      <w:bookmarkEnd w:id="328"/>
      <w:bookmarkEnd w:id="329"/>
    </w:p>
    <w:p w14:paraId="1B49AD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2.20.1 合同使用汉语书就、变更和解释；</w:t>
      </w:r>
    </w:p>
    <w:p w14:paraId="1CC506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2.20.2 合同适用中华人民共和国法律。</w:t>
      </w:r>
    </w:p>
    <w:p w14:paraId="7AB10007">
      <w:pPr>
        <w:spacing w:line="360" w:lineRule="auto"/>
        <w:ind w:firstLine="482" w:firstLineChars="200"/>
        <w:rPr>
          <w:rFonts w:hint="eastAsia" w:ascii="宋体" w:hAnsi="宋体" w:cs="宋体"/>
          <w:b/>
          <w:color w:val="auto"/>
          <w:sz w:val="24"/>
          <w:highlight w:val="none"/>
        </w:rPr>
      </w:pPr>
      <w:bookmarkStart w:id="330" w:name="_Toc279701264"/>
      <w:bookmarkStart w:id="331" w:name="_Toc16673"/>
      <w:bookmarkStart w:id="332" w:name="_Toc3148"/>
      <w:bookmarkStart w:id="333" w:name="_Toc259093693"/>
      <w:bookmarkStart w:id="334" w:name="_Toc12004"/>
      <w:bookmarkStart w:id="335" w:name="_Toc487900374"/>
      <w:r>
        <w:rPr>
          <w:rFonts w:hint="eastAsia" w:ascii="宋体" w:hAnsi="宋体" w:cs="宋体"/>
          <w:b/>
          <w:color w:val="auto"/>
          <w:sz w:val="24"/>
          <w:highlight w:val="none"/>
          <w:lang w:bidi="ar"/>
        </w:rPr>
        <w:t>2.21 履约保证金</w:t>
      </w:r>
      <w:bookmarkEnd w:id="330"/>
      <w:bookmarkEnd w:id="331"/>
      <w:bookmarkEnd w:id="332"/>
      <w:bookmarkEnd w:id="333"/>
      <w:bookmarkEnd w:id="334"/>
    </w:p>
    <w:p w14:paraId="17D1879D">
      <w:pPr>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color w:val="auto"/>
          <w:sz w:val="24"/>
          <w:highlight w:val="none"/>
          <w:lang w:bidi="ar"/>
        </w:rPr>
        <w:t>本项目不收取履约保证金</w:t>
      </w:r>
    </w:p>
    <w:p w14:paraId="11F28B0E">
      <w:pPr>
        <w:spacing w:line="360" w:lineRule="auto"/>
        <w:ind w:firstLine="482" w:firstLineChars="200"/>
        <w:rPr>
          <w:rFonts w:hint="eastAsia" w:ascii="宋体" w:hAnsi="宋体" w:cs="宋体"/>
          <w:color w:val="auto"/>
          <w:kern w:val="0"/>
          <w:sz w:val="24"/>
          <w:highlight w:val="none"/>
          <w:lang w:val="zh-CN"/>
        </w:rPr>
      </w:pPr>
      <w:r>
        <w:rPr>
          <w:rFonts w:hint="eastAsia" w:ascii="宋体" w:hAnsi="宋体" w:cs="宋体"/>
          <w:b/>
          <w:color w:val="auto"/>
          <w:sz w:val="24"/>
          <w:highlight w:val="none"/>
          <w:lang w:bidi="ar"/>
        </w:rPr>
        <w:t>2.22 中小企业政策</w:t>
      </w:r>
    </w:p>
    <w:bookmarkEnd w:id="335"/>
    <w:p w14:paraId="2F2DDFBE">
      <w:pPr>
        <w:spacing w:line="360" w:lineRule="auto"/>
        <w:ind w:firstLine="480" w:firstLineChars="200"/>
        <w:rPr>
          <w:rFonts w:hint="eastAsia" w:ascii="宋体" w:hAnsi="宋体" w:cs="宋体"/>
          <w:color w:val="auto"/>
          <w:kern w:val="0"/>
          <w:sz w:val="24"/>
          <w:highlight w:val="none"/>
          <w:lang w:val="zh-CN"/>
        </w:rPr>
      </w:pPr>
      <w:bookmarkStart w:id="336" w:name="_Toc19890"/>
      <w:bookmarkStart w:id="337" w:name="_Toc14001"/>
      <w:bookmarkStart w:id="338" w:name="_Toc6885"/>
      <w:r>
        <w:rPr>
          <w:rFonts w:hint="eastAsia" w:ascii="宋体" w:hAnsi="宋体" w:cs="宋体"/>
          <w:color w:val="auto"/>
          <w:kern w:val="0"/>
          <w:sz w:val="24"/>
          <w:highlight w:val="none"/>
          <w:lang w:val="zh-CN" w:bidi="ar"/>
        </w:rPr>
        <w:t>2.22.1本合同（□是  □否）为中小企业“政采贷”可融资合同，关于中小企业信用融资事项见采购文件“投标人须知正文”。</w:t>
      </w:r>
    </w:p>
    <w:p w14:paraId="1C0BA746">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2.22.2本合同（□是  □否）为中小企业预留合同。</w:t>
      </w:r>
    </w:p>
    <w:p w14:paraId="0F5F48EE">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bidi="ar"/>
        </w:rPr>
        <w:t>2.23 合同份数</w:t>
      </w:r>
      <w:bookmarkEnd w:id="336"/>
      <w:bookmarkEnd w:id="337"/>
      <w:bookmarkEnd w:id="338"/>
    </w:p>
    <w:p w14:paraId="63B9D127">
      <w:pPr>
        <w:spacing w:line="360" w:lineRule="auto"/>
        <w:ind w:firstLine="480" w:firstLineChars="200"/>
        <w:rPr>
          <w:rFonts w:hint="eastAsia" w:ascii="宋体" w:hAnsi="宋体" w:cs="宋体"/>
          <w:color w:val="auto"/>
          <w:sz w:val="24"/>
          <w:highlight w:val="none"/>
        </w:rPr>
      </w:pPr>
      <w:r>
        <w:rPr>
          <w:rFonts w:hint="eastAsia" w:ascii="宋体" w:hAnsi="宋体" w:cs="宋体"/>
          <w:i w:val="0"/>
          <w:iCs w:val="0"/>
          <w:color w:val="auto"/>
          <w:sz w:val="24"/>
          <w:highlight w:val="none"/>
          <w:lang w:bidi="ar"/>
        </w:rPr>
        <w:t>本合同壹式</w:t>
      </w:r>
      <w:r>
        <w:rPr>
          <w:rFonts w:hint="eastAsia" w:ascii="宋体" w:hAnsi="宋体" w:cs="宋体"/>
          <w:i w:val="0"/>
          <w:iCs w:val="0"/>
          <w:color w:val="auto"/>
          <w:sz w:val="24"/>
          <w:highlight w:val="none"/>
          <w:u w:val="single"/>
          <w:lang w:val="en-US" w:eastAsia="zh-CN" w:bidi="ar"/>
        </w:rPr>
        <w:t xml:space="preserve"> </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份，代理机构执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 xml:space="preserve"> </w:t>
      </w:r>
      <w:r>
        <w:rPr>
          <w:rFonts w:hint="eastAsia" w:ascii="宋体" w:hAnsi="宋体" w:cs="宋体"/>
          <w:i w:val="0"/>
          <w:iCs w:val="0"/>
          <w:color w:val="auto"/>
          <w:sz w:val="24"/>
          <w:highlight w:val="none"/>
          <w:lang w:bidi="ar"/>
        </w:rPr>
        <w:t>份。每份均具有同等法律效力</w:t>
      </w:r>
      <w:r>
        <w:rPr>
          <w:rFonts w:hint="eastAsia" w:ascii="宋体" w:hAnsi="宋体" w:cs="宋体"/>
          <w:color w:val="auto"/>
          <w:sz w:val="24"/>
          <w:highlight w:val="none"/>
          <w:lang w:bidi="ar"/>
        </w:rPr>
        <w:t>。</w:t>
      </w:r>
    </w:p>
    <w:p w14:paraId="34E2A8EF">
      <w:pPr>
        <w:spacing w:line="360" w:lineRule="auto"/>
        <w:jc w:val="center"/>
        <w:rPr>
          <w:rFonts w:hint="eastAsia" w:ascii="宋体" w:hAnsi="宋体" w:cs="宋体"/>
          <w:b/>
          <w:color w:val="auto"/>
          <w:sz w:val="28"/>
          <w:szCs w:val="28"/>
          <w:highlight w:val="none"/>
        </w:rPr>
      </w:pPr>
      <w:r>
        <w:rPr>
          <w:rFonts w:hint="eastAsia" w:ascii="宋体" w:hAnsi="宋体" w:cs="宋体"/>
          <w:color w:val="auto"/>
          <w:highlight w:val="none"/>
          <w:lang w:bidi="ar"/>
        </w:rPr>
        <w:br w:type="page"/>
      </w:r>
      <w:bookmarkStart w:id="339" w:name="_Toc331685784"/>
      <w:r>
        <w:rPr>
          <w:rFonts w:hint="eastAsia" w:ascii="宋体" w:hAnsi="宋体" w:cs="宋体"/>
          <w:b/>
          <w:color w:val="auto"/>
          <w:sz w:val="28"/>
          <w:szCs w:val="28"/>
          <w:highlight w:val="none"/>
          <w:lang w:bidi="ar"/>
        </w:rPr>
        <w:t>第三部分  合同专用条款</w:t>
      </w:r>
      <w:bookmarkEnd w:id="339"/>
    </w:p>
    <w:p w14:paraId="3159C6ED">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r>
        <w:rPr>
          <w:rFonts w:hint="eastAsia" w:ascii="宋体" w:hAnsi="宋体" w:cs="宋体"/>
          <w:color w:val="auto"/>
          <w:sz w:val="24"/>
          <w:highlight w:val="none"/>
          <w:lang w:val="en-US" w:eastAsia="zh-CN"/>
        </w:rPr>
        <w:t xml:space="preserve"> </w:t>
      </w:r>
    </w:p>
    <w:p w14:paraId="24C4CF01">
      <w:pPr>
        <w:spacing w:line="360" w:lineRule="auto"/>
        <w:ind w:firstLine="480" w:firstLineChars="20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3.1具有知识产权的标的物知识产权归属：</w:t>
      </w:r>
      <w:r>
        <w:rPr>
          <w:rFonts w:hint="eastAsia" w:ascii="宋体" w:hAnsi="宋体" w:cs="宋体"/>
          <w:color w:val="auto"/>
          <w:sz w:val="24"/>
          <w:highlight w:val="none"/>
          <w:u w:val="single"/>
          <w:lang w:val="en-US" w:eastAsia="zh-CN"/>
        </w:rPr>
        <w:t xml:space="preserve">                                   </w:t>
      </w:r>
    </w:p>
    <w:p w14:paraId="54660D88">
      <w:pPr>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3.2包装和装运专用条款（如果有）：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p>
    <w:p w14:paraId="2676326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3.3装运标的物的要求和通知：</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bidi="ar"/>
        </w:rPr>
        <w:t xml:space="preserve">                            </w:t>
      </w:r>
    </w:p>
    <w:p w14:paraId="5FB2E81A">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sz w:val="24"/>
          <w:highlight w:val="none"/>
          <w:lang w:bidi="ar"/>
        </w:rPr>
        <w:t>3.4结算方式和付款条件</w:t>
      </w:r>
      <w:r>
        <w:rPr>
          <w:rFonts w:hint="eastAsia" w:ascii="宋体" w:hAnsi="宋体" w:cs="宋体"/>
          <w:color w:val="auto"/>
          <w:kern w:val="0"/>
          <w:sz w:val="24"/>
          <w:highlight w:val="none"/>
          <w:lang w:val="zh-CN" w:bidi="ar"/>
        </w:rPr>
        <w:t>本次项目合同总价（含税）为大写人民币</w:t>
      </w:r>
      <w:r>
        <w:rPr>
          <w:rFonts w:hint="eastAsia" w:ascii="宋体" w:hAnsi="宋体" w:cs="宋体"/>
          <w:color w:val="auto"/>
          <w:kern w:val="0"/>
          <w:sz w:val="24"/>
          <w:highlight w:val="none"/>
          <w:u w:val="single"/>
          <w:lang w:val="zh-CN" w:bidi="ar"/>
        </w:rPr>
        <w:t xml:space="preserve">          （</w:t>
      </w:r>
      <w:r>
        <w:rPr>
          <w:rFonts w:hint="eastAsia" w:ascii="宋体" w:hAnsi="宋体" w:cs="宋体"/>
          <w:color w:val="auto"/>
          <w:kern w:val="0"/>
          <w:sz w:val="24"/>
          <w:highlight w:val="none"/>
          <w:lang w:val="zh-CN" w:bidi="ar"/>
        </w:rPr>
        <w:t>￥    元），</w:t>
      </w:r>
      <w:r>
        <w:rPr>
          <w:rFonts w:hint="eastAsia" w:ascii="宋体" w:hAnsi="宋体" w:cs="宋体"/>
          <w:color w:val="auto"/>
          <w:sz w:val="24"/>
          <w:highlight w:val="none"/>
        </w:rPr>
        <w:t>税率：</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%，如合同履行过程中国家税率发生调整，则合同不含税价不变，合同价款根据税率进行相应调整</w:t>
      </w:r>
      <w:r>
        <w:rPr>
          <w:rFonts w:hint="eastAsia" w:ascii="宋体" w:hAnsi="宋体" w:cs="宋体"/>
          <w:color w:val="auto"/>
          <w:kern w:val="0"/>
          <w:sz w:val="24"/>
          <w:highlight w:val="none"/>
          <w:lang w:val="zh-CN" w:bidi="ar"/>
        </w:rPr>
        <w:t>。本项目采用以下勾选结算方式进行支付：</w:t>
      </w:r>
    </w:p>
    <w:p w14:paraId="6ACFD14F">
      <w:pPr>
        <w:spacing w:line="360" w:lineRule="auto"/>
        <w:ind w:firstLine="480" w:firstLineChars="200"/>
        <w:rPr>
          <w:rFonts w:hint="eastAsia" w:ascii="宋体" w:hAnsi="宋体" w:cs="宋体"/>
          <w:color w:val="auto"/>
          <w:kern w:val="0"/>
          <w:sz w:val="24"/>
          <w:highlight w:val="none"/>
          <w:lang w:val="zh-CN" w:bidi="ar"/>
        </w:rPr>
      </w:pPr>
      <w:r>
        <w:rPr>
          <w:rFonts w:hint="eastAsia" w:ascii="宋体" w:hAnsi="宋体" w:cs="宋体"/>
          <w:color w:val="auto"/>
          <w:kern w:val="0"/>
          <w:sz w:val="24"/>
          <w:highlight w:val="none"/>
          <w:lang w:val="zh-CN" w:bidi="ar"/>
        </w:rPr>
        <w:t>□采用一次性支付方式，付款条件为：</w:t>
      </w:r>
    </w:p>
    <w:p w14:paraId="3F2BF03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bidi="ar"/>
        </w:rPr>
        <w:t>□采用分期付款方式，付款条件为</w:t>
      </w:r>
      <w:r>
        <w:rPr>
          <w:rFonts w:hint="eastAsia" w:ascii="宋体" w:hAnsi="宋体" w:cs="宋体"/>
          <w:color w:val="auto"/>
          <w:kern w:val="0"/>
          <w:sz w:val="24"/>
          <w:highlight w:val="none"/>
          <w:lang w:bidi="ar"/>
        </w:rPr>
        <w:t>：</w:t>
      </w:r>
    </w:p>
    <w:p w14:paraId="64D3404D">
      <w:pPr>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zh-CN" w:bidi="ar"/>
        </w:rPr>
        <w:t>第一期付款</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u w:val="single"/>
          <w:lang w:val="en-US" w:eastAsia="zh-CN" w:bidi="ar"/>
        </w:rPr>
        <w:t xml:space="preserve">                 </w:t>
      </w:r>
    </w:p>
    <w:p w14:paraId="4F74D4B9">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bidi="ar"/>
        </w:rPr>
        <w:t>第</w:t>
      </w:r>
      <w:r>
        <w:rPr>
          <w:rFonts w:hint="eastAsia" w:ascii="宋体" w:hAnsi="宋体" w:cs="宋体"/>
          <w:color w:val="auto"/>
          <w:kern w:val="0"/>
          <w:sz w:val="24"/>
          <w:highlight w:val="none"/>
          <w:lang w:bidi="ar"/>
        </w:rPr>
        <w:t>二</w:t>
      </w:r>
      <w:r>
        <w:rPr>
          <w:rFonts w:hint="eastAsia" w:ascii="宋体" w:hAnsi="宋体" w:cs="宋体"/>
          <w:color w:val="auto"/>
          <w:kern w:val="0"/>
          <w:sz w:val="24"/>
          <w:highlight w:val="none"/>
          <w:lang w:val="zh-CN" w:bidi="ar"/>
        </w:rPr>
        <w:t>期付款</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p>
    <w:p w14:paraId="789564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甲方无故逾期支付货物费用的，按照每逾期一日支付欠付货物费额度的</w:t>
      </w:r>
      <w:r>
        <w:rPr>
          <w:rFonts w:hint="eastAsia" w:ascii="宋体" w:hAnsi="宋体" w:cs="宋体"/>
          <w:color w:val="auto"/>
          <w:sz w:val="24"/>
          <w:highlight w:val="none"/>
          <w:u w:val="single"/>
          <w:lang w:bidi="ar"/>
        </w:rPr>
        <w:t>万分之五</w:t>
      </w:r>
      <w:r>
        <w:rPr>
          <w:rFonts w:hint="eastAsia" w:ascii="宋体" w:hAnsi="宋体" w:cs="宋体"/>
          <w:color w:val="auto"/>
          <w:sz w:val="24"/>
          <w:highlight w:val="none"/>
          <w:lang w:bidi="ar"/>
        </w:rPr>
        <w:t>承担违约责任，违约金上限按照《合同书》约定执行。</w:t>
      </w:r>
    </w:p>
    <w:p w14:paraId="166E6C2E">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lang w:bidi="ar"/>
        </w:rPr>
        <w:t>3.5</w:t>
      </w:r>
      <w:r>
        <w:rPr>
          <w:rFonts w:hint="eastAsia" w:ascii="宋体" w:hAnsi="宋体" w:cs="宋体"/>
          <w:b/>
          <w:color w:val="auto"/>
          <w:sz w:val="24"/>
          <w:highlight w:val="none"/>
          <w:lang w:bidi="ar"/>
        </w:rPr>
        <w:t>标的物的风险负担</w:t>
      </w:r>
    </w:p>
    <w:p w14:paraId="65AABFAC">
      <w:pPr>
        <w:spacing w:line="360" w:lineRule="auto"/>
        <w:ind w:left="479" w:leftChars="228" w:firstLine="0" w:firstLineChars="0"/>
        <w:outlineLvl w:val="9"/>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r>
        <w:rPr>
          <w:rFonts w:hint="eastAsia" w:ascii="宋体" w:hAnsi="宋体" w:cs="宋体"/>
          <w:color w:val="auto"/>
          <w:sz w:val="24"/>
          <w:highlight w:val="none"/>
          <w:u w:val="single"/>
        </w:rPr>
        <w:t>乙方</w:t>
      </w:r>
      <w:r>
        <w:rPr>
          <w:rFonts w:hint="eastAsia" w:ascii="宋体" w:hAnsi="宋体" w:cs="宋体"/>
          <w:color w:val="auto"/>
          <w:sz w:val="24"/>
          <w:highlight w:val="none"/>
        </w:rPr>
        <w:t>3.5.1受不可抗力影响的一方在不可抗力发生后，应在</w:t>
      </w:r>
      <w:r>
        <w:rPr>
          <w:rFonts w:hint="eastAsia" w:ascii="宋体" w:hAnsi="宋体" w:cs="宋体"/>
          <w:color w:val="auto"/>
          <w:sz w:val="24"/>
          <w:highlight w:val="none"/>
          <w:u w:val="single"/>
        </w:rPr>
        <w:t>7</w:t>
      </w:r>
      <w:r>
        <w:rPr>
          <w:rFonts w:hint="eastAsia" w:ascii="宋体" w:hAnsi="宋体" w:cs="宋体"/>
          <w:color w:val="auto"/>
          <w:sz w:val="24"/>
          <w:highlight w:val="none"/>
        </w:rPr>
        <w:t>日内以书面形式通知对方当事人，并在</w:t>
      </w:r>
      <w:r>
        <w:rPr>
          <w:rFonts w:hint="eastAsia" w:ascii="宋体" w:hAnsi="宋体" w:cs="宋体"/>
          <w:color w:val="auto"/>
          <w:sz w:val="24"/>
          <w:highlight w:val="none"/>
          <w:u w:val="single"/>
        </w:rPr>
        <w:t>7</w:t>
      </w:r>
      <w:r>
        <w:rPr>
          <w:rFonts w:hint="eastAsia" w:ascii="宋体" w:hAnsi="宋体" w:cs="宋体"/>
          <w:color w:val="auto"/>
          <w:sz w:val="24"/>
          <w:highlight w:val="none"/>
        </w:rPr>
        <w:t>日内，将有关部门出具的证明文件送达对方当事人。</w:t>
      </w:r>
    </w:p>
    <w:p w14:paraId="586A40DD">
      <w:pPr>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w:t>
      </w:r>
      <w:r>
        <w:rPr>
          <w:rFonts w:hint="eastAsia" w:ascii="宋体" w:hAnsi="宋体" w:cs="宋体"/>
          <w:color w:val="auto"/>
          <w:sz w:val="24"/>
          <w:highlight w:val="none"/>
          <w:u w:val="single"/>
        </w:rPr>
        <w:t>7</w:t>
      </w:r>
      <w:r>
        <w:rPr>
          <w:rFonts w:hint="eastAsia" w:ascii="宋体" w:hAnsi="宋体" w:cs="宋体"/>
          <w:color w:val="auto"/>
          <w:sz w:val="24"/>
          <w:highlight w:val="none"/>
        </w:rPr>
        <w:t>日内以书面形式变更合同；</w:t>
      </w:r>
    </w:p>
    <w:p w14:paraId="37301FF5">
      <w:pPr>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w:t>
      </w:r>
      <w:r>
        <w:rPr>
          <w:rFonts w:hint="eastAsia" w:ascii="宋体" w:hAnsi="宋体" w:cs="宋体"/>
          <w:color w:val="auto"/>
          <w:sz w:val="24"/>
          <w:highlight w:val="none"/>
          <w:u w:val="single"/>
        </w:rPr>
        <w:t>7</w:t>
      </w:r>
      <w:r>
        <w:rPr>
          <w:rFonts w:hint="eastAsia" w:ascii="宋体" w:hAnsi="宋体" w:cs="宋体"/>
          <w:color w:val="auto"/>
          <w:sz w:val="24"/>
          <w:highlight w:val="none"/>
        </w:rPr>
        <w:t>日内发起验收，并可依法邀请相关方参加，验收应出具验收书。</w:t>
      </w:r>
    </w:p>
    <w:p w14:paraId="42FEBEA2">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rPr>
        <w:t>3.5.4检验和验收标准、程序等具体内容以及前述验收书的效力：详见附件</w:t>
      </w:r>
      <w:r>
        <w:rPr>
          <w:rFonts w:hint="eastAsia" w:ascii="宋体" w:hAnsi="宋体" w:cs="宋体"/>
          <w:color w:val="auto"/>
          <w:sz w:val="24"/>
          <w:highlight w:val="none"/>
          <w:lang w:eastAsia="zh-CN"/>
        </w:rPr>
        <w:t>。</w:t>
      </w:r>
    </w:p>
    <w:p w14:paraId="7D94516C">
      <w:pPr>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3.5.5 其他：/</w:t>
      </w:r>
    </w:p>
    <w:p w14:paraId="59FC6E97">
      <w:pPr>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3.6项目验收：</w:t>
      </w:r>
    </w:p>
    <w:p w14:paraId="21FCCB6C">
      <w:pPr>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9926EC6">
      <w:pPr>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00AE9CA">
      <w:pPr>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D934CE0">
      <w:pPr>
        <w:spacing w:line="360" w:lineRule="auto"/>
        <w:ind w:left="239" w:leftChars="114" w:firstLine="240" w:firstLineChars="100"/>
        <w:outlineLvl w:val="9"/>
        <w:rPr>
          <w:rFonts w:ascii="宋体" w:hAnsi="宋体" w:cs="宋体"/>
          <w:color w:val="auto"/>
          <w:sz w:val="24"/>
          <w:highlight w:val="none"/>
        </w:rPr>
      </w:pPr>
      <w:r>
        <w:rPr>
          <w:rFonts w:hint="eastAsia" w:ascii="宋体" w:hAnsi="宋体" w:cs="宋体"/>
          <w:color w:val="auto"/>
          <w:sz w:val="24"/>
          <w:highlight w:val="none"/>
        </w:rPr>
        <w:t>3.6.4验收产生的费用首次验收费用由</w:t>
      </w:r>
      <w:r>
        <w:rPr>
          <w:rFonts w:hint="eastAsia" w:ascii="宋体" w:hAnsi="宋体" w:cs="宋体"/>
          <w:color w:val="auto"/>
          <w:sz w:val="24"/>
          <w:highlight w:val="none"/>
          <w:u w:val="single"/>
        </w:rPr>
        <w:t xml:space="preserve"> 甲方 </w:t>
      </w:r>
      <w:r>
        <w:rPr>
          <w:rFonts w:hint="eastAsia" w:ascii="宋体" w:hAnsi="宋体" w:cs="宋体"/>
          <w:color w:val="auto"/>
          <w:sz w:val="24"/>
          <w:highlight w:val="none"/>
        </w:rPr>
        <w:t>承担，如首次验收不合格，后续验收费用由</w:t>
      </w:r>
      <w:r>
        <w:rPr>
          <w:rFonts w:hint="eastAsia" w:ascii="宋体" w:hAnsi="宋体" w:cs="宋体"/>
          <w:color w:val="auto"/>
          <w:sz w:val="24"/>
          <w:highlight w:val="none"/>
          <w:u w:val="single"/>
        </w:rPr>
        <w:t xml:space="preserve"> 乙方 </w:t>
      </w:r>
      <w:r>
        <w:rPr>
          <w:rFonts w:hint="eastAsia" w:ascii="宋体" w:hAnsi="宋体" w:cs="宋体"/>
          <w:color w:val="auto"/>
          <w:sz w:val="24"/>
          <w:highlight w:val="none"/>
        </w:rPr>
        <w:t>支付。</w:t>
      </w:r>
    </w:p>
    <w:p w14:paraId="51215D5B">
      <w:pPr>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3.6.5验收内容及资料要求：</w:t>
      </w:r>
    </w:p>
    <w:p w14:paraId="0B0BA53C">
      <w:pPr>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根根据采购文件确定的技术指标或者货物要求确定验收指标和标准。未进行相应约定的，应当符合国家强制性规定、政策要求、安全标准、行业或企业有关标准等。</w:t>
      </w:r>
    </w:p>
    <w:p w14:paraId="4BD61F12">
      <w:pPr>
        <w:spacing w:line="360" w:lineRule="auto"/>
        <w:ind w:firstLine="480" w:firstLineChars="200"/>
        <w:outlineLvl w:val="9"/>
        <w:rPr>
          <w:rFonts w:ascii="宋体" w:hAnsi="宋体" w:cs="宋体"/>
          <w:color w:val="auto"/>
          <w:sz w:val="24"/>
          <w:highlight w:val="none"/>
        </w:rPr>
      </w:pPr>
      <w:r>
        <w:rPr>
          <w:rFonts w:hint="eastAsia" w:ascii="宋体" w:hAnsi="宋体" w:cs="宋体"/>
          <w:color w:val="auto"/>
          <w:sz w:val="24"/>
          <w:highlight w:val="none"/>
        </w:rPr>
        <w:t>3.6.6验收内容</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3514"/>
        <w:gridCol w:w="3935"/>
      </w:tblGrid>
      <w:tr w14:paraId="706E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14:paraId="1EFA00A9">
            <w:pPr>
              <w:widowControl/>
              <w:spacing w:line="360" w:lineRule="auto"/>
              <w:jc w:val="center"/>
              <w:outlineLvl w:val="9"/>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3514" w:type="dxa"/>
            <w:tcBorders>
              <w:top w:val="single" w:color="auto" w:sz="4" w:space="0"/>
              <w:left w:val="single" w:color="auto" w:sz="4" w:space="0"/>
              <w:bottom w:val="single" w:color="auto" w:sz="4" w:space="0"/>
              <w:right w:val="single" w:color="auto" w:sz="4" w:space="0"/>
            </w:tcBorders>
            <w:noWrap w:val="0"/>
            <w:vAlign w:val="center"/>
          </w:tcPr>
          <w:p w14:paraId="2B4B8575">
            <w:pPr>
              <w:widowControl/>
              <w:spacing w:line="360" w:lineRule="auto"/>
              <w:ind w:firstLine="200"/>
              <w:jc w:val="center"/>
              <w:outlineLvl w:val="9"/>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3935" w:type="dxa"/>
            <w:tcBorders>
              <w:top w:val="single" w:color="auto" w:sz="4" w:space="0"/>
              <w:left w:val="single" w:color="auto" w:sz="4" w:space="0"/>
              <w:bottom w:val="single" w:color="auto" w:sz="4" w:space="0"/>
              <w:right w:val="single" w:color="auto" w:sz="4" w:space="0"/>
            </w:tcBorders>
            <w:noWrap w:val="0"/>
            <w:vAlign w:val="center"/>
          </w:tcPr>
          <w:p w14:paraId="55B89D34">
            <w:pPr>
              <w:widowControl/>
              <w:spacing w:line="360" w:lineRule="auto"/>
              <w:ind w:firstLine="200"/>
              <w:jc w:val="center"/>
              <w:outlineLvl w:val="9"/>
              <w:rPr>
                <w:rFonts w:ascii="宋体" w:hAnsi="宋体" w:cs="宋体"/>
                <w:bCs/>
                <w:color w:val="auto"/>
                <w:kern w:val="0"/>
                <w:sz w:val="24"/>
                <w:highlight w:val="none"/>
              </w:rPr>
            </w:pPr>
            <w:r>
              <w:rPr>
                <w:rFonts w:hint="eastAsia" w:ascii="宋体" w:hAnsi="宋体" w:cs="宋体"/>
                <w:bCs/>
                <w:color w:val="auto"/>
                <w:kern w:val="0"/>
                <w:sz w:val="24"/>
                <w:highlight w:val="none"/>
              </w:rPr>
              <w:t>验收标准</w:t>
            </w:r>
          </w:p>
        </w:tc>
      </w:tr>
      <w:tr w14:paraId="34F2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14:paraId="03F3CB66">
            <w:pPr>
              <w:widowControl/>
              <w:spacing w:line="360" w:lineRule="auto"/>
              <w:ind w:firstLine="200"/>
              <w:jc w:val="center"/>
              <w:outlineLvl w:val="9"/>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3514" w:type="dxa"/>
            <w:tcBorders>
              <w:top w:val="single" w:color="auto" w:sz="4" w:space="0"/>
              <w:left w:val="single" w:color="auto" w:sz="4" w:space="0"/>
              <w:bottom w:val="single" w:color="auto" w:sz="4" w:space="0"/>
              <w:right w:val="single" w:color="auto" w:sz="4" w:space="0"/>
            </w:tcBorders>
            <w:noWrap w:val="0"/>
            <w:vAlign w:val="center"/>
          </w:tcPr>
          <w:p w14:paraId="10110140">
            <w:pPr>
              <w:widowControl/>
              <w:spacing w:line="360" w:lineRule="auto"/>
              <w:ind w:firstLine="200"/>
              <w:jc w:val="center"/>
              <w:outlineLvl w:val="9"/>
              <w:rPr>
                <w:rFonts w:ascii="宋体" w:hAnsi="宋体" w:cs="宋体"/>
                <w:bCs/>
                <w:color w:val="auto"/>
                <w:kern w:val="0"/>
                <w:sz w:val="24"/>
                <w:highlight w:val="none"/>
              </w:rPr>
            </w:pPr>
            <w:r>
              <w:rPr>
                <w:rFonts w:hint="eastAsia" w:ascii="宋体" w:hAnsi="宋体" w:cs="宋体"/>
                <w:bCs/>
                <w:color w:val="auto"/>
                <w:kern w:val="0"/>
                <w:sz w:val="24"/>
                <w:highlight w:val="none"/>
              </w:rPr>
              <w:t>交货产品数量</w:t>
            </w:r>
          </w:p>
        </w:tc>
        <w:tc>
          <w:tcPr>
            <w:tcW w:w="3935" w:type="dxa"/>
            <w:tcBorders>
              <w:top w:val="single" w:color="auto" w:sz="4" w:space="0"/>
              <w:left w:val="single" w:color="auto" w:sz="4" w:space="0"/>
              <w:bottom w:val="single" w:color="auto" w:sz="4" w:space="0"/>
              <w:right w:val="single" w:color="auto" w:sz="4" w:space="0"/>
            </w:tcBorders>
            <w:noWrap w:val="0"/>
            <w:vAlign w:val="center"/>
          </w:tcPr>
          <w:p w14:paraId="3ABA71ED">
            <w:pPr>
              <w:widowControl/>
              <w:spacing w:line="360" w:lineRule="auto"/>
              <w:jc w:val="center"/>
              <w:outlineLvl w:val="9"/>
              <w:rPr>
                <w:rFonts w:ascii="宋体" w:hAnsi="宋体" w:cs="宋体"/>
                <w:color w:val="auto"/>
                <w:kern w:val="0"/>
                <w:sz w:val="24"/>
                <w:highlight w:val="none"/>
              </w:rPr>
            </w:pPr>
            <w:r>
              <w:rPr>
                <w:rFonts w:hint="eastAsia" w:ascii="宋体" w:hAnsi="宋体" w:eastAsia="宋体" w:cs="宋体"/>
                <w:bCs/>
                <w:color w:val="auto"/>
                <w:kern w:val="0"/>
                <w:sz w:val="24"/>
                <w:highlight w:val="none"/>
                <w:lang w:val="en-US" w:eastAsia="zh-CN"/>
              </w:rPr>
              <w:t>按招标文件要求和投标文件承诺</w:t>
            </w:r>
          </w:p>
        </w:tc>
      </w:tr>
      <w:tr w14:paraId="6223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14:paraId="77F88820">
            <w:pPr>
              <w:widowControl/>
              <w:spacing w:line="360" w:lineRule="auto"/>
              <w:ind w:firstLine="200"/>
              <w:jc w:val="center"/>
              <w:outlineLvl w:val="9"/>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3514" w:type="dxa"/>
            <w:tcBorders>
              <w:top w:val="single" w:color="auto" w:sz="4" w:space="0"/>
              <w:left w:val="single" w:color="auto" w:sz="4" w:space="0"/>
              <w:bottom w:val="single" w:color="auto" w:sz="4" w:space="0"/>
              <w:right w:val="single" w:color="auto" w:sz="4" w:space="0"/>
            </w:tcBorders>
            <w:noWrap w:val="0"/>
            <w:vAlign w:val="center"/>
          </w:tcPr>
          <w:p w14:paraId="108A6FFC">
            <w:pPr>
              <w:widowControl/>
              <w:spacing w:line="360" w:lineRule="auto"/>
              <w:ind w:firstLine="200"/>
              <w:jc w:val="center"/>
              <w:outlineLvl w:val="9"/>
              <w:rPr>
                <w:rFonts w:ascii="宋体" w:hAnsi="宋体" w:cs="宋体"/>
                <w:bCs/>
                <w:color w:val="auto"/>
                <w:kern w:val="0"/>
                <w:sz w:val="24"/>
                <w:highlight w:val="none"/>
              </w:rPr>
            </w:pPr>
            <w:r>
              <w:rPr>
                <w:rFonts w:hint="eastAsia" w:ascii="宋体" w:hAnsi="宋体" w:cs="宋体"/>
                <w:bCs/>
                <w:color w:val="auto"/>
                <w:kern w:val="0"/>
                <w:sz w:val="24"/>
                <w:highlight w:val="none"/>
              </w:rPr>
              <w:t>交货产品的质量文件</w:t>
            </w:r>
          </w:p>
        </w:tc>
        <w:tc>
          <w:tcPr>
            <w:tcW w:w="3935" w:type="dxa"/>
            <w:tcBorders>
              <w:top w:val="single" w:color="auto" w:sz="4" w:space="0"/>
              <w:left w:val="single" w:color="auto" w:sz="4" w:space="0"/>
              <w:bottom w:val="single" w:color="auto" w:sz="4" w:space="0"/>
              <w:right w:val="single" w:color="auto" w:sz="4" w:space="0"/>
            </w:tcBorders>
            <w:noWrap w:val="0"/>
            <w:vAlign w:val="center"/>
          </w:tcPr>
          <w:p w14:paraId="73EE8610">
            <w:pPr>
              <w:jc w:val="center"/>
              <w:outlineLvl w:val="9"/>
              <w:rPr>
                <w:color w:val="auto"/>
                <w:highlight w:val="none"/>
              </w:rPr>
            </w:pPr>
            <w:r>
              <w:rPr>
                <w:rFonts w:hint="eastAsia" w:ascii="宋体" w:hAnsi="宋体" w:eastAsia="宋体" w:cs="宋体"/>
                <w:bCs/>
                <w:color w:val="auto"/>
                <w:kern w:val="0"/>
                <w:sz w:val="24"/>
                <w:highlight w:val="none"/>
                <w:lang w:val="en-US" w:eastAsia="zh-CN"/>
              </w:rPr>
              <w:t>按招标文件要求和投标文件承诺</w:t>
            </w:r>
          </w:p>
        </w:tc>
      </w:tr>
      <w:tr w14:paraId="0C43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14:paraId="12005BB5">
            <w:pPr>
              <w:widowControl/>
              <w:spacing w:line="360" w:lineRule="auto"/>
              <w:ind w:firstLine="200"/>
              <w:jc w:val="center"/>
              <w:outlineLvl w:val="9"/>
              <w:rPr>
                <w:rFonts w:ascii="宋体" w:hAnsi="宋体" w:cs="宋体"/>
                <w:bCs/>
                <w:color w:val="auto"/>
                <w:kern w:val="0"/>
                <w:sz w:val="24"/>
                <w:highlight w:val="none"/>
              </w:rPr>
            </w:pPr>
            <w:r>
              <w:rPr>
                <w:rFonts w:hint="eastAsia" w:ascii="宋体" w:hAnsi="宋体" w:cs="宋体"/>
                <w:bCs/>
                <w:color w:val="auto"/>
                <w:kern w:val="0"/>
                <w:sz w:val="24"/>
                <w:highlight w:val="none"/>
              </w:rPr>
              <w:t>3</w:t>
            </w:r>
          </w:p>
        </w:tc>
        <w:tc>
          <w:tcPr>
            <w:tcW w:w="3514" w:type="dxa"/>
            <w:tcBorders>
              <w:top w:val="single" w:color="auto" w:sz="4" w:space="0"/>
              <w:left w:val="single" w:color="auto" w:sz="4" w:space="0"/>
              <w:bottom w:val="single" w:color="auto" w:sz="4" w:space="0"/>
              <w:right w:val="single" w:color="auto" w:sz="4" w:space="0"/>
            </w:tcBorders>
            <w:noWrap w:val="0"/>
            <w:vAlign w:val="center"/>
          </w:tcPr>
          <w:p w14:paraId="33EFCFF4">
            <w:pPr>
              <w:spacing w:line="360" w:lineRule="auto"/>
              <w:ind w:firstLine="200"/>
              <w:jc w:val="center"/>
              <w:outlineLvl w:val="9"/>
              <w:rPr>
                <w:rFonts w:ascii="宋体" w:hAnsi="宋体" w:cs="宋体"/>
                <w:bCs/>
                <w:color w:val="auto"/>
                <w:kern w:val="0"/>
                <w:sz w:val="24"/>
                <w:highlight w:val="none"/>
              </w:rPr>
            </w:pPr>
            <w:r>
              <w:rPr>
                <w:rFonts w:hint="eastAsia" w:ascii="宋体" w:hAnsi="宋体" w:cs="宋体"/>
                <w:bCs/>
                <w:color w:val="auto"/>
                <w:kern w:val="0"/>
                <w:sz w:val="24"/>
                <w:highlight w:val="none"/>
              </w:rPr>
              <w:t>交货产品技术、性能指标</w:t>
            </w:r>
          </w:p>
        </w:tc>
        <w:tc>
          <w:tcPr>
            <w:tcW w:w="3935" w:type="dxa"/>
            <w:tcBorders>
              <w:top w:val="single" w:color="auto" w:sz="4" w:space="0"/>
              <w:left w:val="single" w:color="auto" w:sz="4" w:space="0"/>
              <w:bottom w:val="single" w:color="auto" w:sz="4" w:space="0"/>
              <w:right w:val="single" w:color="auto" w:sz="4" w:space="0"/>
            </w:tcBorders>
            <w:noWrap w:val="0"/>
            <w:vAlign w:val="center"/>
          </w:tcPr>
          <w:p w14:paraId="69C0E695">
            <w:pPr>
              <w:jc w:val="center"/>
              <w:outlineLvl w:val="9"/>
              <w:rPr>
                <w:color w:val="auto"/>
                <w:highlight w:val="none"/>
              </w:rPr>
            </w:pPr>
            <w:r>
              <w:rPr>
                <w:rFonts w:hint="eastAsia" w:ascii="宋体" w:hAnsi="宋体" w:eastAsia="宋体" w:cs="宋体"/>
                <w:bCs/>
                <w:color w:val="auto"/>
                <w:kern w:val="0"/>
                <w:sz w:val="24"/>
                <w:highlight w:val="none"/>
                <w:lang w:val="en-US" w:eastAsia="zh-CN"/>
              </w:rPr>
              <w:t>按招标文件要求和投标文件承诺</w:t>
            </w:r>
          </w:p>
        </w:tc>
      </w:tr>
      <w:tr w14:paraId="5E03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14:paraId="3371EABF">
            <w:pPr>
              <w:widowControl/>
              <w:spacing w:line="360" w:lineRule="auto"/>
              <w:ind w:firstLine="200"/>
              <w:jc w:val="center"/>
              <w:outlineLvl w:val="9"/>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3514" w:type="dxa"/>
            <w:tcBorders>
              <w:top w:val="single" w:color="auto" w:sz="4" w:space="0"/>
              <w:left w:val="single" w:color="auto" w:sz="4" w:space="0"/>
              <w:bottom w:val="single" w:color="auto" w:sz="4" w:space="0"/>
              <w:right w:val="single" w:color="auto" w:sz="4" w:space="0"/>
            </w:tcBorders>
            <w:noWrap w:val="0"/>
            <w:vAlign w:val="center"/>
          </w:tcPr>
          <w:p w14:paraId="77AE3CC7">
            <w:pPr>
              <w:spacing w:line="360" w:lineRule="auto"/>
              <w:ind w:firstLine="200"/>
              <w:jc w:val="center"/>
              <w:outlineLvl w:val="9"/>
              <w:rPr>
                <w:rFonts w:ascii="宋体" w:hAnsi="宋体" w:cs="宋体"/>
                <w:bCs/>
                <w:color w:val="auto"/>
                <w:kern w:val="0"/>
                <w:sz w:val="24"/>
                <w:highlight w:val="none"/>
              </w:rPr>
            </w:pPr>
            <w:r>
              <w:rPr>
                <w:rFonts w:hint="eastAsia" w:ascii="宋体" w:hAnsi="宋体" w:cs="宋体"/>
                <w:color w:val="auto"/>
                <w:sz w:val="24"/>
                <w:highlight w:val="none"/>
              </w:rPr>
              <w:t>售后服务承诺</w:t>
            </w:r>
          </w:p>
        </w:tc>
        <w:tc>
          <w:tcPr>
            <w:tcW w:w="3935" w:type="dxa"/>
            <w:tcBorders>
              <w:top w:val="single" w:color="auto" w:sz="4" w:space="0"/>
              <w:left w:val="single" w:color="auto" w:sz="4" w:space="0"/>
              <w:bottom w:val="single" w:color="auto" w:sz="4" w:space="0"/>
              <w:right w:val="single" w:color="auto" w:sz="4" w:space="0"/>
            </w:tcBorders>
            <w:noWrap w:val="0"/>
            <w:vAlign w:val="center"/>
          </w:tcPr>
          <w:p w14:paraId="46653844">
            <w:pPr>
              <w:jc w:val="center"/>
              <w:outlineLvl w:val="9"/>
              <w:rPr>
                <w:color w:val="auto"/>
                <w:highlight w:val="none"/>
              </w:rPr>
            </w:pPr>
            <w:r>
              <w:rPr>
                <w:rFonts w:hint="eastAsia" w:ascii="宋体" w:hAnsi="宋体" w:eastAsia="宋体" w:cs="宋体"/>
                <w:bCs/>
                <w:color w:val="auto"/>
                <w:kern w:val="0"/>
                <w:sz w:val="24"/>
                <w:highlight w:val="none"/>
                <w:lang w:val="en-US" w:eastAsia="zh-CN"/>
              </w:rPr>
              <w:t>按招标文件要求和投标文件承诺</w:t>
            </w:r>
          </w:p>
        </w:tc>
      </w:tr>
      <w:tr w14:paraId="6600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14:paraId="6959A9DA">
            <w:pPr>
              <w:widowControl/>
              <w:spacing w:line="360" w:lineRule="auto"/>
              <w:ind w:firstLine="200"/>
              <w:jc w:val="center"/>
              <w:outlineLvl w:val="9"/>
              <w:rPr>
                <w:rFonts w:ascii="宋体" w:hAnsi="宋体" w:cs="宋体"/>
                <w:bCs/>
                <w:color w:val="auto"/>
                <w:kern w:val="0"/>
                <w:sz w:val="24"/>
                <w:highlight w:val="none"/>
              </w:rPr>
            </w:pPr>
            <w:r>
              <w:rPr>
                <w:rFonts w:hint="eastAsia" w:ascii="宋体" w:hAnsi="宋体" w:cs="宋体"/>
                <w:bCs/>
                <w:color w:val="auto"/>
                <w:kern w:val="0"/>
                <w:sz w:val="24"/>
                <w:highlight w:val="none"/>
              </w:rPr>
              <w:t>5</w:t>
            </w:r>
          </w:p>
        </w:tc>
        <w:tc>
          <w:tcPr>
            <w:tcW w:w="3514" w:type="dxa"/>
            <w:tcBorders>
              <w:top w:val="single" w:color="auto" w:sz="4" w:space="0"/>
              <w:left w:val="single" w:color="auto" w:sz="4" w:space="0"/>
              <w:bottom w:val="single" w:color="auto" w:sz="4" w:space="0"/>
              <w:right w:val="single" w:color="auto" w:sz="4" w:space="0"/>
            </w:tcBorders>
            <w:noWrap w:val="0"/>
            <w:vAlign w:val="center"/>
          </w:tcPr>
          <w:p w14:paraId="696BC405">
            <w:pPr>
              <w:widowControl/>
              <w:spacing w:line="360" w:lineRule="auto"/>
              <w:ind w:firstLine="200"/>
              <w:jc w:val="center"/>
              <w:outlineLvl w:val="9"/>
              <w:rPr>
                <w:rFonts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3935" w:type="dxa"/>
            <w:tcBorders>
              <w:top w:val="single" w:color="auto" w:sz="4" w:space="0"/>
              <w:left w:val="single" w:color="auto" w:sz="4" w:space="0"/>
              <w:bottom w:val="single" w:color="auto" w:sz="4" w:space="0"/>
              <w:right w:val="single" w:color="auto" w:sz="4" w:space="0"/>
            </w:tcBorders>
            <w:noWrap w:val="0"/>
            <w:vAlign w:val="center"/>
          </w:tcPr>
          <w:p w14:paraId="1D3E8BB3">
            <w:pPr>
              <w:jc w:val="center"/>
              <w:outlineLvl w:val="9"/>
              <w:rPr>
                <w:color w:val="auto"/>
                <w:highlight w:val="none"/>
              </w:rPr>
            </w:pPr>
            <w:r>
              <w:rPr>
                <w:rFonts w:hint="eastAsia" w:ascii="宋体" w:hAnsi="宋体" w:eastAsia="宋体" w:cs="宋体"/>
                <w:bCs/>
                <w:color w:val="auto"/>
                <w:kern w:val="0"/>
                <w:sz w:val="24"/>
                <w:highlight w:val="none"/>
                <w:lang w:val="en-US" w:eastAsia="zh-CN"/>
              </w:rPr>
              <w:t>按招标文件要求和投标文件承诺</w:t>
            </w:r>
          </w:p>
        </w:tc>
      </w:tr>
    </w:tbl>
    <w:p w14:paraId="51EB71EC">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3.6.7验收资料要求</w:t>
      </w:r>
    </w:p>
    <w:p w14:paraId="24F00EA3">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18E003AB">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（1）采购文件；</w:t>
      </w:r>
    </w:p>
    <w:p w14:paraId="1F52D922">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（2）投标文件；</w:t>
      </w:r>
    </w:p>
    <w:p w14:paraId="4601E8EB">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（3）采购合同；</w:t>
      </w:r>
    </w:p>
    <w:p w14:paraId="3F28E49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highlight w:val="none"/>
        </w:rPr>
      </w:pPr>
      <w:r>
        <w:rPr>
          <w:rFonts w:hint="eastAsia" w:ascii="宋体" w:hAnsi="宋体" w:cs="宋体"/>
          <w:color w:val="auto"/>
          <w:sz w:val="24"/>
          <w:highlight w:val="none"/>
        </w:rPr>
        <w:t>（4）其他需提供的相关材料。</w:t>
      </w:r>
    </w:p>
    <w:p w14:paraId="14CF6361">
      <w:pPr>
        <w:widowControl/>
        <w:tabs>
          <w:tab w:val="left" w:pos="2472"/>
        </w:tabs>
        <w:spacing w:line="460" w:lineRule="exact"/>
        <w:jc w:val="center"/>
        <w:rPr>
          <w:rFonts w:hint="eastAsia" w:ascii="宋体" w:hAnsi="宋体" w:cs="宋体"/>
          <w:b/>
          <w:color w:val="auto"/>
          <w:sz w:val="36"/>
          <w:szCs w:val="20"/>
          <w:highlight w:val="none"/>
        </w:rPr>
        <w:sectPr>
          <w:footerReference r:id="rId6" w:type="default"/>
          <w:pgSz w:w="11906" w:h="16838"/>
          <w:pgMar w:top="1135" w:right="1135" w:bottom="1135" w:left="1135" w:header="720" w:footer="720" w:gutter="0"/>
          <w:pgNumType w:fmt="decimal"/>
          <w:cols w:space="720" w:num="1"/>
          <w:docGrid w:type="lines" w:linePitch="331" w:charSpace="0"/>
        </w:sectPr>
      </w:pPr>
    </w:p>
    <w:p w14:paraId="17137C39">
      <w:pPr>
        <w:rPr>
          <w:rFonts w:hint="eastAsia" w:ascii="宋体" w:hAnsi="宋体" w:cs="宋体"/>
          <w:color w:val="auto"/>
          <w:highlight w:val="none"/>
        </w:rPr>
      </w:pPr>
    </w:p>
    <w:p w14:paraId="1038CA94">
      <w:pPr>
        <w:pStyle w:val="24"/>
        <w:rPr>
          <w:rFonts w:hint="eastAsia" w:ascii="宋体" w:hAnsi="宋体" w:cs="宋体"/>
          <w:color w:val="auto"/>
          <w:highlight w:val="none"/>
        </w:rPr>
      </w:pPr>
    </w:p>
    <w:p w14:paraId="6FE7D434">
      <w:pPr>
        <w:rPr>
          <w:rFonts w:hint="eastAsia" w:ascii="宋体" w:hAnsi="宋体" w:cs="宋体"/>
          <w:color w:val="auto"/>
          <w:highlight w:val="none"/>
        </w:rPr>
      </w:pPr>
    </w:p>
    <w:p w14:paraId="1AD0C570">
      <w:pPr>
        <w:pStyle w:val="24"/>
        <w:rPr>
          <w:rFonts w:hint="eastAsia" w:ascii="宋体" w:hAnsi="宋体" w:cs="宋体"/>
          <w:color w:val="auto"/>
          <w:highlight w:val="none"/>
        </w:rPr>
      </w:pPr>
    </w:p>
    <w:p w14:paraId="4D125D8B">
      <w:pPr>
        <w:rPr>
          <w:rFonts w:hint="eastAsia" w:ascii="宋体" w:hAnsi="宋体" w:cs="宋体"/>
          <w:color w:val="auto"/>
          <w:highlight w:val="none"/>
        </w:rPr>
      </w:pPr>
    </w:p>
    <w:p w14:paraId="70550096">
      <w:pPr>
        <w:pStyle w:val="24"/>
        <w:rPr>
          <w:rFonts w:hint="eastAsia" w:ascii="宋体" w:hAnsi="宋体" w:cs="宋体"/>
          <w:color w:val="auto"/>
          <w:highlight w:val="none"/>
        </w:rPr>
      </w:pPr>
    </w:p>
    <w:p w14:paraId="779A72D4">
      <w:pPr>
        <w:rPr>
          <w:rFonts w:hint="eastAsia" w:ascii="宋体" w:hAnsi="宋体" w:cs="宋体"/>
          <w:color w:val="auto"/>
          <w:highlight w:val="none"/>
        </w:rPr>
      </w:pPr>
    </w:p>
    <w:p w14:paraId="451C296A">
      <w:pPr>
        <w:pStyle w:val="24"/>
        <w:rPr>
          <w:rFonts w:hint="eastAsia" w:ascii="宋体" w:hAnsi="宋体" w:cs="宋体"/>
          <w:color w:val="auto"/>
          <w:highlight w:val="none"/>
        </w:rPr>
      </w:pPr>
    </w:p>
    <w:p w14:paraId="40B9120A">
      <w:pPr>
        <w:rPr>
          <w:rFonts w:hint="eastAsia" w:ascii="宋体" w:hAnsi="宋体" w:cs="宋体"/>
          <w:color w:val="auto"/>
          <w:highlight w:val="none"/>
        </w:rPr>
      </w:pPr>
    </w:p>
    <w:p w14:paraId="0FC54CEA">
      <w:pPr>
        <w:pStyle w:val="24"/>
        <w:rPr>
          <w:rFonts w:hint="eastAsia" w:ascii="宋体" w:hAnsi="宋体" w:cs="宋体"/>
          <w:color w:val="auto"/>
          <w:highlight w:val="none"/>
        </w:rPr>
      </w:pPr>
    </w:p>
    <w:p w14:paraId="56920283">
      <w:pPr>
        <w:rPr>
          <w:rFonts w:hint="eastAsia" w:ascii="宋体" w:hAnsi="宋体" w:cs="宋体"/>
          <w:color w:val="auto"/>
          <w:highlight w:val="none"/>
        </w:rPr>
      </w:pPr>
    </w:p>
    <w:p w14:paraId="4D5FB4D6">
      <w:pPr>
        <w:pStyle w:val="24"/>
        <w:rPr>
          <w:rFonts w:hint="eastAsia" w:ascii="宋体" w:hAnsi="宋体" w:cs="宋体"/>
          <w:color w:val="auto"/>
          <w:highlight w:val="none"/>
        </w:rPr>
      </w:pPr>
    </w:p>
    <w:p w14:paraId="2669E34F">
      <w:pPr>
        <w:rPr>
          <w:rFonts w:hint="eastAsia" w:ascii="宋体" w:hAnsi="宋体" w:cs="宋体"/>
          <w:color w:val="auto"/>
          <w:highlight w:val="none"/>
        </w:rPr>
      </w:pPr>
    </w:p>
    <w:p w14:paraId="0A9FAC75">
      <w:pPr>
        <w:pStyle w:val="24"/>
        <w:rPr>
          <w:rFonts w:hint="eastAsia" w:ascii="宋体" w:hAnsi="宋体" w:cs="宋体"/>
          <w:color w:val="auto"/>
          <w:highlight w:val="none"/>
        </w:rPr>
      </w:pPr>
    </w:p>
    <w:p w14:paraId="234FADEE">
      <w:pPr>
        <w:rPr>
          <w:rFonts w:hint="eastAsia" w:ascii="宋体" w:hAnsi="宋体" w:cs="宋体"/>
          <w:color w:val="auto"/>
          <w:highlight w:val="none"/>
        </w:rPr>
      </w:pPr>
    </w:p>
    <w:p w14:paraId="40954F6B">
      <w:pPr>
        <w:pStyle w:val="24"/>
        <w:rPr>
          <w:rFonts w:hint="eastAsia" w:ascii="宋体" w:hAnsi="宋体" w:cs="宋体"/>
          <w:color w:val="auto"/>
          <w:highlight w:val="none"/>
        </w:rPr>
      </w:pPr>
    </w:p>
    <w:p w14:paraId="7412D938">
      <w:pPr>
        <w:rPr>
          <w:rFonts w:hint="eastAsia" w:ascii="宋体" w:hAnsi="宋体" w:cs="宋体"/>
          <w:color w:val="auto"/>
          <w:highlight w:val="none"/>
        </w:rPr>
      </w:pPr>
    </w:p>
    <w:p w14:paraId="0BCA7B49">
      <w:pPr>
        <w:pStyle w:val="24"/>
        <w:rPr>
          <w:rFonts w:hint="eastAsia" w:ascii="宋体" w:hAnsi="宋体" w:cs="宋体"/>
          <w:color w:val="auto"/>
          <w:highlight w:val="none"/>
        </w:rPr>
      </w:pPr>
    </w:p>
    <w:p w14:paraId="5071BD91">
      <w:pPr>
        <w:rPr>
          <w:rFonts w:hint="eastAsia" w:ascii="宋体" w:hAnsi="宋体" w:cs="宋体"/>
          <w:color w:val="auto"/>
          <w:highlight w:val="none"/>
        </w:rPr>
      </w:pPr>
    </w:p>
    <w:p w14:paraId="75CF84B1">
      <w:pPr>
        <w:pStyle w:val="24"/>
        <w:rPr>
          <w:rFonts w:hint="eastAsia" w:ascii="宋体" w:hAnsi="宋体" w:cs="宋体"/>
          <w:color w:val="auto"/>
          <w:highlight w:val="none"/>
        </w:rPr>
      </w:pPr>
    </w:p>
    <w:p w14:paraId="62527A0E">
      <w:pPr>
        <w:rPr>
          <w:rFonts w:hint="eastAsia" w:ascii="宋体" w:hAnsi="宋体" w:cs="宋体"/>
          <w:color w:val="auto"/>
          <w:highlight w:val="none"/>
        </w:rPr>
      </w:pPr>
    </w:p>
    <w:p w14:paraId="4FAFF256">
      <w:pPr>
        <w:pStyle w:val="24"/>
        <w:rPr>
          <w:rFonts w:hint="eastAsia" w:ascii="宋体" w:hAnsi="宋体" w:cs="宋体"/>
          <w:color w:val="auto"/>
          <w:highlight w:val="none"/>
        </w:rPr>
      </w:pPr>
    </w:p>
    <w:p w14:paraId="31D81382">
      <w:pPr>
        <w:widowControl/>
        <w:tabs>
          <w:tab w:val="left" w:pos="2472"/>
        </w:tabs>
        <w:spacing w:line="460" w:lineRule="exact"/>
        <w:jc w:val="center"/>
        <w:outlineLvl w:val="0"/>
        <w:rPr>
          <w:rFonts w:hint="eastAsia" w:ascii="宋体" w:hAnsi="宋体" w:cs="宋体"/>
          <w:b/>
          <w:color w:val="auto"/>
          <w:sz w:val="36"/>
          <w:szCs w:val="20"/>
          <w:highlight w:val="none"/>
        </w:rPr>
      </w:pPr>
      <w:bookmarkStart w:id="340" w:name="_Toc17308"/>
      <w:bookmarkStart w:id="341" w:name="_Toc1095"/>
      <w:bookmarkStart w:id="342" w:name="_Toc16776"/>
      <w:r>
        <w:rPr>
          <w:rFonts w:hint="eastAsia" w:ascii="宋体" w:hAnsi="宋体" w:cs="宋体"/>
          <w:b/>
          <w:color w:val="auto"/>
          <w:sz w:val="36"/>
          <w:szCs w:val="20"/>
          <w:highlight w:val="none"/>
        </w:rPr>
        <w:t>第六章 投标文件格式</w:t>
      </w:r>
      <w:bookmarkEnd w:id="340"/>
      <w:bookmarkEnd w:id="341"/>
      <w:bookmarkEnd w:id="342"/>
    </w:p>
    <w:p w14:paraId="3BA1463E">
      <w:pPr>
        <w:spacing w:line="360" w:lineRule="auto"/>
        <w:rPr>
          <w:rFonts w:hint="eastAsia" w:ascii="宋体" w:hAnsi="宋体" w:cs="宋体"/>
          <w:color w:val="auto"/>
          <w:szCs w:val="20"/>
          <w:highlight w:val="none"/>
          <w:lang w:bidi="ar"/>
        </w:rPr>
        <w:sectPr>
          <w:pgSz w:w="11906" w:h="16838"/>
          <w:pgMar w:top="1135" w:right="1135" w:bottom="1135" w:left="1135" w:header="720" w:footer="720" w:gutter="0"/>
          <w:pgNumType w:fmt="decimal"/>
          <w:cols w:space="720" w:num="1"/>
          <w:docGrid w:type="lines" w:linePitch="331" w:charSpace="0"/>
        </w:sectPr>
      </w:pPr>
    </w:p>
    <w:p w14:paraId="0BBB1E2A">
      <w:pPr>
        <w:widowControl/>
        <w:ind w:firstLine="551" w:firstLineChars="196"/>
        <w:jc w:val="center"/>
        <w:outlineLvl w:val="1"/>
        <w:rPr>
          <w:rFonts w:hint="eastAsia" w:ascii="宋体" w:hAnsi="宋体" w:cs="宋体"/>
          <w:b/>
          <w:bCs/>
          <w:color w:val="auto"/>
          <w:sz w:val="28"/>
          <w:szCs w:val="28"/>
          <w:highlight w:val="none"/>
        </w:rPr>
      </w:pPr>
      <w:bookmarkStart w:id="343" w:name="_Toc15113"/>
      <w:bookmarkStart w:id="344" w:name="_Toc19143"/>
      <w:bookmarkStart w:id="345" w:name="_Toc27408"/>
      <w:r>
        <w:rPr>
          <w:rFonts w:hint="eastAsia" w:ascii="宋体" w:hAnsi="宋体" w:cs="宋体"/>
          <w:b/>
          <w:bCs/>
          <w:color w:val="auto"/>
          <w:sz w:val="28"/>
          <w:szCs w:val="28"/>
          <w:highlight w:val="none"/>
        </w:rPr>
        <w:t>第一节 投标文件封面</w:t>
      </w:r>
      <w:bookmarkEnd w:id="343"/>
      <w:bookmarkEnd w:id="344"/>
      <w:bookmarkEnd w:id="345"/>
    </w:p>
    <w:p w14:paraId="2AA2DD70">
      <w:pPr>
        <w:spacing w:before="156" w:beforeLines="50" w:after="156" w:afterLines="50"/>
        <w:jc w:val="center"/>
        <w:rPr>
          <w:rFonts w:hint="eastAsia" w:ascii="宋体" w:hAnsi="宋体" w:cs="宋体"/>
          <w:color w:val="auto"/>
          <w:spacing w:val="20"/>
          <w:sz w:val="44"/>
          <w:szCs w:val="44"/>
          <w:highlight w:val="none"/>
        </w:rPr>
      </w:pPr>
    </w:p>
    <w:p w14:paraId="2491C226">
      <w:pPr>
        <w:spacing w:before="156" w:beforeLines="50" w:after="156" w:afterLines="50"/>
        <w:jc w:val="center"/>
        <w:rPr>
          <w:rFonts w:hint="eastAsia" w:ascii="宋体" w:hAnsi="宋体" w:cs="宋体"/>
          <w:color w:val="auto"/>
          <w:spacing w:val="20"/>
          <w:sz w:val="44"/>
          <w:szCs w:val="44"/>
          <w:highlight w:val="none"/>
        </w:rPr>
      </w:pPr>
    </w:p>
    <w:p w14:paraId="1D042E28">
      <w:pPr>
        <w:spacing w:before="156" w:beforeLines="50" w:after="156" w:afterLines="50"/>
        <w:jc w:val="center"/>
        <w:rPr>
          <w:rFonts w:hint="eastAsia" w:ascii="宋体" w:hAnsi="宋体" w:cs="宋体"/>
          <w:color w:val="auto"/>
          <w:spacing w:val="20"/>
          <w:sz w:val="44"/>
          <w:szCs w:val="44"/>
          <w:highlight w:val="none"/>
        </w:rPr>
      </w:pPr>
    </w:p>
    <w:p w14:paraId="2F0737A3">
      <w:pPr>
        <w:spacing w:before="156" w:beforeLines="50" w:after="156" w:afterLines="50"/>
        <w:jc w:val="center"/>
        <w:rPr>
          <w:rFonts w:hint="eastAsia" w:ascii="宋体" w:hAnsi="宋体" w:cs="宋体"/>
          <w:color w:val="auto"/>
          <w:spacing w:val="20"/>
          <w:sz w:val="44"/>
          <w:szCs w:val="44"/>
          <w:highlight w:val="none"/>
        </w:rPr>
      </w:pPr>
    </w:p>
    <w:p w14:paraId="65943C66">
      <w:pPr>
        <w:spacing w:before="156" w:beforeLines="50" w:after="156" w:afterLines="50"/>
        <w:jc w:val="center"/>
        <w:rPr>
          <w:rFonts w:hint="eastAsia" w:ascii="宋体" w:hAnsi="宋体" w:cs="宋体"/>
          <w:color w:val="auto"/>
          <w:spacing w:val="20"/>
          <w:sz w:val="44"/>
          <w:szCs w:val="44"/>
          <w:highlight w:val="none"/>
        </w:rPr>
      </w:pPr>
      <w:r>
        <w:rPr>
          <w:rFonts w:hint="eastAsia" w:ascii="宋体" w:hAnsi="宋体" w:cs="宋体"/>
          <w:color w:val="auto"/>
          <w:spacing w:val="20"/>
          <w:sz w:val="44"/>
          <w:szCs w:val="44"/>
          <w:highlight w:val="none"/>
          <w:lang w:bidi="ar"/>
        </w:rPr>
        <w:t>（项目名称）</w:t>
      </w:r>
    </w:p>
    <w:p w14:paraId="40B2C8D7">
      <w:pPr>
        <w:spacing w:before="156" w:beforeLines="50" w:after="156" w:afterLines="50"/>
        <w:jc w:val="center"/>
        <w:rPr>
          <w:rFonts w:hint="eastAsia"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lang w:bidi="ar"/>
        </w:rPr>
        <w:t>投标文件</w:t>
      </w:r>
    </w:p>
    <w:p w14:paraId="7D9E7647">
      <w:pPr>
        <w:jc w:val="center"/>
        <w:rPr>
          <w:rFonts w:hint="eastAsia" w:ascii="宋体" w:hAnsi="宋体" w:cs="宋体"/>
          <w:color w:val="auto"/>
          <w:sz w:val="24"/>
          <w:highlight w:val="none"/>
        </w:rPr>
      </w:pPr>
      <w:r>
        <w:rPr>
          <w:rFonts w:hint="eastAsia" w:ascii="宋体" w:hAnsi="宋体" w:cs="宋体"/>
          <w:color w:val="auto"/>
          <w:sz w:val="24"/>
          <w:highlight w:val="none"/>
          <w:lang w:bidi="ar"/>
        </w:rPr>
        <w:t>（电子投标文件）</w:t>
      </w:r>
    </w:p>
    <w:tbl>
      <w:tblPr>
        <w:tblStyle w:val="39"/>
        <w:tblW w:w="0" w:type="auto"/>
        <w:jc w:val="center"/>
        <w:tblLayout w:type="fixed"/>
        <w:tblCellMar>
          <w:top w:w="0" w:type="dxa"/>
          <w:left w:w="108" w:type="dxa"/>
          <w:bottom w:w="0" w:type="dxa"/>
          <w:right w:w="108" w:type="dxa"/>
        </w:tblCellMar>
      </w:tblPr>
      <w:tblGrid>
        <w:gridCol w:w="1601"/>
        <w:gridCol w:w="6172"/>
      </w:tblGrid>
      <w:tr w14:paraId="3FED1A10">
        <w:tblPrEx>
          <w:tblCellMar>
            <w:top w:w="0" w:type="dxa"/>
            <w:left w:w="108" w:type="dxa"/>
            <w:bottom w:w="0" w:type="dxa"/>
            <w:right w:w="108" w:type="dxa"/>
          </w:tblCellMar>
        </w:tblPrEx>
        <w:trPr>
          <w:jc w:val="center"/>
        </w:trPr>
        <w:tc>
          <w:tcPr>
            <w:tcW w:w="1601" w:type="dxa"/>
            <w:noWrap w:val="0"/>
            <w:vAlign w:val="bottom"/>
          </w:tcPr>
          <w:p w14:paraId="17651C99">
            <w:pPr>
              <w:jc w:val="distribute"/>
              <w:rPr>
                <w:rFonts w:hint="eastAsia" w:ascii="宋体" w:hAnsi="宋体" w:cs="宋体"/>
                <w:color w:val="auto"/>
                <w:sz w:val="24"/>
                <w:highlight w:val="none"/>
              </w:rPr>
            </w:pPr>
            <w:r>
              <w:rPr>
                <w:rFonts w:hint="eastAsia" w:ascii="宋体" w:hAnsi="宋体" w:cs="宋体"/>
                <w:color w:val="auto"/>
                <w:sz w:val="24"/>
                <w:highlight w:val="none"/>
                <w:lang w:bidi="ar"/>
              </w:rPr>
              <w:t>项目名称：</w:t>
            </w:r>
          </w:p>
        </w:tc>
        <w:tc>
          <w:tcPr>
            <w:tcW w:w="6172" w:type="dxa"/>
            <w:tcBorders>
              <w:top w:val="nil"/>
              <w:left w:val="nil"/>
              <w:bottom w:val="single" w:color="000000" w:sz="4" w:space="0"/>
              <w:right w:val="nil"/>
            </w:tcBorders>
            <w:noWrap w:val="0"/>
            <w:vAlign w:val="bottom"/>
          </w:tcPr>
          <w:p w14:paraId="1FF99388">
            <w:pPr>
              <w:jc w:val="left"/>
              <w:rPr>
                <w:rFonts w:hint="eastAsia" w:ascii="宋体" w:hAnsi="宋体" w:cs="宋体"/>
                <w:color w:val="auto"/>
                <w:sz w:val="24"/>
                <w:highlight w:val="none"/>
              </w:rPr>
            </w:pPr>
          </w:p>
        </w:tc>
      </w:tr>
      <w:tr w14:paraId="584BA4CA">
        <w:tblPrEx>
          <w:tblCellMar>
            <w:top w:w="0" w:type="dxa"/>
            <w:left w:w="108" w:type="dxa"/>
            <w:bottom w:w="0" w:type="dxa"/>
            <w:right w:w="108" w:type="dxa"/>
          </w:tblCellMar>
        </w:tblPrEx>
        <w:trPr>
          <w:jc w:val="center"/>
        </w:trPr>
        <w:tc>
          <w:tcPr>
            <w:tcW w:w="1601" w:type="dxa"/>
            <w:noWrap w:val="0"/>
            <w:vAlign w:val="bottom"/>
          </w:tcPr>
          <w:p w14:paraId="6C5929E9">
            <w:pPr>
              <w:jc w:val="distribute"/>
              <w:rPr>
                <w:rFonts w:hint="eastAsia" w:ascii="宋体" w:hAnsi="宋体" w:cs="宋体"/>
                <w:color w:val="auto"/>
                <w:sz w:val="24"/>
                <w:highlight w:val="none"/>
              </w:rPr>
            </w:pPr>
            <w:r>
              <w:rPr>
                <w:rFonts w:hint="eastAsia" w:ascii="宋体" w:hAnsi="宋体" w:cs="宋体"/>
                <w:color w:val="auto"/>
                <w:sz w:val="24"/>
                <w:highlight w:val="none"/>
                <w:lang w:bidi="ar"/>
              </w:rPr>
              <w:t>响应方式：</w:t>
            </w:r>
          </w:p>
        </w:tc>
        <w:tc>
          <w:tcPr>
            <w:tcW w:w="6172" w:type="dxa"/>
            <w:tcBorders>
              <w:top w:val="single" w:color="000000" w:sz="4" w:space="0"/>
              <w:left w:val="nil"/>
              <w:bottom w:val="single" w:color="000000" w:sz="4" w:space="0"/>
              <w:right w:val="nil"/>
            </w:tcBorders>
            <w:noWrap w:val="0"/>
            <w:vAlign w:val="bottom"/>
          </w:tcPr>
          <w:p w14:paraId="4A49A988">
            <w:pPr>
              <w:jc w:val="left"/>
              <w:rPr>
                <w:rFonts w:hint="eastAsia" w:ascii="宋体" w:hAnsi="宋体" w:cs="宋体"/>
                <w:color w:val="auto"/>
                <w:sz w:val="24"/>
                <w:highlight w:val="none"/>
              </w:rPr>
            </w:pPr>
            <w:bookmarkStart w:id="346" w:name="PO_3000001867_PM003"/>
            <w:r>
              <w:rPr>
                <w:rFonts w:hint="eastAsia" w:ascii="宋体" w:hAnsi="宋体" w:cs="宋体"/>
                <w:color w:val="auto"/>
                <w:sz w:val="24"/>
                <w:highlight w:val="none"/>
                <w:lang w:bidi="ar"/>
              </w:rPr>
              <w:t>在线投标响应</w:t>
            </w:r>
            <w:bookmarkEnd w:id="346"/>
          </w:p>
        </w:tc>
      </w:tr>
      <w:tr w14:paraId="5658A846">
        <w:tblPrEx>
          <w:tblCellMar>
            <w:top w:w="0" w:type="dxa"/>
            <w:left w:w="108" w:type="dxa"/>
            <w:bottom w:w="0" w:type="dxa"/>
            <w:right w:w="108" w:type="dxa"/>
          </w:tblCellMar>
        </w:tblPrEx>
        <w:trPr>
          <w:jc w:val="center"/>
        </w:trPr>
        <w:tc>
          <w:tcPr>
            <w:tcW w:w="1601" w:type="dxa"/>
            <w:noWrap w:val="0"/>
            <w:vAlign w:val="bottom"/>
          </w:tcPr>
          <w:p w14:paraId="75102919">
            <w:pPr>
              <w:jc w:val="distribute"/>
              <w:rPr>
                <w:rFonts w:hint="eastAsia" w:ascii="宋体" w:hAnsi="宋体" w:cs="宋体"/>
                <w:color w:val="auto"/>
                <w:sz w:val="24"/>
                <w:highlight w:val="none"/>
              </w:rPr>
            </w:pPr>
            <w:r>
              <w:rPr>
                <w:rFonts w:hint="eastAsia" w:ascii="宋体" w:hAnsi="宋体" w:cs="宋体"/>
                <w:color w:val="auto"/>
                <w:sz w:val="24"/>
                <w:highlight w:val="none"/>
                <w:lang w:bidi="ar"/>
              </w:rPr>
              <w:t>项目编号：</w:t>
            </w:r>
          </w:p>
        </w:tc>
        <w:tc>
          <w:tcPr>
            <w:tcW w:w="6172" w:type="dxa"/>
            <w:tcBorders>
              <w:top w:val="single" w:color="000000" w:sz="4" w:space="0"/>
              <w:left w:val="nil"/>
              <w:bottom w:val="single" w:color="000000" w:sz="4" w:space="0"/>
              <w:right w:val="nil"/>
            </w:tcBorders>
            <w:noWrap w:val="0"/>
            <w:vAlign w:val="bottom"/>
          </w:tcPr>
          <w:p w14:paraId="78313E28">
            <w:pPr>
              <w:jc w:val="left"/>
              <w:rPr>
                <w:rFonts w:hint="eastAsia" w:ascii="宋体" w:hAnsi="宋体" w:cs="宋体"/>
                <w:color w:val="auto"/>
                <w:sz w:val="24"/>
                <w:highlight w:val="none"/>
              </w:rPr>
            </w:pPr>
          </w:p>
        </w:tc>
      </w:tr>
      <w:tr w14:paraId="670708C4">
        <w:tblPrEx>
          <w:tblCellMar>
            <w:top w:w="0" w:type="dxa"/>
            <w:left w:w="108" w:type="dxa"/>
            <w:bottom w:w="0" w:type="dxa"/>
            <w:right w:w="108" w:type="dxa"/>
          </w:tblCellMar>
        </w:tblPrEx>
        <w:trPr>
          <w:jc w:val="center"/>
        </w:trPr>
        <w:tc>
          <w:tcPr>
            <w:tcW w:w="1601" w:type="dxa"/>
            <w:noWrap w:val="0"/>
            <w:vAlign w:val="bottom"/>
          </w:tcPr>
          <w:p w14:paraId="6AB991AD">
            <w:pPr>
              <w:jc w:val="distribute"/>
              <w:rPr>
                <w:rFonts w:hint="eastAsia" w:ascii="宋体" w:hAnsi="宋体" w:cs="宋体"/>
                <w:color w:val="auto"/>
                <w:sz w:val="24"/>
                <w:highlight w:val="none"/>
              </w:rPr>
            </w:pPr>
            <w:r>
              <w:rPr>
                <w:rFonts w:hint="eastAsia" w:ascii="宋体" w:hAnsi="宋体" w:cs="宋体"/>
                <w:color w:val="auto"/>
                <w:sz w:val="24"/>
                <w:highlight w:val="none"/>
                <w:lang w:bidi="ar"/>
              </w:rPr>
              <w:t>所投分标：</w:t>
            </w:r>
          </w:p>
        </w:tc>
        <w:tc>
          <w:tcPr>
            <w:tcW w:w="6172" w:type="dxa"/>
            <w:tcBorders>
              <w:top w:val="single" w:color="000000" w:sz="4" w:space="0"/>
              <w:left w:val="nil"/>
              <w:bottom w:val="single" w:color="000000" w:sz="4" w:space="0"/>
              <w:right w:val="nil"/>
            </w:tcBorders>
            <w:noWrap w:val="0"/>
            <w:vAlign w:val="bottom"/>
          </w:tcPr>
          <w:p w14:paraId="474B9C52">
            <w:pPr>
              <w:jc w:val="left"/>
              <w:rPr>
                <w:rFonts w:hint="eastAsia" w:ascii="宋体" w:hAnsi="宋体" w:cs="宋体"/>
                <w:color w:val="auto"/>
                <w:sz w:val="24"/>
                <w:highlight w:val="none"/>
              </w:rPr>
            </w:pPr>
          </w:p>
        </w:tc>
      </w:tr>
      <w:tr w14:paraId="2E4BE889">
        <w:tblPrEx>
          <w:tblCellMar>
            <w:top w:w="0" w:type="dxa"/>
            <w:left w:w="108" w:type="dxa"/>
            <w:bottom w:w="0" w:type="dxa"/>
            <w:right w:w="108" w:type="dxa"/>
          </w:tblCellMar>
        </w:tblPrEx>
        <w:trPr>
          <w:jc w:val="center"/>
        </w:trPr>
        <w:tc>
          <w:tcPr>
            <w:tcW w:w="1601" w:type="dxa"/>
            <w:noWrap w:val="0"/>
            <w:vAlign w:val="bottom"/>
          </w:tcPr>
          <w:p w14:paraId="3DA48A1A">
            <w:pPr>
              <w:jc w:val="distribute"/>
              <w:rPr>
                <w:rFonts w:hint="eastAsia" w:ascii="宋体" w:hAnsi="宋体" w:cs="宋体"/>
                <w:color w:val="auto"/>
                <w:sz w:val="24"/>
                <w:highlight w:val="none"/>
              </w:rPr>
            </w:pPr>
            <w:r>
              <w:rPr>
                <w:rFonts w:hint="eastAsia" w:ascii="宋体" w:hAnsi="宋体" w:cs="宋体"/>
                <w:color w:val="auto"/>
                <w:sz w:val="24"/>
                <w:highlight w:val="none"/>
                <w:lang w:bidi="ar"/>
              </w:rPr>
              <w:t>投标人名称：</w:t>
            </w:r>
          </w:p>
        </w:tc>
        <w:tc>
          <w:tcPr>
            <w:tcW w:w="6172" w:type="dxa"/>
            <w:tcBorders>
              <w:top w:val="single" w:color="000000" w:sz="4" w:space="0"/>
              <w:left w:val="nil"/>
              <w:bottom w:val="single" w:color="000000" w:sz="4" w:space="0"/>
              <w:right w:val="nil"/>
            </w:tcBorders>
            <w:noWrap w:val="0"/>
            <w:vAlign w:val="bottom"/>
          </w:tcPr>
          <w:p w14:paraId="2A3C2298">
            <w:pPr>
              <w:jc w:val="left"/>
              <w:rPr>
                <w:rFonts w:hint="eastAsia" w:ascii="宋体" w:hAnsi="宋体" w:cs="宋体"/>
                <w:color w:val="auto"/>
                <w:sz w:val="24"/>
                <w:highlight w:val="none"/>
              </w:rPr>
            </w:pPr>
          </w:p>
        </w:tc>
      </w:tr>
      <w:tr w14:paraId="35BE9CD8">
        <w:tblPrEx>
          <w:tblCellMar>
            <w:top w:w="0" w:type="dxa"/>
            <w:left w:w="108" w:type="dxa"/>
            <w:bottom w:w="0" w:type="dxa"/>
            <w:right w:w="108" w:type="dxa"/>
          </w:tblCellMar>
        </w:tblPrEx>
        <w:trPr>
          <w:jc w:val="center"/>
        </w:trPr>
        <w:tc>
          <w:tcPr>
            <w:tcW w:w="1601" w:type="dxa"/>
            <w:noWrap w:val="0"/>
            <w:vAlign w:val="bottom"/>
          </w:tcPr>
          <w:p w14:paraId="0C9038F1">
            <w:pPr>
              <w:jc w:val="distribute"/>
              <w:rPr>
                <w:rFonts w:hint="eastAsia" w:ascii="宋体" w:hAnsi="宋体" w:cs="宋体"/>
                <w:color w:val="auto"/>
                <w:sz w:val="24"/>
                <w:highlight w:val="none"/>
              </w:rPr>
            </w:pPr>
            <w:r>
              <w:rPr>
                <w:rFonts w:hint="eastAsia" w:ascii="宋体" w:hAnsi="宋体" w:cs="宋体"/>
                <w:color w:val="auto"/>
                <w:sz w:val="24"/>
                <w:highlight w:val="none"/>
                <w:lang w:bidi="ar"/>
              </w:rPr>
              <w:t>投标人地址：</w:t>
            </w:r>
          </w:p>
        </w:tc>
        <w:tc>
          <w:tcPr>
            <w:tcW w:w="6172" w:type="dxa"/>
            <w:tcBorders>
              <w:top w:val="single" w:color="000000" w:sz="4" w:space="0"/>
              <w:left w:val="nil"/>
              <w:bottom w:val="single" w:color="000000" w:sz="4" w:space="0"/>
              <w:right w:val="nil"/>
            </w:tcBorders>
            <w:noWrap w:val="0"/>
            <w:vAlign w:val="bottom"/>
          </w:tcPr>
          <w:p w14:paraId="1274E0D0">
            <w:pPr>
              <w:jc w:val="left"/>
              <w:rPr>
                <w:rFonts w:hint="eastAsia" w:ascii="宋体" w:hAnsi="宋体" w:cs="宋体"/>
                <w:color w:val="auto"/>
                <w:sz w:val="24"/>
                <w:highlight w:val="none"/>
              </w:rPr>
            </w:pPr>
          </w:p>
        </w:tc>
      </w:tr>
    </w:tbl>
    <w:p w14:paraId="0DBAA8A9">
      <w:pPr>
        <w:ind w:firstLine="4200" w:firstLineChars="1750"/>
        <w:rPr>
          <w:rFonts w:hint="eastAsia" w:ascii="宋体" w:hAnsi="宋体" w:cs="宋体"/>
          <w:color w:val="auto"/>
          <w:sz w:val="24"/>
          <w:highlight w:val="none"/>
        </w:rPr>
      </w:pPr>
    </w:p>
    <w:p w14:paraId="26DF8923">
      <w:pPr>
        <w:ind w:firstLine="4200" w:firstLineChars="1750"/>
        <w:rPr>
          <w:rFonts w:hint="eastAsia" w:ascii="宋体" w:hAnsi="宋体" w:cs="宋体"/>
          <w:color w:val="auto"/>
          <w:sz w:val="24"/>
          <w:highlight w:val="none"/>
        </w:rPr>
      </w:pPr>
    </w:p>
    <w:p w14:paraId="6F07D726">
      <w:pPr>
        <w:ind w:firstLine="4200" w:firstLineChars="1750"/>
        <w:rPr>
          <w:rFonts w:hint="eastAsia" w:ascii="宋体" w:hAnsi="宋体" w:cs="宋体"/>
          <w:color w:val="auto"/>
          <w:sz w:val="24"/>
          <w:highlight w:val="none"/>
        </w:rPr>
      </w:pPr>
    </w:p>
    <w:p w14:paraId="437424B6">
      <w:pPr>
        <w:ind w:firstLine="5880" w:firstLineChars="2450"/>
        <w:rPr>
          <w:rFonts w:hint="eastAsia" w:ascii="宋体" w:hAnsi="宋体" w:cs="宋体"/>
          <w:color w:val="auto"/>
          <w:sz w:val="24"/>
          <w:highlight w:val="none"/>
        </w:rPr>
      </w:pPr>
      <w:r>
        <w:rPr>
          <w:rFonts w:hint="eastAsia" w:ascii="宋体" w:hAnsi="宋体" w:cs="宋体"/>
          <w:color w:val="auto"/>
          <w:sz w:val="24"/>
          <w:highlight w:val="none"/>
          <w:lang w:bidi="ar"/>
        </w:rPr>
        <w:t>投标截止时间前不得解密</w:t>
      </w:r>
    </w:p>
    <w:p w14:paraId="500CAF1F">
      <w:pPr>
        <w:ind w:firstLine="6480" w:firstLineChars="2700"/>
        <w:rPr>
          <w:rFonts w:hint="eastAsia" w:ascii="宋体" w:hAnsi="宋体" w:cs="宋体"/>
          <w:color w:val="auto"/>
          <w:sz w:val="24"/>
          <w:highlight w:val="none"/>
        </w:rPr>
      </w:pPr>
      <w:r>
        <w:rPr>
          <w:rFonts w:hint="eastAsia" w:ascii="宋体" w:hAnsi="宋体" w:cs="宋体"/>
          <w:color w:val="auto"/>
          <w:sz w:val="24"/>
          <w:highlight w:val="none"/>
          <w:lang w:bidi="ar"/>
        </w:rPr>
        <w:t>年   月   日</w:t>
      </w:r>
    </w:p>
    <w:p w14:paraId="261EEF30">
      <w:pPr>
        <w:rPr>
          <w:rFonts w:hint="eastAsia" w:ascii="宋体" w:hAnsi="宋体" w:cs="宋体"/>
          <w:color w:val="auto"/>
          <w:sz w:val="24"/>
          <w:highlight w:val="none"/>
          <w:lang w:bidi="ar"/>
        </w:rPr>
        <w:sectPr>
          <w:pgSz w:w="11915" w:h="16840"/>
          <w:pgMar w:top="1531" w:right="1418" w:bottom="1361" w:left="1418" w:header="720" w:footer="720" w:gutter="0"/>
          <w:pgNumType w:fmt="decimal"/>
          <w:cols w:space="720" w:num="1"/>
          <w:docGrid w:type="lines" w:linePitch="312" w:charSpace="0"/>
        </w:sectPr>
      </w:pPr>
    </w:p>
    <w:p w14:paraId="45ABE384">
      <w:pPr>
        <w:widowControl/>
        <w:jc w:val="center"/>
        <w:outlineLvl w:val="1"/>
        <w:rPr>
          <w:rFonts w:hint="eastAsia" w:ascii="宋体" w:hAnsi="宋体" w:cs="宋体"/>
          <w:b/>
          <w:bCs/>
          <w:color w:val="auto"/>
          <w:sz w:val="28"/>
          <w:szCs w:val="28"/>
          <w:highlight w:val="none"/>
        </w:rPr>
      </w:pPr>
      <w:bookmarkStart w:id="347" w:name="_Toc27603"/>
      <w:bookmarkStart w:id="348" w:name="_Toc16192"/>
      <w:bookmarkStart w:id="349" w:name="_Toc6772"/>
      <w:r>
        <w:rPr>
          <w:rFonts w:hint="eastAsia" w:ascii="宋体" w:hAnsi="宋体" w:cs="宋体"/>
          <w:b/>
          <w:bCs/>
          <w:color w:val="auto"/>
          <w:sz w:val="28"/>
          <w:szCs w:val="28"/>
          <w:highlight w:val="none"/>
        </w:rPr>
        <w:t>第二节 资格证明文件格式</w:t>
      </w:r>
      <w:bookmarkEnd w:id="347"/>
      <w:bookmarkEnd w:id="348"/>
      <w:bookmarkEnd w:id="349"/>
    </w:p>
    <w:p w14:paraId="33DE05CF">
      <w:pPr>
        <w:widowControl/>
        <w:spacing w:line="360" w:lineRule="auto"/>
        <w:ind w:firstLine="420"/>
        <w:rPr>
          <w:rFonts w:hint="eastAsia" w:ascii="宋体" w:hAnsi="宋体" w:cs="宋体"/>
          <w:color w:val="auto"/>
          <w:sz w:val="30"/>
          <w:szCs w:val="20"/>
          <w:highlight w:val="none"/>
        </w:rPr>
      </w:pPr>
    </w:p>
    <w:p w14:paraId="7BB68D3E">
      <w:pPr>
        <w:snapToGrid w:val="0"/>
        <w:spacing w:before="165" w:beforeLines="50" w:after="50"/>
        <w:rPr>
          <w:rFonts w:hint="eastAsia" w:ascii="宋体" w:hAnsi="宋体" w:cs="宋体"/>
          <w:bCs/>
          <w:color w:val="auto"/>
          <w:sz w:val="32"/>
          <w:szCs w:val="20"/>
          <w:highlight w:val="none"/>
        </w:rPr>
      </w:pPr>
      <w:r>
        <w:rPr>
          <w:rFonts w:hint="eastAsia" w:ascii="宋体" w:hAnsi="宋体" w:cs="宋体"/>
          <w:color w:val="auto"/>
          <w:sz w:val="24"/>
          <w:highlight w:val="none"/>
          <w:lang w:bidi="ar"/>
        </w:rPr>
        <w:t xml:space="preserve">                                                         </w:t>
      </w:r>
      <w:r>
        <w:rPr>
          <w:rFonts w:hint="eastAsia" w:ascii="宋体" w:hAnsi="宋体" w:cs="宋体"/>
          <w:bCs/>
          <w:color w:val="auto"/>
          <w:highlight w:val="none"/>
          <w:lang w:bidi="ar"/>
        </w:rPr>
        <w:t>电子投标文件</w:t>
      </w:r>
    </w:p>
    <w:p w14:paraId="417DB5DF">
      <w:pPr>
        <w:snapToGrid w:val="0"/>
        <w:spacing w:before="165" w:beforeLines="50" w:after="50"/>
        <w:rPr>
          <w:rFonts w:hint="eastAsia" w:ascii="宋体" w:hAnsi="宋体" w:cs="宋体"/>
          <w:color w:val="auto"/>
          <w:sz w:val="24"/>
          <w:szCs w:val="20"/>
          <w:highlight w:val="none"/>
        </w:rPr>
      </w:pPr>
    </w:p>
    <w:p w14:paraId="3B26A36F">
      <w:pPr>
        <w:snapToGrid w:val="0"/>
        <w:spacing w:before="165"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lang w:bidi="ar"/>
        </w:rPr>
        <w:t>资格证明文件（封面）</w:t>
      </w:r>
    </w:p>
    <w:p w14:paraId="77BED6E7">
      <w:pPr>
        <w:snapToGrid w:val="0"/>
        <w:spacing w:before="165" w:beforeLines="50" w:after="50"/>
        <w:rPr>
          <w:rFonts w:hint="eastAsia" w:ascii="宋体" w:hAnsi="宋体" w:cs="宋体"/>
          <w:bCs/>
          <w:color w:val="auto"/>
          <w:sz w:val="24"/>
          <w:szCs w:val="20"/>
          <w:highlight w:val="none"/>
        </w:rPr>
      </w:pPr>
    </w:p>
    <w:p w14:paraId="5B863FE6">
      <w:pPr>
        <w:snapToGrid w:val="0"/>
        <w:spacing w:before="165" w:beforeLines="50" w:after="50"/>
        <w:rPr>
          <w:rFonts w:hint="eastAsia" w:ascii="宋体" w:hAnsi="宋体" w:cs="宋体"/>
          <w:bCs/>
          <w:color w:val="auto"/>
          <w:sz w:val="24"/>
          <w:szCs w:val="20"/>
          <w:highlight w:val="none"/>
        </w:rPr>
      </w:pPr>
    </w:p>
    <w:p w14:paraId="3683B71E">
      <w:pPr>
        <w:snapToGrid w:val="0"/>
        <w:spacing w:before="165" w:beforeLines="50" w:after="50"/>
        <w:rPr>
          <w:rFonts w:hint="eastAsia" w:ascii="宋体" w:hAnsi="宋体" w:cs="宋体"/>
          <w:bCs/>
          <w:color w:val="auto"/>
          <w:sz w:val="24"/>
          <w:szCs w:val="20"/>
          <w:highlight w:val="none"/>
        </w:rPr>
      </w:pPr>
    </w:p>
    <w:p w14:paraId="117556F9">
      <w:pPr>
        <w:snapToGrid w:val="0"/>
        <w:spacing w:before="165" w:beforeLines="50" w:after="50"/>
        <w:rPr>
          <w:rFonts w:hint="eastAsia" w:ascii="宋体" w:hAnsi="宋体" w:cs="宋体"/>
          <w:bCs/>
          <w:color w:val="auto"/>
          <w:sz w:val="24"/>
          <w:szCs w:val="20"/>
          <w:highlight w:val="none"/>
        </w:rPr>
      </w:pPr>
    </w:p>
    <w:p w14:paraId="7BB3A5A5">
      <w:pPr>
        <w:snapToGrid w:val="0"/>
        <w:spacing w:before="165" w:beforeLines="50" w:after="50"/>
        <w:rPr>
          <w:rFonts w:hint="eastAsia" w:ascii="宋体" w:hAnsi="宋体" w:cs="宋体"/>
          <w:bCs/>
          <w:color w:val="auto"/>
          <w:sz w:val="24"/>
          <w:szCs w:val="20"/>
          <w:highlight w:val="none"/>
        </w:rPr>
      </w:pPr>
    </w:p>
    <w:p w14:paraId="5D529740">
      <w:pPr>
        <w:snapToGrid w:val="0"/>
        <w:spacing w:before="165" w:beforeLines="50" w:after="50"/>
        <w:rPr>
          <w:rFonts w:hint="eastAsia" w:ascii="宋体" w:hAnsi="宋体" w:cs="宋体"/>
          <w:bCs/>
          <w:color w:val="auto"/>
          <w:sz w:val="24"/>
          <w:szCs w:val="20"/>
          <w:highlight w:val="none"/>
        </w:rPr>
      </w:pPr>
    </w:p>
    <w:p w14:paraId="16B55769">
      <w:pPr>
        <w:snapToGrid w:val="0"/>
        <w:spacing w:before="165" w:beforeLines="50" w:after="50"/>
        <w:rPr>
          <w:rFonts w:hint="eastAsia" w:ascii="宋体" w:hAnsi="宋体" w:cs="宋体"/>
          <w:bCs/>
          <w:color w:val="auto"/>
          <w:sz w:val="24"/>
          <w:szCs w:val="20"/>
          <w:highlight w:val="none"/>
        </w:rPr>
      </w:pPr>
    </w:p>
    <w:p w14:paraId="3181B747">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lang w:bidi="ar"/>
        </w:rPr>
        <w:t>项目名称：</w:t>
      </w:r>
    </w:p>
    <w:p w14:paraId="10993BBC">
      <w:pPr>
        <w:snapToGrid w:val="0"/>
        <w:spacing w:before="165" w:beforeLines="50" w:after="50"/>
        <w:ind w:firstLine="540" w:firstLineChars="225"/>
        <w:rPr>
          <w:rFonts w:hint="eastAsia" w:ascii="宋体" w:hAnsi="宋体" w:cs="宋体"/>
          <w:bCs/>
          <w:color w:val="auto"/>
          <w:sz w:val="24"/>
          <w:szCs w:val="20"/>
          <w:highlight w:val="none"/>
        </w:rPr>
      </w:pPr>
    </w:p>
    <w:p w14:paraId="3427E608">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lang w:bidi="ar"/>
        </w:rPr>
        <w:t>项目编号：</w:t>
      </w:r>
    </w:p>
    <w:p w14:paraId="33B571EB">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lang w:bidi="ar"/>
        </w:rPr>
        <w:t xml:space="preserve"> </w:t>
      </w:r>
    </w:p>
    <w:p w14:paraId="1ABE9792">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lang w:bidi="ar"/>
        </w:rPr>
        <w:t>所投分标：</w:t>
      </w:r>
    </w:p>
    <w:p w14:paraId="5BA7DD86">
      <w:pPr>
        <w:widowControl/>
        <w:snapToGrid w:val="0"/>
        <w:spacing w:before="50" w:after="50"/>
        <w:ind w:firstLine="540" w:firstLineChars="225"/>
        <w:rPr>
          <w:rFonts w:hint="eastAsia" w:ascii="宋体" w:hAnsi="宋体" w:cs="宋体"/>
          <w:bCs/>
          <w:color w:val="auto"/>
          <w:sz w:val="24"/>
          <w:highlight w:val="none"/>
        </w:rPr>
      </w:pPr>
    </w:p>
    <w:p w14:paraId="45DFAEB5">
      <w:pPr>
        <w:widowControl/>
        <w:snapToGrid w:val="0"/>
        <w:spacing w:before="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0A2E2576">
      <w:pPr>
        <w:widowControl/>
        <w:snapToGrid w:val="0"/>
        <w:spacing w:before="50" w:after="50"/>
        <w:ind w:firstLine="540" w:firstLineChars="225"/>
        <w:rPr>
          <w:rFonts w:hint="eastAsia" w:ascii="宋体" w:hAnsi="宋体" w:cs="宋体"/>
          <w:bCs/>
          <w:color w:val="auto"/>
          <w:sz w:val="24"/>
          <w:highlight w:val="none"/>
        </w:rPr>
      </w:pPr>
    </w:p>
    <w:p w14:paraId="0BEDAFFB">
      <w:pPr>
        <w:widowControl/>
        <w:snapToGrid w:val="0"/>
        <w:spacing w:before="50" w:after="50"/>
        <w:ind w:firstLine="960" w:firstLineChars="400"/>
        <w:rPr>
          <w:rFonts w:hint="eastAsia" w:ascii="宋体" w:hAnsi="宋体" w:cs="宋体"/>
          <w:bCs/>
          <w:color w:val="auto"/>
          <w:sz w:val="24"/>
          <w:highlight w:val="none"/>
        </w:rPr>
      </w:pPr>
    </w:p>
    <w:p w14:paraId="73A44568">
      <w:pPr>
        <w:snapToGrid w:val="0"/>
        <w:spacing w:before="165"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lang w:bidi="ar"/>
        </w:rPr>
        <w:t>年  月  日</w:t>
      </w:r>
    </w:p>
    <w:p w14:paraId="4A63E64D">
      <w:pPr>
        <w:spacing w:line="360" w:lineRule="auto"/>
        <w:rPr>
          <w:rFonts w:hint="eastAsia" w:ascii="宋体" w:hAnsi="宋体" w:cs="宋体"/>
          <w:color w:val="auto"/>
          <w:sz w:val="30"/>
          <w:szCs w:val="20"/>
          <w:highlight w:val="none"/>
          <w:lang w:bidi="ar"/>
        </w:rPr>
        <w:sectPr>
          <w:pgSz w:w="11906" w:h="16838"/>
          <w:pgMar w:top="1135" w:right="1135" w:bottom="1135" w:left="1135" w:header="720" w:footer="720" w:gutter="0"/>
          <w:pgNumType w:fmt="decimal"/>
          <w:cols w:space="720" w:num="1"/>
          <w:docGrid w:type="lines" w:linePitch="331" w:charSpace="0"/>
        </w:sectPr>
      </w:pPr>
    </w:p>
    <w:p w14:paraId="7D5456AA">
      <w:pPr>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lang w:bidi="ar"/>
        </w:rPr>
        <w:t>资格证明文件目录</w:t>
      </w:r>
    </w:p>
    <w:p w14:paraId="307CE1FA">
      <w:pPr>
        <w:snapToGrid w:val="0"/>
        <w:spacing w:line="360" w:lineRule="auto"/>
        <w:rPr>
          <w:rFonts w:hint="eastAsia" w:ascii="宋体" w:hAnsi="宋体" w:cs="宋体"/>
          <w:color w:val="auto"/>
          <w:kern w:val="0"/>
          <w:sz w:val="24"/>
          <w:highlight w:val="none"/>
        </w:rPr>
      </w:pPr>
    </w:p>
    <w:p w14:paraId="348C0BE8">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一、投标人为法人或者其他组织的，提供营业执照等证明文件（如营业执照或者事业单位法人证书或者执业许可证等），投标人为自然人的，提供身份证复印件……………（页码）</w:t>
      </w:r>
    </w:p>
    <w:p w14:paraId="01DFE5DC">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二、符合参与政府采购活动的资格条件依法缴纳税收、社会保障资金等方面的材料…………………………………………………………………………………………（页码）</w:t>
      </w:r>
    </w:p>
    <w:p w14:paraId="0152925E">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三、投标人财务状况报告(财务状况报告方面的材料</w:t>
      </w:r>
      <w:r>
        <w:rPr>
          <w:rFonts w:hint="eastAsia" w:ascii="宋体" w:hAnsi="宋体" w:cs="宋体"/>
          <w:color w:val="auto"/>
          <w:szCs w:val="21"/>
          <w:highlight w:val="none"/>
          <w:lang w:bidi="ar"/>
        </w:rPr>
        <w:t>)</w:t>
      </w:r>
      <w:r>
        <w:rPr>
          <w:rFonts w:hint="eastAsia" w:ascii="宋体" w:hAnsi="宋体" w:cs="宋体"/>
          <w:color w:val="auto"/>
          <w:kern w:val="0"/>
          <w:sz w:val="24"/>
          <w:highlight w:val="none"/>
          <w:lang w:bidi="ar"/>
        </w:rPr>
        <w:t>………………………………（页码）</w:t>
      </w:r>
    </w:p>
    <w:p w14:paraId="45F1C3CE">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bidi="ar"/>
        </w:rPr>
        <w:t>四、投标人直接控股股东信息表</w:t>
      </w:r>
      <w:r>
        <w:rPr>
          <w:rFonts w:hint="eastAsia" w:ascii="宋体" w:hAnsi="宋体" w:cs="宋体"/>
          <w:color w:val="auto"/>
          <w:kern w:val="0"/>
          <w:sz w:val="24"/>
          <w:highlight w:val="none"/>
          <w:lang w:bidi="ar"/>
        </w:rPr>
        <w:t>…………………………………………………………（页码）</w:t>
      </w:r>
    </w:p>
    <w:p w14:paraId="27BEEABF">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bidi="ar"/>
        </w:rPr>
        <w:t>五、投标人直接管理关系信息表</w:t>
      </w:r>
      <w:r>
        <w:rPr>
          <w:rFonts w:hint="eastAsia" w:ascii="宋体" w:hAnsi="宋体" w:cs="宋体"/>
          <w:color w:val="auto"/>
          <w:kern w:val="0"/>
          <w:sz w:val="24"/>
          <w:highlight w:val="none"/>
          <w:lang w:bidi="ar"/>
        </w:rPr>
        <w:t>………………………………………………………（页码）</w:t>
      </w:r>
    </w:p>
    <w:p w14:paraId="7CD8621A">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bidi="ar"/>
        </w:rPr>
        <w:t>六、投标资格声明函……………………………………………………………………（页码）</w:t>
      </w:r>
    </w:p>
    <w:p w14:paraId="49E40306">
      <w:pPr>
        <w:wordWrap w:val="0"/>
        <w:snapToGrid w:val="0"/>
        <w:spacing w:line="360" w:lineRule="auto"/>
        <w:rPr>
          <w:rFonts w:hint="eastAsia" w:ascii="宋体" w:hAnsi="宋体" w:cs="宋体"/>
          <w:color w:val="auto"/>
          <w:sz w:val="24"/>
          <w:highlight w:val="none"/>
          <w:lang w:bidi="ar"/>
        </w:rPr>
      </w:pPr>
      <w:r>
        <w:rPr>
          <w:rFonts w:hint="eastAsia" w:ascii="宋体" w:hAnsi="宋体" w:cs="宋体"/>
          <w:color w:val="auto"/>
          <w:sz w:val="24"/>
          <w:highlight w:val="none"/>
          <w:lang w:val="en-US" w:eastAsia="zh-CN" w:bidi="ar"/>
        </w:rPr>
        <w:t>七</w:t>
      </w:r>
      <w:r>
        <w:rPr>
          <w:rFonts w:hint="eastAsia" w:ascii="宋体" w:hAnsi="宋体" w:cs="宋体"/>
          <w:color w:val="auto"/>
          <w:sz w:val="24"/>
          <w:highlight w:val="none"/>
          <w:lang w:bidi="ar"/>
        </w:rPr>
        <w:t>、联合体协议书（以联合体形式投标的，提供联合体协议；本项目不接受联合体投标或者投标人不以联合体形式投标的，则不需要提供）……………………………………（页码）</w:t>
      </w:r>
    </w:p>
    <w:p w14:paraId="48BE7FCB">
      <w:pPr>
        <w:wordWrap w:val="0"/>
        <w:spacing w:line="360" w:lineRule="auto"/>
        <w:rPr>
          <w:rFonts w:hint="eastAsia" w:ascii="宋体" w:hAnsi="宋体" w:cs="宋体"/>
          <w:color w:val="auto"/>
          <w:kern w:val="0"/>
          <w:sz w:val="24"/>
          <w:highlight w:val="none"/>
          <w:lang w:bidi="ar"/>
        </w:rPr>
      </w:pPr>
      <w:r>
        <w:rPr>
          <w:rFonts w:hint="eastAsia" w:ascii="宋体" w:hAnsi="宋体" w:cs="宋体"/>
          <w:color w:val="auto"/>
          <w:sz w:val="24"/>
          <w:highlight w:val="none"/>
          <w:lang w:val="en-US" w:eastAsia="zh-CN" w:bidi="ar"/>
        </w:rPr>
        <w:t>八</w:t>
      </w:r>
      <w:r>
        <w:rPr>
          <w:rFonts w:hint="eastAsia" w:ascii="宋体" w:hAnsi="宋体" w:cs="宋体"/>
          <w:color w:val="auto"/>
          <w:kern w:val="0"/>
          <w:sz w:val="24"/>
          <w:highlight w:val="none"/>
          <w:lang w:bidi="ar"/>
        </w:rPr>
        <w:t>、除招标文件规定必须提供以外，投标人认为需要提供的其他证明材料。…………（页码）</w:t>
      </w:r>
    </w:p>
    <w:p w14:paraId="4C2EB31C">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bidi="ar"/>
        </w:rPr>
        <w:t>注：以上目录是基本格式要求，各投标人可根据自身情况进一步向下增加内容或细化。</w:t>
      </w:r>
    </w:p>
    <w:p w14:paraId="2E7E2EB3">
      <w:pPr>
        <w:spacing w:line="360" w:lineRule="auto"/>
        <w:rPr>
          <w:rFonts w:hint="eastAsia" w:ascii="宋体" w:hAnsi="宋体" w:cs="宋体"/>
          <w:color w:val="auto"/>
          <w:sz w:val="30"/>
          <w:szCs w:val="20"/>
          <w:highlight w:val="none"/>
          <w:lang w:bidi="ar"/>
        </w:rPr>
        <w:sectPr>
          <w:pgSz w:w="11906" w:h="16838"/>
          <w:pgMar w:top="1135" w:right="1135" w:bottom="1135" w:left="1135" w:header="720" w:footer="720" w:gutter="0"/>
          <w:pgNumType w:fmt="decimal"/>
          <w:cols w:space="720" w:num="1"/>
          <w:docGrid w:type="lines" w:linePitch="331" w:charSpace="0"/>
        </w:sectPr>
      </w:pPr>
    </w:p>
    <w:p w14:paraId="4A1409D1">
      <w:pPr>
        <w:snapToGrid w:val="0"/>
        <w:spacing w:line="360" w:lineRule="auto"/>
        <w:rPr>
          <w:rFonts w:hint="eastAsia" w:ascii="宋体" w:hAnsi="宋体" w:cs="宋体"/>
          <w:b/>
          <w:color w:val="auto"/>
          <w:kern w:val="0"/>
          <w:sz w:val="32"/>
          <w:szCs w:val="32"/>
          <w:highlight w:val="none"/>
          <w:lang w:val="zh-CN"/>
        </w:rPr>
      </w:pPr>
    </w:p>
    <w:p w14:paraId="36BC8F99">
      <w:pPr>
        <w:spacing w:line="360" w:lineRule="auto"/>
        <w:jc w:val="center"/>
        <w:rPr>
          <w:rFonts w:hint="eastAsia" w:ascii="宋体" w:hAnsi="宋体" w:cs="宋体"/>
          <w:b/>
          <w:color w:val="auto"/>
          <w:sz w:val="30"/>
          <w:szCs w:val="30"/>
          <w:highlight w:val="none"/>
        </w:rPr>
      </w:pPr>
      <w:r>
        <w:rPr>
          <w:rFonts w:hint="eastAsia" w:ascii="宋体" w:hAnsi="宋体" w:cs="宋体"/>
          <w:b/>
          <w:color w:val="auto"/>
          <w:kern w:val="0"/>
          <w:sz w:val="32"/>
          <w:szCs w:val="32"/>
          <w:highlight w:val="none"/>
          <w:lang w:val="zh-CN" w:bidi="ar"/>
        </w:rPr>
        <w:t>一、投标人为法人或者其他组织的，提供营业执照等证明文件（如营业执照或者事业单位法人证书或者执业许可证等），投标人为自然人的，提供身份证复印件</w:t>
      </w:r>
    </w:p>
    <w:p w14:paraId="696F4897">
      <w:pPr>
        <w:spacing w:line="360" w:lineRule="auto"/>
        <w:rPr>
          <w:rFonts w:hint="eastAsia" w:ascii="宋体" w:hAnsi="宋体" w:cs="宋体"/>
          <w:b/>
          <w:color w:val="auto"/>
          <w:sz w:val="30"/>
          <w:szCs w:val="30"/>
          <w:highlight w:val="none"/>
        </w:rPr>
      </w:pPr>
    </w:p>
    <w:p w14:paraId="588D020B">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 xml:space="preserve">               投标人名称(电子签章)：        </w:t>
      </w:r>
    </w:p>
    <w:p w14:paraId="35432ED4">
      <w:pPr>
        <w:spacing w:line="360" w:lineRule="auto"/>
        <w:jc w:val="center"/>
        <w:rPr>
          <w:rFonts w:hint="eastAsia" w:ascii="宋体" w:hAnsi="宋体" w:cs="宋体"/>
          <w:b/>
          <w:color w:val="auto"/>
          <w:sz w:val="30"/>
          <w:szCs w:val="30"/>
          <w:highlight w:val="none"/>
        </w:rPr>
      </w:pPr>
      <w:r>
        <w:rPr>
          <w:rFonts w:hint="eastAsia" w:ascii="宋体" w:hAnsi="宋体" w:cs="宋体"/>
          <w:color w:val="auto"/>
          <w:kern w:val="0"/>
          <w:sz w:val="24"/>
          <w:highlight w:val="none"/>
          <w:lang w:val="zh-CN" w:bidi="ar"/>
        </w:rPr>
        <w:t xml:space="preserve">                   日期：  年  月</w:t>
      </w:r>
    </w:p>
    <w:p w14:paraId="7D1BEE42">
      <w:pPr>
        <w:spacing w:line="360" w:lineRule="auto"/>
        <w:jc w:val="center"/>
        <w:rPr>
          <w:rFonts w:hint="eastAsia" w:ascii="宋体" w:hAnsi="宋体" w:cs="宋体"/>
          <w:b/>
          <w:color w:val="auto"/>
          <w:sz w:val="30"/>
          <w:szCs w:val="30"/>
          <w:highlight w:val="none"/>
        </w:rPr>
      </w:pPr>
    </w:p>
    <w:p w14:paraId="684BDDE8">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b/>
          <w:color w:val="auto"/>
          <w:sz w:val="30"/>
          <w:szCs w:val="30"/>
          <w:highlight w:val="none"/>
          <w:lang w:bidi="ar"/>
        </w:rPr>
        <w:t>二、</w:t>
      </w:r>
      <w:r>
        <w:rPr>
          <w:rFonts w:hint="eastAsia" w:ascii="宋体" w:hAnsi="宋体" w:cs="宋体"/>
          <w:b/>
          <w:color w:val="auto"/>
          <w:kern w:val="0"/>
          <w:sz w:val="32"/>
          <w:szCs w:val="32"/>
          <w:highlight w:val="none"/>
          <w:lang w:bidi="ar"/>
        </w:rPr>
        <w:t>符合参与政府采购活动的资格条件依法缴纳税收、社会保障资金等方面的材料</w:t>
      </w:r>
    </w:p>
    <w:p w14:paraId="36E9827F">
      <w:pPr>
        <w:snapToGrid w:val="0"/>
        <w:spacing w:line="360" w:lineRule="auto"/>
        <w:ind w:firstLine="480" w:firstLineChars="200"/>
        <w:rPr>
          <w:rFonts w:hint="eastAsia" w:ascii="宋体" w:hAnsi="宋体" w:cs="宋体"/>
          <w:color w:val="auto"/>
          <w:sz w:val="24"/>
          <w:highlight w:val="none"/>
        </w:rPr>
      </w:pPr>
    </w:p>
    <w:p w14:paraId="70F22737">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 xml:space="preserve">                                          </w:t>
      </w:r>
    </w:p>
    <w:p w14:paraId="39EDE9E8">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bidi="ar"/>
        </w:rPr>
        <w:t xml:space="preserve"> 投标人名称(电子签章)：</w:t>
      </w:r>
    </w:p>
    <w:p w14:paraId="441E9E72">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34C263E9">
      <w:pPr>
        <w:snapToGrid w:val="0"/>
        <w:spacing w:line="360" w:lineRule="auto"/>
        <w:ind w:right="480"/>
        <w:rPr>
          <w:rFonts w:hint="eastAsia" w:ascii="宋体" w:hAnsi="宋体" w:cs="宋体"/>
          <w:b/>
          <w:color w:val="auto"/>
          <w:kern w:val="0"/>
          <w:sz w:val="32"/>
          <w:szCs w:val="32"/>
          <w:highlight w:val="none"/>
        </w:rPr>
      </w:pPr>
      <w:r>
        <w:rPr>
          <w:rFonts w:hint="eastAsia" w:ascii="宋体" w:hAnsi="宋体" w:cs="宋体"/>
          <w:b/>
          <w:color w:val="auto"/>
          <w:sz w:val="30"/>
          <w:szCs w:val="30"/>
          <w:highlight w:val="none"/>
          <w:lang w:bidi="ar"/>
        </w:rPr>
        <w:t>三、</w:t>
      </w:r>
      <w:r>
        <w:rPr>
          <w:rFonts w:hint="eastAsia" w:ascii="宋体" w:hAnsi="宋体" w:cs="宋体"/>
          <w:b/>
          <w:color w:val="auto"/>
          <w:kern w:val="0"/>
          <w:sz w:val="32"/>
          <w:szCs w:val="32"/>
          <w:highlight w:val="none"/>
          <w:lang w:bidi="ar"/>
        </w:rPr>
        <w:t>投标人财务状况报告(财务状况报告方面的材料)</w:t>
      </w:r>
    </w:p>
    <w:p w14:paraId="453E5DA0">
      <w:pPr>
        <w:snapToGrid w:val="0"/>
        <w:spacing w:line="360" w:lineRule="auto"/>
        <w:ind w:firstLine="480" w:firstLineChars="200"/>
        <w:rPr>
          <w:rFonts w:hint="eastAsia" w:ascii="宋体" w:hAnsi="宋体" w:cs="宋体"/>
          <w:color w:val="auto"/>
          <w:sz w:val="24"/>
          <w:highlight w:val="none"/>
        </w:rPr>
      </w:pPr>
    </w:p>
    <w:p w14:paraId="347B0EEF">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 xml:space="preserve">                                          </w:t>
      </w:r>
    </w:p>
    <w:p w14:paraId="01E82193">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bidi="ar"/>
        </w:rPr>
        <w:t xml:space="preserve"> 投标人名称(电子签章)：</w:t>
      </w:r>
    </w:p>
    <w:p w14:paraId="4B112025">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35618818">
      <w:pPr>
        <w:snapToGrid w:val="0"/>
        <w:spacing w:line="360" w:lineRule="auto"/>
        <w:ind w:firstLine="5160" w:firstLineChars="2150"/>
        <w:rPr>
          <w:rFonts w:hint="eastAsia" w:ascii="宋体" w:hAnsi="宋体" w:cs="宋体"/>
          <w:color w:val="auto"/>
          <w:kern w:val="0"/>
          <w:sz w:val="24"/>
          <w:highlight w:val="none"/>
          <w:lang w:val="zh-CN"/>
        </w:rPr>
      </w:pPr>
    </w:p>
    <w:p w14:paraId="77D66279">
      <w:pPr>
        <w:snapToGrid w:val="0"/>
        <w:spacing w:line="360" w:lineRule="auto"/>
        <w:ind w:right="480"/>
        <w:jc w:val="center"/>
        <w:rPr>
          <w:rFonts w:hint="eastAsia" w:ascii="宋体" w:hAnsi="宋体" w:cs="宋体"/>
          <w:b/>
          <w:color w:val="auto"/>
          <w:kern w:val="0"/>
          <w:sz w:val="32"/>
          <w:szCs w:val="32"/>
          <w:highlight w:val="none"/>
          <w:lang w:val="zh-CN"/>
        </w:rPr>
      </w:pPr>
    </w:p>
    <w:p w14:paraId="52F80197">
      <w:pPr>
        <w:snapToGrid w:val="0"/>
        <w:spacing w:line="360" w:lineRule="auto"/>
        <w:ind w:right="480"/>
        <w:jc w:val="center"/>
        <w:rPr>
          <w:rFonts w:hint="eastAsia" w:ascii="宋体" w:hAnsi="宋体" w:cs="宋体"/>
          <w:b/>
          <w:color w:val="auto"/>
          <w:sz w:val="28"/>
          <w:szCs w:val="28"/>
          <w:highlight w:val="none"/>
        </w:rPr>
      </w:pPr>
      <w:r>
        <w:rPr>
          <w:rFonts w:hint="eastAsia" w:ascii="宋体" w:hAnsi="宋体" w:cs="宋体"/>
          <w:b/>
          <w:color w:val="auto"/>
          <w:sz w:val="32"/>
          <w:szCs w:val="32"/>
          <w:highlight w:val="none"/>
          <w:lang w:bidi="ar"/>
        </w:rPr>
        <w:br w:type="page"/>
      </w:r>
    </w:p>
    <w:p w14:paraId="28732D45">
      <w:pPr>
        <w:snapToGrid w:val="0"/>
        <w:spacing w:before="50" w:after="165" w:afterLines="50" w:line="360" w:lineRule="auto"/>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lang w:bidi="ar"/>
        </w:rPr>
        <w:t>四、投标人直接控股股东信息表</w:t>
      </w:r>
    </w:p>
    <w:tbl>
      <w:tblPr>
        <w:tblStyle w:val="39"/>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6D8EE57">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40BA8F">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bidi="ar"/>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F7797BD">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bidi="ar"/>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B51DFE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bidi="ar"/>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31F1D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bidi="ar"/>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F6A8A15">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bidi="ar"/>
              </w:rPr>
              <w:t>备注</w:t>
            </w:r>
          </w:p>
        </w:tc>
      </w:tr>
      <w:tr w14:paraId="637BA48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47A66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B46F62">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749831">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2DD39D">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78FEAF">
            <w:pPr>
              <w:spacing w:line="360" w:lineRule="auto"/>
              <w:jc w:val="center"/>
              <w:rPr>
                <w:rFonts w:hint="eastAsia" w:ascii="宋体" w:hAnsi="宋体" w:cs="宋体"/>
                <w:color w:val="auto"/>
                <w:kern w:val="0"/>
                <w:sz w:val="24"/>
                <w:highlight w:val="none"/>
              </w:rPr>
            </w:pPr>
          </w:p>
        </w:tc>
      </w:tr>
      <w:tr w14:paraId="78657FD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3B53C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56B2D9">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65C164">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B96848">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0F3BCD">
            <w:pPr>
              <w:spacing w:line="360" w:lineRule="auto"/>
              <w:jc w:val="center"/>
              <w:rPr>
                <w:rFonts w:hint="eastAsia" w:ascii="宋体" w:hAnsi="宋体" w:cs="宋体"/>
                <w:color w:val="auto"/>
                <w:kern w:val="0"/>
                <w:sz w:val="24"/>
                <w:highlight w:val="none"/>
              </w:rPr>
            </w:pPr>
          </w:p>
        </w:tc>
      </w:tr>
      <w:tr w14:paraId="78BD46B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10FD8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D3D0B7">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F6F784">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D1C24F">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297605">
            <w:pPr>
              <w:spacing w:line="360" w:lineRule="auto"/>
              <w:jc w:val="center"/>
              <w:rPr>
                <w:rFonts w:hint="eastAsia" w:ascii="宋体" w:hAnsi="宋体" w:cs="宋体"/>
                <w:color w:val="auto"/>
                <w:kern w:val="0"/>
                <w:sz w:val="24"/>
                <w:highlight w:val="none"/>
              </w:rPr>
            </w:pPr>
          </w:p>
        </w:tc>
      </w:tr>
      <w:tr w14:paraId="1AA5E1F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09464B">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580FB9">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784050">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D666E7">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B4A5DB">
            <w:pPr>
              <w:spacing w:line="360" w:lineRule="auto"/>
              <w:jc w:val="center"/>
              <w:rPr>
                <w:rFonts w:hint="eastAsia" w:ascii="宋体" w:hAnsi="宋体" w:cs="宋体"/>
                <w:color w:val="auto"/>
                <w:kern w:val="0"/>
                <w:sz w:val="24"/>
                <w:highlight w:val="none"/>
              </w:rPr>
            </w:pPr>
          </w:p>
        </w:tc>
      </w:tr>
    </w:tbl>
    <w:p w14:paraId="3D7E26AC">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bidi="ar"/>
        </w:rPr>
        <w:t>注：</w:t>
      </w:r>
    </w:p>
    <w:p w14:paraId="0A90438A">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29E3679">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bidi="ar"/>
        </w:rPr>
        <w:t>2.本表所指的控股关系仅限于直接控股关系，不包括间接的控股关系。公司实际控制人与公司之间的关系不属于本表所指的直接控股关系。</w:t>
      </w:r>
    </w:p>
    <w:p w14:paraId="4AAB90AD">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bidi="ar"/>
        </w:rPr>
        <w:t>3.供应商不存在直接控股股东的，则填“无”。</w:t>
      </w:r>
    </w:p>
    <w:p w14:paraId="5A213838">
      <w:pPr>
        <w:snapToGrid w:val="0"/>
        <w:spacing w:line="360" w:lineRule="auto"/>
        <w:jc w:val="left"/>
        <w:rPr>
          <w:rFonts w:hint="eastAsia" w:ascii="宋体" w:hAnsi="宋体" w:cs="宋体"/>
          <w:color w:val="auto"/>
          <w:sz w:val="24"/>
          <w:highlight w:val="none"/>
        </w:rPr>
      </w:pPr>
    </w:p>
    <w:p w14:paraId="53C84CFD">
      <w:pPr>
        <w:snapToGrid w:val="0"/>
        <w:spacing w:line="360" w:lineRule="auto"/>
        <w:jc w:val="left"/>
        <w:rPr>
          <w:rFonts w:hint="eastAsia" w:ascii="宋体" w:hAnsi="宋体" w:cs="宋体"/>
          <w:color w:val="auto"/>
          <w:sz w:val="24"/>
          <w:highlight w:val="none"/>
        </w:rPr>
      </w:pPr>
    </w:p>
    <w:p w14:paraId="2ED771CD">
      <w:pPr>
        <w:snapToGrid w:val="0"/>
        <w:spacing w:line="360" w:lineRule="auto"/>
        <w:jc w:val="left"/>
        <w:rPr>
          <w:rFonts w:hint="eastAsia" w:ascii="宋体" w:hAnsi="宋体" w:cs="宋体"/>
          <w:color w:val="auto"/>
          <w:sz w:val="24"/>
          <w:highlight w:val="none"/>
        </w:rPr>
      </w:pPr>
    </w:p>
    <w:p w14:paraId="66DCC9B0">
      <w:pPr>
        <w:snapToGrid w:val="0"/>
        <w:spacing w:line="360" w:lineRule="auto"/>
        <w:jc w:val="left"/>
        <w:rPr>
          <w:rFonts w:hint="eastAsia" w:ascii="宋体" w:hAnsi="宋体" w:cs="宋体"/>
          <w:color w:val="auto"/>
          <w:sz w:val="24"/>
          <w:highlight w:val="none"/>
        </w:rPr>
      </w:pPr>
    </w:p>
    <w:p w14:paraId="1D646224">
      <w:pPr>
        <w:snapToGrid w:val="0"/>
        <w:spacing w:line="360" w:lineRule="auto"/>
        <w:jc w:val="left"/>
        <w:rPr>
          <w:rFonts w:hint="eastAsia" w:ascii="宋体" w:hAnsi="宋体" w:cs="宋体"/>
          <w:color w:val="auto"/>
          <w:sz w:val="24"/>
          <w:highlight w:val="none"/>
        </w:rPr>
      </w:pPr>
    </w:p>
    <w:p w14:paraId="51A5D14E">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bidi="ar"/>
        </w:rPr>
        <w:t>投标人名称(电子签章)：</w:t>
      </w:r>
    </w:p>
    <w:p w14:paraId="49D2AD98">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13B25603">
      <w:pPr>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bidi="ar"/>
        </w:rPr>
        <w:br w:type="page"/>
      </w:r>
    </w:p>
    <w:p w14:paraId="39CE1351">
      <w:pPr>
        <w:snapToGrid w:val="0"/>
        <w:spacing w:line="360" w:lineRule="auto"/>
        <w:jc w:val="center"/>
        <w:rPr>
          <w:rFonts w:hint="eastAsia" w:ascii="宋体" w:hAnsi="宋体" w:cs="宋体"/>
          <w:color w:val="auto"/>
          <w:sz w:val="32"/>
          <w:szCs w:val="32"/>
          <w:highlight w:val="none"/>
        </w:rPr>
      </w:pPr>
      <w:r>
        <w:rPr>
          <w:rFonts w:hint="eastAsia" w:ascii="宋体" w:hAnsi="宋体" w:cs="宋体"/>
          <w:b/>
          <w:color w:val="auto"/>
          <w:sz w:val="32"/>
          <w:szCs w:val="32"/>
          <w:highlight w:val="none"/>
          <w:lang w:bidi="ar"/>
        </w:rPr>
        <w:t>五、投标人直接管理关系信息表</w:t>
      </w:r>
    </w:p>
    <w:tbl>
      <w:tblPr>
        <w:tblStyle w:val="39"/>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315F4BA">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41F60B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bidi="ar"/>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0B906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bidi="ar"/>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4464A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bidi="ar"/>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66DCE8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bidi="ar"/>
              </w:rPr>
              <w:t>备注</w:t>
            </w:r>
          </w:p>
        </w:tc>
      </w:tr>
      <w:tr w14:paraId="1B3EFF2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B6995">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781D74">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66F6C3">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B0D1C8">
            <w:pPr>
              <w:spacing w:line="360" w:lineRule="auto"/>
              <w:jc w:val="center"/>
              <w:rPr>
                <w:rFonts w:hint="eastAsia" w:ascii="宋体" w:hAnsi="宋体" w:cs="宋体"/>
                <w:color w:val="auto"/>
                <w:kern w:val="0"/>
                <w:sz w:val="24"/>
                <w:highlight w:val="none"/>
              </w:rPr>
            </w:pPr>
          </w:p>
        </w:tc>
      </w:tr>
      <w:tr w14:paraId="3947F78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AD9E1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76DB41">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689BE8">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4B01B4">
            <w:pPr>
              <w:spacing w:line="360" w:lineRule="auto"/>
              <w:jc w:val="center"/>
              <w:rPr>
                <w:rFonts w:hint="eastAsia" w:ascii="宋体" w:hAnsi="宋体" w:cs="宋体"/>
                <w:color w:val="auto"/>
                <w:kern w:val="0"/>
                <w:sz w:val="24"/>
                <w:highlight w:val="none"/>
              </w:rPr>
            </w:pPr>
          </w:p>
        </w:tc>
      </w:tr>
      <w:tr w14:paraId="6D1EFE5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273A0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AF8EC9">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9E3444">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2A57F0">
            <w:pPr>
              <w:spacing w:line="360" w:lineRule="auto"/>
              <w:jc w:val="center"/>
              <w:rPr>
                <w:rFonts w:hint="eastAsia" w:ascii="宋体" w:hAnsi="宋体" w:cs="宋体"/>
                <w:color w:val="auto"/>
                <w:kern w:val="0"/>
                <w:sz w:val="24"/>
                <w:highlight w:val="none"/>
              </w:rPr>
            </w:pPr>
          </w:p>
        </w:tc>
      </w:tr>
      <w:tr w14:paraId="1186A4B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CE126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A772BD">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898FDD">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16AABF">
            <w:pPr>
              <w:spacing w:line="360" w:lineRule="auto"/>
              <w:jc w:val="center"/>
              <w:rPr>
                <w:rFonts w:hint="eastAsia" w:ascii="宋体" w:hAnsi="宋体" w:cs="宋体"/>
                <w:color w:val="auto"/>
                <w:kern w:val="0"/>
                <w:sz w:val="24"/>
                <w:highlight w:val="none"/>
              </w:rPr>
            </w:pPr>
          </w:p>
        </w:tc>
      </w:tr>
    </w:tbl>
    <w:p w14:paraId="3B55A1FF">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bidi="ar"/>
        </w:rPr>
        <w:t>注：</w:t>
      </w:r>
    </w:p>
    <w:p w14:paraId="0CD0B644">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bidi="ar"/>
        </w:rPr>
        <w:t>1.管理关系：是指不具有出资持股关系的其他单位之间存在的管理与被管理关系，如一些上下级关系的事业单位和团体组织。</w:t>
      </w:r>
    </w:p>
    <w:p w14:paraId="028CDDDF">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bidi="ar"/>
        </w:rPr>
        <w:t>2.</w:t>
      </w:r>
      <w:r>
        <w:rPr>
          <w:rFonts w:hint="eastAsia" w:ascii="宋体" w:hAnsi="宋体" w:cs="宋体"/>
          <w:color w:val="auto"/>
          <w:spacing w:val="-6"/>
          <w:sz w:val="24"/>
          <w:highlight w:val="none"/>
          <w:lang w:bidi="ar"/>
        </w:rPr>
        <w:t>本表所指的管理关系仅限于直接管理关系，不包括间接的管理关系。</w:t>
      </w:r>
    </w:p>
    <w:p w14:paraId="56FDD4A1">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bidi="ar"/>
        </w:rPr>
        <w:t>3.供应商不存在直接管理关系的，则填“无”。</w:t>
      </w:r>
    </w:p>
    <w:p w14:paraId="38E3961A">
      <w:pPr>
        <w:snapToGrid w:val="0"/>
        <w:spacing w:line="360" w:lineRule="auto"/>
        <w:jc w:val="left"/>
        <w:rPr>
          <w:rFonts w:hint="eastAsia" w:ascii="宋体" w:hAnsi="宋体" w:cs="宋体"/>
          <w:color w:val="auto"/>
          <w:sz w:val="24"/>
          <w:highlight w:val="none"/>
        </w:rPr>
      </w:pPr>
    </w:p>
    <w:p w14:paraId="44368D00">
      <w:pPr>
        <w:snapToGrid w:val="0"/>
        <w:spacing w:line="360" w:lineRule="auto"/>
        <w:jc w:val="left"/>
        <w:rPr>
          <w:rFonts w:hint="eastAsia" w:ascii="宋体" w:hAnsi="宋体" w:cs="宋体"/>
          <w:color w:val="auto"/>
          <w:sz w:val="24"/>
          <w:highlight w:val="none"/>
        </w:rPr>
      </w:pPr>
    </w:p>
    <w:p w14:paraId="77471CEB">
      <w:pPr>
        <w:snapToGrid w:val="0"/>
        <w:spacing w:line="360" w:lineRule="auto"/>
        <w:jc w:val="left"/>
        <w:rPr>
          <w:rFonts w:hint="eastAsia" w:ascii="宋体" w:hAnsi="宋体" w:cs="宋体"/>
          <w:color w:val="auto"/>
          <w:sz w:val="24"/>
          <w:highlight w:val="none"/>
        </w:rPr>
      </w:pPr>
    </w:p>
    <w:p w14:paraId="2AE7B045">
      <w:pPr>
        <w:snapToGrid w:val="0"/>
        <w:spacing w:line="360" w:lineRule="auto"/>
        <w:jc w:val="left"/>
        <w:rPr>
          <w:rFonts w:hint="eastAsia" w:ascii="宋体" w:hAnsi="宋体" w:cs="宋体"/>
          <w:color w:val="auto"/>
          <w:sz w:val="24"/>
          <w:highlight w:val="none"/>
        </w:rPr>
      </w:pPr>
    </w:p>
    <w:p w14:paraId="2F3F1C16">
      <w:pPr>
        <w:snapToGrid w:val="0"/>
        <w:spacing w:line="360" w:lineRule="auto"/>
        <w:jc w:val="left"/>
        <w:rPr>
          <w:rFonts w:hint="eastAsia" w:ascii="宋体" w:hAnsi="宋体" w:cs="宋体"/>
          <w:color w:val="auto"/>
          <w:sz w:val="24"/>
          <w:highlight w:val="none"/>
        </w:rPr>
      </w:pPr>
    </w:p>
    <w:p w14:paraId="27D08F5E">
      <w:pPr>
        <w:snapToGrid w:val="0"/>
        <w:spacing w:line="360" w:lineRule="auto"/>
        <w:jc w:val="left"/>
        <w:rPr>
          <w:rFonts w:hint="eastAsia" w:ascii="宋体" w:hAnsi="宋体" w:cs="宋体"/>
          <w:color w:val="auto"/>
          <w:sz w:val="24"/>
          <w:highlight w:val="none"/>
        </w:rPr>
      </w:pPr>
    </w:p>
    <w:p w14:paraId="7038573A">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bidi="ar"/>
        </w:rPr>
        <w:t>投标人名称(电子签章)：</w:t>
      </w:r>
    </w:p>
    <w:p w14:paraId="7BB23F4C">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2C361512">
      <w:pPr>
        <w:snapToGrid w:val="0"/>
        <w:spacing w:before="50" w:after="165" w:afterLines="50"/>
        <w:jc w:val="left"/>
        <w:rPr>
          <w:rFonts w:hint="eastAsia" w:ascii="宋体" w:hAnsi="宋体" w:cs="宋体"/>
          <w:color w:val="auto"/>
          <w:szCs w:val="21"/>
          <w:highlight w:val="none"/>
        </w:rPr>
      </w:pPr>
    </w:p>
    <w:p w14:paraId="15EF0BEA">
      <w:pPr>
        <w:snapToGrid w:val="0"/>
        <w:spacing w:before="165" w:beforeLines="50" w:after="50"/>
        <w:jc w:val="left"/>
        <w:rPr>
          <w:rFonts w:hint="eastAsia" w:ascii="宋体" w:hAnsi="宋体" w:cs="宋体"/>
          <w:b/>
          <w:color w:val="auto"/>
          <w:sz w:val="24"/>
          <w:szCs w:val="20"/>
          <w:highlight w:val="none"/>
        </w:rPr>
      </w:pPr>
    </w:p>
    <w:p w14:paraId="1C25F609">
      <w:pPr>
        <w:snapToGrid w:val="0"/>
        <w:spacing w:before="165" w:beforeLines="50" w:after="50"/>
        <w:jc w:val="left"/>
        <w:rPr>
          <w:rFonts w:hint="eastAsia" w:ascii="宋体" w:hAnsi="宋体" w:cs="宋体"/>
          <w:b/>
          <w:color w:val="auto"/>
          <w:sz w:val="24"/>
          <w:highlight w:val="none"/>
        </w:rPr>
      </w:pPr>
    </w:p>
    <w:p w14:paraId="787E4829">
      <w:pPr>
        <w:snapToGrid w:val="0"/>
        <w:spacing w:before="165" w:beforeLines="50" w:after="50"/>
        <w:jc w:val="left"/>
        <w:rPr>
          <w:rFonts w:hint="eastAsia" w:ascii="宋体" w:hAnsi="宋体" w:cs="宋体"/>
          <w:b/>
          <w:color w:val="auto"/>
          <w:sz w:val="24"/>
          <w:szCs w:val="20"/>
          <w:highlight w:val="none"/>
        </w:rPr>
      </w:pPr>
      <w:r>
        <w:rPr>
          <w:rFonts w:hint="eastAsia" w:ascii="宋体" w:hAnsi="宋体" w:cs="宋体"/>
          <w:b/>
          <w:color w:val="auto"/>
          <w:sz w:val="24"/>
          <w:szCs w:val="20"/>
          <w:highlight w:val="none"/>
          <w:lang w:bidi="ar"/>
        </w:rPr>
        <w:t xml:space="preserve"> </w:t>
      </w:r>
    </w:p>
    <w:p w14:paraId="3476F621">
      <w:pPr>
        <w:snapToGrid w:val="0"/>
        <w:spacing w:before="165" w:beforeLines="50" w:after="50"/>
        <w:jc w:val="left"/>
        <w:rPr>
          <w:rFonts w:hint="eastAsia" w:ascii="宋体" w:hAnsi="宋体" w:cs="宋体"/>
          <w:color w:val="auto"/>
          <w:highlight w:val="none"/>
        </w:rPr>
      </w:pPr>
      <w:r>
        <w:rPr>
          <w:rFonts w:hint="eastAsia" w:ascii="宋体" w:hAnsi="宋体" w:cs="宋体"/>
          <w:b/>
          <w:color w:val="auto"/>
          <w:sz w:val="24"/>
          <w:szCs w:val="20"/>
          <w:highlight w:val="none"/>
        </w:rPr>
        <w:br w:type="page"/>
      </w:r>
    </w:p>
    <w:p w14:paraId="2DDC7846">
      <w:pPr>
        <w:snapToGrid w:val="0"/>
        <w:spacing w:before="50" w:after="165" w:afterLines="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bidi="ar"/>
        </w:rPr>
        <w:t>六、投标资格声明函</w:t>
      </w:r>
    </w:p>
    <w:p w14:paraId="26134B1A">
      <w:pPr>
        <w:keepNext w:val="0"/>
        <w:keepLines w:val="0"/>
        <w:pageBreakBefore w:val="0"/>
        <w:widowControl w:val="0"/>
        <w:tabs>
          <w:tab w:val="left" w:pos="7200"/>
        </w:tabs>
        <w:kinsoku/>
        <w:wordWrap/>
        <w:overflowPunct/>
        <w:topLinePunct w:val="0"/>
        <w:autoSpaceDE/>
        <w:autoSpaceDN/>
        <w:bidi w:val="0"/>
        <w:adjustRightInd/>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致：_</w:t>
      </w:r>
      <w:r>
        <w:rPr>
          <w:rFonts w:hint="eastAsia" w:ascii="宋体" w:hAnsi="宋体" w:cs="宋体"/>
          <w:color w:val="auto"/>
          <w:sz w:val="24"/>
          <w:szCs w:val="24"/>
          <w:highlight w:val="none"/>
          <w:u w:val="single"/>
          <w:lang w:bidi="ar"/>
        </w:rPr>
        <w:t xml:space="preserve"> </w:t>
      </w:r>
      <w:bookmarkStart w:id="350" w:name="PO_3000001867_PM031_5"/>
      <w:r>
        <w:rPr>
          <w:rFonts w:hint="eastAsia" w:ascii="宋体" w:hAnsi="宋体" w:cs="宋体"/>
          <w:color w:val="auto"/>
          <w:sz w:val="24"/>
          <w:szCs w:val="24"/>
          <w:highlight w:val="none"/>
          <w:u w:val="single"/>
          <w:lang w:bidi="ar"/>
        </w:rPr>
        <w:t>广西邕政采购代理有限公司</w:t>
      </w:r>
      <w:bookmarkEnd w:id="350"/>
      <w:r>
        <w:rPr>
          <w:rFonts w:hint="eastAsia" w:ascii="宋体" w:hAnsi="宋体" w:cs="宋体"/>
          <w:color w:val="auto"/>
          <w:sz w:val="24"/>
          <w:szCs w:val="24"/>
          <w:highlight w:val="none"/>
          <w:u w:val="single"/>
          <w:lang w:bidi="ar"/>
        </w:rPr>
        <w:t xml:space="preserve"> </w:t>
      </w:r>
    </w:p>
    <w:p w14:paraId="53A0646D">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我方愿意参加贵方组织的_</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（项目编号：</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）项目的投标，为便于贵方公正、择优地确定中标供应商，我方就本次投标有关事项郑重声明如下：</w:t>
      </w:r>
    </w:p>
    <w:p w14:paraId="060DA6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669864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A5F465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3.经查询，在“信用中国”和“中国政府采购网”网站我方未被列入失信被执行人、重大税收违法失信主体、政府采购严重违法失信行为记录名单。</w:t>
      </w:r>
    </w:p>
    <w:p w14:paraId="3688F6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4.以上事项如有虚假或隐瞒，我方愿意承担一切后果，并不再寻求任何旨在减轻或免除法律责任的辩解。 </w:t>
      </w:r>
    </w:p>
    <w:p w14:paraId="389DEA05">
      <w:pPr>
        <w:keepNext w:val="0"/>
        <w:keepLines w:val="0"/>
        <w:pageBreakBefore w:val="0"/>
        <w:widowControl w:val="0"/>
        <w:tabs>
          <w:tab w:val="left" w:pos="7200"/>
        </w:tabs>
        <w:kinsoku/>
        <w:wordWrap/>
        <w:overflowPunct/>
        <w:topLinePunct w:val="0"/>
        <w:autoSpaceDE/>
        <w:autoSpaceDN/>
        <w:bidi w:val="0"/>
        <w:adjustRightInd/>
        <w:spacing w:line="360" w:lineRule="auto"/>
        <w:ind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说明：</w:t>
      </w:r>
    </w:p>
    <w:p w14:paraId="1CDD5B72">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1CFEACF9">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9CA2469">
      <w:pPr>
        <w:keepNext w:val="0"/>
        <w:keepLines w:val="0"/>
        <w:pageBreakBefore w:val="0"/>
        <w:widowControl w:val="0"/>
        <w:kinsoku/>
        <w:wordWrap/>
        <w:overflowPunct/>
        <w:topLinePunct w:val="0"/>
        <w:autoSpaceDE/>
        <w:autoSpaceDN/>
        <w:bidi w:val="0"/>
        <w:adjustRightInd/>
        <w:snapToGrid w:val="0"/>
        <w:spacing w:before="50" w:after="165" w:afterLines="50" w:line="36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w:t>
      </w:r>
      <w:r>
        <w:rPr>
          <w:rFonts w:hint="eastAsia" w:ascii="宋体" w:hAnsi="宋体" w:cs="宋体"/>
          <w:b/>
          <w:color w:val="auto"/>
          <w:sz w:val="24"/>
          <w:szCs w:val="24"/>
          <w:highlight w:val="none"/>
          <w:lang w:bidi="ar"/>
        </w:rPr>
        <w:t xml:space="preserve">  3.如为联合体投标，盖章处须加盖联合体各方公章并由联合体各方法定代表人分别签署，否则投标无效。</w:t>
      </w:r>
    </w:p>
    <w:p w14:paraId="1993DD66">
      <w:pPr>
        <w:snapToGrid w:val="0"/>
        <w:spacing w:before="50" w:after="331" w:afterLines="100" w:line="360" w:lineRule="auto"/>
        <w:jc w:val="left"/>
        <w:rPr>
          <w:rFonts w:hint="eastAsia" w:ascii="宋体" w:hAnsi="宋体" w:cs="宋体"/>
          <w:color w:val="auto"/>
          <w:sz w:val="24"/>
          <w:highlight w:val="none"/>
        </w:rPr>
      </w:pPr>
      <w:r>
        <w:rPr>
          <w:rFonts w:hint="eastAsia" w:ascii="宋体" w:hAnsi="宋体" w:cs="宋体"/>
          <w:color w:val="auto"/>
          <w:sz w:val="24"/>
          <w:highlight w:val="none"/>
          <w:lang w:bidi="ar"/>
        </w:rPr>
        <w:t xml:space="preserve">                                     </w:t>
      </w:r>
    </w:p>
    <w:p w14:paraId="6E1E2A37">
      <w:pPr>
        <w:snapToGrid w:val="0"/>
        <w:spacing w:before="50" w:after="331" w:afterLines="100" w:line="360" w:lineRule="auto"/>
        <w:ind w:left="7428" w:leftChars="2223" w:hanging="2760" w:hangingChars="1150"/>
        <w:jc w:val="left"/>
        <w:rPr>
          <w:rFonts w:hint="eastAsia" w:ascii="宋体" w:hAnsi="宋体" w:cs="宋体"/>
          <w:b/>
          <w:bCs/>
          <w:color w:val="auto"/>
          <w:sz w:val="30"/>
          <w:szCs w:val="30"/>
          <w:highlight w:val="none"/>
        </w:rPr>
      </w:pPr>
      <w:r>
        <w:rPr>
          <w:rFonts w:hint="eastAsia" w:ascii="宋体" w:hAnsi="宋体" w:cs="宋体"/>
          <w:color w:val="auto"/>
          <w:sz w:val="24"/>
          <w:highlight w:val="none"/>
          <w:lang w:bidi="ar"/>
        </w:rPr>
        <w:t xml:space="preserve">  </w:t>
      </w:r>
      <w:r>
        <w:rPr>
          <w:rFonts w:hint="eastAsia" w:ascii="宋体" w:hAnsi="宋体" w:cs="宋体"/>
          <w:color w:val="auto"/>
          <w:kern w:val="0"/>
          <w:sz w:val="24"/>
          <w:highlight w:val="none"/>
          <w:lang w:val="zh-CN" w:bidi="ar"/>
        </w:rPr>
        <w:t>投标人名称(电子签章)：</w:t>
      </w:r>
      <w:r>
        <w:rPr>
          <w:rFonts w:hint="eastAsia" w:ascii="宋体" w:hAnsi="宋体" w:cs="宋体"/>
          <w:color w:val="auto"/>
          <w:szCs w:val="21"/>
          <w:highlight w:val="none"/>
          <w:lang w:bidi="ar"/>
        </w:rPr>
        <w:t xml:space="preserve">                                     年    月    日</w:t>
      </w:r>
    </w:p>
    <w:p w14:paraId="21CD54A0">
      <w:pPr>
        <w:rPr>
          <w:rFonts w:hint="eastAsia" w:ascii="宋体" w:hAnsi="宋体" w:cs="宋体"/>
          <w:b/>
          <w:bCs/>
          <w:color w:val="auto"/>
          <w:sz w:val="30"/>
          <w:szCs w:val="30"/>
          <w:highlight w:val="none"/>
          <w:lang w:bidi="ar"/>
        </w:rPr>
        <w:sectPr>
          <w:pgSz w:w="11906" w:h="16838"/>
          <w:pgMar w:top="1135" w:right="1135" w:bottom="1135" w:left="1135" w:header="720" w:footer="720" w:gutter="0"/>
          <w:pgNumType w:fmt="decimal"/>
          <w:cols w:space="720" w:num="1"/>
          <w:docGrid w:type="lines" w:linePitch="331" w:charSpace="0"/>
        </w:sectPr>
      </w:pPr>
    </w:p>
    <w:p w14:paraId="2B318DDA">
      <w:pPr>
        <w:pStyle w:val="24"/>
        <w:rPr>
          <w:rFonts w:hint="eastAsia"/>
          <w:color w:val="auto"/>
          <w:highlight w:val="none"/>
        </w:rPr>
      </w:pPr>
    </w:p>
    <w:p w14:paraId="3AD747AB">
      <w:pPr>
        <w:widowControl/>
        <w:spacing w:line="600" w:lineRule="exact"/>
        <w:jc w:val="center"/>
        <w:rPr>
          <w:rFonts w:hint="eastAsia" w:ascii="宋体" w:hAnsi="宋体" w:cs="宋体"/>
          <w:color w:val="auto"/>
          <w:kern w:val="0"/>
          <w:szCs w:val="21"/>
          <w:highlight w:val="none"/>
          <w:u w:val="single"/>
        </w:rPr>
      </w:pPr>
      <w:r>
        <w:rPr>
          <w:rFonts w:hint="eastAsia" w:ascii="宋体" w:hAnsi="宋体" w:cs="宋体"/>
          <w:b/>
          <w:bCs/>
          <w:color w:val="auto"/>
          <w:sz w:val="30"/>
          <w:szCs w:val="30"/>
          <w:highlight w:val="none"/>
          <w:lang w:val="en-US" w:eastAsia="zh-CN"/>
        </w:rPr>
        <w:t>七</w:t>
      </w:r>
      <w:r>
        <w:rPr>
          <w:rFonts w:hint="eastAsia" w:ascii="宋体" w:hAnsi="宋体" w:cs="宋体"/>
          <w:b/>
          <w:bCs/>
          <w:color w:val="auto"/>
          <w:sz w:val="30"/>
          <w:szCs w:val="30"/>
          <w:highlight w:val="none"/>
        </w:rPr>
        <w:t>、联合体协议书</w:t>
      </w:r>
    </w:p>
    <w:p w14:paraId="3D6E8A43">
      <w:pPr>
        <w:keepNext w:val="0"/>
        <w:keepLines w:val="0"/>
        <w:pageBreakBefore w:val="0"/>
        <w:kinsoku/>
        <w:wordWrap w:val="0"/>
        <w:overflowPunct/>
        <w:topLinePunct w:val="0"/>
        <w:autoSpaceDE w:val="0"/>
        <w:autoSpaceDN w:val="0"/>
        <w:bidi w:val="0"/>
        <w:adjustRightInd w:val="0"/>
        <w:snapToGrid/>
        <w:spacing w:line="360" w:lineRule="auto"/>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（所有成员单位名称）自愿组成联合体，共同参加</w:t>
      </w:r>
      <w:r>
        <w:rPr>
          <w:rFonts w:hint="eastAsia" w:ascii="宋体" w:hAnsi="宋体" w:cs="宋体"/>
          <w:color w:val="auto"/>
          <w:kern w:val="0"/>
          <w:sz w:val="24"/>
          <w:szCs w:val="24"/>
          <w:highlight w:val="none"/>
          <w:u w:val="single"/>
          <w:lang w:bidi="ar"/>
        </w:rPr>
        <w:t xml:space="preserve">     （采购人）   </w:t>
      </w:r>
      <w:r>
        <w:rPr>
          <w:rFonts w:hint="eastAsia" w:ascii="宋体" w:hAnsi="宋体" w:cs="宋体"/>
          <w:color w:val="auto"/>
          <w:kern w:val="0"/>
          <w:sz w:val="24"/>
          <w:szCs w:val="24"/>
          <w:highlight w:val="none"/>
          <w:lang w:bidi="ar"/>
        </w:rPr>
        <w:t>组织的</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（项目编号：</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）投标。现就联合体投标事宜订立如下协议：</w:t>
      </w:r>
    </w:p>
    <w:p w14:paraId="6ECE5029">
      <w:pPr>
        <w:keepNext w:val="0"/>
        <w:keepLines w:val="0"/>
        <w:pageBreakBefore w:val="0"/>
        <w:kinsoku/>
        <w:overflowPunct/>
        <w:topLinePunct w:val="0"/>
        <w:autoSpaceDE w:val="0"/>
        <w:autoSpaceDN w:val="0"/>
        <w:bidi w:val="0"/>
        <w:adjustRightInd w:val="0"/>
        <w:snapToGrid/>
        <w:spacing w:line="360" w:lineRule="auto"/>
        <w:ind w:firstLine="42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r>
        <w:rPr>
          <w:rFonts w:hint="eastAsia" w:ascii="宋体" w:hAnsi="宋体" w:cs="宋体"/>
          <w:color w:val="auto"/>
          <w:sz w:val="24"/>
          <w:szCs w:val="24"/>
          <w:highlight w:val="none"/>
          <w:lang w:bidi="ar"/>
        </w:rPr>
        <w:t>________________________</w:t>
      </w:r>
      <w:r>
        <w:rPr>
          <w:rFonts w:hint="eastAsia" w:ascii="宋体" w:hAnsi="宋体" w:cs="宋体"/>
          <w:color w:val="auto"/>
          <w:kern w:val="0"/>
          <w:sz w:val="24"/>
          <w:szCs w:val="24"/>
          <w:highlight w:val="none"/>
          <w:lang w:bidi="ar"/>
        </w:rPr>
        <w:t>（某成员单位名称）为联合体名称牵头人。</w:t>
      </w:r>
    </w:p>
    <w:p w14:paraId="42DC87C4">
      <w:pPr>
        <w:keepNext w:val="0"/>
        <w:keepLines w:val="0"/>
        <w:pageBreakBefore w:val="0"/>
        <w:kinsoku/>
        <w:overflowPunct/>
        <w:topLinePunct w:val="0"/>
        <w:autoSpaceDE w:val="0"/>
        <w:autoSpaceDN w:val="0"/>
        <w:bidi w:val="0"/>
        <w:adjustRightInd w:val="0"/>
        <w:snapToGrid/>
        <w:spacing w:line="360" w:lineRule="auto"/>
        <w:ind w:firstLine="42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10C9948">
      <w:pPr>
        <w:keepNext w:val="0"/>
        <w:keepLines w:val="0"/>
        <w:pageBreakBefore w:val="0"/>
        <w:kinsoku/>
        <w:overflowPunct/>
        <w:topLinePunct w:val="0"/>
        <w:autoSpaceDE w:val="0"/>
        <w:autoSpaceDN w:val="0"/>
        <w:bidi w:val="0"/>
        <w:adjustRightInd w:val="0"/>
        <w:snapToGrid/>
        <w:spacing w:line="360" w:lineRule="auto"/>
        <w:ind w:firstLine="42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3、联合体牵头人在本项目中签署和盖章的一切文件和处理的一切事宜，联合体各成员均予以承认。 联合体各成员将严格按照招标文件、投标文件和合同的要求全面履行义务，并向招标人承担连带责任。</w:t>
      </w:r>
    </w:p>
    <w:p w14:paraId="6E1BAA43">
      <w:pPr>
        <w:keepNext w:val="0"/>
        <w:keepLines w:val="0"/>
        <w:pageBreakBefore w:val="0"/>
        <w:kinsoku/>
        <w:overflowPunct/>
        <w:topLinePunct w:val="0"/>
        <w:autoSpaceDE w:val="0"/>
        <w:autoSpaceDN w:val="0"/>
        <w:bidi w:val="0"/>
        <w:adjustRightInd w:val="0"/>
        <w:snapToGrid/>
        <w:spacing w:line="360" w:lineRule="auto"/>
        <w:ind w:firstLine="42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4、联合体各成员单位内部的职责分工如下</w:t>
      </w:r>
      <w:r>
        <w:rPr>
          <w:rFonts w:hint="eastAsia" w:ascii="宋体" w:hAnsi="宋体" w:cs="宋体"/>
          <w:color w:val="auto"/>
          <w:kern w:val="0"/>
          <w:sz w:val="24"/>
          <w:szCs w:val="24"/>
          <w:highlight w:val="none"/>
          <w:u w:val="single"/>
          <w:lang w:bidi="ar"/>
        </w:rPr>
        <w:t>：</w:t>
      </w:r>
      <w:r>
        <w:rPr>
          <w:rFonts w:hint="eastAsia" w:ascii="宋体" w:hAnsi="宋体" w:cs="宋体"/>
          <w:color w:val="auto"/>
          <w:sz w:val="24"/>
          <w:szCs w:val="24"/>
          <w:highlight w:val="none"/>
          <w:u w:val="single"/>
          <w:lang w:bidi="ar"/>
        </w:rPr>
        <w:t>________________________________________________</w:t>
      </w:r>
      <w:r>
        <w:rPr>
          <w:rFonts w:hint="eastAsia" w:ascii="宋体" w:hAnsi="宋体" w:cs="宋体"/>
          <w:color w:val="auto"/>
          <w:kern w:val="0"/>
          <w:sz w:val="24"/>
          <w:szCs w:val="24"/>
          <w:highlight w:val="none"/>
          <w:lang w:bidi="ar"/>
        </w:rPr>
        <w:t>。</w:t>
      </w:r>
    </w:p>
    <w:p w14:paraId="0BDD9DA1">
      <w:pPr>
        <w:keepNext w:val="0"/>
        <w:keepLines w:val="0"/>
        <w:pageBreakBefore w:val="0"/>
        <w:widowControl/>
        <w:kinsoku/>
        <w:overflowPunct/>
        <w:topLinePunct w:val="0"/>
        <w:bidi w:val="0"/>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5、本联合体中</w:t>
      </w:r>
      <w:r>
        <w:rPr>
          <w:rFonts w:hint="eastAsia" w:ascii="宋体" w:hAnsi="宋体" w:cs="宋体"/>
          <w:color w:val="auto"/>
          <w:kern w:val="0"/>
          <w:sz w:val="24"/>
          <w:szCs w:val="24"/>
          <w:highlight w:val="none"/>
          <w:u w:val="single"/>
        </w:rPr>
        <w:t>，</w:t>
      </w:r>
      <w:r>
        <w:rPr>
          <w:rFonts w:hint="eastAsia" w:ascii="宋体" w:hAnsi="宋体" w:cs="宋体"/>
          <w:color w:val="auto"/>
          <w:sz w:val="24"/>
          <w:szCs w:val="24"/>
          <w:highlight w:val="none"/>
          <w:u w:val="single"/>
        </w:rPr>
        <w:t>______</w:t>
      </w:r>
      <w:r>
        <w:rPr>
          <w:rFonts w:hint="eastAsia" w:ascii="宋体" w:hAnsi="宋体" w:cs="宋体"/>
          <w:color w:val="auto"/>
          <w:kern w:val="0"/>
          <w:sz w:val="24"/>
          <w:szCs w:val="24"/>
          <w:highlight w:val="none"/>
          <w:u w:val="single"/>
        </w:rPr>
        <w:t>（某成员单位名称）为</w:t>
      </w:r>
      <w:r>
        <w:rPr>
          <w:rFonts w:hint="eastAsia" w:ascii="宋体" w:hAnsi="宋体" w:cs="宋体"/>
          <w:color w:val="auto"/>
          <w:sz w:val="24"/>
          <w:szCs w:val="24"/>
          <w:highlight w:val="none"/>
          <w:u w:val="single"/>
        </w:rPr>
        <w:t>______</w:t>
      </w:r>
      <w:r>
        <w:rPr>
          <w:rFonts w:hint="eastAsia" w:ascii="宋体" w:hAnsi="宋体" w:cs="宋体"/>
          <w:color w:val="auto"/>
          <w:sz w:val="24"/>
          <w:szCs w:val="24"/>
          <w:highlight w:val="none"/>
        </w:rPr>
        <w:t>（请填写：中型、小型、微型）企业，其协议合同金额占联合体协议合同总金额的</w:t>
      </w:r>
      <w:r>
        <w:rPr>
          <w:rFonts w:hint="eastAsia" w:ascii="宋体" w:hAnsi="宋体" w:cs="宋体"/>
          <w:color w:val="auto"/>
          <w:sz w:val="24"/>
          <w:szCs w:val="24"/>
          <w:highlight w:val="none"/>
          <w:u w:val="single"/>
        </w:rPr>
        <w:t>______</w:t>
      </w:r>
      <w:r>
        <w:rPr>
          <w:rFonts w:hint="eastAsia" w:ascii="宋体" w:hAnsi="宋体" w:cs="宋体"/>
          <w:color w:val="auto"/>
          <w:sz w:val="24"/>
          <w:szCs w:val="24"/>
          <w:highlight w:val="none"/>
        </w:rPr>
        <w:t>%。【如联合体成员中有小型、微型企业的，请填写此条，否则无需填写；如联合体成员中有多个小型、微型企业的，请逐一列出。】</w:t>
      </w:r>
    </w:p>
    <w:p w14:paraId="3986AC7F">
      <w:pPr>
        <w:keepNext w:val="0"/>
        <w:keepLines w:val="0"/>
        <w:pageBreakBefore w:val="0"/>
        <w:kinsoku/>
        <w:overflowPunct/>
        <w:topLinePunct w:val="0"/>
        <w:autoSpaceDE w:val="0"/>
        <w:autoSpaceDN w:val="0"/>
        <w:bidi w:val="0"/>
        <w:adjustRightInd w:val="0"/>
        <w:snapToGrid/>
        <w:spacing w:line="360" w:lineRule="auto"/>
        <w:ind w:firstLine="42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6、本协议书自签署之日起生效，合同履行完毕后自动失效。</w:t>
      </w:r>
    </w:p>
    <w:p w14:paraId="292D3024">
      <w:pPr>
        <w:keepNext w:val="0"/>
        <w:keepLines w:val="0"/>
        <w:pageBreakBefore w:val="0"/>
        <w:kinsoku/>
        <w:overflowPunct/>
        <w:topLinePunct w:val="0"/>
        <w:autoSpaceDE w:val="0"/>
        <w:autoSpaceDN w:val="0"/>
        <w:bidi w:val="0"/>
        <w:adjustRightInd w:val="0"/>
        <w:snapToGrid/>
        <w:spacing w:line="360" w:lineRule="auto"/>
        <w:ind w:firstLine="42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7、本协议书一式</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份，联合体成员和采购代理机构各执一份。</w:t>
      </w:r>
    </w:p>
    <w:p w14:paraId="66623879">
      <w:pPr>
        <w:keepNext w:val="0"/>
        <w:keepLines w:val="0"/>
        <w:pageBreakBefore w:val="0"/>
        <w:kinsoku/>
        <w:overflowPunct/>
        <w:topLinePunct w:val="0"/>
        <w:autoSpaceDE w:val="0"/>
        <w:autoSpaceDN w:val="0"/>
        <w:bidi w:val="0"/>
        <w:adjustRightInd w:val="0"/>
        <w:snapToGrid/>
        <w:spacing w:line="360" w:lineRule="auto"/>
        <w:ind w:firstLine="42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注：本协议书由法定代表人签字的，应附法定代表人身份证明；本协议书由委托代理人签字的，应附法定代表人授权委托书。</w:t>
      </w:r>
    </w:p>
    <w:p w14:paraId="75F908E0">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牵头人名称：</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（公章/电子签章）</w:t>
      </w:r>
    </w:p>
    <w:p w14:paraId="03E67990">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法定代表人或其委托代理人：</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（手写签名/电子签名）</w:t>
      </w:r>
    </w:p>
    <w:p w14:paraId="3B1F9A04">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cs="宋体"/>
          <w:color w:val="auto"/>
          <w:kern w:val="0"/>
          <w:sz w:val="24"/>
          <w:szCs w:val="24"/>
          <w:highlight w:val="none"/>
        </w:rPr>
      </w:pPr>
    </w:p>
    <w:p w14:paraId="5B608AAA">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成员一名称：</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（公章/电子签章）</w:t>
      </w:r>
    </w:p>
    <w:p w14:paraId="0BAC6413">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法定代表人或其委托代理人：</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（手写签名/电子签名）</w:t>
      </w:r>
    </w:p>
    <w:p w14:paraId="42B7B0A8">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cs="宋体"/>
          <w:color w:val="auto"/>
          <w:kern w:val="0"/>
          <w:sz w:val="24"/>
          <w:szCs w:val="24"/>
          <w:highlight w:val="none"/>
        </w:rPr>
      </w:pPr>
    </w:p>
    <w:p w14:paraId="328C0D61">
      <w:pPr>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成员二名称：</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kern w:val="0"/>
          <w:sz w:val="24"/>
          <w:szCs w:val="24"/>
          <w:highlight w:val="none"/>
          <w:lang w:bidi="ar"/>
        </w:rPr>
        <w:t>（公章/电子签章）</w:t>
      </w:r>
    </w:p>
    <w:p w14:paraId="0680F60B">
      <w:pPr>
        <w:keepNext w:val="0"/>
        <w:keepLines w:val="0"/>
        <w:pageBreakBefore w:val="0"/>
        <w:widowControl/>
        <w:kinsoku/>
        <w:overflowPunct/>
        <w:topLinePunct w:val="0"/>
        <w:bidi w:val="0"/>
        <w:snapToGrid/>
        <w:spacing w:line="360" w:lineRule="auto"/>
        <w:textAlignment w:val="auto"/>
        <w:rPr>
          <w:rFonts w:hint="eastAsia" w:ascii="宋体" w:hAnsi="宋体" w:cs="宋体"/>
          <w:color w:val="auto"/>
          <w:kern w:val="0"/>
          <w:szCs w:val="21"/>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（手写签名/电子签名）</w:t>
      </w:r>
    </w:p>
    <w:p w14:paraId="104A0A74">
      <w:pPr>
        <w:snapToGrid w:val="0"/>
        <w:spacing w:line="360" w:lineRule="auto"/>
        <w:rPr>
          <w:rFonts w:hint="eastAsia" w:ascii="宋体" w:hAnsi="宋体" w:cs="宋体"/>
          <w:color w:val="auto"/>
          <w:kern w:val="0"/>
          <w:sz w:val="24"/>
          <w:highlight w:val="none"/>
          <w:lang w:val="zh-CN"/>
        </w:rPr>
      </w:pPr>
    </w:p>
    <w:p w14:paraId="16A7B1BC">
      <w:pPr>
        <w:spacing w:line="360" w:lineRule="auto"/>
        <w:rPr>
          <w:rFonts w:hint="eastAsia" w:ascii="宋体" w:hAnsi="宋体" w:cs="宋体"/>
          <w:color w:val="auto"/>
          <w:szCs w:val="21"/>
          <w:highlight w:val="none"/>
          <w:lang w:bidi="ar"/>
        </w:rPr>
        <w:sectPr>
          <w:pgSz w:w="11906" w:h="16838"/>
          <w:pgMar w:top="1135" w:right="1135" w:bottom="1135" w:left="1135" w:header="720" w:footer="720" w:gutter="0"/>
          <w:pgNumType w:fmt="decimal"/>
          <w:cols w:space="720" w:num="1"/>
          <w:docGrid w:type="lines" w:linePitch="331" w:charSpace="0"/>
        </w:sectPr>
      </w:pPr>
    </w:p>
    <w:p w14:paraId="5B049FF1">
      <w:pPr>
        <w:snapToGrid w:val="0"/>
        <w:spacing w:before="50" w:after="165" w:afterLines="50" w:line="360" w:lineRule="auto"/>
        <w:ind w:left="300"/>
        <w:jc w:val="left"/>
        <w:rPr>
          <w:rFonts w:hint="eastAsia" w:ascii="宋体" w:hAnsi="宋体" w:cs="宋体"/>
          <w:b/>
          <w:color w:val="auto"/>
          <w:sz w:val="30"/>
          <w:szCs w:val="30"/>
          <w:highlight w:val="none"/>
          <w:lang w:bidi="ar"/>
        </w:rPr>
      </w:pPr>
      <w:bookmarkStart w:id="351" w:name="_Toc8359"/>
      <w:bookmarkStart w:id="352" w:name="_Toc19686838"/>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bidi="ar"/>
        </w:rPr>
        <w:t>除招标文件规定必须提供以外，投标人认为需要提供的其他证明材料。</w:t>
      </w:r>
    </w:p>
    <w:p w14:paraId="57F4DFF0">
      <w:pPr>
        <w:snapToGrid w:val="0"/>
        <w:spacing w:before="50" w:after="165" w:afterLines="50" w:line="360" w:lineRule="auto"/>
        <w:ind w:left="300"/>
        <w:jc w:val="left"/>
        <w:rPr>
          <w:rFonts w:hint="eastAsia" w:ascii="宋体" w:hAnsi="宋体" w:cs="宋体"/>
          <w:b/>
          <w:bCs/>
          <w:color w:val="auto"/>
          <w:sz w:val="28"/>
          <w:szCs w:val="28"/>
          <w:highlight w:val="none"/>
        </w:rPr>
      </w:pPr>
    </w:p>
    <w:p w14:paraId="2CE58331">
      <w:pPr>
        <w:snapToGrid w:val="0"/>
        <w:spacing w:line="360" w:lineRule="auto"/>
        <w:ind w:firstLine="5040" w:firstLineChars="2100"/>
        <w:rPr>
          <w:rFonts w:hint="eastAsia" w:ascii="宋体" w:hAnsi="宋体" w:cs="宋体"/>
          <w:color w:val="auto"/>
          <w:kern w:val="0"/>
          <w:sz w:val="24"/>
          <w:highlight w:val="none"/>
          <w:lang w:val="zh-CN" w:bidi="ar"/>
        </w:rPr>
      </w:pPr>
    </w:p>
    <w:p w14:paraId="561C5336">
      <w:pPr>
        <w:snapToGrid w:val="0"/>
        <w:spacing w:line="360" w:lineRule="auto"/>
        <w:ind w:firstLine="5040" w:firstLineChars="2100"/>
        <w:rPr>
          <w:rFonts w:hint="eastAsia" w:ascii="宋体" w:hAnsi="宋体" w:cs="宋体"/>
          <w:color w:val="auto"/>
          <w:kern w:val="0"/>
          <w:sz w:val="24"/>
          <w:highlight w:val="none"/>
          <w:lang w:val="zh-CN" w:bidi="ar"/>
        </w:rPr>
      </w:pPr>
      <w:r>
        <w:rPr>
          <w:rFonts w:hint="eastAsia" w:ascii="宋体" w:hAnsi="宋体" w:cs="宋体"/>
          <w:color w:val="auto"/>
          <w:kern w:val="0"/>
          <w:sz w:val="24"/>
          <w:highlight w:val="none"/>
          <w:lang w:val="zh-CN" w:bidi="ar"/>
        </w:rPr>
        <w:t>投标人名称(电子签章)：</w:t>
      </w:r>
    </w:p>
    <w:p w14:paraId="08C6CB0F">
      <w:pPr>
        <w:snapToGrid w:val="0"/>
        <w:spacing w:line="360" w:lineRule="auto"/>
        <w:ind w:firstLine="5040" w:firstLineChars="2100"/>
        <w:jc w:val="center"/>
        <w:rPr>
          <w:rFonts w:hint="eastAsia" w:ascii="宋体" w:hAnsi="宋体" w:cs="宋体"/>
          <w:color w:val="auto"/>
          <w:kern w:val="0"/>
          <w:sz w:val="24"/>
          <w:highlight w:val="none"/>
          <w:lang w:val="zh-CN" w:bidi="ar"/>
        </w:rPr>
      </w:pPr>
      <w:r>
        <w:rPr>
          <w:rFonts w:hint="eastAsia" w:ascii="宋体" w:hAnsi="宋体" w:cs="宋体"/>
          <w:color w:val="auto"/>
          <w:kern w:val="0"/>
          <w:sz w:val="24"/>
          <w:highlight w:val="none"/>
          <w:lang w:val="zh-CN" w:bidi="ar"/>
        </w:rPr>
        <w:t>日期：  年  月   日</w:t>
      </w:r>
    </w:p>
    <w:p w14:paraId="4617E64E">
      <w:pPr>
        <w:snapToGrid w:val="0"/>
        <w:spacing w:line="360" w:lineRule="auto"/>
        <w:jc w:val="center"/>
        <w:outlineLvl w:val="1"/>
        <w:rPr>
          <w:rFonts w:hint="eastAsia" w:ascii="宋体" w:hAnsi="宋体" w:cs="宋体"/>
          <w:b/>
          <w:bCs/>
          <w:color w:val="auto"/>
          <w:sz w:val="28"/>
          <w:szCs w:val="28"/>
          <w:highlight w:val="none"/>
        </w:rPr>
      </w:pPr>
      <w:r>
        <w:rPr>
          <w:rFonts w:hint="eastAsia" w:ascii="宋体" w:hAnsi="宋体" w:cs="宋体"/>
          <w:color w:val="auto"/>
          <w:kern w:val="0"/>
          <w:sz w:val="24"/>
          <w:highlight w:val="none"/>
          <w:lang w:val="zh-CN" w:bidi="ar"/>
        </w:rPr>
        <w:br w:type="page"/>
      </w:r>
      <w:bookmarkStart w:id="353" w:name="_Toc7376"/>
      <w:bookmarkStart w:id="354" w:name="_Toc7584"/>
      <w:r>
        <w:rPr>
          <w:rFonts w:hint="eastAsia" w:ascii="宋体" w:hAnsi="宋体" w:cs="宋体"/>
          <w:b/>
          <w:bCs/>
          <w:color w:val="auto"/>
          <w:sz w:val="28"/>
          <w:szCs w:val="28"/>
          <w:highlight w:val="none"/>
        </w:rPr>
        <w:t>第三节 商务文件格式</w:t>
      </w:r>
      <w:bookmarkEnd w:id="351"/>
      <w:bookmarkEnd w:id="352"/>
      <w:bookmarkEnd w:id="353"/>
      <w:bookmarkEnd w:id="354"/>
    </w:p>
    <w:p w14:paraId="5F53DA32">
      <w:pPr>
        <w:snapToGrid w:val="0"/>
        <w:spacing w:before="165" w:beforeLines="50" w:after="50"/>
        <w:rPr>
          <w:rFonts w:hint="eastAsia" w:ascii="宋体" w:hAnsi="宋体" w:cs="宋体"/>
          <w:color w:val="auto"/>
          <w:sz w:val="30"/>
          <w:szCs w:val="20"/>
          <w:highlight w:val="none"/>
        </w:rPr>
      </w:pPr>
    </w:p>
    <w:p w14:paraId="0809A229">
      <w:pPr>
        <w:snapToGrid w:val="0"/>
        <w:spacing w:before="165" w:beforeLines="50" w:after="50"/>
        <w:rPr>
          <w:rFonts w:hint="eastAsia" w:ascii="宋体" w:hAnsi="宋体" w:cs="宋体"/>
          <w:bCs/>
          <w:color w:val="auto"/>
          <w:sz w:val="32"/>
          <w:szCs w:val="20"/>
          <w:highlight w:val="none"/>
        </w:rPr>
      </w:pPr>
      <w:r>
        <w:rPr>
          <w:rFonts w:hint="eastAsia" w:ascii="宋体" w:hAnsi="宋体" w:cs="宋体"/>
          <w:color w:val="auto"/>
          <w:sz w:val="24"/>
          <w:highlight w:val="none"/>
          <w:lang w:bidi="ar"/>
        </w:rPr>
        <w:t xml:space="preserve">                                                  </w:t>
      </w:r>
      <w:r>
        <w:rPr>
          <w:rFonts w:hint="eastAsia" w:ascii="宋体" w:hAnsi="宋体" w:cs="宋体"/>
          <w:bCs/>
          <w:color w:val="auto"/>
          <w:highlight w:val="none"/>
          <w:lang w:bidi="ar"/>
        </w:rPr>
        <w:t xml:space="preserve">             电子投标文件</w:t>
      </w:r>
    </w:p>
    <w:p w14:paraId="6F9E134B">
      <w:pPr>
        <w:snapToGrid w:val="0"/>
        <w:spacing w:before="165" w:beforeLines="50" w:after="50"/>
        <w:rPr>
          <w:rFonts w:hint="eastAsia" w:ascii="宋体" w:hAnsi="宋体" w:cs="宋体"/>
          <w:color w:val="auto"/>
          <w:sz w:val="24"/>
          <w:szCs w:val="20"/>
          <w:highlight w:val="none"/>
        </w:rPr>
      </w:pPr>
    </w:p>
    <w:p w14:paraId="41B5C245">
      <w:pPr>
        <w:snapToGrid w:val="0"/>
        <w:spacing w:before="165"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lang w:bidi="ar"/>
        </w:rPr>
        <w:t>商务文件（封面）</w:t>
      </w:r>
    </w:p>
    <w:p w14:paraId="290284F5">
      <w:pPr>
        <w:snapToGrid w:val="0"/>
        <w:spacing w:before="165" w:beforeLines="50" w:after="50"/>
        <w:rPr>
          <w:rFonts w:hint="eastAsia" w:ascii="宋体" w:hAnsi="宋体" w:cs="宋体"/>
          <w:bCs/>
          <w:color w:val="auto"/>
          <w:sz w:val="24"/>
          <w:szCs w:val="20"/>
          <w:highlight w:val="none"/>
        </w:rPr>
      </w:pPr>
    </w:p>
    <w:p w14:paraId="6579AFD2">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lang w:bidi="ar"/>
        </w:rPr>
        <w:t>项目名称：</w:t>
      </w:r>
    </w:p>
    <w:p w14:paraId="08E62EC5">
      <w:pPr>
        <w:snapToGrid w:val="0"/>
        <w:spacing w:before="165" w:beforeLines="50" w:after="50"/>
        <w:ind w:firstLine="540" w:firstLineChars="225"/>
        <w:rPr>
          <w:rFonts w:hint="eastAsia" w:ascii="宋体" w:hAnsi="宋体" w:cs="宋体"/>
          <w:bCs/>
          <w:color w:val="auto"/>
          <w:sz w:val="24"/>
          <w:szCs w:val="20"/>
          <w:highlight w:val="none"/>
        </w:rPr>
      </w:pPr>
    </w:p>
    <w:p w14:paraId="5AC64EAD">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lang w:bidi="ar"/>
        </w:rPr>
        <w:t>项目编号：</w:t>
      </w:r>
    </w:p>
    <w:p w14:paraId="70E9A9E0">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lang w:bidi="ar"/>
        </w:rPr>
        <w:t xml:space="preserve"> </w:t>
      </w:r>
    </w:p>
    <w:p w14:paraId="4542FBB0">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lang w:bidi="ar"/>
        </w:rPr>
        <w:t>所投分标：</w:t>
      </w:r>
    </w:p>
    <w:p w14:paraId="1169429D">
      <w:pPr>
        <w:snapToGrid w:val="0"/>
        <w:spacing w:before="165" w:beforeLines="50" w:after="50"/>
        <w:ind w:firstLine="540" w:firstLineChars="225"/>
        <w:rPr>
          <w:rFonts w:hint="eastAsia" w:ascii="宋体" w:hAnsi="宋体" w:cs="宋体"/>
          <w:bCs/>
          <w:color w:val="auto"/>
          <w:sz w:val="24"/>
          <w:szCs w:val="20"/>
          <w:highlight w:val="none"/>
        </w:rPr>
      </w:pPr>
    </w:p>
    <w:p w14:paraId="22C65F7C">
      <w:pPr>
        <w:widowControl/>
        <w:snapToGrid w:val="0"/>
        <w:spacing w:before="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4CEF2515">
      <w:pPr>
        <w:widowControl/>
        <w:snapToGrid w:val="0"/>
        <w:spacing w:before="50" w:after="50"/>
        <w:ind w:firstLine="540" w:firstLineChars="225"/>
        <w:rPr>
          <w:rFonts w:hint="eastAsia" w:ascii="宋体" w:hAnsi="宋体" w:cs="宋体"/>
          <w:bCs/>
          <w:color w:val="auto"/>
          <w:sz w:val="24"/>
          <w:highlight w:val="none"/>
        </w:rPr>
      </w:pPr>
    </w:p>
    <w:p w14:paraId="2C765276">
      <w:pPr>
        <w:widowControl/>
        <w:snapToGrid w:val="0"/>
        <w:spacing w:before="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5FF78D8B">
      <w:pPr>
        <w:widowControl/>
        <w:snapToGrid w:val="0"/>
        <w:spacing w:before="50" w:after="50"/>
        <w:ind w:firstLine="960" w:firstLineChars="400"/>
        <w:rPr>
          <w:rFonts w:hint="eastAsia" w:ascii="宋体" w:hAnsi="宋体" w:cs="宋体"/>
          <w:bCs/>
          <w:color w:val="auto"/>
          <w:sz w:val="24"/>
          <w:highlight w:val="none"/>
        </w:rPr>
      </w:pPr>
    </w:p>
    <w:p w14:paraId="77E3B9F4">
      <w:pPr>
        <w:snapToGrid w:val="0"/>
        <w:spacing w:before="165" w:beforeLines="50" w:after="50"/>
        <w:ind w:firstLine="645"/>
        <w:rPr>
          <w:rFonts w:hint="eastAsia" w:ascii="宋体" w:hAnsi="宋体" w:cs="宋体"/>
          <w:color w:val="auto"/>
          <w:sz w:val="24"/>
          <w:highlight w:val="none"/>
        </w:rPr>
      </w:pPr>
      <w:r>
        <w:rPr>
          <w:rFonts w:hint="eastAsia" w:ascii="宋体" w:hAnsi="宋体" w:cs="宋体"/>
          <w:color w:val="auto"/>
          <w:sz w:val="24"/>
          <w:highlight w:val="none"/>
          <w:lang w:bidi="ar"/>
        </w:rPr>
        <w:t xml:space="preserve">                        年  月  日</w:t>
      </w:r>
    </w:p>
    <w:p w14:paraId="09E55BC4">
      <w:pPr>
        <w:snapToGrid w:val="0"/>
        <w:spacing w:before="165"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lang w:bidi="ar"/>
        </w:rPr>
        <w:t xml:space="preserve"> </w:t>
      </w:r>
    </w:p>
    <w:p w14:paraId="6C908F67">
      <w:pPr>
        <w:spacing w:line="360" w:lineRule="auto"/>
        <w:ind w:right="420"/>
        <w:rPr>
          <w:rFonts w:hint="eastAsia" w:ascii="宋体" w:hAnsi="宋体" w:cs="宋体"/>
          <w:color w:val="auto"/>
          <w:sz w:val="24"/>
          <w:szCs w:val="20"/>
          <w:highlight w:val="none"/>
        </w:rPr>
      </w:pPr>
    </w:p>
    <w:p w14:paraId="00714B09">
      <w:pPr>
        <w:spacing w:line="360" w:lineRule="auto"/>
        <w:ind w:right="420"/>
        <w:rPr>
          <w:rFonts w:hint="eastAsia" w:ascii="宋体" w:hAnsi="宋体" w:cs="宋体"/>
          <w:color w:val="auto"/>
          <w:sz w:val="24"/>
          <w:szCs w:val="20"/>
          <w:highlight w:val="none"/>
        </w:rPr>
      </w:pPr>
    </w:p>
    <w:p w14:paraId="485BC7AC">
      <w:pPr>
        <w:spacing w:line="360" w:lineRule="auto"/>
        <w:ind w:right="420"/>
        <w:rPr>
          <w:rFonts w:hint="eastAsia" w:ascii="宋体" w:hAnsi="宋体" w:cs="宋体"/>
          <w:color w:val="auto"/>
          <w:sz w:val="24"/>
          <w:szCs w:val="20"/>
          <w:highlight w:val="none"/>
        </w:rPr>
      </w:pPr>
    </w:p>
    <w:p w14:paraId="33F1C516">
      <w:pPr>
        <w:spacing w:line="360" w:lineRule="auto"/>
        <w:ind w:right="420"/>
        <w:rPr>
          <w:rFonts w:hint="eastAsia" w:ascii="宋体" w:hAnsi="宋体" w:cs="宋体"/>
          <w:color w:val="auto"/>
          <w:sz w:val="24"/>
          <w:szCs w:val="20"/>
          <w:highlight w:val="none"/>
        </w:rPr>
      </w:pPr>
    </w:p>
    <w:p w14:paraId="329787B9">
      <w:pPr>
        <w:spacing w:line="360" w:lineRule="auto"/>
        <w:ind w:right="420"/>
        <w:rPr>
          <w:rFonts w:hint="eastAsia" w:ascii="宋体" w:hAnsi="宋体" w:cs="宋体"/>
          <w:color w:val="auto"/>
          <w:sz w:val="24"/>
          <w:szCs w:val="20"/>
          <w:highlight w:val="none"/>
        </w:rPr>
      </w:pPr>
    </w:p>
    <w:p w14:paraId="15AA0BFF">
      <w:pPr>
        <w:spacing w:line="360" w:lineRule="auto"/>
        <w:ind w:right="420"/>
        <w:rPr>
          <w:rFonts w:hint="eastAsia" w:ascii="宋体" w:hAnsi="宋体" w:cs="宋体"/>
          <w:color w:val="auto"/>
          <w:sz w:val="24"/>
          <w:szCs w:val="20"/>
          <w:highlight w:val="none"/>
        </w:rPr>
      </w:pPr>
    </w:p>
    <w:p w14:paraId="4EDFAC93">
      <w:pPr>
        <w:spacing w:line="360" w:lineRule="auto"/>
        <w:ind w:right="420"/>
        <w:rPr>
          <w:rFonts w:hint="eastAsia" w:ascii="宋体" w:hAnsi="宋体" w:cs="宋体"/>
          <w:color w:val="auto"/>
          <w:sz w:val="24"/>
          <w:szCs w:val="20"/>
          <w:highlight w:val="none"/>
        </w:rPr>
      </w:pPr>
    </w:p>
    <w:p w14:paraId="1E74BDDD">
      <w:pPr>
        <w:spacing w:line="360" w:lineRule="auto"/>
        <w:ind w:right="420"/>
        <w:rPr>
          <w:rFonts w:hint="eastAsia" w:ascii="宋体" w:hAnsi="宋体" w:cs="宋体"/>
          <w:color w:val="auto"/>
          <w:sz w:val="24"/>
          <w:szCs w:val="20"/>
          <w:highlight w:val="none"/>
        </w:rPr>
      </w:pPr>
    </w:p>
    <w:p w14:paraId="6D93C717">
      <w:pPr>
        <w:spacing w:line="360" w:lineRule="auto"/>
        <w:ind w:right="420"/>
        <w:rPr>
          <w:rFonts w:hint="eastAsia" w:ascii="宋体" w:hAnsi="宋体" w:cs="宋体"/>
          <w:color w:val="auto"/>
          <w:sz w:val="24"/>
          <w:szCs w:val="20"/>
          <w:highlight w:val="none"/>
        </w:rPr>
      </w:pPr>
    </w:p>
    <w:p w14:paraId="7FE30661">
      <w:pPr>
        <w:spacing w:line="360" w:lineRule="auto"/>
        <w:ind w:right="42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lang w:bidi="ar"/>
        </w:rPr>
        <w:t xml:space="preserve"> </w:t>
      </w:r>
    </w:p>
    <w:p w14:paraId="1AED4D77">
      <w:pPr>
        <w:rPr>
          <w:rFonts w:hint="eastAsia" w:ascii="宋体" w:hAnsi="宋体" w:cs="宋体"/>
          <w:b/>
          <w:color w:val="auto"/>
          <w:kern w:val="0"/>
          <w:sz w:val="24"/>
          <w:highlight w:val="none"/>
        </w:rPr>
      </w:pPr>
    </w:p>
    <w:p w14:paraId="488D3B92">
      <w:pPr>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lang w:bidi="ar"/>
        </w:rPr>
        <w:br w:type="page"/>
      </w:r>
      <w:r>
        <w:rPr>
          <w:rFonts w:hint="eastAsia" w:ascii="宋体" w:hAnsi="宋体" w:cs="宋体"/>
          <w:b/>
          <w:color w:val="auto"/>
          <w:kern w:val="0"/>
          <w:sz w:val="28"/>
          <w:szCs w:val="28"/>
          <w:highlight w:val="none"/>
          <w:lang w:bidi="ar"/>
        </w:rPr>
        <w:t>商务文件目录</w:t>
      </w:r>
    </w:p>
    <w:p w14:paraId="3746B141">
      <w:pPr>
        <w:widowControl/>
        <w:adjustRightInd w:val="0"/>
        <w:spacing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一、无串标行为承诺函………………………………………………………（页码）</w:t>
      </w:r>
    </w:p>
    <w:p w14:paraId="4D87B99A">
      <w:pPr>
        <w:widowControl/>
        <w:adjustRightInd w:val="0"/>
        <w:spacing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二、法定代表人身份证明及法定代表人有效身份证正反面复印件………（页码）</w:t>
      </w:r>
    </w:p>
    <w:p w14:paraId="060092C8">
      <w:pPr>
        <w:widowControl/>
        <w:adjustRightInd w:val="0"/>
        <w:spacing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三、法定代表人授权委托书及委托代理人有效身份证正反面复印件（如有委托时）………………………………（页码）</w:t>
      </w:r>
    </w:p>
    <w:p w14:paraId="1F10911A">
      <w:pPr>
        <w:widowControl/>
        <w:adjustRightInd w:val="0"/>
        <w:spacing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lang w:val="zh-CN"/>
        </w:rPr>
        <w:t>商务条款偏离表………………………………</w:t>
      </w:r>
      <w:r>
        <w:rPr>
          <w:rFonts w:hint="eastAsia" w:ascii="宋体" w:hAnsi="宋体" w:cs="宋体"/>
          <w:color w:val="auto"/>
          <w:sz w:val="24"/>
          <w:highlight w:val="none"/>
        </w:rPr>
        <w:t>…………………………（页码）</w:t>
      </w:r>
    </w:p>
    <w:p w14:paraId="737D84F8">
      <w:pPr>
        <w:widowControl/>
        <w:adjustRightInd w:val="0"/>
        <w:spacing w:line="360" w:lineRule="auto"/>
        <w:ind w:left="2" w:firstLine="480" w:firstLineChars="200"/>
        <w:rPr>
          <w:rFonts w:hint="eastAsia" w:ascii="宋体" w:hAnsi="宋体" w:cs="宋体"/>
          <w:color w:val="auto"/>
          <w:sz w:val="24"/>
          <w:highlight w:val="none"/>
        </w:rPr>
      </w:pPr>
      <w:bookmarkStart w:id="355" w:name="OLE_LINK6"/>
      <w:bookmarkStart w:id="356" w:name="OLE_LINK7"/>
      <w:bookmarkStart w:id="357" w:name="OLE_LINK5"/>
      <w:r>
        <w:rPr>
          <w:rFonts w:hint="eastAsia" w:ascii="宋体" w:hAnsi="宋体" w:cs="宋体"/>
          <w:color w:val="auto"/>
          <w:sz w:val="24"/>
          <w:highlight w:val="none"/>
        </w:rPr>
        <w:t>五、投标人情况介绍</w:t>
      </w:r>
      <w:r>
        <w:rPr>
          <w:rFonts w:hint="eastAsia" w:ascii="宋体" w:hAnsi="宋体" w:cs="宋体"/>
          <w:color w:val="auto"/>
          <w:sz w:val="24"/>
          <w:highlight w:val="none"/>
          <w:lang w:val="zh-CN"/>
        </w:rPr>
        <w:t>………………………………</w:t>
      </w:r>
      <w:r>
        <w:rPr>
          <w:rFonts w:hint="eastAsia" w:ascii="宋体" w:hAnsi="宋体" w:cs="宋体"/>
          <w:color w:val="auto"/>
          <w:sz w:val="24"/>
          <w:highlight w:val="none"/>
        </w:rPr>
        <w:t>…………………………（页码）</w:t>
      </w:r>
    </w:p>
    <w:p w14:paraId="7DACCB05">
      <w:pPr>
        <w:widowControl/>
        <w:adjustRightInd w:val="0"/>
        <w:spacing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六、投标人类似业绩的证明文件（如有要求）</w:t>
      </w:r>
      <w:r>
        <w:rPr>
          <w:rFonts w:hint="eastAsia" w:ascii="宋体" w:hAnsi="宋体" w:cs="宋体"/>
          <w:color w:val="auto"/>
          <w:sz w:val="24"/>
          <w:highlight w:val="none"/>
          <w:lang w:val="zh-CN"/>
        </w:rPr>
        <w:t>……………………………</w:t>
      </w:r>
      <w:r>
        <w:rPr>
          <w:rFonts w:hint="eastAsia" w:ascii="宋体" w:hAnsi="宋体" w:cs="宋体"/>
          <w:color w:val="auto"/>
          <w:sz w:val="24"/>
          <w:highlight w:val="none"/>
        </w:rPr>
        <w:t>（页码）</w:t>
      </w:r>
      <w:bookmarkEnd w:id="355"/>
      <w:bookmarkEnd w:id="356"/>
    </w:p>
    <w:p w14:paraId="769DD8F0">
      <w:pPr>
        <w:widowControl/>
        <w:adjustRightInd w:val="0"/>
        <w:spacing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七、其他商务文件或说明</w:t>
      </w:r>
      <w:r>
        <w:rPr>
          <w:rFonts w:hint="eastAsia" w:ascii="宋体" w:hAnsi="宋体" w:cs="宋体"/>
          <w:color w:val="auto"/>
          <w:sz w:val="24"/>
          <w:highlight w:val="none"/>
          <w:lang w:val="zh-CN"/>
        </w:rPr>
        <w:t>……………………………………………………</w:t>
      </w:r>
      <w:r>
        <w:rPr>
          <w:rFonts w:hint="eastAsia" w:ascii="宋体" w:hAnsi="宋体" w:cs="宋体"/>
          <w:color w:val="auto"/>
          <w:sz w:val="24"/>
          <w:highlight w:val="none"/>
        </w:rPr>
        <w:t>（页码）</w:t>
      </w:r>
    </w:p>
    <w:bookmarkEnd w:id="357"/>
    <w:p w14:paraId="4401A966">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bidi="ar"/>
        </w:rPr>
        <w:t>注：以上目录是基本格式要求，各投标人可根据自身情况进一步向下增加内容或细化。</w:t>
      </w:r>
    </w:p>
    <w:p w14:paraId="4DFA1FCF">
      <w:pPr>
        <w:spacing w:line="360" w:lineRule="auto"/>
        <w:rPr>
          <w:rFonts w:hint="eastAsia" w:ascii="宋体" w:hAnsi="宋体" w:cs="宋体"/>
          <w:color w:val="auto"/>
          <w:highlight w:val="none"/>
          <w:lang w:bidi="ar"/>
        </w:rPr>
        <w:sectPr>
          <w:pgSz w:w="11906" w:h="16838"/>
          <w:pgMar w:top="1135" w:right="1135" w:bottom="1135" w:left="1135" w:header="720" w:footer="720" w:gutter="0"/>
          <w:pgNumType w:fmt="decimal"/>
          <w:cols w:space="720" w:num="1"/>
          <w:docGrid w:type="lines" w:linePitch="331" w:charSpace="0"/>
        </w:sectPr>
      </w:pPr>
    </w:p>
    <w:p w14:paraId="383D2418">
      <w:pPr>
        <w:snapToGrid w:val="0"/>
        <w:spacing w:before="156" w:beforeLines="50" w:after="50"/>
        <w:ind w:left="42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bidi="ar"/>
        </w:rPr>
        <w:t>一、无串标行为承诺函</w:t>
      </w:r>
    </w:p>
    <w:p w14:paraId="746E060B">
      <w:pPr>
        <w:snapToGrid w:val="0"/>
        <w:spacing w:before="156" w:beforeLines="50" w:after="50"/>
        <w:ind w:left="42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bidi="ar"/>
        </w:rPr>
        <w:t>投标人参加本项目无围标串标行为的承诺函</w:t>
      </w:r>
    </w:p>
    <w:p w14:paraId="18318D71">
      <w:pPr>
        <w:snapToGrid w:val="0"/>
        <w:spacing w:before="156" w:beforeLines="50" w:after="50"/>
        <w:rPr>
          <w:rFonts w:hint="eastAsia" w:ascii="宋体" w:hAnsi="宋体" w:cs="宋体"/>
          <w:b/>
          <w:color w:val="auto"/>
          <w:szCs w:val="21"/>
          <w:highlight w:val="none"/>
        </w:rPr>
      </w:pPr>
    </w:p>
    <w:p w14:paraId="3A1BA4BA">
      <w:pPr>
        <w:snapToGrid w:val="0"/>
        <w:spacing w:before="156" w:beforeLines="50" w:after="50"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一、我方承诺无下列相互串通投标的情形：</w:t>
      </w:r>
    </w:p>
    <w:p w14:paraId="625DF62A">
      <w:pPr>
        <w:snapToGrid w:val="0"/>
        <w:spacing w:before="156" w:beforeLines="50" w:after="50"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1.不同投标人的投标文件由同一单位或者个人编制；或者不同投标人报名的IP地址一致的；或者编制标书硬件设备CPU编号、硬盘编号、网卡地址一致的情况。</w:t>
      </w:r>
    </w:p>
    <w:p w14:paraId="48A99E34">
      <w:pPr>
        <w:snapToGrid w:val="0"/>
        <w:spacing w:before="156" w:beforeLines="50" w:after="50"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2.不同投标人委托同一单位或者个人办理投标事宜；</w:t>
      </w:r>
    </w:p>
    <w:p w14:paraId="5C91A820">
      <w:pPr>
        <w:snapToGrid w:val="0"/>
        <w:spacing w:before="156" w:beforeLines="50" w:after="50"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3.不同的投标人的投标文件载明的项目管理员为同一个人；</w:t>
      </w:r>
    </w:p>
    <w:p w14:paraId="567CD5B7">
      <w:pPr>
        <w:snapToGrid w:val="0"/>
        <w:spacing w:before="156" w:beforeLines="50" w:after="50"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4.不同投标人的投标文件异常一致或者投标报价呈规律性差异；</w:t>
      </w:r>
    </w:p>
    <w:p w14:paraId="49ED7121">
      <w:pPr>
        <w:snapToGrid w:val="0"/>
        <w:spacing w:before="156" w:beforeLines="50" w:after="50"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5.不同投标人的投标文件相互混装；</w:t>
      </w:r>
    </w:p>
    <w:p w14:paraId="6138C500">
      <w:pPr>
        <w:snapToGrid w:val="0"/>
        <w:spacing w:before="156" w:beforeLines="50" w:after="50"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6.不同投标人的投标保证金从同一单位或者个人账户转出。</w:t>
      </w:r>
    </w:p>
    <w:p w14:paraId="23495ADC">
      <w:pPr>
        <w:snapToGrid w:val="0"/>
        <w:spacing w:before="156" w:beforeLines="50" w:after="50" w:line="360" w:lineRule="auto"/>
        <w:jc w:val="left"/>
        <w:rPr>
          <w:rFonts w:hint="eastAsia" w:ascii="宋体" w:hAnsi="宋体" w:cs="宋体"/>
          <w:color w:val="auto"/>
          <w:sz w:val="24"/>
          <w:szCs w:val="24"/>
          <w:highlight w:val="none"/>
        </w:rPr>
      </w:pPr>
      <w:r>
        <w:rPr>
          <w:rFonts w:hint="eastAsia" w:ascii="宋体" w:hAnsi="宋体" w:cs="宋体"/>
          <w:b/>
          <w:color w:val="auto"/>
          <w:sz w:val="24"/>
          <w:szCs w:val="24"/>
          <w:highlight w:val="none"/>
          <w:lang w:bidi="ar"/>
        </w:rPr>
        <w:t>二、我方承诺无下列恶意串通的情形：</w:t>
      </w:r>
    </w:p>
    <w:p w14:paraId="3BEC82C6">
      <w:pPr>
        <w:snapToGrid w:val="0"/>
        <w:spacing w:before="156" w:beforeLines="50" w:after="50"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1.投标人直接或者间接从采购人或者采购代理机构处获得其他投标人的相关信息并修改其投标文件或者投标文件；</w:t>
      </w:r>
    </w:p>
    <w:p w14:paraId="234D2475">
      <w:pPr>
        <w:snapToGrid w:val="0"/>
        <w:spacing w:before="156" w:beforeLines="50" w:after="50"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2.投标人按照采购人或者采购代理机构的授意撤换、修改投标文件或者投标文件；</w:t>
      </w:r>
    </w:p>
    <w:p w14:paraId="3A1857E3">
      <w:pPr>
        <w:snapToGrid w:val="0"/>
        <w:spacing w:before="156" w:beforeLines="50" w:after="50"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3.投标人之间协商报价、技术方案等投标文件或者投标文件的实质性内容；</w:t>
      </w:r>
    </w:p>
    <w:p w14:paraId="2EADAF2B">
      <w:pPr>
        <w:snapToGrid w:val="0"/>
        <w:spacing w:before="156" w:beforeLines="50" w:after="50"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4.属于同一集团、协会、商会等组织成员的投标人按照该组织要求协同参加政府采购活动；</w:t>
      </w:r>
    </w:p>
    <w:p w14:paraId="7AD95352">
      <w:pPr>
        <w:snapToGrid w:val="0"/>
        <w:spacing w:before="156" w:beforeLines="50" w:after="50"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5.投标人之间事先约定一致抬高或者压低投标报价，或者在招标项目中事先约定轮流以高价位或者低价位中标，或者事先约定由某一特定投标人中标，然后再参加投标；</w:t>
      </w:r>
    </w:p>
    <w:p w14:paraId="7A6EF32D">
      <w:pPr>
        <w:snapToGrid w:val="0"/>
        <w:spacing w:before="156" w:beforeLines="50" w:after="50"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6.投标人之间商定部分投标人放弃参加政府采购活动或者放弃中标；</w:t>
      </w:r>
    </w:p>
    <w:p w14:paraId="1A6ED01E">
      <w:pPr>
        <w:snapToGrid w:val="0"/>
        <w:spacing w:before="156" w:beforeLines="50" w:after="50" w:line="360" w:lineRule="auto"/>
        <w:ind w:firstLine="470" w:firstLineChars="19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7.投标人与采购人或者采购代理机构之间、投标人相互之间，为谋求特定投标人中标或者排斥其他投标人的其他串通行为。</w:t>
      </w:r>
    </w:p>
    <w:p w14:paraId="29D6E090">
      <w:pPr>
        <w:snapToGrid w:val="0"/>
        <w:spacing w:before="156" w:beforeLines="50" w:after="50" w:line="360" w:lineRule="auto"/>
        <w:ind w:firstLine="472" w:firstLineChars="196"/>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以上情形一经核查属实，接受政府采购监管部门对我方认定存在围标串标行为，我方愿意承担一切后果，并不再寻求任何旨在减轻或者免除法律责任的辩解。</w:t>
      </w:r>
    </w:p>
    <w:p w14:paraId="167216EB">
      <w:pPr>
        <w:snapToGrid w:val="0"/>
        <w:spacing w:line="360" w:lineRule="auto"/>
        <w:ind w:firstLine="5640" w:firstLineChars="235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 xml:space="preserve">  </w:t>
      </w:r>
      <w:r>
        <w:rPr>
          <w:rFonts w:hint="eastAsia" w:ascii="宋体" w:hAnsi="宋体" w:cs="宋体"/>
          <w:color w:val="auto"/>
          <w:kern w:val="0"/>
          <w:sz w:val="24"/>
          <w:szCs w:val="24"/>
          <w:highlight w:val="none"/>
          <w:lang w:val="zh-CN" w:bidi="ar"/>
        </w:rPr>
        <w:t>投标人名称(电子签章)：</w:t>
      </w:r>
    </w:p>
    <w:p w14:paraId="668C3106">
      <w:pPr>
        <w:snapToGrid w:val="0"/>
        <w:spacing w:line="360" w:lineRule="auto"/>
        <w:ind w:firstLine="5160" w:firstLineChars="215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bidi="ar"/>
        </w:rPr>
        <w:t>日期</w:t>
      </w:r>
      <w:r>
        <w:rPr>
          <w:rFonts w:hint="eastAsia" w:ascii="宋体" w:hAnsi="宋体" w:cs="宋体"/>
          <w:color w:val="auto"/>
          <w:kern w:val="0"/>
          <w:sz w:val="24"/>
          <w:szCs w:val="24"/>
          <w:highlight w:val="none"/>
          <w:lang w:bidi="ar"/>
        </w:rPr>
        <w:t xml:space="preserve">：  年  </w:t>
      </w:r>
      <w:r>
        <w:rPr>
          <w:rFonts w:hint="eastAsia" w:ascii="宋体" w:hAnsi="宋体" w:cs="宋体"/>
          <w:color w:val="auto"/>
          <w:kern w:val="0"/>
          <w:sz w:val="24"/>
          <w:szCs w:val="24"/>
          <w:highlight w:val="none"/>
          <w:lang w:val="zh-CN" w:bidi="ar"/>
        </w:rPr>
        <w:t>月</w:t>
      </w:r>
      <w:r>
        <w:rPr>
          <w:rFonts w:hint="eastAsia"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val="zh-CN" w:bidi="ar"/>
        </w:rPr>
        <w:t>日</w:t>
      </w:r>
    </w:p>
    <w:p w14:paraId="356505DF">
      <w:pPr>
        <w:widowControl/>
        <w:snapToGrid w:val="0"/>
        <w:spacing w:before="295" w:after="295" w:line="360" w:lineRule="auto"/>
        <w:jc w:val="center"/>
        <w:rPr>
          <w:rFonts w:hint="eastAsia" w:ascii="宋体" w:hAnsi="宋体" w:cs="宋体"/>
          <w:b/>
          <w:color w:val="auto"/>
          <w:sz w:val="24"/>
          <w:szCs w:val="20"/>
          <w:highlight w:val="none"/>
        </w:rPr>
      </w:pPr>
      <w:r>
        <w:rPr>
          <w:rFonts w:hint="eastAsia" w:ascii="宋体" w:hAnsi="宋体" w:cs="宋体"/>
          <w:b/>
          <w:bCs/>
          <w:color w:val="auto"/>
          <w:sz w:val="30"/>
          <w:szCs w:val="30"/>
          <w:highlight w:val="none"/>
        </w:rPr>
        <w:t>二、法定代表人身份证明及法定代表人有效身份证正反面复印件</w:t>
      </w:r>
    </w:p>
    <w:p w14:paraId="36B45659">
      <w:pPr>
        <w:spacing w:before="312" w:beforeLines="100" w:after="156" w:afterLines="50"/>
        <w:ind w:left="540"/>
        <w:jc w:val="center"/>
        <w:rPr>
          <w:rFonts w:hint="eastAsia" w:ascii="宋体" w:hAnsi="宋体" w:cs="宋体"/>
          <w:b/>
          <w:color w:val="auto"/>
          <w:sz w:val="32"/>
          <w:szCs w:val="32"/>
          <w:highlight w:val="none"/>
        </w:rPr>
      </w:pPr>
    </w:p>
    <w:p w14:paraId="43E5BCEB">
      <w:pPr>
        <w:spacing w:before="312" w:beforeLines="100" w:after="156" w:afterLines="50"/>
        <w:ind w:left="540"/>
        <w:jc w:val="center"/>
        <w:rPr>
          <w:rFonts w:hint="eastAsia" w:ascii="宋体" w:hAnsi="宋体" w:cs="宋体"/>
          <w:color w:val="auto"/>
          <w:sz w:val="32"/>
          <w:szCs w:val="32"/>
          <w:highlight w:val="none"/>
        </w:rPr>
      </w:pPr>
      <w:r>
        <w:rPr>
          <w:rFonts w:hint="eastAsia" w:ascii="宋体" w:hAnsi="宋体" w:cs="宋体"/>
          <w:b/>
          <w:color w:val="auto"/>
          <w:sz w:val="32"/>
          <w:szCs w:val="32"/>
          <w:highlight w:val="none"/>
          <w:lang w:bidi="ar"/>
        </w:rPr>
        <w:t>法定代表人身份证明</w:t>
      </w:r>
    </w:p>
    <w:p w14:paraId="4290DB38">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lang w:bidi="ar"/>
        </w:rPr>
        <w:t>投 标 人：</w:t>
      </w:r>
      <w:r>
        <w:rPr>
          <w:rFonts w:hint="eastAsia" w:ascii="宋体" w:hAnsi="宋体" w:cs="宋体"/>
          <w:color w:val="auto"/>
          <w:sz w:val="24"/>
          <w:highlight w:val="none"/>
          <w:u w:val="single"/>
          <w:lang w:bidi="ar"/>
        </w:rPr>
        <w:t xml:space="preserve">                                                        </w:t>
      </w:r>
    </w:p>
    <w:p w14:paraId="448B178A">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lang w:bidi="ar"/>
        </w:rPr>
        <w:t>地    址：</w:t>
      </w:r>
      <w:r>
        <w:rPr>
          <w:rFonts w:hint="eastAsia" w:ascii="宋体" w:hAnsi="宋体" w:cs="宋体"/>
          <w:color w:val="auto"/>
          <w:sz w:val="24"/>
          <w:highlight w:val="none"/>
          <w:u w:val="single"/>
          <w:lang w:bidi="ar"/>
        </w:rPr>
        <w:t xml:space="preserve">                                                        </w:t>
      </w:r>
    </w:p>
    <w:p w14:paraId="59257A96">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lang w:bidi="ar"/>
        </w:rPr>
        <w:t>姓    名：</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性      别：</w:t>
      </w:r>
      <w:r>
        <w:rPr>
          <w:rFonts w:hint="eastAsia" w:ascii="宋体" w:hAnsi="宋体" w:cs="宋体"/>
          <w:color w:val="auto"/>
          <w:sz w:val="24"/>
          <w:highlight w:val="none"/>
          <w:u w:val="single"/>
          <w:lang w:bidi="ar"/>
        </w:rPr>
        <w:t xml:space="preserve">                </w:t>
      </w:r>
    </w:p>
    <w:p w14:paraId="5E2C69D1">
      <w:pPr>
        <w:spacing w:line="500" w:lineRule="exact"/>
        <w:ind w:left="540"/>
        <w:rPr>
          <w:rFonts w:hint="eastAsia" w:ascii="宋体" w:hAnsi="宋体" w:cs="宋体"/>
          <w:color w:val="auto"/>
          <w:sz w:val="24"/>
          <w:highlight w:val="none"/>
          <w:u w:val="single"/>
        </w:rPr>
      </w:pPr>
      <w:r>
        <w:rPr>
          <w:rFonts w:hint="eastAsia" w:ascii="宋体" w:hAnsi="宋体" w:cs="宋体"/>
          <w:color w:val="auto"/>
          <w:sz w:val="24"/>
          <w:highlight w:val="none"/>
          <w:lang w:bidi="ar"/>
        </w:rPr>
        <w:t>年    龄：</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职      务：</w:t>
      </w:r>
      <w:r>
        <w:rPr>
          <w:rFonts w:hint="eastAsia" w:ascii="宋体" w:hAnsi="宋体" w:cs="宋体"/>
          <w:color w:val="auto"/>
          <w:sz w:val="24"/>
          <w:highlight w:val="none"/>
          <w:u w:val="single"/>
          <w:lang w:bidi="ar"/>
        </w:rPr>
        <w:t xml:space="preserve">                </w:t>
      </w:r>
    </w:p>
    <w:p w14:paraId="52894695">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lang w:bidi="ar"/>
        </w:rPr>
        <w:t>身份证号码：</w:t>
      </w:r>
      <w:r>
        <w:rPr>
          <w:rFonts w:hint="eastAsia" w:ascii="宋体" w:hAnsi="宋体" w:cs="宋体"/>
          <w:color w:val="auto"/>
          <w:sz w:val="24"/>
          <w:highlight w:val="none"/>
          <w:u w:val="single"/>
          <w:lang w:bidi="ar"/>
        </w:rPr>
        <w:t xml:space="preserve">                                 </w:t>
      </w:r>
    </w:p>
    <w:p w14:paraId="3B8A909C">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lang w:bidi="ar"/>
        </w:rPr>
        <w:t>系</w:t>
      </w:r>
      <w:r>
        <w:rPr>
          <w:rFonts w:hint="eastAsia" w:ascii="宋体" w:hAnsi="宋体" w:cs="宋体"/>
          <w:color w:val="auto"/>
          <w:sz w:val="24"/>
          <w:highlight w:val="none"/>
          <w:u w:val="single"/>
          <w:lang w:bidi="ar"/>
        </w:rPr>
        <w:t xml:space="preserve">            （投标人名称）              </w:t>
      </w:r>
      <w:r>
        <w:rPr>
          <w:rFonts w:hint="eastAsia" w:ascii="宋体" w:hAnsi="宋体" w:cs="宋体"/>
          <w:color w:val="auto"/>
          <w:sz w:val="24"/>
          <w:highlight w:val="none"/>
          <w:lang w:bidi="ar"/>
        </w:rPr>
        <w:t>的法定代表人。</w:t>
      </w:r>
    </w:p>
    <w:p w14:paraId="1A5B4111">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lang w:bidi="ar"/>
        </w:rPr>
        <w:t>特此证明。</w:t>
      </w:r>
    </w:p>
    <w:p w14:paraId="6FA8C40D">
      <w:pPr>
        <w:spacing w:line="500" w:lineRule="exact"/>
        <w:ind w:left="540"/>
        <w:rPr>
          <w:rFonts w:hint="eastAsia" w:ascii="宋体" w:hAnsi="宋体" w:cs="宋体"/>
          <w:color w:val="auto"/>
          <w:sz w:val="24"/>
          <w:highlight w:val="none"/>
        </w:rPr>
      </w:pPr>
    </w:p>
    <w:p w14:paraId="0A59D941">
      <w:pPr>
        <w:spacing w:line="500" w:lineRule="exact"/>
        <w:ind w:left="540"/>
        <w:rPr>
          <w:rFonts w:hint="eastAsia" w:ascii="宋体" w:hAnsi="宋体" w:cs="宋体"/>
          <w:color w:val="auto"/>
          <w:sz w:val="24"/>
          <w:highlight w:val="none"/>
        </w:rPr>
      </w:pPr>
    </w:p>
    <w:p w14:paraId="142AEFD0">
      <w:pPr>
        <w:spacing w:line="500" w:lineRule="exact"/>
        <w:ind w:left="540"/>
        <w:rPr>
          <w:rFonts w:hint="eastAsia" w:ascii="宋体" w:hAnsi="宋体" w:cs="宋体"/>
          <w:color w:val="auto"/>
          <w:sz w:val="24"/>
          <w:highlight w:val="none"/>
        </w:rPr>
      </w:pPr>
      <w:r>
        <w:rPr>
          <w:rFonts w:hint="eastAsia" w:ascii="宋体" w:hAnsi="宋体" w:cs="宋体"/>
          <w:color w:val="auto"/>
          <w:sz w:val="24"/>
          <w:highlight w:val="none"/>
          <w:lang w:bidi="ar"/>
        </w:rPr>
        <w:t>附件：法定代表人有效身份证正反面复印件</w:t>
      </w:r>
    </w:p>
    <w:p w14:paraId="672DF4A7">
      <w:pPr>
        <w:spacing w:line="500" w:lineRule="exact"/>
        <w:ind w:left="540"/>
        <w:rPr>
          <w:rFonts w:hint="eastAsia" w:ascii="宋体" w:hAnsi="宋体" w:cs="宋体"/>
          <w:color w:val="auto"/>
          <w:sz w:val="24"/>
          <w:highlight w:val="none"/>
        </w:rPr>
      </w:pPr>
    </w:p>
    <w:p w14:paraId="27AEADC9">
      <w:pPr>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lang w:bidi="ar"/>
        </w:rPr>
        <w:t xml:space="preserve">  </w:t>
      </w:r>
      <w:r>
        <w:rPr>
          <w:rFonts w:hint="eastAsia" w:ascii="宋体" w:hAnsi="宋体" w:cs="宋体"/>
          <w:color w:val="auto"/>
          <w:kern w:val="0"/>
          <w:sz w:val="24"/>
          <w:highlight w:val="none"/>
          <w:lang w:val="zh-CN" w:bidi="ar"/>
        </w:rPr>
        <w:t>投标人名称(电子签章)：</w:t>
      </w:r>
    </w:p>
    <w:p w14:paraId="17E489B2">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2CE49A39">
      <w:pPr>
        <w:snapToGrid w:val="0"/>
        <w:spacing w:before="156" w:beforeLines="50" w:after="50"/>
        <w:jc w:val="center"/>
        <w:rPr>
          <w:rFonts w:hint="eastAsia" w:ascii="宋体" w:hAnsi="宋体" w:cs="宋体"/>
          <w:b/>
          <w:color w:val="auto"/>
          <w:sz w:val="24"/>
          <w:highlight w:val="none"/>
        </w:rPr>
      </w:pPr>
    </w:p>
    <w:p w14:paraId="21D91641">
      <w:pPr>
        <w:snapToGrid w:val="0"/>
        <w:spacing w:before="156" w:beforeLines="50" w:after="50"/>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lang w:bidi="ar"/>
        </w:rPr>
        <w:t>注：自然人投标的无需提供</w:t>
      </w:r>
    </w:p>
    <w:p w14:paraId="6800E865">
      <w:pPr>
        <w:snapToGrid w:val="0"/>
        <w:spacing w:before="156" w:beforeLines="50" w:after="50"/>
        <w:ind w:firstLine="600" w:firstLineChars="250"/>
        <w:jc w:val="left"/>
        <w:rPr>
          <w:rFonts w:hint="eastAsia" w:ascii="宋体" w:hAnsi="宋体" w:cs="宋体"/>
          <w:color w:val="auto"/>
          <w:sz w:val="24"/>
          <w:highlight w:val="none"/>
        </w:rPr>
      </w:pPr>
    </w:p>
    <w:p w14:paraId="5A0E5DD4">
      <w:pPr>
        <w:snapToGrid w:val="0"/>
        <w:spacing w:before="156" w:beforeLines="50" w:after="50"/>
        <w:ind w:firstLine="602" w:firstLineChars="250"/>
        <w:jc w:val="left"/>
        <w:rPr>
          <w:rFonts w:hint="eastAsia" w:ascii="宋体" w:hAnsi="宋体" w:cs="宋体"/>
          <w:b/>
          <w:color w:val="auto"/>
          <w:sz w:val="24"/>
          <w:szCs w:val="20"/>
          <w:highlight w:val="none"/>
        </w:rPr>
      </w:pPr>
    </w:p>
    <w:tbl>
      <w:tblPr>
        <w:tblStyle w:val="39"/>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969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12001199">
            <w:pPr>
              <w:spacing w:line="360" w:lineRule="auto"/>
              <w:rPr>
                <w:rFonts w:hint="eastAsia" w:ascii="宋体" w:hAnsi="宋体" w:cs="宋体"/>
                <w:b/>
                <w:color w:val="auto"/>
                <w:sz w:val="24"/>
                <w:highlight w:val="none"/>
              </w:rPr>
            </w:pPr>
          </w:p>
          <w:p w14:paraId="36EDC6AD">
            <w:pPr>
              <w:spacing w:line="360" w:lineRule="auto"/>
              <w:rPr>
                <w:rFonts w:hint="eastAsia" w:ascii="宋体" w:hAnsi="宋体" w:cs="宋体"/>
                <w:b/>
                <w:color w:val="auto"/>
                <w:sz w:val="24"/>
                <w:highlight w:val="none"/>
              </w:rPr>
            </w:pPr>
            <w:r>
              <w:rPr>
                <w:rFonts w:hint="eastAsia" w:ascii="宋体" w:hAnsi="宋体" w:cs="宋体"/>
                <w:b/>
                <w:color w:val="auto"/>
                <w:sz w:val="24"/>
                <w:highlight w:val="none"/>
                <w:lang w:bidi="ar"/>
              </w:rPr>
              <w:t>法定代表身份证复印件</w:t>
            </w:r>
            <w:r>
              <w:rPr>
                <w:rFonts w:hint="eastAsia" w:ascii="宋体" w:hAnsi="宋体" w:cs="宋体"/>
                <w:b/>
                <w:color w:val="auto"/>
                <w:sz w:val="24"/>
                <w:highlight w:val="none"/>
                <w:lang w:eastAsia="zh-CN" w:bidi="ar"/>
              </w:rPr>
              <w:t>粘贴</w:t>
            </w:r>
            <w:r>
              <w:rPr>
                <w:rFonts w:hint="eastAsia" w:ascii="宋体" w:hAnsi="宋体" w:cs="宋体"/>
                <w:b/>
                <w:color w:val="auto"/>
                <w:sz w:val="24"/>
                <w:highlight w:val="none"/>
                <w:lang w:bidi="ar"/>
              </w:rPr>
              <w:t>处（正、反面）</w:t>
            </w:r>
          </w:p>
        </w:tc>
      </w:tr>
    </w:tbl>
    <w:p w14:paraId="437718E5">
      <w:pPr>
        <w:widowControl/>
        <w:snapToGrid w:val="0"/>
        <w:spacing w:before="295" w:after="295" w:line="360" w:lineRule="auto"/>
        <w:jc w:val="center"/>
        <w:rPr>
          <w:rFonts w:hint="eastAsia" w:ascii="宋体" w:hAnsi="宋体" w:cs="宋体"/>
          <w:b/>
          <w:color w:val="auto"/>
          <w:sz w:val="24"/>
          <w:szCs w:val="20"/>
          <w:highlight w:val="none"/>
        </w:rPr>
      </w:pPr>
      <w:r>
        <w:rPr>
          <w:rFonts w:hint="eastAsia" w:ascii="宋体" w:hAnsi="宋体" w:cs="宋体"/>
          <w:b/>
          <w:color w:val="auto"/>
          <w:sz w:val="24"/>
          <w:szCs w:val="20"/>
          <w:highlight w:val="none"/>
        </w:rPr>
        <w:t>附件：</w:t>
      </w:r>
      <w:r>
        <w:rPr>
          <w:rFonts w:hint="eastAsia" w:ascii="宋体" w:hAnsi="宋体" w:cs="宋体"/>
          <w:b/>
          <w:color w:val="auto"/>
          <w:sz w:val="24"/>
          <w:szCs w:val="20"/>
          <w:highlight w:val="none"/>
        </w:rPr>
        <w:br w:type="page"/>
      </w:r>
      <w:r>
        <w:rPr>
          <w:rFonts w:hint="eastAsia" w:ascii="宋体" w:hAnsi="宋体" w:cs="宋体"/>
          <w:b/>
          <w:bCs/>
          <w:color w:val="auto"/>
          <w:sz w:val="30"/>
          <w:szCs w:val="30"/>
          <w:highlight w:val="none"/>
        </w:rPr>
        <w:t>三、法定代表人授权委托书及委托代理人有效身份证正反面复印件（如有委托时）</w:t>
      </w:r>
    </w:p>
    <w:p w14:paraId="512C6B32">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授权委托书（非联合体投标格式）</w:t>
      </w:r>
    </w:p>
    <w:p w14:paraId="6BBB8D5A">
      <w:pPr>
        <w:spacing w:line="52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266B4214">
      <w:pPr>
        <w:spacing w:line="520" w:lineRule="exact"/>
        <w:rPr>
          <w:rFonts w:hint="eastAsia" w:ascii="宋体" w:hAnsi="宋体" w:cs="宋体"/>
          <w:color w:val="auto"/>
          <w:sz w:val="32"/>
          <w:szCs w:val="32"/>
          <w:highlight w:val="none"/>
        </w:rPr>
      </w:pPr>
    </w:p>
    <w:p w14:paraId="613CDEBE">
      <w:pPr>
        <w:spacing w:line="360" w:lineRule="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w:t>
      </w:r>
      <w:r>
        <w:rPr>
          <w:rFonts w:hint="eastAsia" w:ascii="宋体" w:hAnsi="宋体" w:cs="宋体"/>
          <w:color w:val="auto"/>
          <w:sz w:val="24"/>
          <w:highlight w:val="none"/>
        </w:rPr>
        <w:t>：</w:t>
      </w:r>
    </w:p>
    <w:p w14:paraId="4C3FBDA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项目的投标活动，并代表我方全权办理针对上述项目的所有采购程序和环节的具体事务和签署相关文件。</w:t>
      </w:r>
    </w:p>
    <w:p w14:paraId="169D675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221F4AE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EA58E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79F3F97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附：法定代表人身份证明书及委托代理人有效身份证正反面复印件</w:t>
      </w:r>
    </w:p>
    <w:p w14:paraId="2558A4CA">
      <w:pPr>
        <w:spacing w:line="360" w:lineRule="auto"/>
        <w:rPr>
          <w:rFonts w:hint="eastAsia" w:ascii="宋体" w:hAnsi="宋体" w:cs="宋体"/>
          <w:color w:val="auto"/>
          <w:sz w:val="24"/>
          <w:highlight w:val="none"/>
        </w:rPr>
      </w:pPr>
    </w:p>
    <w:p w14:paraId="7B55E19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51D9A18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1EED65C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C44C51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30C1DF87">
      <w:pPr>
        <w:spacing w:line="360" w:lineRule="auto"/>
        <w:jc w:val="center"/>
        <w:rPr>
          <w:rFonts w:hint="eastAsia"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B1D239E">
      <w:pPr>
        <w:spacing w:line="360" w:lineRule="auto"/>
        <w:rPr>
          <w:rFonts w:hint="eastAsia" w:ascii="宋体" w:hAnsi="宋体" w:cs="宋体"/>
          <w:color w:val="auto"/>
          <w:sz w:val="24"/>
          <w:highlight w:val="none"/>
        </w:rPr>
      </w:pPr>
    </w:p>
    <w:p w14:paraId="2DB1C4C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否则其投标文件按无效响应处理。</w:t>
      </w:r>
    </w:p>
    <w:p w14:paraId="1EB22BF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5288BF8D">
      <w:pPr>
        <w:spacing w:line="360" w:lineRule="auto"/>
        <w:ind w:firstLine="480" w:firstLineChars="200"/>
        <w:jc w:val="left"/>
        <w:rPr>
          <w:rFonts w:hint="eastAsia" w:ascii="宋体" w:hAnsi="宋体" w:cs="宋体"/>
          <w:color w:val="auto"/>
          <w:szCs w:val="21"/>
          <w:highlight w:val="none"/>
        </w:rPr>
      </w:pPr>
      <w:r>
        <w:rPr>
          <w:rFonts w:hint="eastAsia" w:ascii="宋体" w:hAnsi="宋体" w:cs="宋体"/>
          <w:color w:val="auto"/>
          <w:sz w:val="24"/>
          <w:highlight w:val="none"/>
        </w:rPr>
        <w:t>3. 法人、其他组织投标时“我方”是指“我单位”，自然人投标时“我方”是指“本人”。</w:t>
      </w:r>
    </w:p>
    <w:p w14:paraId="0A3C3B1F">
      <w:pPr>
        <w:spacing w:line="360" w:lineRule="auto"/>
        <w:rPr>
          <w:rFonts w:hint="eastAsia" w:ascii="宋体" w:hAnsi="宋体" w:cs="宋体"/>
          <w:b/>
          <w:color w:val="auto"/>
          <w:sz w:val="24"/>
          <w:highlight w:val="none"/>
        </w:rPr>
      </w:pPr>
      <w:r>
        <w:rPr>
          <w:rFonts w:hint="eastAsia" w:ascii="宋体" w:hAnsi="宋体" w:cs="宋体"/>
          <w:b/>
          <w:color w:val="auto"/>
          <w:sz w:val="24"/>
          <w:highlight w:val="none"/>
          <w:lang w:bidi="ar"/>
        </w:rPr>
        <w:t>附件：</w:t>
      </w:r>
    </w:p>
    <w:tbl>
      <w:tblPr>
        <w:tblStyle w:val="39"/>
        <w:tblpPr w:leftFromText="180" w:rightFromText="180" w:vertAnchor="text" w:horzAnchor="margin" w:tblpY="263"/>
        <w:tblW w:w="7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5"/>
      </w:tblGrid>
      <w:tr w14:paraId="3975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0DAD8D25">
            <w:pPr>
              <w:spacing w:line="360" w:lineRule="auto"/>
              <w:rPr>
                <w:rFonts w:hint="eastAsia" w:ascii="宋体" w:hAnsi="宋体" w:cs="宋体"/>
                <w:b/>
                <w:color w:val="auto"/>
                <w:sz w:val="24"/>
                <w:highlight w:val="none"/>
              </w:rPr>
            </w:pPr>
          </w:p>
          <w:p w14:paraId="57741090">
            <w:pPr>
              <w:spacing w:line="360" w:lineRule="auto"/>
              <w:rPr>
                <w:rFonts w:hint="eastAsia" w:ascii="宋体" w:hAnsi="宋体" w:cs="宋体"/>
                <w:b/>
                <w:color w:val="auto"/>
                <w:sz w:val="24"/>
                <w:highlight w:val="none"/>
              </w:rPr>
            </w:pPr>
            <w:r>
              <w:rPr>
                <w:rFonts w:hint="eastAsia" w:ascii="宋体" w:hAnsi="宋体" w:cs="宋体"/>
                <w:b/>
                <w:color w:val="auto"/>
                <w:sz w:val="24"/>
                <w:highlight w:val="none"/>
                <w:lang w:bidi="ar"/>
              </w:rPr>
              <w:t>全权代表身份证复印件</w:t>
            </w:r>
            <w:r>
              <w:rPr>
                <w:rFonts w:hint="eastAsia" w:ascii="宋体" w:hAnsi="宋体" w:cs="宋体"/>
                <w:b/>
                <w:color w:val="auto"/>
                <w:sz w:val="24"/>
                <w:highlight w:val="none"/>
                <w:lang w:eastAsia="zh-CN" w:bidi="ar"/>
              </w:rPr>
              <w:t>粘贴</w:t>
            </w:r>
            <w:r>
              <w:rPr>
                <w:rFonts w:hint="eastAsia" w:ascii="宋体" w:hAnsi="宋体" w:cs="宋体"/>
                <w:b/>
                <w:color w:val="auto"/>
                <w:sz w:val="24"/>
                <w:highlight w:val="none"/>
                <w:lang w:bidi="ar"/>
              </w:rPr>
              <w:t>处（正、反面）</w:t>
            </w:r>
          </w:p>
        </w:tc>
      </w:tr>
    </w:tbl>
    <w:p w14:paraId="1BE485BC">
      <w:pPr>
        <w:spacing w:line="500" w:lineRule="exact"/>
        <w:jc w:val="center"/>
        <w:rPr>
          <w:rFonts w:hint="eastAsia"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授权委托书（联合体投标格式）</w:t>
      </w:r>
    </w:p>
    <w:p w14:paraId="079F3020">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33824AAD">
      <w:pPr>
        <w:spacing w:line="500" w:lineRule="exact"/>
        <w:jc w:val="center"/>
        <w:rPr>
          <w:rFonts w:hint="eastAsia" w:ascii="宋体" w:hAnsi="宋体" w:cs="宋体"/>
          <w:color w:val="auto"/>
          <w:sz w:val="44"/>
          <w:szCs w:val="44"/>
          <w:highlight w:val="none"/>
        </w:rPr>
      </w:pPr>
    </w:p>
    <w:p w14:paraId="45BE6F61">
      <w:pPr>
        <w:spacing w:line="500" w:lineRule="exact"/>
        <w:jc w:val="center"/>
        <w:rPr>
          <w:rFonts w:hint="eastAsia" w:ascii="宋体" w:hAnsi="宋体" w:cs="宋体"/>
          <w:color w:val="auto"/>
          <w:sz w:val="32"/>
          <w:szCs w:val="32"/>
          <w:highlight w:val="none"/>
        </w:rPr>
      </w:pPr>
    </w:p>
    <w:p w14:paraId="6347F73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（联合体其他成员名称）签订的《联合体投标协议书》的内容，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1D7C86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1726857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F50822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2F4173F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523220C">
      <w:pPr>
        <w:spacing w:line="360" w:lineRule="auto"/>
        <w:ind w:firstLine="1560" w:firstLineChars="650"/>
        <w:rPr>
          <w:rFonts w:hint="eastAsia" w:ascii="宋体" w:hAnsi="宋体" w:cs="宋体"/>
          <w:color w:val="auto"/>
          <w:sz w:val="24"/>
          <w:highlight w:val="none"/>
        </w:rPr>
      </w:pPr>
      <w:r>
        <w:rPr>
          <w:rFonts w:hint="eastAsia" w:ascii="宋体" w:hAnsi="宋体" w:cs="宋体"/>
          <w:color w:val="auto"/>
          <w:sz w:val="24"/>
          <w:highlight w:val="none"/>
        </w:rPr>
        <w:t>牵头人法定代表人（签字或盖章）：</w:t>
      </w:r>
    </w:p>
    <w:p w14:paraId="6ACA5DC3">
      <w:pPr>
        <w:spacing w:line="360" w:lineRule="auto"/>
        <w:ind w:firstLine="3120" w:firstLineChars="1300"/>
        <w:rPr>
          <w:rFonts w:hint="eastAsia" w:ascii="宋体" w:hAnsi="宋体" w:cs="宋体"/>
          <w:color w:val="auto"/>
          <w:sz w:val="24"/>
          <w:highlight w:val="none"/>
        </w:rPr>
      </w:pPr>
      <w:r>
        <w:rPr>
          <w:rFonts w:hint="eastAsia" w:ascii="宋体" w:hAnsi="宋体" w:cs="宋体"/>
          <w:color w:val="auto"/>
          <w:sz w:val="24"/>
          <w:highlight w:val="none"/>
        </w:rPr>
        <w:t>牵头人（电子签章）：</w:t>
      </w:r>
    </w:p>
    <w:p w14:paraId="3B8DC30E">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5A83E3CB">
      <w:pPr>
        <w:spacing w:line="360" w:lineRule="auto"/>
        <w:rPr>
          <w:rFonts w:hint="eastAsia" w:ascii="宋体" w:hAnsi="宋体" w:cs="宋体"/>
          <w:color w:val="auto"/>
          <w:sz w:val="24"/>
          <w:highlight w:val="none"/>
        </w:rPr>
      </w:pPr>
    </w:p>
    <w:p w14:paraId="66318196">
      <w:pPr>
        <w:spacing w:line="360" w:lineRule="auto"/>
        <w:ind w:firstLine="3120" w:firstLineChars="1300"/>
        <w:rPr>
          <w:rFonts w:hint="eastAsia" w:ascii="宋体" w:hAnsi="宋体" w:cs="宋体"/>
          <w:color w:val="auto"/>
          <w:sz w:val="24"/>
          <w:highlight w:val="none"/>
        </w:rPr>
      </w:pPr>
      <w:r>
        <w:rPr>
          <w:rFonts w:hint="eastAsia" w:ascii="宋体" w:hAnsi="宋体" w:cs="宋体"/>
          <w:color w:val="auto"/>
          <w:sz w:val="24"/>
          <w:highlight w:val="none"/>
        </w:rPr>
        <w:t>被授权人（签字）：</w:t>
      </w:r>
    </w:p>
    <w:p w14:paraId="1DA3AD81">
      <w:pPr>
        <w:spacing w:line="360" w:lineRule="auto"/>
        <w:ind w:firstLine="3840" w:firstLineChars="1600"/>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74939AEA">
      <w:pPr>
        <w:spacing w:line="360" w:lineRule="auto"/>
        <w:rPr>
          <w:rFonts w:hint="eastAsia" w:ascii="宋体" w:hAnsi="宋体" w:cs="宋体"/>
          <w:color w:val="auto"/>
          <w:sz w:val="24"/>
          <w:highlight w:val="none"/>
        </w:rPr>
      </w:pPr>
    </w:p>
    <w:p w14:paraId="0039671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否则其投标文件按无效响应处理。</w:t>
      </w:r>
    </w:p>
    <w:p w14:paraId="1373B4F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24B9F8A5">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6E9BD8C1">
      <w:pPr>
        <w:spacing w:line="360" w:lineRule="auto"/>
        <w:ind w:firstLine="480" w:firstLineChars="200"/>
        <w:jc w:val="left"/>
        <w:rPr>
          <w:rFonts w:hint="eastAsia" w:ascii="宋体" w:hAnsi="宋体" w:cs="宋体"/>
          <w:color w:val="auto"/>
          <w:szCs w:val="21"/>
          <w:highlight w:val="none"/>
        </w:rPr>
      </w:pPr>
      <w:r>
        <w:rPr>
          <w:rFonts w:hint="eastAsia" w:ascii="宋体" w:hAnsi="宋体" w:cs="宋体"/>
          <w:color w:val="auto"/>
          <w:sz w:val="24"/>
          <w:highlight w:val="none"/>
        </w:rPr>
        <w:t>4.法人、其他组织投标时“我方”是指“我单位”，自然人投标时“我方”是指“本人”。</w:t>
      </w:r>
    </w:p>
    <w:p w14:paraId="55E50F00">
      <w:pPr>
        <w:snapToGrid w:val="0"/>
        <w:spacing w:before="50" w:after="156" w:afterLines="50"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 若为联合体投标须各方签字或盖章。</w:t>
      </w:r>
    </w:p>
    <w:p w14:paraId="42691340">
      <w:pPr>
        <w:snapToGrid w:val="0"/>
        <w:spacing w:before="156" w:beforeLines="50" w:after="50"/>
        <w:rPr>
          <w:rFonts w:hint="eastAsia" w:ascii="宋体" w:hAnsi="宋体" w:cs="宋体"/>
          <w:color w:val="auto"/>
          <w:highlight w:val="none"/>
        </w:rPr>
      </w:pPr>
    </w:p>
    <w:p w14:paraId="69F6FC9A">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bidi="ar"/>
        </w:rPr>
        <w:t>四、商务条款偏离表</w:t>
      </w:r>
    </w:p>
    <w:p w14:paraId="6EEC7E41">
      <w:pPr>
        <w:jc w:val="center"/>
        <w:rPr>
          <w:rFonts w:hint="eastAsia" w:ascii="宋体" w:hAnsi="宋体" w:cs="宋体"/>
          <w:b/>
          <w:color w:val="auto"/>
          <w:sz w:val="24"/>
          <w:szCs w:val="20"/>
          <w:highlight w:val="none"/>
        </w:rPr>
      </w:pPr>
      <w:r>
        <w:rPr>
          <w:rFonts w:hint="eastAsia" w:ascii="宋体" w:hAnsi="宋体" w:cs="宋体"/>
          <w:color w:val="auto"/>
          <w:sz w:val="30"/>
          <w:szCs w:val="20"/>
          <w:highlight w:val="none"/>
          <w:lang w:bidi="ar"/>
        </w:rPr>
        <w:t>(注：按项目需求表具体项目修改)</w:t>
      </w:r>
    </w:p>
    <w:p w14:paraId="6D235153">
      <w:pPr>
        <w:snapToGrid w:val="0"/>
        <w:spacing w:before="50"/>
        <w:jc w:val="left"/>
        <w:rPr>
          <w:rFonts w:hint="eastAsia" w:ascii="宋体" w:hAnsi="宋体" w:cs="宋体"/>
          <w:color w:val="auto"/>
          <w:sz w:val="24"/>
          <w:highlight w:val="none"/>
        </w:rPr>
      </w:pPr>
    </w:p>
    <w:p w14:paraId="45120751">
      <w:pPr>
        <w:widowControl/>
        <w:spacing w:line="360" w:lineRule="auto"/>
        <w:ind w:left="-424" w:leftChars="-202" w:firstLine="846"/>
        <w:rPr>
          <w:rFonts w:hint="eastAsia" w:ascii="宋体" w:hAnsi="宋体" w:cs="宋体"/>
          <w:color w:val="auto"/>
          <w:sz w:val="24"/>
          <w:highlight w:val="none"/>
        </w:rPr>
      </w:pPr>
      <w:r>
        <w:rPr>
          <w:rFonts w:hint="eastAsia" w:ascii="宋体" w:hAnsi="宋体" w:cs="宋体"/>
          <w:color w:val="auto"/>
          <w:sz w:val="24"/>
          <w:szCs w:val="24"/>
          <w:highlight w:val="none"/>
        </w:rPr>
        <w:t>请逐条对应本项目招标文件第二章“货物需求一览表”中“商务条款”的要求，详细填写相应的具体内容。“偏离说明”一栏应当选择“正偏离”、“负偏离”或“无偏离”进行填写。</w:t>
      </w:r>
    </w:p>
    <w:tbl>
      <w:tblPr>
        <w:tblStyle w:val="3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5AAB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bottom w:val="single" w:color="auto" w:sz="4" w:space="0"/>
              <w:right w:val="single" w:color="auto" w:sz="4" w:space="0"/>
            </w:tcBorders>
            <w:noWrap/>
            <w:vAlign w:val="top"/>
          </w:tcPr>
          <w:p w14:paraId="3C86D175">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5DA45A44">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招标文件的商务需求</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2001C8F5">
            <w:pPr>
              <w:spacing w:line="3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投标文件承诺的商务条款</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547BE6B3">
            <w:pPr>
              <w:spacing w:line="3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偏离说明</w:t>
            </w:r>
          </w:p>
        </w:tc>
      </w:tr>
      <w:tr w14:paraId="2CDC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77386BF1">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2867FBCE">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25D0125E">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79275245">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正偏离（负偏离或无偏离）</w:t>
            </w:r>
          </w:p>
          <w:p w14:paraId="7118ECC6">
            <w:pPr>
              <w:spacing w:line="300" w:lineRule="exact"/>
              <w:rPr>
                <w:rFonts w:hint="eastAsia" w:ascii="宋体" w:hAnsi="宋体" w:cs="宋体"/>
                <w:color w:val="auto"/>
                <w:sz w:val="24"/>
                <w:szCs w:val="24"/>
                <w:highlight w:val="none"/>
              </w:rPr>
            </w:pPr>
          </w:p>
        </w:tc>
      </w:tr>
      <w:tr w14:paraId="2CB8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25B2BE2A">
            <w:pPr>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7A73A6E">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  ……</w:t>
            </w:r>
          </w:p>
          <w:p w14:paraId="28E126BE">
            <w:pPr>
              <w:spacing w:line="340" w:lineRule="exact"/>
              <w:rPr>
                <w:rFonts w:hint="eastAsia" w:ascii="宋体" w:hAnsi="宋体" w:cs="宋体"/>
                <w:color w:val="auto"/>
                <w:sz w:val="24"/>
                <w:szCs w:val="24"/>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0031E096">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  ……</w:t>
            </w:r>
          </w:p>
          <w:p w14:paraId="31B68DC7">
            <w:pPr>
              <w:spacing w:line="300" w:lineRule="exact"/>
              <w:rPr>
                <w:rFonts w:hint="eastAsia" w:ascii="宋体" w:hAnsi="宋体" w:cs="宋体"/>
                <w:color w:val="auto"/>
                <w:sz w:val="24"/>
                <w:szCs w:val="24"/>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14519282">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正偏离（负偏离或无偏离）</w:t>
            </w:r>
          </w:p>
          <w:p w14:paraId="2F3C23D1">
            <w:pPr>
              <w:spacing w:line="300" w:lineRule="exact"/>
              <w:rPr>
                <w:rFonts w:hint="eastAsia" w:ascii="宋体" w:hAnsi="宋体" w:cs="宋体"/>
                <w:color w:val="auto"/>
                <w:sz w:val="24"/>
                <w:szCs w:val="24"/>
                <w:highlight w:val="none"/>
              </w:rPr>
            </w:pPr>
          </w:p>
        </w:tc>
      </w:tr>
      <w:tr w14:paraId="3959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24FDFA3A">
            <w:pPr>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86B1239">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  ……</w:t>
            </w:r>
          </w:p>
          <w:p w14:paraId="46A8D879">
            <w:pPr>
              <w:spacing w:line="340" w:lineRule="exact"/>
              <w:rPr>
                <w:rFonts w:hint="eastAsia" w:ascii="宋体" w:hAnsi="宋体" w:cs="宋体"/>
                <w:color w:val="auto"/>
                <w:sz w:val="24"/>
                <w:szCs w:val="24"/>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645838F5">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  ……</w:t>
            </w:r>
          </w:p>
          <w:p w14:paraId="2D90A7D1">
            <w:pPr>
              <w:spacing w:line="300" w:lineRule="exact"/>
              <w:rPr>
                <w:rFonts w:hint="eastAsia" w:ascii="宋体" w:hAnsi="宋体" w:cs="宋体"/>
                <w:color w:val="auto"/>
                <w:sz w:val="24"/>
                <w:szCs w:val="24"/>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618FF8C9">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正偏离（负偏离或无偏离）</w:t>
            </w:r>
          </w:p>
          <w:p w14:paraId="6CA2A23A">
            <w:pPr>
              <w:spacing w:line="300" w:lineRule="exact"/>
              <w:rPr>
                <w:rFonts w:hint="eastAsia" w:ascii="宋体" w:hAnsi="宋体" w:cs="宋体"/>
                <w:color w:val="auto"/>
                <w:sz w:val="24"/>
                <w:szCs w:val="24"/>
                <w:highlight w:val="none"/>
              </w:rPr>
            </w:pPr>
          </w:p>
        </w:tc>
      </w:tr>
      <w:tr w14:paraId="3EFC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487353FB">
            <w:pPr>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43C3936">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3B845928">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07122C26">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正偏离（负偏离或无偏离）</w:t>
            </w:r>
          </w:p>
          <w:p w14:paraId="3E380D7F">
            <w:pPr>
              <w:spacing w:line="300" w:lineRule="exact"/>
              <w:rPr>
                <w:rFonts w:hint="eastAsia" w:ascii="宋体" w:hAnsi="宋体" w:cs="宋体"/>
                <w:color w:val="auto"/>
                <w:sz w:val="24"/>
                <w:szCs w:val="24"/>
                <w:highlight w:val="none"/>
              </w:rPr>
            </w:pPr>
          </w:p>
        </w:tc>
      </w:tr>
      <w:tr w14:paraId="6EE0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74C1261D">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59AFFD93">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3AB063E0">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3733210D">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正偏离（负偏离或无偏离）</w:t>
            </w:r>
          </w:p>
          <w:p w14:paraId="381B0896">
            <w:pPr>
              <w:spacing w:line="300" w:lineRule="exact"/>
              <w:rPr>
                <w:rFonts w:hint="eastAsia" w:ascii="宋体" w:hAnsi="宋体" w:cs="宋体"/>
                <w:color w:val="auto"/>
                <w:sz w:val="24"/>
                <w:szCs w:val="24"/>
                <w:highlight w:val="none"/>
              </w:rPr>
            </w:pPr>
          </w:p>
        </w:tc>
      </w:tr>
      <w:tr w14:paraId="313F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22C315D6">
            <w:pPr>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6FCD121">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  ……</w:t>
            </w:r>
          </w:p>
          <w:p w14:paraId="4E958E85">
            <w:pPr>
              <w:spacing w:line="340" w:lineRule="exact"/>
              <w:rPr>
                <w:rFonts w:hint="eastAsia" w:ascii="宋体" w:hAnsi="宋体" w:cs="宋体"/>
                <w:color w:val="auto"/>
                <w:sz w:val="24"/>
                <w:szCs w:val="24"/>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284437BB">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  ……</w:t>
            </w:r>
          </w:p>
          <w:p w14:paraId="60384DA3">
            <w:pPr>
              <w:spacing w:line="300" w:lineRule="exact"/>
              <w:rPr>
                <w:rFonts w:hint="eastAsia" w:ascii="宋体" w:hAnsi="宋体" w:cs="宋体"/>
                <w:color w:val="auto"/>
                <w:sz w:val="24"/>
                <w:szCs w:val="24"/>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189AF524">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正偏离（负偏离或无偏离）</w:t>
            </w:r>
          </w:p>
          <w:p w14:paraId="11A680F7">
            <w:pPr>
              <w:spacing w:line="300" w:lineRule="exact"/>
              <w:rPr>
                <w:rFonts w:hint="eastAsia" w:ascii="宋体" w:hAnsi="宋体" w:cs="宋体"/>
                <w:color w:val="auto"/>
                <w:sz w:val="24"/>
                <w:szCs w:val="24"/>
                <w:highlight w:val="none"/>
              </w:rPr>
            </w:pPr>
          </w:p>
        </w:tc>
      </w:tr>
      <w:tr w14:paraId="582B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1E4983B9">
            <w:pPr>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CBF3C97">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  ……</w:t>
            </w:r>
          </w:p>
          <w:p w14:paraId="4F9ABD42">
            <w:pPr>
              <w:spacing w:line="340" w:lineRule="exact"/>
              <w:rPr>
                <w:rFonts w:hint="eastAsia" w:ascii="宋体" w:hAnsi="宋体" w:cs="宋体"/>
                <w:color w:val="auto"/>
                <w:sz w:val="24"/>
                <w:szCs w:val="24"/>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2928D630">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  ……</w:t>
            </w:r>
          </w:p>
          <w:p w14:paraId="6B5AF849">
            <w:pPr>
              <w:spacing w:line="300" w:lineRule="exact"/>
              <w:rPr>
                <w:rFonts w:hint="eastAsia" w:ascii="宋体" w:hAnsi="宋体" w:cs="宋体"/>
                <w:color w:val="auto"/>
                <w:sz w:val="24"/>
                <w:szCs w:val="24"/>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66CF9647">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正偏离（负偏离或无偏离）</w:t>
            </w:r>
          </w:p>
          <w:p w14:paraId="1372FF75">
            <w:pPr>
              <w:spacing w:line="300" w:lineRule="exact"/>
              <w:rPr>
                <w:rFonts w:hint="eastAsia" w:ascii="宋体" w:hAnsi="宋体" w:cs="宋体"/>
                <w:color w:val="auto"/>
                <w:sz w:val="24"/>
                <w:szCs w:val="24"/>
                <w:highlight w:val="none"/>
              </w:rPr>
            </w:pPr>
          </w:p>
        </w:tc>
      </w:tr>
      <w:tr w14:paraId="673A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20932D71">
            <w:pPr>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8A5F44E">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4FE61DDC">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1C45B95E">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正偏离（负偏离或无偏离）</w:t>
            </w:r>
          </w:p>
          <w:p w14:paraId="754E792C">
            <w:pPr>
              <w:spacing w:line="300" w:lineRule="exact"/>
              <w:rPr>
                <w:rFonts w:hint="eastAsia" w:ascii="宋体" w:hAnsi="宋体" w:cs="宋体"/>
                <w:color w:val="auto"/>
                <w:sz w:val="24"/>
                <w:szCs w:val="24"/>
                <w:highlight w:val="none"/>
              </w:rPr>
            </w:pPr>
          </w:p>
        </w:tc>
      </w:tr>
      <w:tr w14:paraId="4F3D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bottom w:val="single" w:color="auto" w:sz="4" w:space="0"/>
              <w:right w:val="single" w:color="auto" w:sz="4" w:space="0"/>
            </w:tcBorders>
            <w:noWrap/>
            <w:vAlign w:val="top"/>
          </w:tcPr>
          <w:p w14:paraId="4C958DE0">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6F08F423">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6D7A69FC">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  ……</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34010EF8">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正偏离（负偏离或无偏离）</w:t>
            </w:r>
          </w:p>
          <w:p w14:paraId="79ADCAE4">
            <w:pPr>
              <w:spacing w:line="300" w:lineRule="exact"/>
              <w:rPr>
                <w:rFonts w:hint="eastAsia" w:ascii="宋体" w:hAnsi="宋体" w:cs="宋体"/>
                <w:color w:val="auto"/>
                <w:sz w:val="24"/>
                <w:szCs w:val="24"/>
                <w:highlight w:val="none"/>
              </w:rPr>
            </w:pPr>
          </w:p>
        </w:tc>
      </w:tr>
      <w:tr w14:paraId="3D18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51D71C0F">
            <w:pPr>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7D3B969">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  ……</w:t>
            </w:r>
          </w:p>
          <w:p w14:paraId="2DE60562">
            <w:pPr>
              <w:spacing w:line="340" w:lineRule="exact"/>
              <w:rPr>
                <w:rFonts w:hint="eastAsia" w:ascii="宋体" w:hAnsi="宋体" w:cs="宋体"/>
                <w:color w:val="auto"/>
                <w:sz w:val="24"/>
                <w:szCs w:val="24"/>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3810C4E1">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  ……</w:t>
            </w:r>
          </w:p>
          <w:p w14:paraId="1FE31970">
            <w:pPr>
              <w:spacing w:line="300" w:lineRule="exact"/>
              <w:rPr>
                <w:rFonts w:hint="eastAsia" w:ascii="宋体" w:hAnsi="宋体" w:cs="宋体"/>
                <w:color w:val="auto"/>
                <w:sz w:val="24"/>
                <w:szCs w:val="24"/>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3996FE3F">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正偏离（负偏离或无偏离）</w:t>
            </w:r>
          </w:p>
          <w:p w14:paraId="6BB7D9F0">
            <w:pPr>
              <w:spacing w:line="300" w:lineRule="exact"/>
              <w:rPr>
                <w:rFonts w:hint="eastAsia" w:ascii="宋体" w:hAnsi="宋体" w:cs="宋体"/>
                <w:color w:val="auto"/>
                <w:sz w:val="24"/>
                <w:szCs w:val="24"/>
                <w:highlight w:val="none"/>
              </w:rPr>
            </w:pPr>
          </w:p>
        </w:tc>
      </w:tr>
      <w:tr w14:paraId="380D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7CC2DD9A">
            <w:pPr>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8423839">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  ……</w:t>
            </w:r>
          </w:p>
          <w:p w14:paraId="007801B4">
            <w:pPr>
              <w:spacing w:line="340" w:lineRule="exact"/>
              <w:rPr>
                <w:rFonts w:hint="eastAsia" w:ascii="宋体" w:hAnsi="宋体" w:cs="宋体"/>
                <w:color w:val="auto"/>
                <w:sz w:val="24"/>
                <w:szCs w:val="24"/>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19FB1EE4">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  ……</w:t>
            </w:r>
          </w:p>
          <w:p w14:paraId="7D810252">
            <w:pPr>
              <w:spacing w:line="300" w:lineRule="exact"/>
              <w:rPr>
                <w:rFonts w:hint="eastAsia" w:ascii="宋体" w:hAnsi="宋体" w:cs="宋体"/>
                <w:color w:val="auto"/>
                <w:sz w:val="24"/>
                <w:szCs w:val="24"/>
                <w:highlight w:val="none"/>
              </w:rPr>
            </w:pPr>
          </w:p>
        </w:tc>
        <w:tc>
          <w:tcPr>
            <w:tcW w:w="2516" w:type="dxa"/>
            <w:tcBorders>
              <w:top w:val="single" w:color="auto" w:sz="4" w:space="0"/>
              <w:left w:val="single" w:color="auto" w:sz="4" w:space="0"/>
              <w:bottom w:val="single" w:color="auto" w:sz="4" w:space="0"/>
              <w:right w:val="single" w:color="auto" w:sz="4" w:space="0"/>
            </w:tcBorders>
            <w:noWrap w:val="0"/>
            <w:vAlign w:val="top"/>
          </w:tcPr>
          <w:p w14:paraId="0BCBCE02">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正偏离（负偏离或无偏离）</w:t>
            </w:r>
          </w:p>
          <w:p w14:paraId="0390670C">
            <w:pPr>
              <w:spacing w:line="300" w:lineRule="exact"/>
              <w:rPr>
                <w:rFonts w:hint="eastAsia" w:ascii="宋体" w:hAnsi="宋体" w:cs="宋体"/>
                <w:color w:val="auto"/>
                <w:sz w:val="24"/>
                <w:szCs w:val="24"/>
                <w:highlight w:val="none"/>
              </w:rPr>
            </w:pPr>
          </w:p>
        </w:tc>
      </w:tr>
      <w:tr w14:paraId="39F9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top w:val="single" w:color="auto" w:sz="4" w:space="0"/>
              <w:left w:val="single" w:color="auto" w:sz="4" w:space="0"/>
              <w:bottom w:val="single" w:color="auto" w:sz="4" w:space="0"/>
              <w:right w:val="single" w:color="auto" w:sz="4" w:space="0"/>
            </w:tcBorders>
            <w:noWrap/>
            <w:vAlign w:val="top"/>
          </w:tcPr>
          <w:p w14:paraId="4815DC6A">
            <w:pPr>
              <w:rPr>
                <w:rFonts w:hint="eastAsia" w:ascii="宋体" w:hAnsi="宋体" w:cs="宋体"/>
                <w:color w:val="auto"/>
                <w:sz w:val="24"/>
                <w:szCs w:val="24"/>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632F4E2">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491F6DBC">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w:t>
            </w:r>
          </w:p>
        </w:tc>
        <w:tc>
          <w:tcPr>
            <w:tcW w:w="2516" w:type="dxa"/>
            <w:tcBorders>
              <w:top w:val="single" w:color="auto" w:sz="4" w:space="0"/>
              <w:left w:val="single" w:color="auto" w:sz="4" w:space="0"/>
              <w:bottom w:val="single" w:color="auto" w:sz="4" w:space="0"/>
              <w:right w:val="single" w:color="auto" w:sz="4" w:space="0"/>
            </w:tcBorders>
            <w:noWrap w:val="0"/>
            <w:vAlign w:val="top"/>
          </w:tcPr>
          <w:p w14:paraId="6C6AEB87">
            <w:pPr>
              <w:spacing w:line="3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正偏离（负偏离或无偏离）</w:t>
            </w:r>
          </w:p>
          <w:p w14:paraId="584429A7">
            <w:pPr>
              <w:spacing w:line="300" w:lineRule="exact"/>
              <w:rPr>
                <w:rFonts w:hint="eastAsia" w:ascii="宋体" w:hAnsi="宋体" w:cs="宋体"/>
                <w:color w:val="auto"/>
                <w:sz w:val="24"/>
                <w:szCs w:val="24"/>
                <w:highlight w:val="none"/>
              </w:rPr>
            </w:pPr>
          </w:p>
        </w:tc>
      </w:tr>
      <w:tr w14:paraId="088D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6FDBC3B8">
            <w:pPr>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bidi="ar"/>
              </w:rPr>
              <w:t>　　</w:t>
            </w:r>
            <w:r>
              <w:rPr>
                <w:rFonts w:hint="eastAsia" w:ascii="宋体" w:hAnsi="宋体" w:cs="宋体"/>
                <w:color w:val="auto"/>
                <w:sz w:val="24"/>
                <w:szCs w:val="24"/>
                <w:highlight w:val="none"/>
                <w:lang w:bidi="ar"/>
              </w:rPr>
              <w:t>分标（此处有分标时填写具体分标号，无分标时填写“无”）</w:t>
            </w:r>
          </w:p>
        </w:tc>
      </w:tr>
    </w:tbl>
    <w:p w14:paraId="184F4CDF">
      <w:pPr>
        <w:widowControl/>
        <w:spacing w:line="360" w:lineRule="auto"/>
        <w:ind w:left="-708" w:leftChars="-337"/>
        <w:rPr>
          <w:rFonts w:hint="eastAsia" w:ascii="宋体" w:hAnsi="宋体" w:cs="宋体"/>
          <w:color w:val="auto"/>
          <w:szCs w:val="20"/>
          <w:highlight w:val="none"/>
        </w:rPr>
      </w:pPr>
    </w:p>
    <w:p w14:paraId="21B3928D">
      <w:pPr>
        <w:widowControl/>
        <w:spacing w:line="360" w:lineRule="auto"/>
        <w:ind w:left="-708" w:leftChars="-337"/>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4D994B3A">
      <w:pPr>
        <w:widowControl/>
        <w:spacing w:line="360" w:lineRule="auto"/>
        <w:ind w:left="-708" w:leftChars="-33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1.表格内容均需按要求填写并盖章，不得留空，否则按投标无效处理。</w:t>
      </w:r>
    </w:p>
    <w:p w14:paraId="3D566096">
      <w:pPr>
        <w:widowControl/>
        <w:spacing w:line="360" w:lineRule="auto"/>
        <w:ind w:left="-708" w:leftChars="-33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2.如果需求为小于或大于某个数值标准时，投标文件承诺不得直接复制招标文件需求，投标文件承诺内容应当写明投标货物具体参数或商务响应承诺的具体数值，否则按投标无效处理。</w:t>
      </w:r>
    </w:p>
    <w:p w14:paraId="238978E9">
      <w:pPr>
        <w:widowControl/>
        <w:spacing w:line="360" w:lineRule="auto"/>
        <w:ind w:left="-708" w:leftChars="-33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3.当投标文件的商务内容低于招标文件要求时，投标人应当如实写明“负偏离”，否则视为虚假应标。</w:t>
      </w:r>
    </w:p>
    <w:p w14:paraId="4177F823">
      <w:pPr>
        <w:widowControl/>
        <w:spacing w:line="360" w:lineRule="auto"/>
        <w:ind w:left="-708" w:leftChars="-337"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4.采购需求中带“▲”及“★”的条款，也要分别在本表“投标文件的商务需求”、“投标文件承诺的商务条款”中标记。</w:t>
      </w:r>
    </w:p>
    <w:p w14:paraId="5FAFAA20">
      <w:pPr>
        <w:snapToGrid w:val="0"/>
        <w:spacing w:before="50" w:after="50"/>
        <w:rPr>
          <w:rFonts w:hint="eastAsia" w:ascii="宋体" w:hAnsi="宋体" w:cs="宋体"/>
          <w:color w:val="auto"/>
          <w:sz w:val="24"/>
          <w:highlight w:val="none"/>
        </w:rPr>
      </w:pPr>
    </w:p>
    <w:p w14:paraId="2E79E382">
      <w:pPr>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lang w:bidi="ar"/>
        </w:rPr>
        <w:t xml:space="preserve">  </w:t>
      </w:r>
      <w:r>
        <w:rPr>
          <w:rFonts w:hint="eastAsia" w:ascii="宋体" w:hAnsi="宋体" w:cs="宋体"/>
          <w:color w:val="auto"/>
          <w:kern w:val="0"/>
          <w:sz w:val="24"/>
          <w:highlight w:val="none"/>
          <w:lang w:val="zh-CN" w:bidi="ar"/>
        </w:rPr>
        <w:t>投标人名称(电子签章)：</w:t>
      </w:r>
    </w:p>
    <w:p w14:paraId="3EE48176">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488C02B8">
      <w:pPr>
        <w:rPr>
          <w:rFonts w:hint="eastAsia" w:ascii="宋体" w:hAnsi="宋体" w:cs="宋体"/>
          <w:color w:val="auto"/>
          <w:szCs w:val="21"/>
          <w:highlight w:val="none"/>
          <w:lang w:bidi="ar"/>
        </w:rPr>
        <w:sectPr>
          <w:pgSz w:w="11906" w:h="16838"/>
          <w:pgMar w:top="1440" w:right="1080" w:bottom="1440" w:left="1080" w:header="851" w:footer="992" w:gutter="0"/>
          <w:pgNumType w:fmt="decimal"/>
          <w:cols w:space="720" w:num="1"/>
          <w:docGrid w:type="lines" w:linePitch="312" w:charSpace="0"/>
        </w:sectPr>
      </w:pPr>
    </w:p>
    <w:p w14:paraId="23906117">
      <w:pPr>
        <w:snapToGrid w:val="0"/>
        <w:spacing w:before="165" w:beforeLines="50" w:after="50"/>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bidi="ar"/>
        </w:rPr>
        <w:t>五、投标人情况介绍</w:t>
      </w:r>
    </w:p>
    <w:p w14:paraId="0DA53CF9">
      <w:pPr>
        <w:spacing w:line="360" w:lineRule="auto"/>
        <w:ind w:firstLine="4048" w:firstLineChars="1687"/>
        <w:rPr>
          <w:rFonts w:hint="eastAsia" w:ascii="宋体" w:hAnsi="宋体" w:cs="宋体"/>
          <w:color w:val="auto"/>
          <w:kern w:val="0"/>
          <w:sz w:val="24"/>
          <w:highlight w:val="none"/>
        </w:rPr>
      </w:pPr>
      <w:r>
        <w:rPr>
          <w:rFonts w:hint="eastAsia" w:ascii="宋体" w:hAnsi="宋体" w:cs="宋体"/>
          <w:color w:val="auto"/>
          <w:sz w:val="24"/>
          <w:highlight w:val="none"/>
          <w:lang w:bidi="ar"/>
        </w:rPr>
        <w:t>（格式自拟）</w:t>
      </w:r>
    </w:p>
    <w:p w14:paraId="695E064A">
      <w:pPr>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lang w:bidi="ar"/>
        </w:rPr>
        <w:t xml:space="preserve"> </w:t>
      </w:r>
    </w:p>
    <w:p w14:paraId="478F6E44">
      <w:pPr>
        <w:snapToGrid w:val="0"/>
        <w:spacing w:line="360" w:lineRule="auto"/>
        <w:ind w:firstLine="4935" w:firstLineChars="2350"/>
        <w:rPr>
          <w:rFonts w:hint="eastAsia" w:ascii="宋体" w:hAnsi="宋体" w:cs="宋体"/>
          <w:color w:val="auto"/>
          <w:szCs w:val="21"/>
          <w:highlight w:val="none"/>
        </w:rPr>
      </w:pPr>
    </w:p>
    <w:p w14:paraId="6C8BFEBA">
      <w:pPr>
        <w:snapToGrid w:val="0"/>
        <w:spacing w:line="360" w:lineRule="auto"/>
        <w:ind w:firstLine="4935" w:firstLineChars="2350"/>
        <w:rPr>
          <w:rFonts w:hint="eastAsia" w:ascii="宋体" w:hAnsi="宋体" w:cs="宋体"/>
          <w:color w:val="auto"/>
          <w:szCs w:val="21"/>
          <w:highlight w:val="none"/>
        </w:rPr>
      </w:pPr>
    </w:p>
    <w:p w14:paraId="7468CAA9">
      <w:pPr>
        <w:snapToGrid w:val="0"/>
        <w:spacing w:line="360" w:lineRule="auto"/>
        <w:ind w:firstLine="4935" w:firstLineChars="2350"/>
        <w:rPr>
          <w:rFonts w:hint="eastAsia" w:ascii="宋体" w:hAnsi="宋体" w:cs="宋体"/>
          <w:color w:val="auto"/>
          <w:szCs w:val="21"/>
          <w:highlight w:val="none"/>
        </w:rPr>
      </w:pPr>
    </w:p>
    <w:p w14:paraId="4DFC644E">
      <w:pPr>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lang w:bidi="ar"/>
        </w:rPr>
        <w:t xml:space="preserve">  </w:t>
      </w:r>
      <w:r>
        <w:rPr>
          <w:rFonts w:hint="eastAsia" w:ascii="宋体" w:hAnsi="宋体" w:cs="宋体"/>
          <w:color w:val="auto"/>
          <w:kern w:val="0"/>
          <w:sz w:val="24"/>
          <w:highlight w:val="none"/>
          <w:lang w:val="zh-CN" w:bidi="ar"/>
        </w:rPr>
        <w:t>投标人名称(电子签章)：</w:t>
      </w:r>
    </w:p>
    <w:p w14:paraId="4231F96D">
      <w:pPr>
        <w:snapToGrid w:val="0"/>
        <w:spacing w:before="165" w:beforeLines="50" w:after="50"/>
        <w:ind w:firstLine="480" w:firstLineChars="200"/>
        <w:jc w:val="center"/>
        <w:rPr>
          <w:rFonts w:hint="eastAsia" w:ascii="宋体" w:hAnsi="宋体" w:cs="宋体"/>
          <w:b/>
          <w:bCs/>
          <w:color w:val="auto"/>
          <w:sz w:val="30"/>
          <w:szCs w:val="30"/>
          <w:highlight w:val="none"/>
        </w:rPr>
      </w:pPr>
      <w:r>
        <w:rPr>
          <w:rFonts w:hint="eastAsia" w:ascii="宋体" w:hAnsi="宋体" w:cs="宋体"/>
          <w:color w:val="auto"/>
          <w:kern w:val="0"/>
          <w:sz w:val="24"/>
          <w:highlight w:val="none"/>
          <w:lang w:val="zh-CN" w:bidi="ar"/>
        </w:rPr>
        <w:t xml:space="preserve">                                                    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3BE6CDDD">
      <w:pPr>
        <w:rPr>
          <w:rFonts w:hint="eastAsia" w:ascii="宋体" w:hAnsi="宋体" w:cs="宋体"/>
          <w:b/>
          <w:bCs/>
          <w:color w:val="auto"/>
          <w:sz w:val="30"/>
          <w:szCs w:val="30"/>
          <w:highlight w:val="none"/>
          <w:lang w:bidi="ar"/>
        </w:rPr>
        <w:sectPr>
          <w:pgSz w:w="11906" w:h="16838"/>
          <w:pgMar w:top="1135" w:right="1135" w:bottom="1135" w:left="1135" w:header="720" w:footer="720" w:gutter="0"/>
          <w:pgNumType w:fmt="decimal"/>
          <w:cols w:space="720" w:num="1"/>
          <w:docGrid w:type="lines" w:linePitch="331" w:charSpace="0"/>
        </w:sectPr>
      </w:pPr>
    </w:p>
    <w:p w14:paraId="4F7C555A">
      <w:pPr>
        <w:snapToGrid w:val="0"/>
        <w:spacing w:before="165" w:beforeLines="50" w:after="50"/>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bidi="ar"/>
        </w:rPr>
        <w:t>六、投标人类似的业绩证明文件（如有要求）</w:t>
      </w:r>
    </w:p>
    <w:p w14:paraId="2297EEA8">
      <w:pPr>
        <w:widowControl/>
        <w:snapToGrid w:val="0"/>
        <w:ind w:left="480" w:hanging="480" w:hangingChars="200"/>
        <w:rPr>
          <w:rFonts w:hint="eastAsia" w:ascii="宋体" w:hAnsi="宋体" w:cs="宋体"/>
          <w:color w:val="auto"/>
          <w:sz w:val="24"/>
          <w:highlight w:val="none"/>
        </w:rPr>
      </w:pPr>
    </w:p>
    <w:p w14:paraId="74D92A75">
      <w:pPr>
        <w:widowControl/>
        <w:snapToGrid w:val="0"/>
        <w:ind w:left="480" w:hanging="480" w:hangingChars="200"/>
        <w:rPr>
          <w:rFonts w:hint="eastAsia" w:ascii="宋体" w:hAnsi="宋体" w:cs="宋体"/>
          <w:color w:val="auto"/>
          <w:sz w:val="24"/>
          <w:highlight w:val="none"/>
        </w:rPr>
      </w:pPr>
    </w:p>
    <w:p w14:paraId="0A7CF94F">
      <w:pPr>
        <w:autoSpaceDE w:val="0"/>
        <w:autoSpaceDN w:val="0"/>
        <w:spacing w:line="360" w:lineRule="auto"/>
        <w:ind w:firstLine="120"/>
        <w:rPr>
          <w:rFonts w:hint="eastAsia" w:ascii="宋体" w:hAnsi="宋体" w:cs="宋体"/>
          <w:color w:val="auto"/>
          <w:sz w:val="24"/>
          <w:highlight w:val="none"/>
        </w:rPr>
      </w:pPr>
      <w:r>
        <w:rPr>
          <w:rFonts w:hint="eastAsia" w:ascii="宋体" w:hAnsi="宋体" w:cs="宋体"/>
          <w:b/>
          <w:color w:val="auto"/>
          <w:sz w:val="24"/>
          <w:highlight w:val="none"/>
          <w:lang w:bidi="ar"/>
        </w:rPr>
        <w:t>附表 :相关项目业绩一览表（①成交或中标通知书或合同</w:t>
      </w:r>
      <w:r>
        <w:rPr>
          <w:rFonts w:hint="eastAsia" w:ascii="宋体" w:hAnsi="宋体" w:cs="宋体"/>
          <w:b/>
          <w:color w:val="auto"/>
          <w:sz w:val="24"/>
          <w:highlight w:val="none"/>
          <w:lang w:eastAsia="zh-CN" w:bidi="ar"/>
        </w:rPr>
        <w:t>协议</w:t>
      </w:r>
      <w:r>
        <w:rPr>
          <w:rFonts w:hint="eastAsia" w:ascii="宋体" w:hAnsi="宋体" w:cs="宋体"/>
          <w:b/>
          <w:color w:val="auto"/>
          <w:sz w:val="24"/>
          <w:highlight w:val="none"/>
          <w:lang w:bidi="ar"/>
        </w:rPr>
        <w:t>复印件；②工程完工验收或验收鉴定书（如有）、用户评价意见（如有）格式自拟）</w:t>
      </w:r>
    </w:p>
    <w:tbl>
      <w:tblPr>
        <w:tblStyle w:val="39"/>
        <w:tblW w:w="0" w:type="auto"/>
        <w:tblInd w:w="1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628"/>
        <w:gridCol w:w="3420"/>
        <w:gridCol w:w="1715"/>
        <w:gridCol w:w="1559"/>
        <w:gridCol w:w="1559"/>
        <w:gridCol w:w="1421"/>
        <w:gridCol w:w="2270"/>
      </w:tblGrid>
      <w:tr w14:paraId="1402A24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1DA9338F">
            <w:pPr>
              <w:autoSpaceDE w:val="0"/>
              <w:autoSpaceDN w:val="0"/>
              <w:spacing w:line="360" w:lineRule="auto"/>
              <w:ind w:firstLine="120"/>
              <w:rPr>
                <w:rFonts w:hint="eastAsia" w:ascii="宋体" w:hAnsi="宋体" w:cs="宋体"/>
                <w:b/>
                <w:color w:val="auto"/>
                <w:sz w:val="24"/>
                <w:highlight w:val="none"/>
                <w:lang w:bidi="ar"/>
              </w:rPr>
            </w:pPr>
            <w:r>
              <w:rPr>
                <w:rFonts w:hint="eastAsia" w:ascii="宋体" w:hAnsi="宋体" w:cs="宋体"/>
                <w:b/>
                <w:color w:val="auto"/>
                <w:sz w:val="24"/>
                <w:highlight w:val="none"/>
                <w:lang w:bidi="ar"/>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4342FBE3">
            <w:pPr>
              <w:autoSpaceDE w:val="0"/>
              <w:autoSpaceDN w:val="0"/>
              <w:spacing w:line="360" w:lineRule="auto"/>
              <w:ind w:firstLine="120"/>
              <w:rPr>
                <w:rFonts w:hint="eastAsia" w:ascii="宋体" w:hAnsi="宋体" w:cs="宋体"/>
                <w:b/>
                <w:color w:val="auto"/>
                <w:sz w:val="24"/>
                <w:highlight w:val="none"/>
                <w:lang w:bidi="ar"/>
              </w:rPr>
            </w:pPr>
            <w:r>
              <w:rPr>
                <w:rFonts w:hint="eastAsia" w:ascii="宋体" w:hAnsi="宋体" w:cs="宋体"/>
                <w:b/>
                <w:color w:val="auto"/>
                <w:sz w:val="24"/>
                <w:highlight w:val="none"/>
                <w:lang w:bidi="ar"/>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71485313">
            <w:pPr>
              <w:autoSpaceDE w:val="0"/>
              <w:autoSpaceDN w:val="0"/>
              <w:spacing w:line="360" w:lineRule="auto"/>
              <w:ind w:firstLine="120"/>
              <w:rPr>
                <w:rFonts w:hint="eastAsia" w:ascii="宋体" w:hAnsi="宋体" w:cs="宋体"/>
                <w:b/>
                <w:color w:val="auto"/>
                <w:sz w:val="24"/>
                <w:highlight w:val="none"/>
                <w:lang w:bidi="ar"/>
              </w:rPr>
            </w:pPr>
            <w:r>
              <w:rPr>
                <w:rFonts w:hint="eastAsia" w:ascii="宋体" w:hAnsi="宋体" w:cs="宋体"/>
                <w:b/>
                <w:color w:val="auto"/>
                <w:sz w:val="24"/>
                <w:highlight w:val="none"/>
                <w:lang w:bidi="ar"/>
              </w:rPr>
              <w:t>合同</w:t>
            </w:r>
          </w:p>
          <w:p w14:paraId="1A5DAF04">
            <w:pPr>
              <w:autoSpaceDE w:val="0"/>
              <w:autoSpaceDN w:val="0"/>
              <w:spacing w:line="360" w:lineRule="auto"/>
              <w:ind w:firstLine="120"/>
              <w:rPr>
                <w:rFonts w:hint="eastAsia" w:ascii="宋体" w:hAnsi="宋体" w:cs="宋体"/>
                <w:b/>
                <w:color w:val="auto"/>
                <w:sz w:val="24"/>
                <w:highlight w:val="none"/>
                <w:lang w:bidi="ar"/>
              </w:rPr>
            </w:pPr>
            <w:r>
              <w:rPr>
                <w:rFonts w:hint="eastAsia" w:ascii="宋体" w:hAnsi="宋体" w:cs="宋体"/>
                <w:b/>
                <w:color w:val="auto"/>
                <w:sz w:val="24"/>
                <w:highlight w:val="none"/>
                <w:lang w:bidi="ar"/>
              </w:rPr>
              <w:t>金额</w:t>
            </w:r>
          </w:p>
          <w:p w14:paraId="2BF10EE3">
            <w:pPr>
              <w:autoSpaceDE w:val="0"/>
              <w:autoSpaceDN w:val="0"/>
              <w:spacing w:line="360" w:lineRule="auto"/>
              <w:ind w:firstLine="120"/>
              <w:rPr>
                <w:rFonts w:hint="eastAsia" w:ascii="宋体" w:hAnsi="宋体" w:cs="宋体"/>
                <w:b/>
                <w:color w:val="auto"/>
                <w:sz w:val="24"/>
                <w:highlight w:val="none"/>
                <w:lang w:bidi="ar"/>
              </w:rPr>
            </w:pPr>
            <w:r>
              <w:rPr>
                <w:rFonts w:hint="eastAsia" w:ascii="宋体" w:hAnsi="宋体" w:cs="宋体"/>
                <w:b/>
                <w:color w:val="auto"/>
                <w:sz w:val="24"/>
                <w:highlight w:val="none"/>
                <w:lang w:bidi="ar"/>
              </w:rPr>
              <w:t>（万元）</w:t>
            </w:r>
          </w:p>
        </w:tc>
        <w:tc>
          <w:tcPr>
            <w:tcW w:w="4539" w:type="dxa"/>
            <w:gridSpan w:val="3"/>
            <w:tcBorders>
              <w:top w:val="single" w:color="auto" w:sz="4" w:space="0"/>
              <w:left w:val="single" w:color="auto" w:sz="4" w:space="0"/>
              <w:bottom w:val="single" w:color="auto" w:sz="4" w:space="0"/>
              <w:right w:val="single" w:color="auto" w:sz="4" w:space="0"/>
            </w:tcBorders>
            <w:noWrap w:val="0"/>
            <w:vAlign w:val="center"/>
          </w:tcPr>
          <w:p w14:paraId="5F4AE7B7">
            <w:pPr>
              <w:autoSpaceDE w:val="0"/>
              <w:autoSpaceDN w:val="0"/>
              <w:spacing w:line="360" w:lineRule="auto"/>
              <w:ind w:firstLine="120"/>
              <w:rPr>
                <w:rFonts w:hint="eastAsia" w:ascii="宋体" w:hAnsi="宋体" w:cs="宋体"/>
                <w:b/>
                <w:color w:val="auto"/>
                <w:sz w:val="24"/>
                <w:highlight w:val="none"/>
                <w:lang w:bidi="ar"/>
              </w:rPr>
            </w:pPr>
            <w:r>
              <w:rPr>
                <w:rFonts w:hint="eastAsia" w:ascii="宋体" w:hAnsi="宋体" w:cs="宋体"/>
                <w:b/>
                <w:color w:val="auto"/>
                <w:sz w:val="24"/>
                <w:highlight w:val="none"/>
                <w:lang w:bidi="ar"/>
              </w:rPr>
              <w:t>附件在投标文件中页码</w:t>
            </w:r>
          </w:p>
        </w:tc>
        <w:tc>
          <w:tcPr>
            <w:tcW w:w="2270" w:type="dxa"/>
            <w:vMerge w:val="restart"/>
            <w:tcBorders>
              <w:top w:val="single" w:color="auto" w:sz="4" w:space="0"/>
              <w:left w:val="single" w:color="auto" w:sz="4" w:space="0"/>
              <w:bottom w:val="single" w:color="auto" w:sz="4" w:space="0"/>
              <w:right w:val="single" w:color="auto" w:sz="4" w:space="0"/>
            </w:tcBorders>
            <w:noWrap w:val="0"/>
            <w:vAlign w:val="center"/>
          </w:tcPr>
          <w:p w14:paraId="56F08477">
            <w:pPr>
              <w:autoSpaceDE w:val="0"/>
              <w:autoSpaceDN w:val="0"/>
              <w:spacing w:line="360" w:lineRule="auto"/>
              <w:ind w:firstLine="120"/>
              <w:rPr>
                <w:rFonts w:hint="eastAsia" w:ascii="宋体" w:hAnsi="宋体" w:cs="宋体"/>
                <w:b/>
                <w:color w:val="auto"/>
                <w:sz w:val="24"/>
                <w:highlight w:val="none"/>
                <w:lang w:bidi="ar"/>
              </w:rPr>
            </w:pPr>
            <w:r>
              <w:rPr>
                <w:rFonts w:hint="eastAsia" w:ascii="宋体" w:hAnsi="宋体" w:cs="宋体"/>
                <w:b/>
                <w:color w:val="auto"/>
                <w:sz w:val="24"/>
                <w:highlight w:val="none"/>
                <w:lang w:bidi="ar"/>
              </w:rPr>
              <w:t>采购人联系人及</w:t>
            </w:r>
          </w:p>
          <w:p w14:paraId="51CBC1AC">
            <w:pPr>
              <w:autoSpaceDE w:val="0"/>
              <w:autoSpaceDN w:val="0"/>
              <w:spacing w:line="360" w:lineRule="auto"/>
              <w:ind w:firstLine="120"/>
              <w:rPr>
                <w:rFonts w:hint="eastAsia" w:ascii="宋体" w:hAnsi="宋体" w:cs="宋体"/>
                <w:b/>
                <w:color w:val="auto"/>
                <w:sz w:val="24"/>
                <w:highlight w:val="none"/>
                <w:lang w:bidi="ar"/>
              </w:rPr>
            </w:pPr>
            <w:r>
              <w:rPr>
                <w:rFonts w:hint="eastAsia" w:ascii="宋体" w:hAnsi="宋体" w:cs="宋体"/>
                <w:b/>
                <w:color w:val="auto"/>
                <w:sz w:val="24"/>
                <w:highlight w:val="none"/>
                <w:lang w:bidi="ar"/>
              </w:rPr>
              <w:t>联系电话</w:t>
            </w:r>
          </w:p>
        </w:tc>
      </w:tr>
      <w:tr w14:paraId="4F9A5E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333D422A">
            <w:pPr>
              <w:autoSpaceDE w:val="0"/>
              <w:autoSpaceDN w:val="0"/>
              <w:spacing w:line="360" w:lineRule="auto"/>
              <w:ind w:firstLine="120"/>
              <w:rPr>
                <w:rFonts w:hint="eastAsia" w:ascii="宋体" w:hAnsi="宋体" w:cs="宋体"/>
                <w:b/>
                <w:color w:val="auto"/>
                <w:sz w:val="24"/>
                <w:highlight w:val="none"/>
                <w:lang w:bidi="ar"/>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5BA7C5E1">
            <w:pPr>
              <w:autoSpaceDE w:val="0"/>
              <w:autoSpaceDN w:val="0"/>
              <w:spacing w:line="360" w:lineRule="auto"/>
              <w:ind w:firstLine="120"/>
              <w:rPr>
                <w:rFonts w:hint="eastAsia" w:ascii="宋体" w:hAnsi="宋体" w:cs="宋体"/>
                <w:b/>
                <w:color w:val="auto"/>
                <w:sz w:val="24"/>
                <w:highlight w:val="none"/>
                <w:lang w:bidi="ar"/>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74C2FFA4">
            <w:pPr>
              <w:autoSpaceDE w:val="0"/>
              <w:autoSpaceDN w:val="0"/>
              <w:spacing w:line="360" w:lineRule="auto"/>
              <w:ind w:firstLine="120"/>
              <w:rPr>
                <w:rFonts w:hint="eastAsia" w:ascii="宋体" w:hAnsi="宋体" w:cs="宋体"/>
                <w:b/>
                <w:color w:val="auto"/>
                <w:sz w:val="24"/>
                <w:highlight w:val="none"/>
                <w:lang w:bidi="ar"/>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FFFB686">
            <w:pPr>
              <w:autoSpaceDE w:val="0"/>
              <w:autoSpaceDN w:val="0"/>
              <w:spacing w:line="360" w:lineRule="auto"/>
              <w:ind w:firstLine="120"/>
              <w:rPr>
                <w:rFonts w:hint="eastAsia" w:ascii="宋体" w:hAnsi="宋体" w:cs="宋体"/>
                <w:b/>
                <w:color w:val="auto"/>
                <w:sz w:val="24"/>
                <w:highlight w:val="none"/>
                <w:lang w:bidi="ar"/>
              </w:rPr>
            </w:pPr>
            <w:r>
              <w:rPr>
                <w:rFonts w:hint="eastAsia" w:ascii="宋体" w:hAnsi="宋体" w:cs="宋体"/>
                <w:b/>
                <w:color w:val="auto"/>
                <w:sz w:val="24"/>
                <w:highlight w:val="none"/>
                <w:lang w:bidi="ar"/>
              </w:rPr>
              <w:t>成交或中标通知书或合同协议书</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EE8D923">
            <w:pPr>
              <w:autoSpaceDE w:val="0"/>
              <w:autoSpaceDN w:val="0"/>
              <w:spacing w:line="360" w:lineRule="auto"/>
              <w:ind w:firstLine="120"/>
              <w:rPr>
                <w:rFonts w:hint="eastAsia" w:ascii="宋体" w:hAnsi="宋体" w:cs="宋体"/>
                <w:b/>
                <w:color w:val="auto"/>
                <w:sz w:val="24"/>
                <w:highlight w:val="none"/>
                <w:lang w:bidi="ar"/>
              </w:rPr>
            </w:pPr>
            <w:r>
              <w:rPr>
                <w:rFonts w:hint="eastAsia" w:ascii="宋体" w:hAnsi="宋体" w:cs="宋体"/>
                <w:b/>
                <w:color w:val="auto"/>
                <w:sz w:val="24"/>
                <w:highlight w:val="none"/>
                <w:lang w:bidi="ar"/>
              </w:rPr>
              <w:t>工程完工验收或验收鉴定书（如有）</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ABABFB">
            <w:pPr>
              <w:autoSpaceDE w:val="0"/>
              <w:autoSpaceDN w:val="0"/>
              <w:spacing w:line="360" w:lineRule="auto"/>
              <w:ind w:firstLine="120"/>
              <w:rPr>
                <w:rFonts w:hint="eastAsia" w:ascii="宋体" w:hAnsi="宋体" w:cs="宋体"/>
                <w:b/>
                <w:color w:val="auto"/>
                <w:sz w:val="24"/>
                <w:highlight w:val="none"/>
                <w:lang w:bidi="ar"/>
              </w:rPr>
            </w:pPr>
            <w:r>
              <w:rPr>
                <w:rFonts w:hint="eastAsia" w:ascii="宋体" w:hAnsi="宋体" w:cs="宋体"/>
                <w:b/>
                <w:color w:val="auto"/>
                <w:sz w:val="24"/>
                <w:highlight w:val="none"/>
                <w:lang w:bidi="ar"/>
              </w:rPr>
              <w:t>用户评价（如有）</w:t>
            </w:r>
          </w:p>
        </w:tc>
        <w:tc>
          <w:tcPr>
            <w:tcW w:w="2270" w:type="dxa"/>
            <w:vMerge w:val="continue"/>
            <w:tcBorders>
              <w:top w:val="single" w:color="auto" w:sz="4" w:space="0"/>
              <w:left w:val="single" w:color="auto" w:sz="4" w:space="0"/>
              <w:bottom w:val="single" w:color="auto" w:sz="4" w:space="0"/>
              <w:right w:val="single" w:color="auto" w:sz="4" w:space="0"/>
            </w:tcBorders>
            <w:noWrap w:val="0"/>
            <w:vAlign w:val="center"/>
          </w:tcPr>
          <w:p w14:paraId="0580777C">
            <w:pPr>
              <w:autoSpaceDE w:val="0"/>
              <w:autoSpaceDN w:val="0"/>
              <w:spacing w:line="360" w:lineRule="auto"/>
              <w:ind w:firstLine="120"/>
              <w:rPr>
                <w:rFonts w:hint="eastAsia" w:ascii="宋体" w:hAnsi="宋体" w:cs="宋体"/>
                <w:b/>
                <w:color w:val="auto"/>
                <w:sz w:val="24"/>
                <w:highlight w:val="none"/>
                <w:lang w:bidi="ar"/>
              </w:rPr>
            </w:pPr>
          </w:p>
        </w:tc>
      </w:tr>
      <w:tr w14:paraId="5FCD2B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2F202BB6">
            <w:pPr>
              <w:snapToGrid w:val="0"/>
              <w:spacing w:line="240" w:lineRule="exact"/>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F31BC90">
            <w:pPr>
              <w:snapToGrid w:val="0"/>
              <w:spacing w:line="240" w:lineRule="exact"/>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59CA1BC3">
            <w:pPr>
              <w:snapToGrid w:val="0"/>
              <w:spacing w:line="240" w:lineRule="exact"/>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4B043B3">
            <w:pPr>
              <w:snapToGrid w:val="0"/>
              <w:spacing w:line="240" w:lineRule="exact"/>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16D1904">
            <w:pPr>
              <w:snapToGrid w:val="0"/>
              <w:spacing w:line="240" w:lineRule="exact"/>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5E6CD53">
            <w:pPr>
              <w:snapToGrid w:val="0"/>
              <w:spacing w:line="240" w:lineRule="exact"/>
              <w:jc w:val="left"/>
              <w:rPr>
                <w:rFonts w:hint="eastAsia" w:ascii="宋体" w:hAnsi="宋体" w:cs="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top"/>
          </w:tcPr>
          <w:p w14:paraId="4A7D3AC6">
            <w:pPr>
              <w:snapToGrid w:val="0"/>
              <w:spacing w:line="240" w:lineRule="exact"/>
              <w:jc w:val="left"/>
              <w:rPr>
                <w:rFonts w:hint="eastAsia" w:ascii="宋体" w:hAnsi="宋体" w:cs="宋体"/>
                <w:color w:val="auto"/>
                <w:sz w:val="24"/>
                <w:highlight w:val="none"/>
              </w:rPr>
            </w:pPr>
          </w:p>
        </w:tc>
      </w:tr>
      <w:tr w14:paraId="1F163E2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6AE7A62F">
            <w:pPr>
              <w:snapToGrid w:val="0"/>
              <w:spacing w:before="50" w:after="165" w:afterLines="50" w:line="400" w:lineRule="exact"/>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6B1D7B2">
            <w:pPr>
              <w:snapToGrid w:val="0"/>
              <w:spacing w:before="50" w:after="165" w:afterLines="50" w:line="400" w:lineRule="exact"/>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1B31DFB">
            <w:pPr>
              <w:snapToGrid w:val="0"/>
              <w:spacing w:before="50" w:after="165" w:afterLines="50" w:line="400" w:lineRule="exact"/>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DC1D531">
            <w:pPr>
              <w:snapToGrid w:val="0"/>
              <w:spacing w:before="50" w:after="165" w:afterLines="50" w:line="400" w:lineRule="exact"/>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B412C95">
            <w:pPr>
              <w:snapToGrid w:val="0"/>
              <w:spacing w:before="50" w:after="165" w:afterLines="50" w:line="400" w:lineRule="exact"/>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EB9299A">
            <w:pPr>
              <w:snapToGrid w:val="0"/>
              <w:spacing w:before="50" w:after="165" w:afterLines="50" w:line="400" w:lineRule="exact"/>
              <w:jc w:val="left"/>
              <w:rPr>
                <w:rFonts w:hint="eastAsia" w:ascii="宋体" w:hAnsi="宋体" w:cs="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top"/>
          </w:tcPr>
          <w:p w14:paraId="1901EA12">
            <w:pPr>
              <w:snapToGrid w:val="0"/>
              <w:spacing w:before="50" w:after="165" w:afterLines="50" w:line="400" w:lineRule="exact"/>
              <w:jc w:val="left"/>
              <w:rPr>
                <w:rFonts w:hint="eastAsia" w:ascii="宋体" w:hAnsi="宋体" w:cs="宋体"/>
                <w:color w:val="auto"/>
                <w:sz w:val="24"/>
                <w:highlight w:val="none"/>
              </w:rPr>
            </w:pPr>
          </w:p>
        </w:tc>
      </w:tr>
      <w:tr w14:paraId="7714C9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001A1EDC">
            <w:pPr>
              <w:snapToGrid w:val="0"/>
              <w:spacing w:before="50" w:after="165" w:afterLines="50" w:line="400" w:lineRule="exact"/>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756175B2">
            <w:pPr>
              <w:snapToGrid w:val="0"/>
              <w:spacing w:before="50" w:after="165" w:afterLines="50" w:line="400" w:lineRule="exact"/>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0C3D2E8">
            <w:pPr>
              <w:snapToGrid w:val="0"/>
              <w:spacing w:before="50" w:after="165" w:afterLines="50" w:line="400" w:lineRule="exact"/>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1E710F7">
            <w:pPr>
              <w:snapToGrid w:val="0"/>
              <w:spacing w:before="50" w:after="165" w:afterLines="50" w:line="400" w:lineRule="exact"/>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63F1C45">
            <w:pPr>
              <w:snapToGrid w:val="0"/>
              <w:spacing w:before="50" w:after="165" w:afterLines="50" w:line="400" w:lineRule="exact"/>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64137A2">
            <w:pPr>
              <w:snapToGrid w:val="0"/>
              <w:spacing w:before="50" w:after="165" w:afterLines="50" w:line="400" w:lineRule="exact"/>
              <w:jc w:val="left"/>
              <w:rPr>
                <w:rFonts w:hint="eastAsia" w:ascii="宋体" w:hAnsi="宋体" w:cs="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top"/>
          </w:tcPr>
          <w:p w14:paraId="0CB1B80E">
            <w:pPr>
              <w:snapToGrid w:val="0"/>
              <w:spacing w:before="50" w:after="165" w:afterLines="50" w:line="400" w:lineRule="exact"/>
              <w:jc w:val="left"/>
              <w:rPr>
                <w:rFonts w:hint="eastAsia" w:ascii="宋体" w:hAnsi="宋体" w:cs="宋体"/>
                <w:color w:val="auto"/>
                <w:sz w:val="24"/>
                <w:highlight w:val="none"/>
              </w:rPr>
            </w:pPr>
          </w:p>
        </w:tc>
      </w:tr>
      <w:tr w14:paraId="72DF26A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482A4FD0">
            <w:pPr>
              <w:snapToGrid w:val="0"/>
              <w:spacing w:before="50" w:after="165" w:afterLines="50" w:line="400" w:lineRule="exact"/>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A1DF717">
            <w:pPr>
              <w:snapToGrid w:val="0"/>
              <w:spacing w:before="50" w:after="165" w:afterLines="50" w:line="400" w:lineRule="exact"/>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00BE46F">
            <w:pPr>
              <w:snapToGrid w:val="0"/>
              <w:spacing w:before="50" w:after="165" w:afterLines="50" w:line="400" w:lineRule="exact"/>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C7652F7">
            <w:pPr>
              <w:snapToGrid w:val="0"/>
              <w:spacing w:before="50" w:after="165" w:afterLines="50" w:line="400" w:lineRule="exact"/>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E56BE97">
            <w:pPr>
              <w:snapToGrid w:val="0"/>
              <w:spacing w:before="50" w:after="165" w:afterLines="50" w:line="400" w:lineRule="exact"/>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FEF6247">
            <w:pPr>
              <w:snapToGrid w:val="0"/>
              <w:spacing w:before="50" w:after="165" w:afterLines="50" w:line="400" w:lineRule="exact"/>
              <w:jc w:val="left"/>
              <w:rPr>
                <w:rFonts w:hint="eastAsia" w:ascii="宋体" w:hAnsi="宋体" w:cs="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top"/>
          </w:tcPr>
          <w:p w14:paraId="3C7974C8">
            <w:pPr>
              <w:snapToGrid w:val="0"/>
              <w:spacing w:before="50" w:after="165" w:afterLines="50" w:line="400" w:lineRule="exact"/>
              <w:jc w:val="left"/>
              <w:rPr>
                <w:rFonts w:hint="eastAsia" w:ascii="宋体" w:hAnsi="宋体" w:cs="宋体"/>
                <w:color w:val="auto"/>
                <w:sz w:val="24"/>
                <w:highlight w:val="none"/>
              </w:rPr>
            </w:pPr>
          </w:p>
        </w:tc>
      </w:tr>
      <w:tr w14:paraId="28B666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50892C77">
            <w:pPr>
              <w:snapToGrid w:val="0"/>
              <w:spacing w:before="50" w:after="165" w:afterLines="50" w:line="400" w:lineRule="exact"/>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D6AC8A6">
            <w:pPr>
              <w:snapToGrid w:val="0"/>
              <w:spacing w:before="50" w:after="165" w:afterLines="50" w:line="400" w:lineRule="exact"/>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15A30014">
            <w:pPr>
              <w:snapToGrid w:val="0"/>
              <w:spacing w:before="50" w:after="165" w:afterLines="50" w:line="400" w:lineRule="exact"/>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6234788">
            <w:pPr>
              <w:snapToGrid w:val="0"/>
              <w:spacing w:before="50" w:after="165" w:afterLines="50" w:line="400" w:lineRule="exact"/>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8758521">
            <w:pPr>
              <w:snapToGrid w:val="0"/>
              <w:spacing w:before="50" w:after="165" w:afterLines="50" w:line="400" w:lineRule="exact"/>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C0BEDF4">
            <w:pPr>
              <w:snapToGrid w:val="0"/>
              <w:spacing w:before="50" w:after="165" w:afterLines="50" w:line="400" w:lineRule="exact"/>
              <w:jc w:val="left"/>
              <w:rPr>
                <w:rFonts w:hint="eastAsia" w:ascii="宋体" w:hAnsi="宋体" w:cs="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top"/>
          </w:tcPr>
          <w:p w14:paraId="7E9DBE40">
            <w:pPr>
              <w:snapToGrid w:val="0"/>
              <w:spacing w:before="50" w:after="165" w:afterLines="50" w:line="400" w:lineRule="exact"/>
              <w:jc w:val="left"/>
              <w:rPr>
                <w:rFonts w:hint="eastAsia" w:ascii="宋体" w:hAnsi="宋体" w:cs="宋体"/>
                <w:color w:val="auto"/>
                <w:sz w:val="24"/>
                <w:highlight w:val="none"/>
              </w:rPr>
            </w:pPr>
          </w:p>
        </w:tc>
      </w:tr>
    </w:tbl>
    <w:p w14:paraId="25BDD27F">
      <w:pPr>
        <w:widowControl/>
        <w:spacing w:line="360" w:lineRule="auto"/>
        <w:ind w:left="72"/>
        <w:rPr>
          <w:rFonts w:hint="eastAsia" w:ascii="宋体" w:hAnsi="宋体" w:cs="宋体"/>
          <w:color w:val="auto"/>
          <w:szCs w:val="20"/>
          <w:highlight w:val="none"/>
        </w:rPr>
      </w:pPr>
      <w:r>
        <w:rPr>
          <w:rFonts w:hint="eastAsia" w:ascii="宋体" w:hAnsi="宋体" w:cs="宋体"/>
          <w:color w:val="auto"/>
          <w:szCs w:val="20"/>
          <w:highlight w:val="none"/>
        </w:rPr>
        <w:t>注：投标人可按上述的格式自行编制，须随表提交相应的成交或中标通知书或合同复印件和用户单位验收证明（如有）并注明所在投标人商务技术文件页码。</w:t>
      </w:r>
    </w:p>
    <w:p w14:paraId="5AE9BAA6">
      <w:pPr>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lang w:bidi="ar"/>
        </w:rPr>
        <w:t xml:space="preserve"> </w:t>
      </w:r>
    </w:p>
    <w:p w14:paraId="24400DDD">
      <w:pPr>
        <w:snapToGrid w:val="0"/>
        <w:spacing w:line="360" w:lineRule="auto"/>
        <w:ind w:firstLine="4935" w:firstLineChars="2350"/>
        <w:rPr>
          <w:rFonts w:hint="eastAsia" w:ascii="宋体" w:hAnsi="宋体" w:cs="宋体"/>
          <w:color w:val="auto"/>
          <w:szCs w:val="21"/>
          <w:highlight w:val="none"/>
        </w:rPr>
      </w:pPr>
    </w:p>
    <w:p w14:paraId="1C193B84">
      <w:pPr>
        <w:snapToGrid w:val="0"/>
        <w:spacing w:line="360" w:lineRule="auto"/>
        <w:ind w:firstLine="10080" w:firstLineChars="4800"/>
        <w:rPr>
          <w:rFonts w:hint="eastAsia" w:ascii="宋体" w:hAnsi="宋体" w:cs="宋体"/>
          <w:color w:val="auto"/>
          <w:kern w:val="0"/>
          <w:sz w:val="24"/>
          <w:highlight w:val="none"/>
        </w:rPr>
      </w:pPr>
      <w:r>
        <w:rPr>
          <w:rFonts w:hint="eastAsia" w:ascii="宋体" w:hAnsi="宋体" w:cs="宋体"/>
          <w:color w:val="auto"/>
          <w:szCs w:val="21"/>
          <w:highlight w:val="none"/>
          <w:lang w:bidi="ar"/>
        </w:rPr>
        <w:t xml:space="preserve"> </w:t>
      </w:r>
      <w:r>
        <w:rPr>
          <w:rFonts w:hint="eastAsia" w:ascii="宋体" w:hAnsi="宋体" w:cs="宋体"/>
          <w:color w:val="auto"/>
          <w:kern w:val="0"/>
          <w:sz w:val="24"/>
          <w:highlight w:val="none"/>
          <w:lang w:val="zh-CN" w:bidi="ar"/>
        </w:rPr>
        <w:t>投标人名称(电子签章)：</w:t>
      </w:r>
    </w:p>
    <w:p w14:paraId="1394132B">
      <w:pPr>
        <w:snapToGrid w:val="0"/>
        <w:spacing w:line="360" w:lineRule="auto"/>
        <w:ind w:firstLine="10080" w:firstLineChars="4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140E0604">
      <w:pPr>
        <w:spacing w:line="360" w:lineRule="auto"/>
        <w:rPr>
          <w:rFonts w:hint="eastAsia" w:ascii="宋体" w:hAnsi="宋体" w:cs="宋体"/>
          <w:color w:val="auto"/>
          <w:sz w:val="24"/>
          <w:highlight w:val="none"/>
          <w:lang w:val="zh-CN" w:bidi="ar"/>
        </w:rPr>
        <w:sectPr>
          <w:pgSz w:w="16838" w:h="11906" w:orient="landscape"/>
          <w:pgMar w:top="1135" w:right="1135" w:bottom="1135" w:left="1135" w:header="720" w:footer="720" w:gutter="0"/>
          <w:pgNumType w:fmt="decimal"/>
          <w:cols w:space="720" w:num="1"/>
          <w:docGrid w:type="lines" w:linePitch="331" w:charSpace="0"/>
        </w:sectPr>
      </w:pPr>
    </w:p>
    <w:p w14:paraId="3A62C02C">
      <w:pPr>
        <w:snapToGrid w:val="0"/>
        <w:spacing w:before="50" w:after="165" w:afterLines="50" w:line="360" w:lineRule="auto"/>
        <w:ind w:left="300"/>
        <w:jc w:val="center"/>
        <w:rPr>
          <w:rFonts w:hint="eastAsia" w:ascii="宋体" w:hAnsi="宋体" w:cs="宋体"/>
          <w:b/>
          <w:color w:val="auto"/>
          <w:sz w:val="30"/>
          <w:szCs w:val="30"/>
          <w:highlight w:val="none"/>
        </w:rPr>
      </w:pPr>
      <w:bookmarkStart w:id="358" w:name="_Toc12712"/>
      <w:bookmarkStart w:id="359" w:name="_Toc19686839"/>
      <w:bookmarkStart w:id="360" w:name="_Toc12718"/>
    </w:p>
    <w:p w14:paraId="2D9AF089">
      <w:pPr>
        <w:snapToGrid w:val="0"/>
        <w:spacing w:before="50" w:after="165" w:afterLines="50" w:line="360" w:lineRule="auto"/>
        <w:ind w:left="300"/>
        <w:jc w:val="center"/>
        <w:rPr>
          <w:rFonts w:hint="eastAsia" w:ascii="宋体" w:hAnsi="宋体" w:cs="宋体"/>
          <w:b/>
          <w:color w:val="auto"/>
          <w:sz w:val="30"/>
          <w:szCs w:val="30"/>
          <w:highlight w:val="none"/>
        </w:rPr>
      </w:pPr>
    </w:p>
    <w:p w14:paraId="222BC996">
      <w:pPr>
        <w:snapToGrid w:val="0"/>
        <w:spacing w:before="50" w:after="165" w:afterLines="50" w:line="360" w:lineRule="auto"/>
        <w:ind w:left="300"/>
        <w:jc w:val="center"/>
        <w:rPr>
          <w:rFonts w:hint="eastAsia" w:ascii="宋体" w:hAnsi="宋体" w:cs="宋体"/>
          <w:b/>
          <w:color w:val="auto"/>
          <w:sz w:val="30"/>
          <w:szCs w:val="30"/>
          <w:highlight w:val="none"/>
          <w:lang w:bidi="ar"/>
        </w:rPr>
      </w:pPr>
      <w:r>
        <w:rPr>
          <w:rFonts w:hint="eastAsia" w:ascii="宋体" w:hAnsi="宋体" w:cs="宋体"/>
          <w:b/>
          <w:color w:val="auto"/>
          <w:sz w:val="30"/>
          <w:szCs w:val="30"/>
          <w:highlight w:val="none"/>
        </w:rPr>
        <w:t>七、</w:t>
      </w:r>
      <w:r>
        <w:rPr>
          <w:rFonts w:hint="eastAsia" w:ascii="宋体" w:hAnsi="宋体" w:cs="宋体"/>
          <w:b/>
          <w:color w:val="auto"/>
          <w:sz w:val="30"/>
          <w:szCs w:val="30"/>
          <w:highlight w:val="none"/>
          <w:lang w:bidi="ar"/>
        </w:rPr>
        <w:t>其他商务文件或说明</w:t>
      </w:r>
    </w:p>
    <w:p w14:paraId="6E0C0328">
      <w:pPr>
        <w:snapToGrid w:val="0"/>
        <w:spacing w:before="50" w:after="165" w:afterLines="50" w:line="360" w:lineRule="auto"/>
        <w:ind w:left="300"/>
        <w:jc w:val="left"/>
        <w:rPr>
          <w:rFonts w:hint="eastAsia" w:ascii="宋体" w:hAnsi="宋体" w:cs="宋体"/>
          <w:b/>
          <w:bCs/>
          <w:color w:val="auto"/>
          <w:sz w:val="28"/>
          <w:szCs w:val="28"/>
          <w:highlight w:val="none"/>
        </w:rPr>
      </w:pPr>
    </w:p>
    <w:p w14:paraId="37D205CB">
      <w:pPr>
        <w:snapToGrid w:val="0"/>
        <w:spacing w:line="360" w:lineRule="auto"/>
        <w:ind w:firstLine="5040" w:firstLineChars="2100"/>
        <w:rPr>
          <w:rFonts w:hint="eastAsia" w:ascii="宋体" w:hAnsi="宋体" w:cs="宋体"/>
          <w:color w:val="auto"/>
          <w:kern w:val="0"/>
          <w:sz w:val="24"/>
          <w:highlight w:val="none"/>
          <w:lang w:val="zh-CN" w:bidi="ar"/>
        </w:rPr>
      </w:pPr>
    </w:p>
    <w:p w14:paraId="33E2683D">
      <w:pPr>
        <w:snapToGrid w:val="0"/>
        <w:spacing w:line="360" w:lineRule="auto"/>
        <w:ind w:firstLine="5040" w:firstLineChars="2100"/>
        <w:rPr>
          <w:rFonts w:hint="eastAsia" w:ascii="宋体" w:hAnsi="宋体" w:cs="宋体"/>
          <w:color w:val="auto"/>
          <w:kern w:val="0"/>
          <w:sz w:val="24"/>
          <w:highlight w:val="none"/>
          <w:lang w:val="zh-CN" w:bidi="ar"/>
        </w:rPr>
      </w:pPr>
      <w:r>
        <w:rPr>
          <w:rFonts w:hint="eastAsia" w:ascii="宋体" w:hAnsi="宋体" w:cs="宋体"/>
          <w:color w:val="auto"/>
          <w:kern w:val="0"/>
          <w:sz w:val="24"/>
          <w:highlight w:val="none"/>
          <w:lang w:val="zh-CN" w:bidi="ar"/>
        </w:rPr>
        <w:t>投标人名称(电子签章)：</w:t>
      </w:r>
    </w:p>
    <w:p w14:paraId="2C7D8A30">
      <w:pPr>
        <w:snapToGrid w:val="0"/>
        <w:spacing w:line="360" w:lineRule="auto"/>
        <w:ind w:firstLine="5040" w:firstLineChars="2100"/>
        <w:jc w:val="center"/>
        <w:rPr>
          <w:rFonts w:hint="eastAsia" w:ascii="宋体" w:hAnsi="宋体" w:cs="宋体"/>
          <w:color w:val="auto"/>
          <w:kern w:val="0"/>
          <w:sz w:val="24"/>
          <w:highlight w:val="none"/>
          <w:lang w:val="zh-CN" w:bidi="ar"/>
        </w:rPr>
      </w:pPr>
      <w:r>
        <w:rPr>
          <w:rFonts w:hint="eastAsia" w:ascii="宋体" w:hAnsi="宋体" w:cs="宋体"/>
          <w:color w:val="auto"/>
          <w:kern w:val="0"/>
          <w:sz w:val="24"/>
          <w:highlight w:val="none"/>
          <w:lang w:val="zh-CN" w:bidi="ar"/>
        </w:rPr>
        <w:t>日期：  年  月   日</w:t>
      </w:r>
    </w:p>
    <w:p w14:paraId="77B9B4BA">
      <w:pPr>
        <w:widowControl/>
        <w:jc w:val="center"/>
        <w:outlineLvl w:val="1"/>
        <w:rPr>
          <w:rFonts w:hint="eastAsia" w:ascii="宋体" w:hAnsi="宋体" w:cs="宋体"/>
          <w:b/>
          <w:bCs/>
          <w:color w:val="auto"/>
          <w:sz w:val="28"/>
          <w:szCs w:val="28"/>
          <w:highlight w:val="none"/>
        </w:rPr>
        <w:sectPr>
          <w:pgSz w:w="11906" w:h="16838"/>
          <w:pgMar w:top="1135" w:right="1135" w:bottom="1135" w:left="1135" w:header="720" w:footer="720" w:gutter="0"/>
          <w:pgNumType w:fmt="decimal"/>
          <w:cols w:space="720" w:num="1"/>
          <w:docGrid w:type="lines" w:linePitch="331" w:charSpace="0"/>
        </w:sectPr>
      </w:pPr>
    </w:p>
    <w:p w14:paraId="22AB3E32">
      <w:pPr>
        <w:widowControl/>
        <w:jc w:val="center"/>
        <w:outlineLvl w:val="1"/>
        <w:rPr>
          <w:rFonts w:hint="eastAsia" w:ascii="宋体" w:hAnsi="宋体" w:cs="宋体"/>
          <w:b/>
          <w:bCs/>
          <w:color w:val="auto"/>
          <w:sz w:val="28"/>
          <w:szCs w:val="28"/>
          <w:highlight w:val="none"/>
        </w:rPr>
      </w:pPr>
      <w:bookmarkStart w:id="361" w:name="_Toc7889"/>
      <w:r>
        <w:rPr>
          <w:rFonts w:hint="eastAsia" w:ascii="宋体" w:hAnsi="宋体" w:cs="宋体"/>
          <w:b/>
          <w:bCs/>
          <w:color w:val="auto"/>
          <w:sz w:val="28"/>
          <w:szCs w:val="28"/>
          <w:highlight w:val="none"/>
        </w:rPr>
        <w:t>第四节 技术文件格式</w:t>
      </w:r>
      <w:bookmarkEnd w:id="358"/>
      <w:bookmarkEnd w:id="359"/>
      <w:bookmarkEnd w:id="360"/>
      <w:bookmarkEnd w:id="361"/>
    </w:p>
    <w:p w14:paraId="7F02D09B">
      <w:pPr>
        <w:snapToGrid w:val="0"/>
        <w:spacing w:before="165" w:beforeLines="50" w:after="50"/>
        <w:rPr>
          <w:rFonts w:hint="eastAsia" w:ascii="宋体" w:hAnsi="宋体" w:cs="宋体"/>
          <w:bCs/>
          <w:color w:val="auto"/>
          <w:sz w:val="32"/>
          <w:szCs w:val="20"/>
          <w:highlight w:val="none"/>
        </w:rPr>
      </w:pPr>
      <w:r>
        <w:rPr>
          <w:rFonts w:hint="eastAsia" w:ascii="宋体" w:hAnsi="宋体" w:cs="宋体"/>
          <w:color w:val="auto"/>
          <w:sz w:val="24"/>
          <w:highlight w:val="none"/>
          <w:lang w:bidi="ar"/>
        </w:rPr>
        <w:t xml:space="preserve">                                                  </w:t>
      </w:r>
      <w:r>
        <w:rPr>
          <w:rFonts w:hint="eastAsia" w:ascii="宋体" w:hAnsi="宋体" w:cs="宋体"/>
          <w:bCs/>
          <w:color w:val="auto"/>
          <w:highlight w:val="none"/>
          <w:lang w:bidi="ar"/>
        </w:rPr>
        <w:t>电子投标文件</w:t>
      </w:r>
    </w:p>
    <w:p w14:paraId="7A9D5952">
      <w:pPr>
        <w:snapToGrid w:val="0"/>
        <w:spacing w:before="165" w:beforeLines="50" w:after="50"/>
        <w:rPr>
          <w:rFonts w:hint="eastAsia" w:ascii="宋体" w:hAnsi="宋体" w:cs="宋体"/>
          <w:color w:val="auto"/>
          <w:sz w:val="24"/>
          <w:szCs w:val="20"/>
          <w:highlight w:val="none"/>
        </w:rPr>
      </w:pPr>
    </w:p>
    <w:p w14:paraId="31E780F6">
      <w:pPr>
        <w:snapToGrid w:val="0"/>
        <w:spacing w:before="165" w:beforeLines="50" w:after="50"/>
        <w:jc w:val="center"/>
        <w:rPr>
          <w:rFonts w:hint="eastAsia" w:ascii="宋体" w:hAnsi="宋体" w:cs="宋体"/>
          <w:b/>
          <w:bCs/>
          <w:color w:val="auto"/>
          <w:sz w:val="32"/>
          <w:szCs w:val="32"/>
          <w:highlight w:val="none"/>
        </w:rPr>
      </w:pPr>
    </w:p>
    <w:p w14:paraId="6049B864">
      <w:pPr>
        <w:snapToGrid w:val="0"/>
        <w:spacing w:before="165" w:beforeLines="50" w:after="50"/>
        <w:jc w:val="center"/>
        <w:rPr>
          <w:rFonts w:hint="eastAsia" w:ascii="宋体" w:hAnsi="宋体" w:cs="宋体"/>
          <w:b/>
          <w:bCs/>
          <w:color w:val="auto"/>
          <w:sz w:val="32"/>
          <w:szCs w:val="32"/>
          <w:highlight w:val="none"/>
        </w:rPr>
      </w:pPr>
    </w:p>
    <w:p w14:paraId="0569EABA">
      <w:pPr>
        <w:snapToGrid w:val="0"/>
        <w:spacing w:before="165" w:beforeLines="50" w:after="50"/>
        <w:jc w:val="center"/>
        <w:rPr>
          <w:rFonts w:hint="eastAsia" w:ascii="宋体" w:hAnsi="宋体" w:cs="宋体"/>
          <w:b/>
          <w:bCs/>
          <w:color w:val="auto"/>
          <w:sz w:val="32"/>
          <w:szCs w:val="32"/>
          <w:highlight w:val="none"/>
        </w:rPr>
      </w:pPr>
    </w:p>
    <w:p w14:paraId="58E68C0A">
      <w:pPr>
        <w:snapToGrid w:val="0"/>
        <w:spacing w:before="165" w:beforeLines="50" w:after="5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技术文件（封面）</w:t>
      </w:r>
    </w:p>
    <w:p w14:paraId="5EC32F04">
      <w:pPr>
        <w:snapToGrid w:val="0"/>
        <w:spacing w:before="165" w:beforeLines="50" w:after="50"/>
        <w:rPr>
          <w:rFonts w:hint="eastAsia" w:ascii="宋体" w:hAnsi="宋体" w:cs="宋体"/>
          <w:bCs/>
          <w:color w:val="auto"/>
          <w:sz w:val="24"/>
          <w:szCs w:val="20"/>
          <w:highlight w:val="none"/>
        </w:rPr>
      </w:pPr>
    </w:p>
    <w:p w14:paraId="18FB81B7">
      <w:pPr>
        <w:snapToGrid w:val="0"/>
        <w:spacing w:before="165" w:beforeLines="50" w:after="50" w:line="400" w:lineRule="exact"/>
        <w:ind w:firstLine="360" w:firstLineChars="150"/>
        <w:rPr>
          <w:rFonts w:hint="eastAsia" w:ascii="宋体" w:hAnsi="宋体" w:cs="宋体"/>
          <w:bCs/>
          <w:color w:val="auto"/>
          <w:sz w:val="24"/>
          <w:szCs w:val="20"/>
          <w:highlight w:val="none"/>
        </w:rPr>
      </w:pPr>
      <w:r>
        <w:rPr>
          <w:rFonts w:hint="eastAsia" w:ascii="宋体" w:hAnsi="宋体" w:cs="宋体"/>
          <w:bCs/>
          <w:color w:val="auto"/>
          <w:sz w:val="24"/>
          <w:highlight w:val="none"/>
          <w:lang w:bidi="ar"/>
        </w:rPr>
        <w:t xml:space="preserve">项目名称：  </w:t>
      </w:r>
    </w:p>
    <w:p w14:paraId="784FF679">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lang w:bidi="ar"/>
        </w:rPr>
        <w:t xml:space="preserve">项目编号：  </w:t>
      </w:r>
    </w:p>
    <w:p w14:paraId="79FD7B15">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lang w:bidi="ar"/>
        </w:rPr>
        <w:t>所投分标：</w:t>
      </w:r>
    </w:p>
    <w:p w14:paraId="54FDF0EB">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lang w:bidi="ar"/>
        </w:rPr>
        <w:t>投标人名称：</w:t>
      </w:r>
    </w:p>
    <w:p w14:paraId="470369DB">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lang w:bidi="ar"/>
        </w:rPr>
        <w:t>投标人地址：</w:t>
      </w:r>
    </w:p>
    <w:p w14:paraId="201560A8">
      <w:pPr>
        <w:snapToGrid w:val="0"/>
        <w:spacing w:before="165"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lang w:bidi="ar"/>
        </w:rPr>
        <w:t xml:space="preserve">                        年    月    日</w:t>
      </w:r>
    </w:p>
    <w:p w14:paraId="4CF918A9">
      <w:pPr>
        <w:snapToGrid w:val="0"/>
        <w:spacing w:before="165" w:beforeLines="50" w:after="50"/>
        <w:ind w:firstLine="645"/>
        <w:jc w:val="center"/>
        <w:rPr>
          <w:rFonts w:hint="eastAsia" w:ascii="宋体" w:hAnsi="宋体" w:cs="宋体"/>
          <w:color w:val="auto"/>
          <w:sz w:val="24"/>
          <w:szCs w:val="20"/>
          <w:highlight w:val="none"/>
        </w:rPr>
      </w:pPr>
    </w:p>
    <w:p w14:paraId="6AB30156">
      <w:pPr>
        <w:jc w:val="center"/>
        <w:rPr>
          <w:rFonts w:hint="eastAsia" w:ascii="宋体" w:hAnsi="宋体" w:cs="宋体"/>
          <w:b/>
          <w:color w:val="auto"/>
          <w:kern w:val="0"/>
          <w:sz w:val="28"/>
          <w:szCs w:val="28"/>
          <w:highlight w:val="none"/>
        </w:rPr>
      </w:pPr>
      <w:r>
        <w:rPr>
          <w:rFonts w:hint="eastAsia" w:ascii="宋体" w:hAnsi="宋体" w:cs="宋体"/>
          <w:b/>
          <w:bCs/>
          <w:color w:val="auto"/>
          <w:sz w:val="24"/>
          <w:highlight w:val="none"/>
          <w:lang w:bidi="ar"/>
        </w:rPr>
        <w:br w:type="page"/>
      </w:r>
      <w:r>
        <w:rPr>
          <w:rFonts w:hint="eastAsia" w:ascii="宋体" w:hAnsi="宋体" w:cs="宋体"/>
          <w:b/>
          <w:color w:val="auto"/>
          <w:kern w:val="0"/>
          <w:sz w:val="28"/>
          <w:szCs w:val="28"/>
          <w:highlight w:val="none"/>
          <w:lang w:bidi="ar"/>
        </w:rPr>
        <w:t>技术文件目录</w:t>
      </w:r>
    </w:p>
    <w:p w14:paraId="3E8DC8A5">
      <w:pPr>
        <w:widowControl/>
        <w:adjustRightInd w:val="0"/>
        <w:spacing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一、技术需求偏离表……………………………………………………………（页码）</w:t>
      </w:r>
    </w:p>
    <w:p w14:paraId="2E1D3F89">
      <w:pPr>
        <w:widowControl/>
        <w:adjustRightInd w:val="0"/>
        <w:spacing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二、项目实施方案………………………………………………………………（页码）</w:t>
      </w:r>
    </w:p>
    <w:p w14:paraId="14457D0A">
      <w:pPr>
        <w:widowControl/>
        <w:adjustRightInd w:val="0"/>
        <w:spacing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三、对本项目总体要求的理解（如有要求）…………………………………（页码）</w:t>
      </w:r>
    </w:p>
    <w:p w14:paraId="59FF9EFA">
      <w:pPr>
        <w:widowControl/>
        <w:adjustRightInd w:val="0"/>
        <w:spacing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lang w:val="zh-CN"/>
        </w:rPr>
        <w:t>产品出</w:t>
      </w:r>
      <w:r>
        <w:rPr>
          <w:rFonts w:hint="eastAsia" w:ascii="宋体" w:hAnsi="宋体" w:cs="宋体"/>
          <w:color w:val="auto"/>
          <w:sz w:val="24"/>
          <w:highlight w:val="none"/>
        </w:rPr>
        <w:t>厂</w:t>
      </w:r>
      <w:r>
        <w:rPr>
          <w:rFonts w:hint="eastAsia" w:ascii="宋体" w:hAnsi="宋体" w:cs="宋体"/>
          <w:color w:val="auto"/>
          <w:sz w:val="24"/>
          <w:highlight w:val="none"/>
          <w:lang w:val="zh-CN"/>
        </w:rPr>
        <w:t>标准、质量检测报告</w:t>
      </w:r>
      <w:r>
        <w:rPr>
          <w:rFonts w:hint="eastAsia" w:ascii="宋体" w:hAnsi="宋体" w:cs="宋体"/>
          <w:color w:val="auto"/>
          <w:sz w:val="24"/>
          <w:highlight w:val="none"/>
        </w:rPr>
        <w:t>（如有要求）</w:t>
      </w:r>
      <w:r>
        <w:rPr>
          <w:rFonts w:hint="eastAsia" w:ascii="宋体" w:hAnsi="宋体" w:cs="宋体"/>
          <w:color w:val="auto"/>
          <w:sz w:val="24"/>
          <w:highlight w:val="none"/>
          <w:lang w:val="zh-CN"/>
        </w:rPr>
        <w:t>……</w:t>
      </w:r>
      <w:r>
        <w:rPr>
          <w:rFonts w:hint="eastAsia" w:ascii="宋体" w:hAnsi="宋体" w:cs="宋体"/>
          <w:color w:val="auto"/>
          <w:sz w:val="24"/>
          <w:highlight w:val="none"/>
        </w:rPr>
        <w:t>…</w:t>
      </w:r>
      <w:r>
        <w:rPr>
          <w:rFonts w:hint="eastAsia" w:ascii="宋体" w:hAnsi="宋体" w:cs="宋体"/>
          <w:color w:val="auto"/>
          <w:sz w:val="24"/>
          <w:highlight w:val="none"/>
          <w:lang w:val="zh-CN"/>
        </w:rPr>
        <w:t>………</w:t>
      </w:r>
      <w:r>
        <w:rPr>
          <w:rFonts w:hint="eastAsia" w:ascii="宋体" w:hAnsi="宋体" w:cs="宋体"/>
          <w:color w:val="auto"/>
          <w:sz w:val="24"/>
          <w:highlight w:val="none"/>
        </w:rPr>
        <w:t>……………（页码）</w:t>
      </w:r>
    </w:p>
    <w:p w14:paraId="38C9F5DF">
      <w:pPr>
        <w:widowControl/>
        <w:adjustRightInd w:val="0"/>
        <w:spacing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五、优惠条件及特殊承诺（如有要求）</w:t>
      </w:r>
      <w:r>
        <w:rPr>
          <w:rFonts w:hint="eastAsia" w:ascii="宋体" w:hAnsi="宋体" w:cs="宋体"/>
          <w:color w:val="auto"/>
          <w:sz w:val="24"/>
          <w:highlight w:val="none"/>
          <w:lang w:val="zh-CN"/>
        </w:rPr>
        <w:t>…………………………</w:t>
      </w:r>
      <w:r>
        <w:rPr>
          <w:rFonts w:hint="eastAsia" w:ascii="宋体" w:hAnsi="宋体" w:cs="宋体"/>
          <w:color w:val="auto"/>
          <w:sz w:val="24"/>
          <w:highlight w:val="none"/>
        </w:rPr>
        <w:t>……………（页码）</w:t>
      </w:r>
    </w:p>
    <w:p w14:paraId="5150AF2B">
      <w:pPr>
        <w:widowControl/>
        <w:adjustRightInd w:val="0"/>
        <w:spacing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六、对项目的合理化建议和改进措施（如有要求）</w:t>
      </w:r>
      <w:r>
        <w:rPr>
          <w:rFonts w:hint="eastAsia" w:ascii="宋体" w:hAnsi="宋体" w:cs="宋体"/>
          <w:color w:val="auto"/>
          <w:sz w:val="24"/>
          <w:highlight w:val="none"/>
          <w:lang w:val="zh-CN"/>
        </w:rPr>
        <w:t>………………………………</w:t>
      </w:r>
      <w:r>
        <w:rPr>
          <w:rFonts w:hint="eastAsia" w:ascii="宋体" w:hAnsi="宋体" w:cs="宋体"/>
          <w:color w:val="auto"/>
          <w:sz w:val="24"/>
          <w:highlight w:val="none"/>
        </w:rPr>
        <w:t>（页码）</w:t>
      </w:r>
    </w:p>
    <w:p w14:paraId="6FA0849C">
      <w:pPr>
        <w:widowControl/>
        <w:adjustRightInd w:val="0"/>
        <w:spacing w:line="360" w:lineRule="auto"/>
        <w:ind w:left="2" w:firstLine="480" w:firstLineChars="200"/>
        <w:rPr>
          <w:rFonts w:hint="eastAsia" w:ascii="宋体" w:hAnsi="宋体" w:cs="宋体"/>
          <w:color w:val="auto"/>
          <w:sz w:val="24"/>
          <w:highlight w:val="none"/>
        </w:rPr>
      </w:pPr>
      <w:r>
        <w:rPr>
          <w:rFonts w:hint="eastAsia" w:ascii="宋体" w:hAnsi="宋体" w:cs="宋体"/>
          <w:color w:val="auto"/>
          <w:sz w:val="24"/>
          <w:highlight w:val="none"/>
        </w:rPr>
        <w:t>七、投标人需要说明的其他文件和说明（如有）</w:t>
      </w:r>
      <w:r>
        <w:rPr>
          <w:rFonts w:hint="eastAsia" w:ascii="宋体" w:hAnsi="宋体" w:cs="宋体"/>
          <w:color w:val="auto"/>
          <w:sz w:val="24"/>
          <w:highlight w:val="none"/>
          <w:lang w:val="zh-CN"/>
        </w:rPr>
        <w:t>………………………………</w:t>
      </w:r>
      <w:r>
        <w:rPr>
          <w:rFonts w:hint="eastAsia" w:ascii="宋体" w:hAnsi="宋体" w:cs="宋体"/>
          <w:color w:val="auto"/>
          <w:sz w:val="24"/>
          <w:highlight w:val="none"/>
        </w:rPr>
        <w:t>（页码）</w:t>
      </w:r>
    </w:p>
    <w:p w14:paraId="3013841A">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bidi="ar"/>
        </w:rPr>
        <w:t>注：以上目录是基本格式要求，各投标人可根据自身情况进一步向下增加内容或细化。</w:t>
      </w:r>
    </w:p>
    <w:p w14:paraId="063DB4E5">
      <w:pPr>
        <w:snapToGrid w:val="0"/>
        <w:spacing w:before="165" w:beforeLines="50" w:after="50"/>
        <w:ind w:left="143" w:leftChars="68" w:firstLine="472" w:firstLineChars="196"/>
        <w:jc w:val="left"/>
        <w:rPr>
          <w:rFonts w:hint="eastAsia" w:ascii="宋体" w:hAnsi="宋体" w:cs="宋体"/>
          <w:b/>
          <w:color w:val="auto"/>
          <w:sz w:val="24"/>
          <w:highlight w:val="none"/>
        </w:rPr>
      </w:pPr>
    </w:p>
    <w:p w14:paraId="4E92ABE5">
      <w:pPr>
        <w:snapToGrid w:val="0"/>
        <w:spacing w:before="165" w:beforeLines="50" w:after="50"/>
        <w:ind w:left="143" w:leftChars="68" w:firstLine="472" w:firstLineChars="196"/>
        <w:jc w:val="left"/>
        <w:rPr>
          <w:rFonts w:hint="eastAsia" w:ascii="宋体" w:hAnsi="宋体" w:cs="宋体"/>
          <w:b/>
          <w:color w:val="auto"/>
          <w:sz w:val="24"/>
          <w:highlight w:val="none"/>
        </w:rPr>
      </w:pPr>
      <w:r>
        <w:rPr>
          <w:rFonts w:hint="eastAsia" w:ascii="宋体" w:hAnsi="宋体" w:cs="宋体"/>
          <w:b/>
          <w:color w:val="auto"/>
          <w:sz w:val="24"/>
          <w:highlight w:val="none"/>
          <w:lang w:bidi="ar"/>
        </w:rPr>
        <w:br w:type="page"/>
      </w:r>
      <w:r>
        <w:rPr>
          <w:rFonts w:hint="eastAsia" w:ascii="宋体" w:hAnsi="宋体" w:cs="宋体"/>
          <w:b/>
          <w:color w:val="auto"/>
          <w:sz w:val="24"/>
          <w:highlight w:val="none"/>
          <w:lang w:bidi="ar"/>
        </w:rPr>
        <w:t xml:space="preserve"> </w:t>
      </w:r>
    </w:p>
    <w:p w14:paraId="60A40FC0">
      <w:pPr>
        <w:widowControl/>
        <w:spacing w:line="50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一、技术需求偏离表</w:t>
      </w:r>
    </w:p>
    <w:p w14:paraId="7E3D655E">
      <w:pPr>
        <w:widowControl/>
        <w:spacing w:line="440" w:lineRule="exact"/>
        <w:ind w:firstLine="420" w:firstLineChars="200"/>
        <w:rPr>
          <w:rFonts w:hint="eastAsia" w:ascii="宋体" w:hAnsi="宋体" w:cs="宋体"/>
          <w:color w:val="auto"/>
          <w:szCs w:val="20"/>
          <w:highlight w:val="none"/>
        </w:rPr>
      </w:pPr>
    </w:p>
    <w:p w14:paraId="54A3FDBE">
      <w:pPr>
        <w:widowControl/>
        <w:spacing w:line="6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请根据所投货物的实际技术参数，</w:t>
      </w:r>
      <w:r>
        <w:rPr>
          <w:rFonts w:hint="eastAsia" w:ascii="宋体" w:hAnsi="宋体" w:cs="宋体"/>
          <w:b/>
          <w:color w:val="auto"/>
          <w:sz w:val="28"/>
          <w:szCs w:val="28"/>
          <w:highlight w:val="none"/>
        </w:rPr>
        <w:t>逐条对应</w:t>
      </w:r>
      <w:r>
        <w:rPr>
          <w:rFonts w:hint="eastAsia" w:ascii="宋体" w:hAnsi="宋体" w:cs="宋体"/>
          <w:color w:val="auto"/>
          <w:sz w:val="24"/>
          <w:highlight w:val="none"/>
        </w:rPr>
        <w:t>本项目招标文件第二章“货物需求一览表”中的</w:t>
      </w:r>
      <w:r>
        <w:rPr>
          <w:rFonts w:hint="eastAsia" w:ascii="宋体" w:hAnsi="宋体" w:cs="宋体"/>
          <w:b/>
          <w:color w:val="auto"/>
          <w:sz w:val="28"/>
          <w:szCs w:val="28"/>
          <w:highlight w:val="none"/>
        </w:rPr>
        <w:t>采购清单及货物参数</w:t>
      </w:r>
      <w:r>
        <w:rPr>
          <w:rFonts w:hint="eastAsia" w:ascii="宋体" w:hAnsi="宋体" w:cs="宋体"/>
          <w:color w:val="auto"/>
          <w:sz w:val="24"/>
          <w:highlight w:val="none"/>
        </w:rPr>
        <w:t>详细填写相应的具体内容。“偏离说明”一栏应当选择“正偏离”、“负偏离”或“无偏离”进行填写。</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6C11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15F143B0">
            <w:pPr>
              <w:rPr>
                <w:rFonts w:hint="eastAsia" w:ascii="宋体" w:hAnsi="宋体" w:cs="宋体"/>
                <w:color w:val="auto"/>
                <w:szCs w:val="21"/>
                <w:highlight w:val="none"/>
              </w:rPr>
            </w:pPr>
            <w:r>
              <w:rPr>
                <w:rFonts w:hint="eastAsia" w:ascii="宋体" w:hAnsi="宋体" w:cs="宋体"/>
                <w:color w:val="auto"/>
                <w:szCs w:val="21"/>
                <w:highlight w:val="none"/>
                <w:lang w:bidi="ar"/>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4797F5DC">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68CCFFFF">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2DF531D7">
            <w:pPr>
              <w:rPr>
                <w:rFonts w:hint="eastAsia" w:ascii="宋体" w:hAnsi="宋体" w:cs="宋体"/>
                <w:color w:val="auto"/>
                <w:szCs w:val="21"/>
                <w:highlight w:val="none"/>
              </w:rPr>
            </w:pPr>
            <w:r>
              <w:rPr>
                <w:rFonts w:hint="eastAsia" w:ascii="宋体" w:hAnsi="宋体" w:cs="宋体"/>
                <w:color w:val="auto"/>
                <w:szCs w:val="21"/>
                <w:highlight w:val="none"/>
                <w:lang w:bidi="ar"/>
              </w:rPr>
              <w:t>偏离说明</w:t>
            </w:r>
          </w:p>
        </w:tc>
      </w:tr>
      <w:tr w14:paraId="19B6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7744BA46">
            <w:pPr>
              <w:rPr>
                <w:rFonts w:hint="eastAsia" w:ascii="宋体" w:hAnsi="宋体" w:cs="宋体"/>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880CD6">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货物名称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F9BE39B">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货物参数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B9332C1">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货物名称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CEFAF4F">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所提供货物的内容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421FDF6E">
            <w:pPr>
              <w:rPr>
                <w:rFonts w:hint="eastAsia" w:ascii="宋体" w:hAnsi="宋体" w:cs="宋体"/>
                <w:color w:val="auto"/>
                <w:sz w:val="20"/>
                <w:szCs w:val="20"/>
                <w:highlight w:val="none"/>
              </w:rPr>
            </w:pPr>
          </w:p>
        </w:tc>
      </w:tr>
      <w:tr w14:paraId="22B1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0911C297">
            <w:pP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A731A87">
            <w:pPr>
              <w:rPr>
                <w:rFonts w:hint="eastAsia" w:ascii="宋体" w:hAnsi="宋体" w:cs="宋体"/>
                <w:color w:val="auto"/>
                <w:szCs w:val="21"/>
                <w:highlight w:val="none"/>
              </w:rPr>
            </w:pPr>
            <w:r>
              <w:rPr>
                <w:rFonts w:hint="eastAsia" w:ascii="宋体" w:hAnsi="宋体" w:cs="宋体"/>
                <w:color w:val="auto"/>
                <w:szCs w:val="21"/>
                <w:highlight w:val="none"/>
                <w:lang w:bidi="ar"/>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8E8A112">
            <w:pPr>
              <w:rPr>
                <w:rFonts w:hint="eastAsia" w:ascii="宋体" w:hAnsi="宋体" w:cs="宋体"/>
                <w:color w:val="auto"/>
                <w:szCs w:val="21"/>
                <w:highlight w:val="none"/>
              </w:rPr>
            </w:pPr>
            <w:r>
              <w:rPr>
                <w:rFonts w:hint="eastAsia" w:ascii="宋体" w:hAnsi="宋体" w:cs="宋体"/>
                <w:color w:val="auto"/>
                <w:szCs w:val="21"/>
                <w:highlight w:val="none"/>
                <w:lang w:bidi="ar"/>
              </w:rPr>
              <w:t>1  ……</w:t>
            </w:r>
          </w:p>
          <w:p w14:paraId="2E79CE48">
            <w:pPr>
              <w:rPr>
                <w:rFonts w:hint="eastAsia" w:ascii="宋体" w:hAnsi="宋体" w:cs="宋体"/>
                <w:color w:val="auto"/>
                <w:szCs w:val="21"/>
                <w:highlight w:val="none"/>
              </w:rPr>
            </w:pPr>
            <w:r>
              <w:rPr>
                <w:rFonts w:hint="eastAsia" w:ascii="宋体" w:hAnsi="宋体" w:cs="宋体"/>
                <w:color w:val="auto"/>
                <w:szCs w:val="21"/>
                <w:highlight w:val="none"/>
                <w:lang w:bidi="ar"/>
              </w:rPr>
              <w:t>2  ……</w:t>
            </w:r>
          </w:p>
          <w:p w14:paraId="6DF46037">
            <w:pPr>
              <w:rPr>
                <w:rFonts w:hint="eastAsia" w:ascii="宋体" w:hAnsi="宋体" w:cs="宋体"/>
                <w:color w:val="auto"/>
                <w:szCs w:val="21"/>
                <w:highlight w:val="none"/>
              </w:rPr>
            </w:pPr>
            <w:r>
              <w:rPr>
                <w:rFonts w:hint="eastAsia" w:ascii="宋体" w:hAnsi="宋体" w:cs="宋体"/>
                <w:color w:val="auto"/>
                <w:szCs w:val="21"/>
                <w:highlight w:val="none"/>
                <w:lang w:bidi="ar"/>
              </w:rPr>
              <w:t>3  ……</w:t>
            </w:r>
          </w:p>
          <w:p w14:paraId="7BCE721C">
            <w:pPr>
              <w:rPr>
                <w:rFonts w:hint="eastAsia" w:ascii="宋体" w:hAnsi="宋体" w:cs="宋体"/>
                <w:color w:val="auto"/>
                <w:szCs w:val="21"/>
                <w:highlight w:val="none"/>
              </w:rPr>
            </w:pPr>
            <w:r>
              <w:rPr>
                <w:rFonts w:hint="eastAsia" w:ascii="宋体" w:hAnsi="宋体" w:cs="宋体"/>
                <w:color w:val="auto"/>
                <w:szCs w:val="21"/>
                <w:highlight w:val="none"/>
                <w:lang w:bidi="ar"/>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7CF09FE">
            <w:pPr>
              <w:rPr>
                <w:rFonts w:hint="eastAsia" w:ascii="宋体" w:hAnsi="宋体" w:cs="宋体"/>
                <w:color w:val="auto"/>
                <w:szCs w:val="21"/>
                <w:highlight w:val="none"/>
              </w:rPr>
            </w:pPr>
            <w:r>
              <w:rPr>
                <w:rFonts w:hint="eastAsia" w:ascii="宋体" w:hAnsi="宋体" w:cs="宋体"/>
                <w:color w:val="auto"/>
                <w:szCs w:val="21"/>
                <w:highlight w:val="none"/>
                <w:lang w:bidi="ar"/>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2338197">
            <w:pPr>
              <w:rPr>
                <w:rFonts w:hint="eastAsia" w:ascii="宋体" w:hAnsi="宋体" w:cs="宋体"/>
                <w:color w:val="auto"/>
                <w:szCs w:val="21"/>
                <w:highlight w:val="none"/>
              </w:rPr>
            </w:pPr>
            <w:r>
              <w:rPr>
                <w:rFonts w:hint="eastAsia" w:ascii="宋体" w:hAnsi="宋体" w:cs="宋体"/>
                <w:color w:val="auto"/>
                <w:szCs w:val="21"/>
                <w:highlight w:val="none"/>
                <w:lang w:bidi="ar"/>
              </w:rPr>
              <w:t>1  ……</w:t>
            </w:r>
          </w:p>
          <w:p w14:paraId="72353859">
            <w:pPr>
              <w:rPr>
                <w:rFonts w:hint="eastAsia" w:ascii="宋体" w:hAnsi="宋体" w:cs="宋体"/>
                <w:color w:val="auto"/>
                <w:szCs w:val="21"/>
                <w:highlight w:val="none"/>
              </w:rPr>
            </w:pPr>
            <w:r>
              <w:rPr>
                <w:rFonts w:hint="eastAsia" w:ascii="宋体" w:hAnsi="宋体" w:cs="宋体"/>
                <w:color w:val="auto"/>
                <w:szCs w:val="21"/>
                <w:highlight w:val="none"/>
                <w:lang w:bidi="ar"/>
              </w:rPr>
              <w:t>2  ……</w:t>
            </w:r>
          </w:p>
          <w:p w14:paraId="7200A3DA">
            <w:pPr>
              <w:rPr>
                <w:rFonts w:hint="eastAsia" w:ascii="宋体" w:hAnsi="宋体" w:cs="宋体"/>
                <w:color w:val="auto"/>
                <w:szCs w:val="21"/>
                <w:highlight w:val="none"/>
              </w:rPr>
            </w:pPr>
            <w:r>
              <w:rPr>
                <w:rFonts w:hint="eastAsia" w:ascii="宋体" w:hAnsi="宋体" w:cs="宋体"/>
                <w:color w:val="auto"/>
                <w:szCs w:val="21"/>
                <w:highlight w:val="none"/>
                <w:lang w:bidi="ar"/>
              </w:rPr>
              <w:t>3  ……</w:t>
            </w:r>
          </w:p>
          <w:p w14:paraId="64482632">
            <w:pPr>
              <w:rPr>
                <w:rFonts w:hint="eastAsia" w:ascii="宋体" w:hAnsi="宋体" w:cs="宋体"/>
                <w:color w:val="auto"/>
                <w:szCs w:val="21"/>
                <w:highlight w:val="none"/>
              </w:rPr>
            </w:pPr>
            <w:r>
              <w:rPr>
                <w:rFonts w:hint="eastAsia" w:ascii="宋体" w:hAnsi="宋体" w:cs="宋体"/>
                <w:color w:val="auto"/>
                <w:szCs w:val="21"/>
                <w:highlight w:val="none"/>
                <w:lang w:bidi="ar"/>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3D01715">
            <w:pPr>
              <w:rPr>
                <w:rFonts w:hint="eastAsia" w:ascii="宋体" w:hAnsi="宋体" w:cs="宋体"/>
                <w:color w:val="auto"/>
                <w:szCs w:val="21"/>
                <w:highlight w:val="none"/>
              </w:rPr>
            </w:pPr>
            <w:r>
              <w:rPr>
                <w:rFonts w:hint="eastAsia" w:ascii="宋体" w:hAnsi="宋体" w:cs="宋体"/>
                <w:color w:val="auto"/>
                <w:szCs w:val="21"/>
                <w:highlight w:val="none"/>
                <w:lang w:bidi="ar"/>
              </w:rPr>
              <w:t>正偏离（负偏离或无偏离）</w:t>
            </w:r>
          </w:p>
        </w:tc>
      </w:tr>
      <w:tr w14:paraId="7C1C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EE3A900">
            <w:pPr>
              <w:rPr>
                <w:rFonts w:hint="eastAsia" w:ascii="宋体" w:hAnsi="宋体" w:cs="宋体"/>
                <w:color w:val="auto"/>
                <w:szCs w:val="21"/>
                <w:highlight w:val="none"/>
              </w:rPr>
            </w:pPr>
            <w:r>
              <w:rPr>
                <w:rFonts w:hint="eastAsia" w:ascii="宋体" w:hAnsi="宋体" w:cs="宋体"/>
                <w:color w:val="auto"/>
                <w:szCs w:val="21"/>
                <w:highlight w:val="none"/>
                <w:lang w:bidi="ar"/>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B6DE1D">
            <w:pPr>
              <w:rPr>
                <w:rFonts w:hint="eastAsia" w:ascii="宋体" w:hAnsi="宋体" w:cs="宋体"/>
                <w:color w:val="auto"/>
                <w:szCs w:val="21"/>
                <w:highlight w:val="none"/>
              </w:rPr>
            </w:pPr>
            <w:r>
              <w:rPr>
                <w:rFonts w:hint="eastAsia" w:ascii="宋体" w:hAnsi="宋体" w:cs="宋体"/>
                <w:color w:val="auto"/>
                <w:szCs w:val="21"/>
                <w:highlight w:val="none"/>
                <w:lang w:bidi="ar"/>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A64BADB">
            <w:pPr>
              <w:rPr>
                <w:rFonts w:hint="eastAsia" w:ascii="宋体" w:hAnsi="宋体" w:cs="宋体"/>
                <w:color w:val="auto"/>
                <w:szCs w:val="21"/>
                <w:highlight w:val="none"/>
              </w:rPr>
            </w:pPr>
            <w:r>
              <w:rPr>
                <w:rFonts w:hint="eastAsia" w:ascii="宋体" w:hAnsi="宋体" w:cs="宋体"/>
                <w:color w:val="auto"/>
                <w:szCs w:val="21"/>
                <w:highlight w:val="none"/>
                <w:lang w:bidi="ar"/>
              </w:rPr>
              <w:t>1  ……</w:t>
            </w:r>
          </w:p>
          <w:p w14:paraId="4CDAA9D0">
            <w:pPr>
              <w:rPr>
                <w:rFonts w:hint="eastAsia" w:ascii="宋体" w:hAnsi="宋体" w:cs="宋体"/>
                <w:color w:val="auto"/>
                <w:szCs w:val="21"/>
                <w:highlight w:val="none"/>
              </w:rPr>
            </w:pPr>
            <w:r>
              <w:rPr>
                <w:rFonts w:hint="eastAsia" w:ascii="宋体" w:hAnsi="宋体" w:cs="宋体"/>
                <w:color w:val="auto"/>
                <w:szCs w:val="21"/>
                <w:highlight w:val="none"/>
                <w:lang w:bidi="ar"/>
              </w:rPr>
              <w:t>2  ……</w:t>
            </w:r>
          </w:p>
          <w:p w14:paraId="3DFF735C">
            <w:pPr>
              <w:rPr>
                <w:rFonts w:hint="eastAsia" w:ascii="宋体" w:hAnsi="宋体" w:cs="宋体"/>
                <w:color w:val="auto"/>
                <w:szCs w:val="21"/>
                <w:highlight w:val="none"/>
              </w:rPr>
            </w:pPr>
            <w:r>
              <w:rPr>
                <w:rFonts w:hint="eastAsia" w:ascii="宋体" w:hAnsi="宋体" w:cs="宋体"/>
                <w:color w:val="auto"/>
                <w:szCs w:val="21"/>
                <w:highlight w:val="none"/>
                <w:lang w:bidi="ar"/>
              </w:rPr>
              <w:t>3  ……</w:t>
            </w:r>
          </w:p>
          <w:p w14:paraId="414C6315">
            <w:pPr>
              <w:rPr>
                <w:rFonts w:hint="eastAsia" w:ascii="宋体" w:hAnsi="宋体" w:cs="宋体"/>
                <w:color w:val="auto"/>
                <w:szCs w:val="21"/>
                <w:highlight w:val="none"/>
              </w:rPr>
            </w:pPr>
            <w:r>
              <w:rPr>
                <w:rFonts w:hint="eastAsia" w:ascii="宋体" w:hAnsi="宋体" w:cs="宋体"/>
                <w:color w:val="auto"/>
                <w:szCs w:val="21"/>
                <w:highlight w:val="none"/>
                <w:lang w:bidi="ar"/>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EC97CEA">
            <w:pPr>
              <w:rPr>
                <w:rFonts w:hint="eastAsia" w:ascii="宋体" w:hAnsi="宋体" w:cs="宋体"/>
                <w:color w:val="auto"/>
                <w:szCs w:val="21"/>
                <w:highlight w:val="none"/>
              </w:rPr>
            </w:pPr>
            <w:r>
              <w:rPr>
                <w:rFonts w:hint="eastAsia" w:ascii="宋体" w:hAnsi="宋体" w:cs="宋体"/>
                <w:color w:val="auto"/>
                <w:szCs w:val="21"/>
                <w:highlight w:val="none"/>
                <w:lang w:bidi="ar"/>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D8777EA">
            <w:pPr>
              <w:rPr>
                <w:rFonts w:hint="eastAsia" w:ascii="宋体" w:hAnsi="宋体" w:cs="宋体"/>
                <w:color w:val="auto"/>
                <w:szCs w:val="21"/>
                <w:highlight w:val="none"/>
              </w:rPr>
            </w:pPr>
            <w:r>
              <w:rPr>
                <w:rFonts w:hint="eastAsia" w:ascii="宋体" w:hAnsi="宋体" w:cs="宋体"/>
                <w:color w:val="auto"/>
                <w:szCs w:val="21"/>
                <w:highlight w:val="none"/>
                <w:lang w:bidi="ar"/>
              </w:rPr>
              <w:t>1  ……</w:t>
            </w:r>
          </w:p>
          <w:p w14:paraId="365BD58A">
            <w:pPr>
              <w:rPr>
                <w:rFonts w:hint="eastAsia" w:ascii="宋体" w:hAnsi="宋体" w:cs="宋体"/>
                <w:color w:val="auto"/>
                <w:szCs w:val="21"/>
                <w:highlight w:val="none"/>
              </w:rPr>
            </w:pPr>
            <w:r>
              <w:rPr>
                <w:rFonts w:hint="eastAsia" w:ascii="宋体" w:hAnsi="宋体" w:cs="宋体"/>
                <w:color w:val="auto"/>
                <w:szCs w:val="21"/>
                <w:highlight w:val="none"/>
                <w:lang w:bidi="ar"/>
              </w:rPr>
              <w:t>2  ……</w:t>
            </w:r>
          </w:p>
          <w:p w14:paraId="7A92AC06">
            <w:pPr>
              <w:rPr>
                <w:rFonts w:hint="eastAsia" w:ascii="宋体" w:hAnsi="宋体" w:cs="宋体"/>
                <w:color w:val="auto"/>
                <w:szCs w:val="21"/>
                <w:highlight w:val="none"/>
              </w:rPr>
            </w:pPr>
            <w:r>
              <w:rPr>
                <w:rFonts w:hint="eastAsia" w:ascii="宋体" w:hAnsi="宋体" w:cs="宋体"/>
                <w:color w:val="auto"/>
                <w:szCs w:val="21"/>
                <w:highlight w:val="none"/>
                <w:lang w:bidi="ar"/>
              </w:rPr>
              <w:t>3  ……</w:t>
            </w:r>
          </w:p>
          <w:p w14:paraId="53396F6C">
            <w:pPr>
              <w:rPr>
                <w:rFonts w:hint="eastAsia" w:ascii="宋体" w:hAnsi="宋体" w:cs="宋体"/>
                <w:color w:val="auto"/>
                <w:szCs w:val="21"/>
                <w:highlight w:val="none"/>
              </w:rPr>
            </w:pPr>
            <w:r>
              <w:rPr>
                <w:rFonts w:hint="eastAsia" w:ascii="宋体" w:hAnsi="宋体" w:cs="宋体"/>
                <w:color w:val="auto"/>
                <w:szCs w:val="21"/>
                <w:highlight w:val="none"/>
                <w:lang w:bidi="ar"/>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EBF24BC">
            <w:pPr>
              <w:rPr>
                <w:rFonts w:hint="eastAsia" w:ascii="宋体" w:hAnsi="宋体" w:cs="宋体"/>
                <w:color w:val="auto"/>
                <w:szCs w:val="21"/>
                <w:highlight w:val="none"/>
              </w:rPr>
            </w:pPr>
            <w:r>
              <w:rPr>
                <w:rFonts w:hint="eastAsia" w:ascii="宋体" w:hAnsi="宋体" w:cs="宋体"/>
                <w:color w:val="auto"/>
                <w:szCs w:val="21"/>
                <w:highlight w:val="none"/>
                <w:lang w:bidi="ar"/>
              </w:rPr>
              <w:t>正偏离（负偏离或无偏离）</w:t>
            </w:r>
          </w:p>
        </w:tc>
      </w:tr>
      <w:tr w14:paraId="6FDF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408DC01">
            <w:pPr>
              <w:rPr>
                <w:rFonts w:hint="eastAsia" w:ascii="宋体" w:hAnsi="宋体" w:cs="宋体"/>
                <w:color w:val="auto"/>
                <w:szCs w:val="21"/>
                <w:highlight w:val="none"/>
              </w:rPr>
            </w:pPr>
            <w:r>
              <w:rPr>
                <w:rFonts w:hint="eastAsia" w:ascii="宋体" w:hAnsi="宋体" w:cs="宋体"/>
                <w:color w:val="auto"/>
                <w:szCs w:val="21"/>
                <w:highlight w:val="none"/>
                <w:lang w:bidi="ar"/>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E6282EE">
            <w:pPr>
              <w:rPr>
                <w:rFonts w:hint="eastAsia"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3FD1A43">
            <w:pPr>
              <w:rPr>
                <w:rFonts w:hint="eastAsia"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872D3B4">
            <w:pPr>
              <w:rPr>
                <w:rFonts w:hint="eastAsia"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798C289B">
            <w:pPr>
              <w:rPr>
                <w:rFonts w:hint="eastAsia"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93292F4">
            <w:pPr>
              <w:rPr>
                <w:rFonts w:hint="eastAsia" w:ascii="宋体" w:hAnsi="宋体" w:cs="宋体"/>
                <w:color w:val="auto"/>
                <w:szCs w:val="21"/>
                <w:highlight w:val="none"/>
              </w:rPr>
            </w:pPr>
          </w:p>
        </w:tc>
      </w:tr>
      <w:tr w14:paraId="35B4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2F8326D0">
            <w:pPr>
              <w:rPr>
                <w:rFonts w:hint="eastAsia" w:ascii="宋体" w:hAnsi="宋体" w:cs="宋体"/>
                <w:color w:val="auto"/>
                <w:szCs w:val="21"/>
                <w:highlight w:val="none"/>
              </w:rPr>
            </w:pPr>
            <w:r>
              <w:rPr>
                <w:rFonts w:hint="eastAsia" w:ascii="宋体" w:hAnsi="宋体" w:cs="宋体"/>
                <w:color w:val="auto"/>
                <w:szCs w:val="21"/>
                <w:highlight w:val="none"/>
                <w:u w:val="single"/>
                <w:lang w:bidi="ar"/>
              </w:rPr>
              <w:t>　　</w:t>
            </w:r>
            <w:r>
              <w:rPr>
                <w:rFonts w:hint="eastAsia" w:ascii="宋体" w:hAnsi="宋体" w:cs="宋体"/>
                <w:color w:val="auto"/>
                <w:szCs w:val="21"/>
                <w:highlight w:val="none"/>
                <w:lang w:bidi="ar"/>
              </w:rPr>
              <w:t>分标（此处有分标时填写具体分标号，无分标时填写“无”）</w:t>
            </w:r>
          </w:p>
        </w:tc>
      </w:tr>
    </w:tbl>
    <w:p w14:paraId="1AA69863">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35E4E498">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1.表格内容均需按要求填写并盖章，不得留空，</w:t>
      </w:r>
      <w:r>
        <w:rPr>
          <w:rFonts w:hint="eastAsia" w:ascii="宋体" w:hAnsi="宋体" w:cs="宋体"/>
          <w:bCs/>
          <w:color w:val="auto"/>
          <w:szCs w:val="21"/>
          <w:highlight w:val="none"/>
        </w:rPr>
        <w:t>否则按投标无效处理</w:t>
      </w:r>
      <w:r>
        <w:rPr>
          <w:rFonts w:hint="eastAsia" w:ascii="宋体" w:hAnsi="宋体" w:cs="宋体"/>
          <w:color w:val="auto"/>
          <w:szCs w:val="21"/>
          <w:highlight w:val="none"/>
        </w:rPr>
        <w:t>。</w:t>
      </w:r>
    </w:p>
    <w:p w14:paraId="3E04DBDB">
      <w:pPr>
        <w:widowControl/>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2.当投标文件的货物内容低于招标文件要求时，投标人应当如实写明“负偏离”，否则视为虚假应标。</w:t>
      </w:r>
    </w:p>
    <w:p w14:paraId="3B9840CE">
      <w:pPr>
        <w:widowControl/>
        <w:spacing w:line="360" w:lineRule="auto"/>
        <w:rPr>
          <w:rFonts w:hint="eastAsia" w:ascii="宋体" w:hAnsi="宋体" w:cs="宋体"/>
          <w:color w:val="auto"/>
          <w:szCs w:val="20"/>
          <w:highlight w:val="none"/>
        </w:rPr>
      </w:pPr>
      <w:r>
        <w:rPr>
          <w:rFonts w:hint="eastAsia" w:ascii="宋体" w:hAnsi="宋体" w:cs="宋体"/>
          <w:color w:val="auto"/>
          <w:szCs w:val="20"/>
          <w:highlight w:val="none"/>
        </w:rPr>
        <w:t>3.</w:t>
      </w:r>
      <w:r>
        <w:rPr>
          <w:rFonts w:hint="eastAsia" w:ascii="宋体" w:hAnsi="宋体" w:cs="宋体"/>
          <w:color w:val="auto"/>
          <w:szCs w:val="21"/>
          <w:highlight w:val="none"/>
        </w:rPr>
        <w:t>采购需求中带“▲”及“★”的条款，也要分别在本表“货物参数”、“所提供货物的内容”中标记。</w:t>
      </w:r>
    </w:p>
    <w:p w14:paraId="1763D526">
      <w:pPr>
        <w:snapToGrid w:val="0"/>
        <w:spacing w:line="360" w:lineRule="auto"/>
        <w:ind w:firstLine="5640" w:firstLineChars="2350"/>
        <w:rPr>
          <w:rFonts w:hint="eastAsia" w:ascii="宋体" w:hAnsi="宋体" w:cs="宋体"/>
          <w:color w:val="auto"/>
          <w:kern w:val="0"/>
          <w:sz w:val="24"/>
          <w:highlight w:val="none"/>
          <w:lang w:val="zh-CN"/>
        </w:rPr>
      </w:pPr>
    </w:p>
    <w:p w14:paraId="3F1A6DB1">
      <w:pPr>
        <w:snapToGrid w:val="0"/>
        <w:spacing w:line="360" w:lineRule="auto"/>
        <w:ind w:firstLine="5640" w:firstLineChars="2350"/>
        <w:rPr>
          <w:rFonts w:hint="eastAsia" w:ascii="宋体" w:hAnsi="宋体" w:cs="宋体"/>
          <w:color w:val="auto"/>
          <w:kern w:val="0"/>
          <w:sz w:val="24"/>
          <w:highlight w:val="none"/>
        </w:rPr>
      </w:pPr>
      <w:r>
        <w:rPr>
          <w:rFonts w:hint="eastAsia" w:ascii="宋体" w:hAnsi="宋体" w:cs="宋体"/>
          <w:color w:val="auto"/>
          <w:kern w:val="0"/>
          <w:sz w:val="24"/>
          <w:highlight w:val="none"/>
          <w:lang w:val="zh-CN" w:bidi="ar"/>
        </w:rPr>
        <w:t>投标人名称(电子签章)：</w:t>
      </w:r>
    </w:p>
    <w:p w14:paraId="65C4ABA3">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37538063">
      <w:pPr>
        <w:rPr>
          <w:rFonts w:hint="eastAsia" w:ascii="宋体" w:hAnsi="宋体" w:cs="宋体"/>
          <w:color w:val="auto"/>
          <w:sz w:val="30"/>
          <w:szCs w:val="20"/>
          <w:highlight w:val="none"/>
          <w:lang w:bidi="ar"/>
        </w:rPr>
        <w:sectPr>
          <w:pgSz w:w="11906" w:h="16838"/>
          <w:pgMar w:top="1135" w:right="1135" w:bottom="1135" w:left="1135" w:header="720" w:footer="720" w:gutter="0"/>
          <w:pgNumType w:fmt="decimal"/>
          <w:cols w:space="720" w:num="1"/>
          <w:docGrid w:type="lines" w:linePitch="331" w:charSpace="0"/>
        </w:sectPr>
      </w:pPr>
    </w:p>
    <w:p w14:paraId="1AAAB354">
      <w:pPr>
        <w:snapToGrid w:val="0"/>
        <w:spacing w:before="165"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bidi="ar"/>
        </w:rPr>
        <w:t>二、项目实施方案</w:t>
      </w:r>
    </w:p>
    <w:p w14:paraId="40E6A135">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bidi="ar"/>
        </w:rPr>
        <w:t>（由投标人根据采购需求及招标文件要求编制）</w:t>
      </w:r>
    </w:p>
    <w:p w14:paraId="0811551F">
      <w:pPr>
        <w:rPr>
          <w:rFonts w:hint="eastAsia" w:ascii="宋体" w:hAnsi="宋体" w:cs="宋体"/>
          <w:b/>
          <w:bCs/>
          <w:color w:val="auto"/>
          <w:kern w:val="0"/>
          <w:sz w:val="24"/>
          <w:highlight w:val="none"/>
          <w:lang w:val="zh-CN"/>
        </w:rPr>
      </w:pPr>
    </w:p>
    <w:p w14:paraId="14E75325">
      <w:pPr>
        <w:rPr>
          <w:rFonts w:hint="eastAsia" w:ascii="宋体" w:hAnsi="宋体" w:cs="宋体"/>
          <w:b/>
          <w:bCs/>
          <w:color w:val="auto"/>
          <w:kern w:val="0"/>
          <w:sz w:val="24"/>
          <w:highlight w:val="none"/>
          <w:lang w:val="zh-CN"/>
        </w:rPr>
      </w:pPr>
    </w:p>
    <w:p w14:paraId="1F2FFE3F">
      <w:pPr>
        <w:snapToGrid w:val="0"/>
        <w:spacing w:line="360" w:lineRule="auto"/>
        <w:ind w:firstLine="5662"/>
        <w:rPr>
          <w:rFonts w:hint="eastAsia" w:ascii="宋体" w:hAnsi="宋体" w:cs="宋体"/>
          <w:b/>
          <w:bCs/>
          <w:color w:val="auto"/>
          <w:kern w:val="0"/>
          <w:sz w:val="24"/>
          <w:highlight w:val="none"/>
        </w:rPr>
      </w:pPr>
    </w:p>
    <w:p w14:paraId="09C32624">
      <w:pPr>
        <w:snapToGrid w:val="0"/>
        <w:spacing w:line="360" w:lineRule="auto"/>
        <w:ind w:firstLine="4935" w:firstLineChars="2350"/>
        <w:rPr>
          <w:rFonts w:hint="eastAsia" w:ascii="宋体" w:hAnsi="宋体" w:cs="宋体"/>
          <w:color w:val="auto"/>
          <w:szCs w:val="21"/>
          <w:highlight w:val="none"/>
        </w:rPr>
      </w:pPr>
    </w:p>
    <w:p w14:paraId="2C1FB817">
      <w:pPr>
        <w:snapToGrid w:val="0"/>
        <w:spacing w:line="360" w:lineRule="auto"/>
        <w:ind w:firstLine="472" w:firstLineChars="196"/>
        <w:jc w:val="center"/>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bidi="ar"/>
        </w:rPr>
        <w:t>售后服务方案</w:t>
      </w:r>
    </w:p>
    <w:p w14:paraId="3488FAF9">
      <w:pPr>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bidi="ar"/>
        </w:rPr>
        <w:t>（由投标人根据采购需求及招标文件要求编制）</w:t>
      </w:r>
    </w:p>
    <w:p w14:paraId="4C0EA58E">
      <w:pPr>
        <w:snapToGrid w:val="0"/>
        <w:spacing w:before="165" w:beforeLines="50" w:after="50"/>
        <w:ind w:left="142"/>
        <w:jc w:val="center"/>
        <w:rPr>
          <w:rFonts w:hint="eastAsia" w:ascii="宋体" w:hAnsi="宋体" w:cs="宋体"/>
          <w:b/>
          <w:color w:val="auto"/>
          <w:sz w:val="32"/>
          <w:szCs w:val="32"/>
          <w:highlight w:val="none"/>
        </w:rPr>
      </w:pPr>
    </w:p>
    <w:p w14:paraId="2C2D20EB">
      <w:pPr>
        <w:snapToGrid w:val="0"/>
        <w:spacing w:before="165" w:beforeLines="50" w:line="360" w:lineRule="auto"/>
        <w:ind w:right="480" w:firstLine="3967" w:firstLineChars="1653"/>
        <w:rPr>
          <w:rFonts w:hint="eastAsia" w:ascii="宋体" w:hAnsi="宋体" w:cs="宋体"/>
          <w:color w:val="auto"/>
          <w:sz w:val="24"/>
          <w:highlight w:val="none"/>
        </w:rPr>
      </w:pPr>
    </w:p>
    <w:p w14:paraId="7B344859">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bidi="ar"/>
        </w:rPr>
        <w:t>投标人名称(电子签章)：</w:t>
      </w:r>
    </w:p>
    <w:p w14:paraId="033BDF44">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623B6F1F">
      <w:pPr>
        <w:snapToGrid w:val="0"/>
        <w:spacing w:before="165" w:beforeLines="50" w:after="50"/>
        <w:jc w:val="left"/>
        <w:rPr>
          <w:rFonts w:hint="eastAsia" w:ascii="宋体" w:hAnsi="宋体" w:cs="宋体"/>
          <w:color w:val="auto"/>
          <w:sz w:val="24"/>
          <w:highlight w:val="none"/>
        </w:rPr>
      </w:pPr>
      <w:r>
        <w:rPr>
          <w:rFonts w:hint="eastAsia" w:ascii="宋体" w:hAnsi="宋体" w:cs="宋体"/>
          <w:b/>
          <w:color w:val="auto"/>
          <w:sz w:val="24"/>
          <w:highlight w:val="none"/>
          <w:lang w:bidi="ar"/>
        </w:rPr>
        <w:br w:type="page"/>
      </w:r>
      <w:r>
        <w:rPr>
          <w:rFonts w:hint="eastAsia" w:ascii="宋体" w:hAnsi="宋体" w:cs="宋体"/>
          <w:color w:val="auto"/>
          <w:sz w:val="24"/>
          <w:highlight w:val="none"/>
          <w:lang w:bidi="ar"/>
        </w:rPr>
        <w:t xml:space="preserve"> </w:t>
      </w:r>
    </w:p>
    <w:p w14:paraId="0681A3B8">
      <w:pPr>
        <w:snapToGrid w:val="0"/>
        <w:spacing w:before="165"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bidi="ar"/>
        </w:rPr>
        <w:t>三、对本项目总体要求和理解（如有要求）</w:t>
      </w:r>
    </w:p>
    <w:p w14:paraId="218240D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bidi="ar"/>
        </w:rPr>
        <w:t>（由投标人根据采购需求自行编制）</w:t>
      </w:r>
    </w:p>
    <w:p w14:paraId="626F6894">
      <w:pPr>
        <w:snapToGrid w:val="0"/>
        <w:spacing w:line="360" w:lineRule="auto"/>
        <w:ind w:firstLine="5160" w:firstLineChars="2150"/>
        <w:rPr>
          <w:rFonts w:hint="eastAsia" w:ascii="宋体" w:hAnsi="宋体" w:cs="宋体"/>
          <w:color w:val="auto"/>
          <w:kern w:val="0"/>
          <w:sz w:val="24"/>
          <w:highlight w:val="none"/>
          <w:lang w:val="zh-CN"/>
        </w:rPr>
      </w:pPr>
    </w:p>
    <w:p w14:paraId="425F5076">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bidi="ar"/>
        </w:rPr>
        <w:t>投标人名称(电子签章)：</w:t>
      </w:r>
    </w:p>
    <w:p w14:paraId="03B2F1E6">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4D25E355">
      <w:pPr>
        <w:snapToGrid w:val="0"/>
        <w:spacing w:before="165" w:beforeLines="50" w:after="50"/>
        <w:ind w:left="142"/>
        <w:jc w:val="center"/>
        <w:rPr>
          <w:rFonts w:hint="eastAsia" w:ascii="宋体" w:hAnsi="宋体" w:cs="宋体"/>
          <w:b/>
          <w:color w:val="auto"/>
          <w:sz w:val="32"/>
          <w:szCs w:val="32"/>
          <w:highlight w:val="none"/>
        </w:rPr>
      </w:pPr>
    </w:p>
    <w:p w14:paraId="1ACF2310">
      <w:pPr>
        <w:snapToGrid w:val="0"/>
        <w:spacing w:before="165"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bidi="ar"/>
        </w:rPr>
        <w:t>四、产品出厂标准、质量检测报告</w:t>
      </w:r>
    </w:p>
    <w:p w14:paraId="5254BF88">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bidi="ar"/>
        </w:rPr>
        <w:t>（由投标人根据采购需求自行编制）</w:t>
      </w:r>
    </w:p>
    <w:p w14:paraId="0322E537">
      <w:pPr>
        <w:snapToGrid w:val="0"/>
        <w:spacing w:before="165" w:beforeLines="50" w:after="50"/>
        <w:ind w:left="142"/>
        <w:jc w:val="center"/>
        <w:rPr>
          <w:rFonts w:hint="eastAsia" w:ascii="宋体" w:hAnsi="宋体" w:cs="宋体"/>
          <w:b/>
          <w:color w:val="auto"/>
          <w:sz w:val="32"/>
          <w:szCs w:val="32"/>
          <w:highlight w:val="none"/>
        </w:rPr>
      </w:pPr>
    </w:p>
    <w:p w14:paraId="3CCB86F2">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bidi="ar"/>
        </w:rPr>
        <w:t>投标人名称(电子签章)：</w:t>
      </w:r>
    </w:p>
    <w:p w14:paraId="443AD9A1">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4A57FF3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bidi="ar"/>
        </w:rPr>
        <w:t>五、优惠条件及特殊承诺</w:t>
      </w:r>
    </w:p>
    <w:p w14:paraId="15CC762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bidi="ar"/>
        </w:rPr>
        <w:t>（由投标人根据采购需求自行编制）</w:t>
      </w:r>
    </w:p>
    <w:p w14:paraId="5973BCDC">
      <w:pPr>
        <w:spacing w:line="360" w:lineRule="auto"/>
        <w:jc w:val="center"/>
        <w:rPr>
          <w:rFonts w:hint="eastAsia" w:ascii="宋体" w:hAnsi="宋体" w:cs="宋体"/>
          <w:color w:val="auto"/>
          <w:sz w:val="18"/>
          <w:szCs w:val="18"/>
          <w:highlight w:val="none"/>
        </w:rPr>
      </w:pPr>
    </w:p>
    <w:p w14:paraId="767654C4">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bidi="ar"/>
        </w:rPr>
        <w:t>投标人名称(电子签章)：</w:t>
      </w:r>
    </w:p>
    <w:p w14:paraId="416EBEDA">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1A89D98A">
      <w:pPr>
        <w:snapToGrid w:val="0"/>
        <w:spacing w:before="165" w:beforeLines="50" w:after="50"/>
        <w:ind w:left="142"/>
        <w:jc w:val="center"/>
        <w:rPr>
          <w:rFonts w:hint="eastAsia" w:ascii="宋体" w:hAnsi="宋体" w:cs="宋体"/>
          <w:b/>
          <w:color w:val="auto"/>
          <w:sz w:val="32"/>
          <w:szCs w:val="32"/>
          <w:highlight w:val="none"/>
        </w:rPr>
      </w:pPr>
    </w:p>
    <w:p w14:paraId="06A5A032">
      <w:pPr>
        <w:snapToGrid w:val="0"/>
        <w:spacing w:before="165" w:beforeLines="50" w:after="50"/>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bidi="ar"/>
        </w:rPr>
        <w:t>六、投标人对项目的合理化建议和改进措施</w:t>
      </w:r>
    </w:p>
    <w:p w14:paraId="6C020428">
      <w:pPr>
        <w:spacing w:line="360" w:lineRule="auto"/>
        <w:ind w:firstLine="4048" w:firstLineChars="1687"/>
        <w:rPr>
          <w:rFonts w:hint="eastAsia" w:ascii="宋体" w:hAnsi="宋体" w:cs="宋体"/>
          <w:color w:val="auto"/>
          <w:sz w:val="24"/>
          <w:highlight w:val="none"/>
        </w:rPr>
      </w:pPr>
      <w:r>
        <w:rPr>
          <w:rFonts w:hint="eastAsia" w:ascii="宋体" w:hAnsi="宋体" w:cs="宋体"/>
          <w:color w:val="auto"/>
          <w:sz w:val="24"/>
          <w:highlight w:val="none"/>
          <w:lang w:bidi="ar"/>
        </w:rPr>
        <w:t>（格式自拟）</w:t>
      </w:r>
    </w:p>
    <w:p w14:paraId="44276206">
      <w:pPr>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lang w:bidi="ar"/>
        </w:rPr>
        <w:t xml:space="preserve"> </w:t>
      </w:r>
    </w:p>
    <w:p w14:paraId="02BCA350">
      <w:pPr>
        <w:snapToGrid w:val="0"/>
        <w:spacing w:line="360" w:lineRule="auto"/>
        <w:ind w:firstLine="4935" w:firstLineChars="2350"/>
        <w:rPr>
          <w:rFonts w:hint="eastAsia" w:ascii="宋体" w:hAnsi="宋体" w:cs="宋体"/>
          <w:color w:val="auto"/>
          <w:szCs w:val="21"/>
          <w:highlight w:val="none"/>
        </w:rPr>
      </w:pPr>
    </w:p>
    <w:p w14:paraId="44E09C15">
      <w:pPr>
        <w:snapToGrid w:val="0"/>
        <w:spacing w:line="360" w:lineRule="auto"/>
        <w:rPr>
          <w:rFonts w:hint="eastAsia" w:ascii="宋体" w:hAnsi="宋体" w:cs="宋体"/>
          <w:color w:val="auto"/>
          <w:szCs w:val="21"/>
          <w:highlight w:val="none"/>
        </w:rPr>
      </w:pPr>
    </w:p>
    <w:p w14:paraId="70703065">
      <w:pPr>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lang w:bidi="ar"/>
        </w:rPr>
        <w:t xml:space="preserve">  </w:t>
      </w:r>
      <w:r>
        <w:rPr>
          <w:rFonts w:hint="eastAsia" w:ascii="宋体" w:hAnsi="宋体" w:cs="宋体"/>
          <w:color w:val="auto"/>
          <w:kern w:val="0"/>
          <w:sz w:val="24"/>
          <w:highlight w:val="none"/>
          <w:lang w:val="zh-CN" w:bidi="ar"/>
        </w:rPr>
        <w:t>投标人名称(电子签章)：</w:t>
      </w:r>
    </w:p>
    <w:p w14:paraId="3BAC8603">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37C56246">
      <w:pPr>
        <w:autoSpaceDE w:val="0"/>
        <w:autoSpaceDN w:val="0"/>
        <w:spacing w:line="360" w:lineRule="auto"/>
        <w:ind w:firstLine="120"/>
        <w:rPr>
          <w:rFonts w:hint="eastAsia" w:ascii="宋体" w:hAnsi="宋体" w:cs="宋体"/>
          <w:color w:val="auto"/>
          <w:sz w:val="24"/>
          <w:highlight w:val="none"/>
        </w:rPr>
      </w:pPr>
    </w:p>
    <w:p w14:paraId="2A76E80E">
      <w:pPr>
        <w:spacing w:line="360" w:lineRule="auto"/>
        <w:jc w:val="center"/>
        <w:rPr>
          <w:rFonts w:hint="eastAsia" w:ascii="宋体" w:hAnsi="宋体" w:cs="宋体"/>
          <w:b/>
          <w:color w:val="auto"/>
          <w:sz w:val="32"/>
          <w:szCs w:val="32"/>
          <w:highlight w:val="none"/>
          <w:lang w:bidi="ar"/>
        </w:rPr>
      </w:pPr>
    </w:p>
    <w:p w14:paraId="27246174">
      <w:pPr>
        <w:spacing w:line="360" w:lineRule="auto"/>
        <w:jc w:val="center"/>
        <w:rPr>
          <w:rFonts w:hint="eastAsia" w:ascii="宋体" w:hAnsi="宋体" w:cs="宋体"/>
          <w:b/>
          <w:color w:val="auto"/>
          <w:sz w:val="32"/>
          <w:szCs w:val="32"/>
          <w:highlight w:val="none"/>
          <w:lang w:bidi="ar"/>
        </w:rPr>
      </w:pPr>
    </w:p>
    <w:p w14:paraId="760A8A60">
      <w:pPr>
        <w:spacing w:line="360" w:lineRule="auto"/>
        <w:jc w:val="center"/>
        <w:rPr>
          <w:rFonts w:hint="eastAsia" w:ascii="宋体" w:hAnsi="宋体" w:cs="宋体"/>
          <w:b/>
          <w:color w:val="auto"/>
          <w:sz w:val="32"/>
          <w:szCs w:val="32"/>
          <w:highlight w:val="none"/>
          <w:lang w:bidi="ar"/>
        </w:rPr>
      </w:pPr>
    </w:p>
    <w:p w14:paraId="685BCF53">
      <w:pPr>
        <w:spacing w:line="360" w:lineRule="auto"/>
        <w:jc w:val="center"/>
        <w:rPr>
          <w:rFonts w:hint="eastAsia" w:ascii="宋体" w:hAnsi="宋体" w:cs="宋体"/>
          <w:b/>
          <w:color w:val="auto"/>
          <w:sz w:val="32"/>
          <w:szCs w:val="32"/>
          <w:highlight w:val="none"/>
          <w:lang w:bidi="ar"/>
        </w:rPr>
      </w:pPr>
    </w:p>
    <w:p w14:paraId="405BE228">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bidi="ar"/>
        </w:rPr>
        <w:t>七、投标人需要说明的其他文件和说明</w:t>
      </w:r>
    </w:p>
    <w:p w14:paraId="7752C3D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bidi="ar"/>
        </w:rPr>
        <w:t>（由投标人根据采购需求自行编制）</w:t>
      </w:r>
    </w:p>
    <w:p w14:paraId="17F660F4">
      <w:pPr>
        <w:spacing w:line="360" w:lineRule="auto"/>
        <w:jc w:val="center"/>
        <w:rPr>
          <w:rFonts w:hint="eastAsia" w:ascii="宋体" w:hAnsi="宋体" w:cs="宋体"/>
          <w:color w:val="auto"/>
          <w:sz w:val="24"/>
          <w:highlight w:val="none"/>
        </w:rPr>
      </w:pPr>
    </w:p>
    <w:p w14:paraId="3F66D531">
      <w:pPr>
        <w:autoSpaceDE w:val="0"/>
        <w:autoSpaceDN w:val="0"/>
        <w:spacing w:line="360" w:lineRule="auto"/>
        <w:ind w:firstLine="4800" w:firstLineChars="2000"/>
        <w:rPr>
          <w:rFonts w:hint="eastAsia" w:ascii="宋体" w:hAnsi="宋体" w:cs="宋体"/>
          <w:color w:val="auto"/>
          <w:sz w:val="24"/>
          <w:highlight w:val="none"/>
        </w:rPr>
      </w:pPr>
      <w:r>
        <w:rPr>
          <w:rFonts w:hint="eastAsia" w:ascii="宋体" w:hAnsi="宋体" w:cs="宋体"/>
          <w:color w:val="auto"/>
          <w:kern w:val="0"/>
          <w:sz w:val="24"/>
          <w:highlight w:val="none"/>
          <w:lang w:bidi="ar"/>
        </w:rPr>
        <w:t>投标人名称（电子</w:t>
      </w:r>
      <w:r>
        <w:rPr>
          <w:rFonts w:hint="eastAsia" w:ascii="宋体" w:hAnsi="宋体" w:cs="宋体"/>
          <w:color w:val="auto"/>
          <w:kern w:val="0"/>
          <w:sz w:val="24"/>
          <w:highlight w:val="none"/>
          <w:lang w:val="zh-CN" w:bidi="ar"/>
        </w:rPr>
        <w:t>签章</w:t>
      </w:r>
      <w:r>
        <w:rPr>
          <w:rFonts w:hint="eastAsia" w:ascii="宋体" w:hAnsi="宋体" w:cs="宋体"/>
          <w:color w:val="auto"/>
          <w:kern w:val="0"/>
          <w:sz w:val="24"/>
          <w:highlight w:val="none"/>
          <w:lang w:bidi="ar"/>
        </w:rPr>
        <w:t xml:space="preserve">）：                       </w:t>
      </w:r>
    </w:p>
    <w:p w14:paraId="1E091FA1">
      <w:pPr>
        <w:autoSpaceDE w:val="0"/>
        <w:autoSpaceDN w:val="0"/>
        <w:spacing w:line="360" w:lineRule="auto"/>
        <w:rPr>
          <w:rFonts w:hint="eastAsia" w:ascii="宋体" w:hAnsi="宋体" w:cs="宋体"/>
          <w:b/>
          <w:bCs/>
          <w:color w:val="auto"/>
          <w:sz w:val="30"/>
          <w:szCs w:val="30"/>
          <w:highlight w:val="none"/>
        </w:rPr>
      </w:pP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日期：  年  月   日</w:t>
      </w:r>
    </w:p>
    <w:p w14:paraId="1C89523D">
      <w:pPr>
        <w:rPr>
          <w:rFonts w:hint="eastAsia" w:ascii="宋体" w:hAnsi="宋体" w:cs="宋体"/>
          <w:b/>
          <w:bCs/>
          <w:color w:val="auto"/>
          <w:sz w:val="24"/>
          <w:highlight w:val="none"/>
          <w:lang w:bidi="ar"/>
        </w:rPr>
        <w:sectPr>
          <w:pgSz w:w="11906" w:h="16838"/>
          <w:pgMar w:top="1135" w:right="1135" w:bottom="1135" w:left="1135" w:header="720" w:footer="720" w:gutter="0"/>
          <w:pgNumType w:fmt="decimal"/>
          <w:cols w:space="720" w:num="1"/>
          <w:docGrid w:type="lines" w:linePitch="331" w:charSpace="0"/>
        </w:sectPr>
      </w:pPr>
    </w:p>
    <w:p w14:paraId="0CA3A72D">
      <w:pPr>
        <w:widowControl/>
        <w:jc w:val="center"/>
        <w:outlineLvl w:val="1"/>
        <w:rPr>
          <w:rFonts w:hint="eastAsia" w:ascii="宋体" w:hAnsi="宋体" w:cs="宋体"/>
          <w:b/>
          <w:bCs/>
          <w:color w:val="auto"/>
          <w:sz w:val="28"/>
          <w:szCs w:val="28"/>
          <w:highlight w:val="none"/>
        </w:rPr>
      </w:pPr>
      <w:bookmarkStart w:id="362" w:name="_Toc18897"/>
      <w:bookmarkStart w:id="363" w:name="_Toc31932"/>
      <w:bookmarkStart w:id="364" w:name="_Toc26677"/>
      <w:r>
        <w:rPr>
          <w:rFonts w:hint="eastAsia" w:ascii="宋体" w:hAnsi="宋体" w:cs="宋体"/>
          <w:b/>
          <w:bCs/>
          <w:color w:val="auto"/>
          <w:sz w:val="28"/>
          <w:szCs w:val="28"/>
          <w:highlight w:val="none"/>
        </w:rPr>
        <w:t>第五节 报价文件格式</w:t>
      </w:r>
      <w:bookmarkEnd w:id="362"/>
      <w:bookmarkEnd w:id="363"/>
      <w:bookmarkEnd w:id="364"/>
    </w:p>
    <w:p w14:paraId="5B01CC35">
      <w:pPr>
        <w:snapToGrid w:val="0"/>
        <w:spacing w:before="165"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lang w:bidi="ar"/>
        </w:rPr>
        <w:t xml:space="preserve">                                                            </w:t>
      </w:r>
      <w:r>
        <w:rPr>
          <w:rFonts w:hint="eastAsia" w:ascii="宋体" w:hAnsi="宋体" w:cs="宋体"/>
          <w:bCs/>
          <w:color w:val="auto"/>
          <w:highlight w:val="none"/>
          <w:lang w:bidi="ar"/>
        </w:rPr>
        <w:t>电子投标文件</w:t>
      </w:r>
    </w:p>
    <w:p w14:paraId="35B66E4A">
      <w:pPr>
        <w:snapToGrid w:val="0"/>
        <w:spacing w:before="165" w:beforeLines="50" w:after="50" w:line="400" w:lineRule="exact"/>
        <w:jc w:val="center"/>
        <w:rPr>
          <w:rFonts w:hint="eastAsia" w:ascii="宋体" w:hAnsi="宋体" w:cs="宋体"/>
          <w:bCs/>
          <w:color w:val="auto"/>
          <w:sz w:val="24"/>
          <w:szCs w:val="20"/>
          <w:highlight w:val="none"/>
        </w:rPr>
      </w:pPr>
    </w:p>
    <w:p w14:paraId="10DC8126">
      <w:pPr>
        <w:snapToGrid w:val="0"/>
        <w:spacing w:before="165"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报价文件（封面）</w:t>
      </w:r>
    </w:p>
    <w:p w14:paraId="239276D7">
      <w:pPr>
        <w:snapToGrid w:val="0"/>
        <w:spacing w:before="165" w:beforeLines="50" w:after="50" w:line="400" w:lineRule="exact"/>
        <w:rPr>
          <w:rFonts w:hint="eastAsia" w:ascii="宋体" w:hAnsi="宋体" w:cs="宋体"/>
          <w:bCs/>
          <w:color w:val="auto"/>
          <w:sz w:val="24"/>
          <w:szCs w:val="20"/>
          <w:highlight w:val="none"/>
        </w:rPr>
      </w:pPr>
    </w:p>
    <w:p w14:paraId="02609A48">
      <w:pPr>
        <w:snapToGrid w:val="0"/>
        <w:spacing w:before="165" w:beforeLines="50" w:after="50" w:line="400" w:lineRule="exact"/>
        <w:rPr>
          <w:rFonts w:hint="eastAsia" w:ascii="宋体" w:hAnsi="宋体" w:cs="宋体"/>
          <w:bCs/>
          <w:color w:val="auto"/>
          <w:sz w:val="24"/>
          <w:szCs w:val="20"/>
          <w:highlight w:val="none"/>
        </w:rPr>
      </w:pPr>
    </w:p>
    <w:p w14:paraId="4D0FDD77">
      <w:pPr>
        <w:snapToGrid w:val="0"/>
        <w:spacing w:before="165" w:beforeLines="50" w:after="50" w:line="400" w:lineRule="exact"/>
        <w:rPr>
          <w:rFonts w:hint="eastAsia" w:ascii="宋体" w:hAnsi="宋体" w:cs="宋体"/>
          <w:bCs/>
          <w:color w:val="auto"/>
          <w:sz w:val="24"/>
          <w:szCs w:val="20"/>
          <w:highlight w:val="none"/>
        </w:rPr>
      </w:pPr>
    </w:p>
    <w:p w14:paraId="3D55892B">
      <w:pPr>
        <w:snapToGrid w:val="0"/>
        <w:spacing w:before="165" w:beforeLines="50" w:after="50" w:line="400" w:lineRule="exact"/>
        <w:rPr>
          <w:rFonts w:hint="eastAsia" w:ascii="宋体" w:hAnsi="宋体" w:cs="宋体"/>
          <w:bCs/>
          <w:color w:val="auto"/>
          <w:sz w:val="24"/>
          <w:szCs w:val="20"/>
          <w:highlight w:val="none"/>
        </w:rPr>
      </w:pPr>
    </w:p>
    <w:p w14:paraId="765734A9">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lang w:bidi="ar"/>
        </w:rPr>
        <w:t xml:space="preserve">项目名称： </w:t>
      </w:r>
    </w:p>
    <w:p w14:paraId="29CD6C59">
      <w:pPr>
        <w:snapToGrid w:val="0"/>
        <w:spacing w:before="165" w:beforeLines="50" w:after="50" w:line="400" w:lineRule="exact"/>
        <w:ind w:firstLine="360" w:firstLineChars="150"/>
        <w:rPr>
          <w:rFonts w:hint="eastAsia" w:ascii="宋体" w:hAnsi="宋体" w:cs="宋体"/>
          <w:bCs/>
          <w:color w:val="auto"/>
          <w:sz w:val="24"/>
          <w:highlight w:val="none"/>
        </w:rPr>
      </w:pPr>
    </w:p>
    <w:p w14:paraId="3CFA91E9">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lang w:bidi="ar"/>
        </w:rPr>
        <w:t xml:space="preserve">项目编号： </w:t>
      </w:r>
    </w:p>
    <w:p w14:paraId="1B8F812E">
      <w:pPr>
        <w:snapToGrid w:val="0"/>
        <w:spacing w:before="165" w:beforeLines="50" w:after="50" w:line="400" w:lineRule="exact"/>
        <w:ind w:firstLine="360" w:firstLineChars="150"/>
        <w:rPr>
          <w:rFonts w:hint="eastAsia" w:ascii="宋体" w:hAnsi="宋体" w:cs="宋体"/>
          <w:bCs/>
          <w:color w:val="auto"/>
          <w:sz w:val="24"/>
          <w:highlight w:val="none"/>
        </w:rPr>
      </w:pPr>
    </w:p>
    <w:p w14:paraId="63923658">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lang w:bidi="ar"/>
        </w:rPr>
        <w:t>所投分标：</w:t>
      </w:r>
    </w:p>
    <w:p w14:paraId="2870D1D4">
      <w:pPr>
        <w:snapToGrid w:val="0"/>
        <w:spacing w:before="165" w:beforeLines="50" w:after="50" w:line="400" w:lineRule="exact"/>
        <w:ind w:firstLine="360" w:firstLineChars="150"/>
        <w:rPr>
          <w:rFonts w:hint="eastAsia" w:ascii="宋体" w:hAnsi="宋体" w:cs="宋体"/>
          <w:bCs/>
          <w:color w:val="auto"/>
          <w:sz w:val="24"/>
          <w:highlight w:val="none"/>
        </w:rPr>
      </w:pPr>
    </w:p>
    <w:p w14:paraId="6F1556EE">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lang w:bidi="ar"/>
        </w:rPr>
        <w:t>投标人名称：</w:t>
      </w:r>
    </w:p>
    <w:p w14:paraId="1F8584EC">
      <w:pPr>
        <w:snapToGrid w:val="0"/>
        <w:spacing w:before="165" w:beforeLines="50" w:after="50" w:line="400" w:lineRule="exact"/>
        <w:ind w:firstLine="360" w:firstLineChars="150"/>
        <w:rPr>
          <w:rFonts w:hint="eastAsia" w:ascii="宋体" w:hAnsi="宋体" w:cs="宋体"/>
          <w:bCs/>
          <w:color w:val="auto"/>
          <w:sz w:val="24"/>
          <w:highlight w:val="none"/>
        </w:rPr>
      </w:pPr>
    </w:p>
    <w:p w14:paraId="35DB67D4">
      <w:pPr>
        <w:snapToGrid w:val="0"/>
        <w:spacing w:before="165"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lang w:bidi="ar"/>
        </w:rPr>
        <w:t>投标人地址：</w:t>
      </w:r>
    </w:p>
    <w:p w14:paraId="7501BEAF">
      <w:pPr>
        <w:widowControl/>
        <w:snapToGrid w:val="0"/>
        <w:spacing w:before="50" w:after="50" w:line="400" w:lineRule="exact"/>
        <w:ind w:firstLine="960" w:firstLineChars="400"/>
        <w:rPr>
          <w:rFonts w:hint="eastAsia" w:ascii="宋体" w:hAnsi="宋体" w:cs="宋体"/>
          <w:bCs/>
          <w:color w:val="auto"/>
          <w:sz w:val="24"/>
          <w:highlight w:val="none"/>
        </w:rPr>
      </w:pPr>
    </w:p>
    <w:p w14:paraId="15E5805B">
      <w:pPr>
        <w:snapToGrid w:val="0"/>
        <w:spacing w:before="165" w:beforeLines="50" w:after="50" w:line="400" w:lineRule="exact"/>
        <w:rPr>
          <w:rFonts w:hint="eastAsia" w:ascii="宋体" w:hAnsi="宋体" w:cs="宋体"/>
          <w:color w:val="auto"/>
          <w:sz w:val="24"/>
          <w:highlight w:val="none"/>
        </w:rPr>
      </w:pPr>
      <w:r>
        <w:rPr>
          <w:rFonts w:hint="eastAsia" w:ascii="宋体" w:hAnsi="宋体" w:cs="宋体"/>
          <w:color w:val="auto"/>
          <w:sz w:val="24"/>
          <w:highlight w:val="none"/>
          <w:lang w:bidi="ar"/>
        </w:rPr>
        <w:t xml:space="preserve">                                                       年  月  日</w:t>
      </w:r>
    </w:p>
    <w:p w14:paraId="5141B4B6">
      <w:pPr>
        <w:rPr>
          <w:rFonts w:hint="eastAsia" w:ascii="宋体" w:hAnsi="宋体" w:cs="宋体"/>
          <w:color w:val="auto"/>
          <w:sz w:val="24"/>
          <w:highlight w:val="none"/>
          <w:lang w:bidi="ar"/>
        </w:rPr>
        <w:sectPr>
          <w:pgSz w:w="11906" w:h="16838"/>
          <w:pgMar w:top="1135" w:right="1135" w:bottom="1135" w:left="1135" w:header="720" w:footer="720" w:gutter="0"/>
          <w:pgNumType w:fmt="decimal"/>
          <w:cols w:space="720" w:num="1"/>
          <w:docGrid w:type="lines" w:linePitch="331" w:charSpace="0"/>
        </w:sectPr>
      </w:pPr>
    </w:p>
    <w:p w14:paraId="56F8E940">
      <w:pPr>
        <w:rPr>
          <w:rFonts w:hint="eastAsia" w:ascii="宋体" w:hAnsi="宋体" w:cs="宋体"/>
          <w:color w:val="auto"/>
          <w:highlight w:val="none"/>
        </w:rPr>
      </w:pPr>
    </w:p>
    <w:p w14:paraId="40FCB037">
      <w:pPr>
        <w:snapToGrid w:val="0"/>
        <w:spacing w:before="165"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报价文件目录</w:t>
      </w:r>
    </w:p>
    <w:p w14:paraId="5B1880D3">
      <w:pPr>
        <w:rPr>
          <w:rFonts w:hint="eastAsia" w:ascii="宋体" w:hAnsi="宋体" w:cs="宋体"/>
          <w:color w:val="auto"/>
          <w:highlight w:val="none"/>
        </w:rPr>
      </w:pPr>
    </w:p>
    <w:p w14:paraId="3521787B">
      <w:pPr>
        <w:rPr>
          <w:rFonts w:hint="eastAsia" w:ascii="宋体" w:hAnsi="宋体" w:cs="宋体"/>
          <w:color w:val="auto"/>
          <w:kern w:val="0"/>
          <w:sz w:val="24"/>
          <w:highlight w:val="none"/>
        </w:rPr>
      </w:pPr>
      <w:r>
        <w:rPr>
          <w:rFonts w:hint="eastAsia" w:ascii="宋体" w:hAnsi="宋体" w:cs="宋体"/>
          <w:color w:val="auto"/>
          <w:kern w:val="0"/>
          <w:sz w:val="24"/>
          <w:highlight w:val="none"/>
          <w:lang w:bidi="ar"/>
        </w:rPr>
        <w:t>一、投标函………………………………………………………（页码）</w:t>
      </w:r>
    </w:p>
    <w:p w14:paraId="6D94C242">
      <w:pPr>
        <w:spacing w:line="360" w:lineRule="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二、开标一览表…………………………………………………（页码）</w:t>
      </w:r>
    </w:p>
    <w:p w14:paraId="6C63A797">
      <w:pPr>
        <w:wordWrap w:val="0"/>
        <w:snapToGrid w:val="0"/>
        <w:spacing w:line="360" w:lineRule="auto"/>
        <w:rPr>
          <w:rFonts w:hint="eastAsia"/>
          <w:color w:val="auto"/>
          <w:highlight w:val="none"/>
        </w:rPr>
      </w:pPr>
      <w:r>
        <w:rPr>
          <w:rFonts w:hint="eastAsia" w:ascii="宋体" w:hAnsi="宋体" w:cs="宋体"/>
          <w:color w:val="auto"/>
          <w:kern w:val="0"/>
          <w:sz w:val="24"/>
          <w:highlight w:val="none"/>
          <w:lang w:val="en-US" w:eastAsia="zh-CN" w:bidi="ar"/>
        </w:rPr>
        <w:t>三</w:t>
      </w:r>
      <w:r>
        <w:rPr>
          <w:rFonts w:hint="eastAsia" w:ascii="宋体" w:hAnsi="宋体" w:cs="宋体"/>
          <w:color w:val="auto"/>
          <w:kern w:val="0"/>
          <w:sz w:val="24"/>
          <w:highlight w:val="none"/>
          <w:lang w:bidi="ar"/>
        </w:rPr>
        <w:t>、中小企业声明函……………………………………………（页码）</w:t>
      </w:r>
    </w:p>
    <w:p w14:paraId="3094A7F1">
      <w:pPr>
        <w:spacing w:line="360" w:lineRule="auto"/>
        <w:rPr>
          <w:rFonts w:hint="eastAsia" w:ascii="宋体" w:hAnsi="宋体" w:cs="宋体"/>
          <w:color w:val="auto"/>
          <w:kern w:val="0"/>
          <w:sz w:val="24"/>
          <w:highlight w:val="none"/>
          <w:lang w:bidi="ar"/>
        </w:rPr>
      </w:pPr>
    </w:p>
    <w:p w14:paraId="00573781">
      <w:pPr>
        <w:rPr>
          <w:rFonts w:hint="eastAsia" w:ascii="宋体" w:hAnsi="宋体" w:cs="宋体"/>
          <w:color w:val="auto"/>
          <w:kern w:val="0"/>
          <w:sz w:val="24"/>
          <w:highlight w:val="none"/>
          <w:lang w:bidi="ar"/>
        </w:rPr>
        <w:sectPr>
          <w:pgSz w:w="11906" w:h="16838"/>
          <w:pgMar w:top="1135" w:right="1135" w:bottom="1135" w:left="1135" w:header="720" w:footer="720" w:gutter="0"/>
          <w:pgNumType w:fmt="decimal"/>
          <w:cols w:space="720" w:num="1"/>
          <w:docGrid w:type="lines" w:linePitch="331" w:charSpace="0"/>
        </w:sectPr>
      </w:pPr>
    </w:p>
    <w:p w14:paraId="3154A1CD">
      <w:pPr>
        <w:widowControl/>
        <w:spacing w:line="50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一、投标函</w:t>
      </w:r>
    </w:p>
    <w:p w14:paraId="557C709B">
      <w:pPr>
        <w:widowControl/>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（采购人）</w:t>
      </w:r>
      <w:r>
        <w:rPr>
          <w:rFonts w:hint="eastAsia" w:ascii="宋体" w:hAnsi="宋体" w:cs="宋体"/>
          <w:color w:val="auto"/>
          <w:sz w:val="24"/>
          <w:szCs w:val="24"/>
          <w:highlight w:val="none"/>
        </w:rPr>
        <w:t xml:space="preserve"> </w:t>
      </w:r>
    </w:p>
    <w:p w14:paraId="0FAF588C">
      <w:pPr>
        <w:widowControl/>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我方已仔细阅读了贵方组织的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）的招标文件的全部内容，授权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(全权代表姓名)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(职务、职称)为全权代表，现正式递交下述文件参加贵方组织的本次政府采购活动： </w:t>
      </w:r>
    </w:p>
    <w:p w14:paraId="2E5EB026">
      <w:pPr>
        <w:widowControl/>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一、报价文件电子版一份（包含按投标人须知前附表要求提交的全部文件）；</w:t>
      </w:r>
    </w:p>
    <w:p w14:paraId="788E7612">
      <w:pPr>
        <w:widowControl/>
        <w:spacing w:line="44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二、资格文件电子版一份（包含按投标人须知前附表要求提交的全部文件）；</w:t>
      </w:r>
    </w:p>
    <w:p w14:paraId="3B571945">
      <w:pPr>
        <w:widowControl/>
        <w:spacing w:line="44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三、商务文件</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技术文件</w:t>
      </w:r>
      <w:r>
        <w:rPr>
          <w:rFonts w:hint="eastAsia" w:ascii="宋体" w:hAnsi="宋体" w:cs="宋体"/>
          <w:color w:val="auto"/>
          <w:sz w:val="24"/>
          <w:szCs w:val="24"/>
          <w:highlight w:val="none"/>
          <w:lang w:val="en-US" w:eastAsia="zh-CN"/>
        </w:rPr>
        <w:t>合并</w:t>
      </w:r>
      <w:r>
        <w:rPr>
          <w:rFonts w:hint="eastAsia" w:ascii="宋体" w:hAnsi="宋体" w:cs="宋体"/>
          <w:color w:val="auto"/>
          <w:sz w:val="24"/>
          <w:szCs w:val="24"/>
          <w:highlight w:val="none"/>
        </w:rPr>
        <w:t>电子版一份（包含按投标人须知前附表要求提交的全部文件）；</w:t>
      </w:r>
    </w:p>
    <w:p w14:paraId="78A2F17A">
      <w:pPr>
        <w:widowControl/>
        <w:spacing w:line="44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据此函，签字人兹宣布：</w:t>
      </w:r>
    </w:p>
    <w:p w14:paraId="31410A1C">
      <w:pPr>
        <w:widowControl/>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1、我方愿意以（大写）人民币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元)的</w:t>
      </w:r>
      <w:r>
        <w:rPr>
          <w:rFonts w:hint="eastAsia" w:ascii="宋体" w:hAnsi="宋体" w:cs="宋体"/>
          <w:color w:val="auto"/>
          <w:sz w:val="24"/>
          <w:szCs w:val="24"/>
          <w:highlight w:val="none"/>
          <w:lang w:val="en-US" w:eastAsia="zh-CN"/>
        </w:rPr>
        <w:t>单价总</w:t>
      </w: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val="en-US" w:eastAsia="zh-CN"/>
        </w:rPr>
        <w:t>交货</w:t>
      </w:r>
      <w:r>
        <w:rPr>
          <w:rFonts w:hint="eastAsia" w:ascii="宋体" w:hAnsi="宋体" w:cs="宋体"/>
          <w:color w:val="auto"/>
          <w:sz w:val="24"/>
          <w:szCs w:val="24"/>
          <w:highlight w:val="none"/>
        </w:rPr>
        <w:t>期</w:t>
      </w:r>
      <w:r>
        <w:rPr>
          <w:rFonts w:hint="eastAsia" w:ascii="宋体" w:hAnsi="宋体" w:cs="宋体"/>
          <w:color w:val="auto"/>
          <w:sz w:val="24"/>
          <w:szCs w:val="24"/>
          <w:highlight w:val="none"/>
        </w:rPr>
        <w:t>（无分标时填写）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，提供本项目招标文件第二章“货物需求”中的相应的采购内容。</w:t>
      </w:r>
    </w:p>
    <w:p w14:paraId="63578AFC">
      <w:pPr>
        <w:widowControl/>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其中（有分标时填写）：</w:t>
      </w:r>
    </w:p>
    <w:p w14:paraId="21C99D33">
      <w:pPr>
        <w:widowControl/>
        <w:spacing w:line="3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分标</w:t>
      </w:r>
      <w:r>
        <w:rPr>
          <w:rFonts w:hint="eastAsia" w:ascii="宋体" w:hAnsi="宋体" w:cs="宋体"/>
          <w:color w:val="auto"/>
          <w:sz w:val="24"/>
          <w:szCs w:val="24"/>
          <w:highlight w:val="none"/>
          <w:lang w:val="en-US" w:eastAsia="zh-CN"/>
        </w:rPr>
        <w:t>单价</w:t>
      </w: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val="en-US" w:eastAsia="zh-CN"/>
        </w:rPr>
        <w:t>合计</w:t>
      </w:r>
      <w:r>
        <w:rPr>
          <w:rFonts w:hint="eastAsia" w:ascii="宋体" w:hAnsi="宋体" w:cs="宋体"/>
          <w:color w:val="auto"/>
          <w:sz w:val="24"/>
          <w:szCs w:val="24"/>
          <w:highlight w:val="none"/>
        </w:rPr>
        <w:t>为（大写）人民币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交货</w:t>
      </w:r>
      <w:r>
        <w:rPr>
          <w:rFonts w:hint="eastAsia" w:ascii="宋体" w:hAnsi="宋体" w:cs="宋体"/>
          <w:color w:val="auto"/>
          <w:sz w:val="24"/>
          <w:szCs w:val="24"/>
          <w:highlight w:val="none"/>
        </w:rPr>
        <w:t>期</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EE2F235">
      <w:pPr>
        <w:widowControl/>
        <w:spacing w:line="3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分标</w:t>
      </w:r>
      <w:r>
        <w:rPr>
          <w:rFonts w:hint="eastAsia" w:ascii="宋体" w:hAnsi="宋体" w:cs="宋体"/>
          <w:color w:val="auto"/>
          <w:sz w:val="24"/>
          <w:szCs w:val="24"/>
          <w:highlight w:val="none"/>
          <w:lang w:val="en-US" w:eastAsia="zh-CN"/>
        </w:rPr>
        <w:t>单价</w:t>
      </w: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val="en-US" w:eastAsia="zh-CN"/>
        </w:rPr>
        <w:t>合计</w:t>
      </w:r>
      <w:r>
        <w:rPr>
          <w:rFonts w:hint="eastAsia" w:ascii="宋体" w:hAnsi="宋体" w:cs="宋体"/>
          <w:color w:val="auto"/>
          <w:sz w:val="24"/>
          <w:szCs w:val="24"/>
          <w:highlight w:val="none"/>
        </w:rPr>
        <w:t>为（大写）人民币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val="en-US" w:eastAsia="zh-CN"/>
        </w:rPr>
        <w:t>交货</w:t>
      </w:r>
      <w:r>
        <w:rPr>
          <w:rFonts w:hint="eastAsia" w:ascii="宋体" w:hAnsi="宋体" w:cs="宋体"/>
          <w:color w:val="auto"/>
          <w:sz w:val="24"/>
          <w:szCs w:val="24"/>
          <w:highlight w:val="none"/>
        </w:rPr>
        <w:t>期</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13536AB">
      <w:pPr>
        <w:widowControl/>
        <w:spacing w:line="3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w:t>
      </w:r>
    </w:p>
    <w:p w14:paraId="6D2E041D">
      <w:pPr>
        <w:widowControl/>
        <w:spacing w:line="3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2DD31BFD">
      <w:pPr>
        <w:widowControl/>
        <w:spacing w:line="3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3、我方所递交的投标文件及有关资料都是内容完整、真实和准确的。</w:t>
      </w:r>
    </w:p>
    <w:p w14:paraId="4845C80B">
      <w:pPr>
        <w:widowControl/>
        <w:spacing w:line="44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4、如本项目采购内容涉及须符合国家强制规定的，我方承诺我方本次投标（包括资格条件和所投产品）均符合国家有关强制规定。</w:t>
      </w:r>
    </w:p>
    <w:p w14:paraId="2654E585">
      <w:pPr>
        <w:widowControl/>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44565287">
      <w:pPr>
        <w:widowControl/>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6、我方已详细审核招标文件，我方知道必须放弃提出含糊不清或误解问题的权利。</w:t>
      </w:r>
    </w:p>
    <w:p w14:paraId="2380A6F3">
      <w:pPr>
        <w:widowControl/>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7、我方同意应贵方要求提供与</w:t>
      </w:r>
      <w:r>
        <w:rPr>
          <w:rFonts w:hint="eastAsia" w:ascii="宋体" w:hAnsi="宋体" w:cs="宋体"/>
          <w:color w:val="auto"/>
          <w:sz w:val="24"/>
          <w:szCs w:val="24"/>
          <w:highlight w:val="none"/>
          <w:lang w:eastAsia="zh-CN"/>
        </w:rPr>
        <w:t>本次</w:t>
      </w:r>
      <w:r>
        <w:rPr>
          <w:rFonts w:hint="eastAsia" w:ascii="宋体" w:hAnsi="宋体" w:cs="宋体"/>
          <w:color w:val="auto"/>
          <w:sz w:val="24"/>
          <w:szCs w:val="24"/>
          <w:highlight w:val="none"/>
        </w:rPr>
        <w:t>投标有关的任何数据或资料。若贵方需要，我方愿意提供我方作出的一切承诺的证明材料。</w:t>
      </w:r>
    </w:p>
    <w:p w14:paraId="7429F737">
      <w:pPr>
        <w:widowControl/>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8、我方完全理解贵方不一定接受投标报价最低的投标人为中标供应商的行为。</w:t>
      </w:r>
    </w:p>
    <w:p w14:paraId="49082698">
      <w:pPr>
        <w:widowControl/>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0DFAB63">
      <w:pPr>
        <w:widowControl/>
        <w:numPr>
          <w:ilvl w:val="0"/>
          <w:numId w:val="4"/>
        </w:num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提供虚假材料谋取中标、成交的；</w:t>
      </w:r>
    </w:p>
    <w:p w14:paraId="7408E6AE">
      <w:pPr>
        <w:widowControl/>
        <w:numPr>
          <w:ilvl w:val="0"/>
          <w:numId w:val="4"/>
        </w:num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采取不正当手段诋毁、排挤其他供应商的；</w:t>
      </w:r>
    </w:p>
    <w:p w14:paraId="52435A36">
      <w:pPr>
        <w:widowControl/>
        <w:numPr>
          <w:ilvl w:val="0"/>
          <w:numId w:val="4"/>
        </w:num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与采购人、其他供应商或者采购代理机构恶意串通的；</w:t>
      </w:r>
    </w:p>
    <w:p w14:paraId="716A4B90">
      <w:pPr>
        <w:widowControl/>
        <w:numPr>
          <w:ilvl w:val="0"/>
          <w:numId w:val="4"/>
        </w:num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向采购人、采购代理机构行贿或者提供其他不正当利益的；</w:t>
      </w:r>
    </w:p>
    <w:p w14:paraId="00DE9AA6">
      <w:pPr>
        <w:widowControl/>
        <w:numPr>
          <w:ilvl w:val="0"/>
          <w:numId w:val="4"/>
        </w:num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在招标采购过程中与采购人进行协商谈判的；</w:t>
      </w:r>
    </w:p>
    <w:p w14:paraId="06E36788">
      <w:pPr>
        <w:widowControl/>
        <w:numPr>
          <w:ilvl w:val="0"/>
          <w:numId w:val="4"/>
        </w:num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拒绝有关部门监督检查或提供虚假情况的。</w:t>
      </w:r>
    </w:p>
    <w:p w14:paraId="1FE457D2">
      <w:pPr>
        <w:widowControl/>
        <w:spacing w:line="440" w:lineRule="exact"/>
        <w:ind w:left="420"/>
        <w:rPr>
          <w:rFonts w:hint="eastAsia" w:ascii="宋体" w:hAnsi="宋体" w:cs="宋体"/>
          <w:color w:val="auto"/>
          <w:sz w:val="24"/>
          <w:szCs w:val="24"/>
          <w:highlight w:val="none"/>
        </w:rPr>
      </w:pPr>
      <w:r>
        <w:rPr>
          <w:rFonts w:hint="eastAsia" w:ascii="宋体" w:hAnsi="宋体" w:cs="宋体"/>
          <w:color w:val="auto"/>
          <w:sz w:val="24"/>
          <w:szCs w:val="24"/>
          <w:highlight w:val="none"/>
        </w:rPr>
        <w:t>10、我方及由本人担任法定代表人的其他机构最近三年内被处罚的违法行为有：</w:t>
      </w:r>
      <w:r>
        <w:rPr>
          <w:rFonts w:hint="eastAsia" w:ascii="宋体" w:hAnsi="宋体" w:cs="宋体"/>
          <w:color w:val="auto"/>
          <w:sz w:val="24"/>
          <w:szCs w:val="24"/>
          <w:highlight w:val="none"/>
          <w:u w:val="single"/>
        </w:rPr>
        <w:t xml:space="preserve">                   </w:t>
      </w:r>
    </w:p>
    <w:p w14:paraId="02D2F7D9">
      <w:pPr>
        <w:widowControl/>
        <w:spacing w:line="440" w:lineRule="exact"/>
        <w:ind w:left="42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p>
    <w:p w14:paraId="11B7AAFE">
      <w:pPr>
        <w:widowControl/>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11、以上事项如有虚假或隐瞒，我方愿意承担一切后果，并不再寻求任何旨在减轻或免除法律责任的辩解。</w:t>
      </w:r>
    </w:p>
    <w:p w14:paraId="1EBAAE71">
      <w:pPr>
        <w:widowControl/>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12、与本投标有关的一切正式往来信函请寄：</w:t>
      </w:r>
    </w:p>
    <w:p w14:paraId="1E6EBBFC">
      <w:pPr>
        <w:widowControl/>
        <w:spacing w:line="360" w:lineRule="auto"/>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370F0FDB">
      <w:pPr>
        <w:widowControl/>
        <w:spacing w:line="360" w:lineRule="auto"/>
        <w:ind w:firstLine="42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p>
    <w:p w14:paraId="7F2726E6">
      <w:pPr>
        <w:widowControl/>
        <w:spacing w:line="360" w:lineRule="auto"/>
        <w:ind w:firstLine="42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传真：</w:t>
      </w:r>
      <w:r>
        <w:rPr>
          <w:rFonts w:hint="eastAsia" w:ascii="宋体" w:hAnsi="宋体" w:cs="宋体"/>
          <w:color w:val="auto"/>
          <w:sz w:val="24"/>
          <w:szCs w:val="24"/>
          <w:highlight w:val="none"/>
          <w:u w:val="single"/>
        </w:rPr>
        <w:t xml:space="preserve">                                                         </w:t>
      </w:r>
    </w:p>
    <w:p w14:paraId="3342EDCE">
      <w:pPr>
        <w:widowControl/>
        <w:spacing w:line="360" w:lineRule="auto"/>
        <w:ind w:firstLine="42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p>
    <w:p w14:paraId="53C24D0E">
      <w:pPr>
        <w:widowControl/>
        <w:spacing w:line="360" w:lineRule="auto"/>
        <w:ind w:firstLine="42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开户名称：</w:t>
      </w:r>
      <w:r>
        <w:rPr>
          <w:rFonts w:hint="eastAsia" w:ascii="宋体" w:hAnsi="宋体" w:cs="宋体"/>
          <w:color w:val="auto"/>
          <w:sz w:val="24"/>
          <w:szCs w:val="24"/>
          <w:highlight w:val="none"/>
          <w:u w:val="single"/>
        </w:rPr>
        <w:t xml:space="preserve">                                                    </w:t>
      </w:r>
    </w:p>
    <w:p w14:paraId="4F9F179E">
      <w:pPr>
        <w:widowControl/>
        <w:spacing w:line="360" w:lineRule="auto"/>
        <w:ind w:firstLine="42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p>
    <w:p w14:paraId="0CE02A72">
      <w:pPr>
        <w:widowControl/>
        <w:spacing w:line="360" w:lineRule="auto"/>
        <w:ind w:firstLine="42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银行账号：</w:t>
      </w:r>
      <w:r>
        <w:rPr>
          <w:rFonts w:hint="eastAsia" w:ascii="宋体" w:hAnsi="宋体" w:cs="宋体"/>
          <w:color w:val="auto"/>
          <w:sz w:val="24"/>
          <w:szCs w:val="24"/>
          <w:highlight w:val="none"/>
          <w:u w:val="single"/>
        </w:rPr>
        <w:t xml:space="preserve">                                                    </w:t>
      </w:r>
    </w:p>
    <w:p w14:paraId="308639E9">
      <w:pPr>
        <w:snapToGrid w:val="0"/>
        <w:spacing w:line="360" w:lineRule="auto"/>
        <w:ind w:firstLine="5040" w:firstLineChars="2100"/>
        <w:rPr>
          <w:rFonts w:hint="eastAsia" w:ascii="宋体" w:hAnsi="宋体" w:cs="宋体"/>
          <w:color w:val="auto"/>
          <w:kern w:val="0"/>
          <w:sz w:val="24"/>
          <w:szCs w:val="24"/>
          <w:highlight w:val="none"/>
          <w:lang w:val="zh-CN" w:bidi="ar"/>
        </w:rPr>
      </w:pPr>
    </w:p>
    <w:p w14:paraId="6C8E3140">
      <w:pPr>
        <w:snapToGrid w:val="0"/>
        <w:spacing w:line="360" w:lineRule="auto"/>
        <w:ind w:firstLine="5040" w:firstLineChars="21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zh-CN" w:bidi="ar"/>
        </w:rPr>
        <w:t>投标人名称(电子签章)：</w:t>
      </w:r>
    </w:p>
    <w:p w14:paraId="2F0D14AD">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szCs w:val="24"/>
          <w:highlight w:val="none"/>
          <w:lang w:val="zh-CN" w:bidi="ar"/>
        </w:rPr>
        <w:t>日期</w:t>
      </w:r>
      <w:r>
        <w:rPr>
          <w:rFonts w:hint="eastAsia" w:ascii="宋体" w:hAnsi="宋体" w:cs="宋体"/>
          <w:color w:val="auto"/>
          <w:kern w:val="0"/>
          <w:sz w:val="24"/>
          <w:szCs w:val="24"/>
          <w:highlight w:val="none"/>
          <w:lang w:bidi="ar"/>
        </w:rPr>
        <w:t xml:space="preserve">：  年  </w:t>
      </w:r>
      <w:r>
        <w:rPr>
          <w:rFonts w:hint="eastAsia" w:ascii="宋体" w:hAnsi="宋体" w:cs="宋体"/>
          <w:color w:val="auto"/>
          <w:kern w:val="0"/>
          <w:sz w:val="24"/>
          <w:szCs w:val="24"/>
          <w:highlight w:val="none"/>
          <w:lang w:val="zh-CN" w:bidi="ar"/>
        </w:rPr>
        <w:t>月</w:t>
      </w:r>
      <w:r>
        <w:rPr>
          <w:rFonts w:hint="eastAsia" w:ascii="宋体" w:hAnsi="宋体" w:cs="宋体"/>
          <w:color w:val="auto"/>
          <w:kern w:val="0"/>
          <w:sz w:val="24"/>
          <w:szCs w:val="24"/>
          <w:highlight w:val="none"/>
          <w:lang w:bidi="ar"/>
        </w:rPr>
        <w:t xml:space="preserve">   </w:t>
      </w:r>
      <w:r>
        <w:rPr>
          <w:rFonts w:hint="eastAsia" w:ascii="宋体" w:hAnsi="宋体" w:cs="宋体"/>
          <w:color w:val="auto"/>
          <w:kern w:val="0"/>
          <w:sz w:val="24"/>
          <w:highlight w:val="none"/>
          <w:lang w:val="zh-CN" w:bidi="ar"/>
        </w:rPr>
        <w:t>日</w:t>
      </w:r>
    </w:p>
    <w:p w14:paraId="726BE726">
      <w:pPr>
        <w:spacing w:line="360" w:lineRule="auto"/>
        <w:rPr>
          <w:rFonts w:hint="eastAsia" w:ascii="宋体" w:hAnsi="宋体" w:cs="宋体"/>
          <w:color w:val="auto"/>
          <w:sz w:val="24"/>
          <w:highlight w:val="none"/>
          <w:lang w:val="zh-CN" w:bidi="ar"/>
        </w:rPr>
        <w:sectPr>
          <w:pgSz w:w="11906" w:h="16838"/>
          <w:pgMar w:top="1135" w:right="1135" w:bottom="1135" w:left="1135" w:header="720" w:footer="720" w:gutter="0"/>
          <w:pgNumType w:fmt="decimal"/>
          <w:cols w:space="720" w:num="1"/>
          <w:docGrid w:type="lines" w:linePitch="331" w:charSpace="0"/>
        </w:sectPr>
      </w:pPr>
    </w:p>
    <w:p w14:paraId="4791132B">
      <w:pPr>
        <w:widowControl/>
        <w:spacing w:line="360" w:lineRule="auto"/>
        <w:jc w:val="center"/>
        <w:rPr>
          <w:rFonts w:hint="eastAsia" w:ascii="宋体" w:hAnsi="宋体" w:cs="宋体"/>
          <w:b/>
          <w:color w:val="auto"/>
          <w:sz w:val="30"/>
          <w:szCs w:val="30"/>
          <w:highlight w:val="none"/>
        </w:rPr>
      </w:pPr>
      <w:r>
        <w:rPr>
          <w:rFonts w:hint="eastAsia" w:ascii="宋体" w:hAnsi="宋体" w:cs="宋体"/>
          <w:color w:val="auto"/>
          <w:sz w:val="30"/>
          <w:szCs w:val="20"/>
          <w:highlight w:val="none"/>
        </w:rPr>
        <w:t>二、</w:t>
      </w:r>
      <w:r>
        <w:rPr>
          <w:rFonts w:hint="eastAsia" w:ascii="宋体" w:hAnsi="宋体" w:cs="宋体"/>
          <w:b/>
          <w:color w:val="auto"/>
          <w:sz w:val="30"/>
          <w:szCs w:val="30"/>
          <w:highlight w:val="none"/>
        </w:rPr>
        <w:t>开标一览表</w:t>
      </w:r>
      <w:r>
        <w:rPr>
          <w:rFonts w:hint="eastAsia" w:ascii="宋体" w:hAnsi="宋体" w:cs="宋体"/>
          <w:b/>
          <w:color w:val="auto"/>
          <w:kern w:val="0"/>
          <w:sz w:val="24"/>
          <w:szCs w:val="20"/>
          <w:highlight w:val="none"/>
          <w:lang w:val="zh-CN"/>
        </w:rPr>
        <w:t>(单位均为人民币元)</w:t>
      </w:r>
    </w:p>
    <w:p w14:paraId="6A5DBA3A">
      <w:pPr>
        <w:snapToGrid w:val="0"/>
        <w:spacing w:before="50" w:after="50" w:line="360" w:lineRule="auto"/>
        <w:rPr>
          <w:rFonts w:hint="eastAsia" w:ascii="宋体" w:hAnsi="宋体" w:cs="宋体"/>
          <w:color w:val="auto"/>
          <w:sz w:val="24"/>
          <w:highlight w:val="none"/>
          <w:lang w:bidi="ar"/>
        </w:rPr>
      </w:pPr>
      <w:r>
        <w:rPr>
          <w:rFonts w:hint="eastAsia" w:ascii="宋体" w:hAnsi="宋体" w:cs="宋体"/>
          <w:color w:val="auto"/>
          <w:sz w:val="24"/>
          <w:highlight w:val="none"/>
          <w:lang w:bidi="ar"/>
        </w:rPr>
        <w:t>项目名称：</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 xml:space="preserve">  </w:t>
      </w:r>
    </w:p>
    <w:p w14:paraId="36389871">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lang w:bidi="ar"/>
        </w:rPr>
        <w:t>项目编号：</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 xml:space="preserve">  分标：</w:t>
      </w:r>
      <w:r>
        <w:rPr>
          <w:rFonts w:hint="eastAsia" w:ascii="宋体" w:hAnsi="宋体" w:cs="宋体"/>
          <w:color w:val="auto"/>
          <w:sz w:val="24"/>
          <w:highlight w:val="none"/>
          <w:u w:val="single"/>
          <w:lang w:bidi="ar"/>
        </w:rPr>
        <w:t xml:space="preserve">           </w:t>
      </w:r>
    </w:p>
    <w:p w14:paraId="528C8734">
      <w:pPr>
        <w:widowControl/>
        <w:spacing w:line="360" w:lineRule="auto"/>
        <w:rPr>
          <w:rFonts w:hint="eastAsia" w:ascii="宋体" w:hAnsi="宋体" w:cs="宋体"/>
          <w:b/>
          <w:color w:val="auto"/>
          <w:sz w:val="32"/>
          <w:szCs w:val="20"/>
          <w:highlight w:val="none"/>
        </w:rPr>
      </w:pPr>
      <w:r>
        <w:rPr>
          <w:rFonts w:hint="eastAsia" w:ascii="宋体" w:hAnsi="宋体" w:cs="宋体"/>
          <w:color w:val="auto"/>
          <w:sz w:val="24"/>
          <w:szCs w:val="20"/>
          <w:highlight w:val="none"/>
        </w:rPr>
        <w:t>投标人名称：</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 xml:space="preserve">   </w:t>
      </w:r>
    </w:p>
    <w:tbl>
      <w:tblPr>
        <w:tblStyle w:val="39"/>
        <w:tblW w:w="96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209"/>
        <w:gridCol w:w="1670"/>
        <w:gridCol w:w="1050"/>
        <w:gridCol w:w="870"/>
        <w:gridCol w:w="1280"/>
        <w:gridCol w:w="1800"/>
        <w:gridCol w:w="1210"/>
      </w:tblGrid>
      <w:tr w14:paraId="578E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646F4FBF">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序号</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43ACE743">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货物的名称</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D74B314">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货物规格型号</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DA2B7E">
            <w:pPr>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品牌</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4511FD13">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数量</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76A67DA">
            <w:pP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单位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DF15D73">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单价（元）</w:t>
            </w:r>
          </w:p>
        </w:tc>
        <w:tc>
          <w:tcPr>
            <w:tcW w:w="1210" w:type="dxa"/>
            <w:tcBorders>
              <w:top w:val="single" w:color="auto" w:sz="4" w:space="0"/>
              <w:left w:val="single" w:color="auto" w:sz="4" w:space="0"/>
              <w:bottom w:val="single" w:color="auto" w:sz="4" w:space="0"/>
              <w:right w:val="single" w:color="auto" w:sz="4" w:space="0"/>
            </w:tcBorders>
            <w:noWrap w:val="0"/>
            <w:vAlign w:val="top"/>
          </w:tcPr>
          <w:p w14:paraId="15D0B375">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备注</w:t>
            </w:r>
          </w:p>
        </w:tc>
      </w:tr>
      <w:tr w14:paraId="61D4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56284D54">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396741E5">
            <w:pPr>
              <w:rPr>
                <w:rFonts w:hint="eastAsia" w:ascii="宋体" w:hAnsi="宋体" w:cs="宋体"/>
                <w:color w:val="auto"/>
                <w:sz w:val="24"/>
                <w:szCs w:val="24"/>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BF432B8">
            <w:pPr>
              <w:rPr>
                <w:rFonts w:hint="eastAsia" w:ascii="宋体" w:hAnsi="宋体" w:cs="宋体"/>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0F5197B">
            <w:pPr>
              <w:rPr>
                <w:rFonts w:hint="eastAsia" w:ascii="宋体" w:hAnsi="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039FD9D">
            <w:pPr>
              <w:rPr>
                <w:rFonts w:hint="eastAsia" w:ascii="宋体" w:hAnsi="宋体" w:cs="宋体"/>
                <w:color w:val="auto"/>
                <w:sz w:val="24"/>
                <w:szCs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5E9916DB">
            <w:pPr>
              <w:rPr>
                <w:rFonts w:hint="eastAsia" w:ascii="宋体" w:hAnsi="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F7D6E7A">
            <w:pPr>
              <w:rPr>
                <w:rFonts w:hint="eastAsia" w:ascii="宋体" w:hAnsi="宋体" w:cs="宋体"/>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5300777E">
            <w:pPr>
              <w:rPr>
                <w:rFonts w:hint="eastAsia" w:ascii="宋体" w:hAnsi="宋体" w:cs="宋体"/>
                <w:color w:val="auto"/>
                <w:sz w:val="24"/>
                <w:szCs w:val="24"/>
                <w:highlight w:val="none"/>
              </w:rPr>
            </w:pPr>
          </w:p>
        </w:tc>
      </w:tr>
      <w:tr w14:paraId="3EAC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712DE9C6">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76695DD5">
            <w:pPr>
              <w:rPr>
                <w:rFonts w:hint="eastAsia" w:ascii="宋体" w:hAnsi="宋体" w:cs="宋体"/>
                <w:color w:val="auto"/>
                <w:sz w:val="24"/>
                <w:szCs w:val="24"/>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62FFC7B">
            <w:pPr>
              <w:rPr>
                <w:rFonts w:hint="eastAsia" w:ascii="宋体" w:hAnsi="宋体" w:cs="宋体"/>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2B5856B4">
            <w:pPr>
              <w:rPr>
                <w:rFonts w:hint="eastAsia" w:ascii="宋体" w:hAnsi="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AFA76D9">
            <w:pPr>
              <w:rPr>
                <w:rFonts w:hint="eastAsia" w:ascii="宋体" w:hAnsi="宋体" w:cs="宋体"/>
                <w:color w:val="auto"/>
                <w:sz w:val="24"/>
                <w:szCs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6A981F0">
            <w:pPr>
              <w:rPr>
                <w:rFonts w:hint="eastAsia" w:ascii="宋体" w:hAnsi="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5161FCA">
            <w:pPr>
              <w:rPr>
                <w:rFonts w:hint="eastAsia" w:ascii="宋体" w:hAnsi="宋体" w:cs="宋体"/>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7C5EA484">
            <w:pPr>
              <w:rPr>
                <w:rFonts w:hint="eastAsia" w:ascii="宋体" w:hAnsi="宋体" w:cs="宋体"/>
                <w:color w:val="auto"/>
                <w:sz w:val="24"/>
                <w:szCs w:val="24"/>
                <w:highlight w:val="none"/>
              </w:rPr>
            </w:pPr>
          </w:p>
        </w:tc>
      </w:tr>
      <w:tr w14:paraId="52C6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542" w:type="dxa"/>
            <w:tcBorders>
              <w:top w:val="single" w:color="auto" w:sz="4" w:space="0"/>
              <w:left w:val="single" w:color="auto" w:sz="4" w:space="0"/>
              <w:bottom w:val="single" w:color="auto" w:sz="4" w:space="0"/>
              <w:right w:val="single" w:color="auto" w:sz="4" w:space="0"/>
            </w:tcBorders>
            <w:noWrap w:val="0"/>
            <w:vAlign w:val="center"/>
          </w:tcPr>
          <w:p w14:paraId="5318E9C5">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092AC20E">
            <w:pPr>
              <w:rPr>
                <w:rFonts w:hint="eastAsia" w:ascii="宋体" w:hAnsi="宋体" w:cs="宋体"/>
                <w:color w:val="auto"/>
                <w:sz w:val="24"/>
                <w:szCs w:val="24"/>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0C43DD9">
            <w:pPr>
              <w:rPr>
                <w:rFonts w:hint="eastAsia" w:ascii="宋体" w:hAnsi="宋体" w:cs="宋体"/>
                <w:color w:val="auto"/>
                <w:sz w:val="24"/>
                <w:szCs w:val="24"/>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6540F985">
            <w:pPr>
              <w:rPr>
                <w:rFonts w:hint="eastAsia" w:ascii="宋体" w:hAnsi="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8B02A7B">
            <w:pPr>
              <w:rPr>
                <w:rFonts w:hint="eastAsia" w:ascii="宋体" w:hAnsi="宋体" w:cs="宋体"/>
                <w:color w:val="auto"/>
                <w:sz w:val="24"/>
                <w:szCs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7F160E5">
            <w:pPr>
              <w:rPr>
                <w:rFonts w:hint="eastAsia" w:ascii="宋体" w:hAnsi="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4FC7A0B">
            <w:pPr>
              <w:rPr>
                <w:rFonts w:hint="eastAsia" w:ascii="宋体" w:hAnsi="宋体" w:cs="宋体"/>
                <w:color w:val="auto"/>
                <w:sz w:val="24"/>
                <w:szCs w:val="24"/>
                <w:highlight w:val="none"/>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3A3F45BC">
            <w:pPr>
              <w:rPr>
                <w:rFonts w:hint="eastAsia" w:ascii="宋体" w:hAnsi="宋体" w:cs="宋体"/>
                <w:color w:val="auto"/>
                <w:sz w:val="24"/>
                <w:szCs w:val="24"/>
                <w:highlight w:val="none"/>
              </w:rPr>
            </w:pPr>
          </w:p>
        </w:tc>
      </w:tr>
      <w:tr w14:paraId="7755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top"/>
          </w:tcPr>
          <w:p w14:paraId="31090CFD">
            <w:pP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单价</w:t>
            </w:r>
            <w:r>
              <w:rPr>
                <w:rFonts w:hint="eastAsia" w:ascii="宋体" w:hAnsi="宋体" w:cs="宋体"/>
                <w:color w:val="auto"/>
                <w:sz w:val="24"/>
                <w:szCs w:val="24"/>
                <w:highlight w:val="none"/>
                <w:lang w:bidi="ar"/>
              </w:rPr>
              <w:t>报价合计（包含税费等所有费用）：（大写）人民币（￥       元）</w:t>
            </w:r>
          </w:p>
        </w:tc>
      </w:tr>
      <w:tr w14:paraId="488F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top"/>
          </w:tcPr>
          <w:p w14:paraId="2B54C5B1">
            <w:pPr>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bidi="ar"/>
              </w:rPr>
              <w:t>　　</w:t>
            </w:r>
            <w:r>
              <w:rPr>
                <w:rFonts w:hint="eastAsia" w:ascii="宋体" w:hAnsi="宋体" w:cs="宋体"/>
                <w:color w:val="auto"/>
                <w:sz w:val="24"/>
                <w:szCs w:val="24"/>
                <w:highlight w:val="none"/>
                <w:lang w:bidi="ar"/>
              </w:rPr>
              <w:t>分标（此处有分标时填写具体分标号，无分标时填写“无”）</w:t>
            </w:r>
          </w:p>
        </w:tc>
      </w:tr>
      <w:tr w14:paraId="1424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top"/>
          </w:tcPr>
          <w:p w14:paraId="125917D4">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验收标准：</w:t>
            </w:r>
          </w:p>
        </w:tc>
      </w:tr>
      <w:tr w14:paraId="600C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632" w:type="dxa"/>
            <w:gridSpan w:val="8"/>
            <w:tcBorders>
              <w:top w:val="single" w:color="auto" w:sz="4" w:space="0"/>
              <w:left w:val="single" w:color="auto" w:sz="4" w:space="0"/>
              <w:bottom w:val="single" w:color="auto" w:sz="4" w:space="0"/>
              <w:right w:val="single" w:color="auto" w:sz="4" w:space="0"/>
            </w:tcBorders>
            <w:noWrap w:val="0"/>
            <w:vAlign w:val="top"/>
          </w:tcPr>
          <w:p w14:paraId="4409607C">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优惠</w:t>
            </w:r>
            <w:r>
              <w:rPr>
                <w:rFonts w:hint="eastAsia" w:ascii="宋体" w:hAnsi="宋体" w:cs="宋体"/>
                <w:color w:val="auto"/>
                <w:sz w:val="24"/>
                <w:szCs w:val="24"/>
                <w:highlight w:val="none"/>
                <w:lang w:eastAsia="zh-CN" w:bidi="ar"/>
              </w:rPr>
              <w:t>及其他</w:t>
            </w:r>
            <w:r>
              <w:rPr>
                <w:rFonts w:hint="eastAsia" w:ascii="宋体" w:hAnsi="宋体" w:cs="宋体"/>
                <w:color w:val="auto"/>
                <w:sz w:val="24"/>
                <w:szCs w:val="24"/>
                <w:highlight w:val="none"/>
                <w:lang w:bidi="ar"/>
              </w:rPr>
              <w:t>：</w:t>
            </w:r>
          </w:p>
        </w:tc>
      </w:tr>
    </w:tbl>
    <w:p w14:paraId="03F9D494">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bidi="ar"/>
        </w:rPr>
      </w:pPr>
      <w:r>
        <w:rPr>
          <w:rFonts w:hint="eastAsia" w:ascii="宋体" w:hAnsi="宋体" w:cs="宋体"/>
          <w:color w:val="auto"/>
          <w:kern w:val="0"/>
          <w:sz w:val="24"/>
          <w:highlight w:val="none"/>
          <w:lang w:val="zh-CN" w:bidi="ar"/>
        </w:rPr>
        <w:t xml:space="preserve">注： </w:t>
      </w:r>
    </w:p>
    <w:p w14:paraId="61F0F588">
      <w:pPr>
        <w:snapToGrid w:val="0"/>
        <w:spacing w:before="50" w:after="50" w:line="360" w:lineRule="auto"/>
        <w:ind w:firstLine="480" w:firstLineChars="200"/>
        <w:jc w:val="left"/>
        <w:rPr>
          <w:rFonts w:hint="eastAsia" w:ascii="宋体" w:hAnsi="宋体" w:cs="宋体"/>
          <w:color w:val="auto"/>
          <w:kern w:val="0"/>
          <w:sz w:val="24"/>
          <w:highlight w:val="none"/>
          <w:lang w:val="zh-CN"/>
        </w:rPr>
      </w:pPr>
      <w:r>
        <w:rPr>
          <w:rFonts w:hint="eastAsia" w:ascii="宋体" w:hAnsi="宋体" w:eastAsia="宋体" w:cs="宋体"/>
          <w:color w:val="auto"/>
          <w:kern w:val="0"/>
          <w:sz w:val="24"/>
          <w:highlight w:val="none"/>
          <w:lang w:val="zh-CN" w:bidi="ar"/>
        </w:rPr>
        <w:t>1、 投标人需按本表格式填写，不得自行更改，也不得留空（备注除外）,</w:t>
      </w:r>
      <w:r>
        <w:rPr>
          <w:rFonts w:hint="eastAsia" w:ascii="宋体" w:hAnsi="宋体" w:cs="宋体"/>
          <w:color w:val="auto"/>
          <w:kern w:val="0"/>
          <w:sz w:val="24"/>
          <w:highlight w:val="none"/>
          <w:lang w:val="zh-CN" w:bidi="ar"/>
        </w:rPr>
        <w:t xml:space="preserve"> 如有多分标，按分标分别提供开标一览表，必须加盖投标人有效电子公章，</w:t>
      </w:r>
      <w:r>
        <w:rPr>
          <w:rFonts w:hint="eastAsia" w:ascii="宋体" w:hAnsi="宋体" w:cs="宋体"/>
          <w:b/>
          <w:color w:val="auto"/>
          <w:kern w:val="0"/>
          <w:sz w:val="24"/>
          <w:highlight w:val="none"/>
          <w:lang w:val="zh-CN" w:bidi="ar"/>
        </w:rPr>
        <w:t>否则其投标作无效标处理。</w:t>
      </w:r>
    </w:p>
    <w:p w14:paraId="402AA81D">
      <w:pPr>
        <w:snapToGrid w:val="0"/>
        <w:spacing w:before="50" w:after="50"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2、本表内容均不能涂改，</w:t>
      </w:r>
      <w:r>
        <w:rPr>
          <w:rFonts w:hint="eastAsia" w:ascii="宋体" w:hAnsi="宋体" w:cs="宋体"/>
          <w:b/>
          <w:color w:val="auto"/>
          <w:kern w:val="0"/>
          <w:sz w:val="24"/>
          <w:highlight w:val="none"/>
          <w:lang w:val="zh-CN" w:bidi="ar"/>
        </w:rPr>
        <w:t>否则其投标作无效标处理。</w:t>
      </w:r>
    </w:p>
    <w:p w14:paraId="4B5139B3">
      <w:pPr>
        <w:snapToGrid w:val="0"/>
        <w:spacing w:before="50" w:after="50" w:line="360" w:lineRule="auto"/>
        <w:ind w:firstLine="480" w:firstLineChars="200"/>
        <w:jc w:val="left"/>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bidi="ar"/>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bidi="ar"/>
        </w:rPr>
        <w:t>否则其投标作无效标处理。</w:t>
      </w:r>
    </w:p>
    <w:p w14:paraId="00701C49">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4、以上表格要求细分项目及报价，在“</w:t>
      </w:r>
      <w:r>
        <w:rPr>
          <w:rFonts w:hint="eastAsia" w:ascii="宋体" w:hAnsi="宋体" w:cs="宋体"/>
          <w:color w:val="auto"/>
          <w:kern w:val="0"/>
          <w:sz w:val="24"/>
          <w:highlight w:val="none"/>
          <w:lang w:bidi="ar"/>
        </w:rPr>
        <w:t>货物名称</w:t>
      </w:r>
      <w:r>
        <w:rPr>
          <w:rFonts w:hint="eastAsia" w:ascii="宋体" w:hAnsi="宋体" w:cs="宋体"/>
          <w:color w:val="auto"/>
          <w:kern w:val="0"/>
          <w:sz w:val="24"/>
          <w:highlight w:val="none"/>
          <w:lang w:val="zh-CN" w:bidi="ar"/>
        </w:rPr>
        <w:t>”一栏中，填写具体货物，</w:t>
      </w:r>
      <w:r>
        <w:rPr>
          <w:rFonts w:hint="eastAsia" w:ascii="宋体" w:hAnsi="宋体" w:cs="宋体"/>
          <w:b/>
          <w:color w:val="auto"/>
          <w:kern w:val="0"/>
          <w:sz w:val="24"/>
          <w:highlight w:val="none"/>
          <w:lang w:val="zh-CN" w:bidi="ar"/>
        </w:rPr>
        <w:t>否则其投标作无效标处理。</w:t>
      </w:r>
    </w:p>
    <w:p w14:paraId="2F7B2D16">
      <w:pPr>
        <w:snapToGrid w:val="0"/>
        <w:spacing w:line="360" w:lineRule="auto"/>
        <w:ind w:firstLine="480" w:firstLineChars="200"/>
        <w:jc w:val="left"/>
        <w:rPr>
          <w:rFonts w:hint="eastAsia" w:ascii="宋体" w:hAnsi="宋体" w:cs="宋体"/>
          <w:color w:val="auto"/>
          <w:kern w:val="0"/>
          <w:sz w:val="24"/>
          <w:highlight w:val="none"/>
          <w:lang w:val="zh-CN" w:bidi="ar"/>
        </w:rPr>
      </w:pPr>
      <w:r>
        <w:rPr>
          <w:rFonts w:hint="eastAsia" w:ascii="宋体" w:hAnsi="宋体" w:cs="宋体"/>
          <w:color w:val="auto"/>
          <w:kern w:val="0"/>
          <w:sz w:val="24"/>
          <w:highlight w:val="none"/>
          <w:lang w:val="zh-CN" w:bidi="ar"/>
        </w:rPr>
        <w:t>5、特别提示：采购机构将对项目名称和项目编号，中标供应商名称、地址和中标金额，主要中标标的的名称、</w:t>
      </w:r>
      <w:r>
        <w:rPr>
          <w:rFonts w:hint="eastAsia" w:ascii="宋体" w:hAnsi="宋体" w:cs="宋体"/>
          <w:color w:val="auto"/>
          <w:kern w:val="0"/>
          <w:sz w:val="24"/>
          <w:highlight w:val="none"/>
          <w:lang w:bidi="ar"/>
        </w:rPr>
        <w:t>规格型号</w:t>
      </w:r>
      <w:r>
        <w:rPr>
          <w:rFonts w:hint="eastAsia" w:ascii="宋体" w:hAnsi="宋体" w:cs="宋体"/>
          <w:color w:val="auto"/>
          <w:kern w:val="0"/>
          <w:sz w:val="24"/>
          <w:highlight w:val="none"/>
          <w:lang w:val="zh-CN" w:bidi="ar"/>
        </w:rPr>
        <w:t>、数量、单价等予以公示。</w:t>
      </w:r>
    </w:p>
    <w:p w14:paraId="5AF9808F">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lang w:val="zh-CN" w:bidi="ar"/>
        </w:rPr>
        <w:t>6、</w:t>
      </w:r>
      <w:r>
        <w:rPr>
          <w:rFonts w:hint="eastAsia" w:ascii="宋体" w:hAnsi="宋体" w:cs="宋体"/>
          <w:color w:val="auto"/>
          <w:kern w:val="0"/>
          <w:sz w:val="24"/>
          <w:highlight w:val="none"/>
          <w:lang w:val="zh-CN" w:bidi="ar"/>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51BF5DD">
      <w:pPr>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bidi="ar"/>
        </w:rPr>
        <w:t>投标人名称(电子签章)：</w:t>
      </w:r>
    </w:p>
    <w:p w14:paraId="44D15874">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5274D8A9">
      <w:pPr>
        <w:snapToGrid w:val="0"/>
        <w:spacing w:before="50" w:after="165" w:afterLines="50" w:line="360" w:lineRule="auto"/>
        <w:jc w:val="left"/>
        <w:rPr>
          <w:rFonts w:hint="eastAsia" w:ascii="宋体" w:hAnsi="宋体" w:cs="宋体"/>
          <w:color w:val="auto"/>
          <w:sz w:val="30"/>
          <w:szCs w:val="20"/>
          <w:highlight w:val="none"/>
          <w:lang w:bidi="ar"/>
        </w:rPr>
        <w:sectPr>
          <w:pgSz w:w="11906" w:h="16838"/>
          <w:pgMar w:top="1135" w:right="1135" w:bottom="1135" w:left="1135" w:header="720" w:footer="720" w:gutter="0"/>
          <w:pgNumType w:fmt="decimal"/>
          <w:cols w:space="720" w:num="1"/>
          <w:docGrid w:type="lines" w:linePitch="331" w:charSpace="0"/>
        </w:sectPr>
      </w:pPr>
    </w:p>
    <w:p w14:paraId="42696A75">
      <w:pPr>
        <w:widowControl/>
        <w:jc w:val="center"/>
        <w:rPr>
          <w:rFonts w:hint="eastAsia" w:ascii="宋体" w:hAnsi="宋体" w:cs="宋体"/>
          <w:b/>
          <w:color w:val="auto"/>
          <w:sz w:val="30"/>
          <w:szCs w:val="30"/>
          <w:highlight w:val="none"/>
        </w:rPr>
      </w:pPr>
      <w:bookmarkStart w:id="365" w:name="_Toc19686840"/>
      <w:bookmarkStart w:id="366" w:name="_Toc7926"/>
      <w:bookmarkStart w:id="367" w:name="_Toc24533"/>
      <w:bookmarkStart w:id="368" w:name="_Toc31138"/>
      <w:r>
        <w:rPr>
          <w:rFonts w:hint="eastAsia" w:ascii="宋体" w:hAnsi="宋体" w:cs="宋体"/>
          <w:b/>
          <w:color w:val="auto"/>
          <w:sz w:val="30"/>
          <w:szCs w:val="30"/>
          <w:highlight w:val="none"/>
          <w:lang w:val="en-US" w:eastAsia="zh-CN"/>
        </w:rPr>
        <w:t>三、</w:t>
      </w:r>
      <w:r>
        <w:rPr>
          <w:rFonts w:hint="eastAsia" w:ascii="宋体" w:hAnsi="宋体" w:cs="宋体"/>
          <w:b/>
          <w:color w:val="auto"/>
          <w:sz w:val="30"/>
          <w:szCs w:val="30"/>
          <w:highlight w:val="none"/>
        </w:rPr>
        <w:t>中小企业声明函</w:t>
      </w:r>
    </w:p>
    <w:p w14:paraId="4A9C7EEC">
      <w:pPr>
        <w:keepNext w:val="0"/>
        <w:keepLines w:val="0"/>
        <w:pageBreakBefore w:val="0"/>
        <w:widowControl/>
        <w:kinsoku/>
        <w:wordWrap/>
        <w:overflowPunct/>
        <w:topLinePunct w:val="0"/>
        <w:autoSpaceDE/>
        <w:autoSpaceDN/>
        <w:bidi w:val="0"/>
        <w:adjustRightInd/>
        <w:spacing w:line="360" w:lineRule="auto"/>
        <w:ind w:left="0" w:leftChars="0" w:right="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说明：</w:t>
      </w:r>
    </w:p>
    <w:p w14:paraId="2C44CFBF">
      <w:pPr>
        <w:keepNext w:val="0"/>
        <w:keepLines w:val="0"/>
        <w:pageBreakBefore w:val="0"/>
        <w:widowControl/>
        <w:kinsoku/>
        <w:wordWrap/>
        <w:overflowPunct/>
        <w:topLinePunct w:val="0"/>
        <w:autoSpaceDE/>
        <w:autoSpaceDN/>
        <w:bidi w:val="0"/>
        <w:adjustRightInd/>
        <w:spacing w:line="360" w:lineRule="auto"/>
        <w:ind w:left="0" w:leftChars="0" w:right="0"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1、本声明函主要供参加政府采购活动的中小企业填写，非中小企业无需填写。</w:t>
      </w:r>
    </w:p>
    <w:p w14:paraId="392DE6D9">
      <w:pPr>
        <w:keepNext w:val="0"/>
        <w:keepLines w:val="0"/>
        <w:pageBreakBefore w:val="0"/>
        <w:widowControl/>
        <w:kinsoku/>
        <w:wordWrap/>
        <w:overflowPunct/>
        <w:topLinePunct w:val="0"/>
        <w:autoSpaceDE/>
        <w:autoSpaceDN/>
        <w:bidi w:val="0"/>
        <w:adjustRightInd/>
        <w:spacing w:line="360" w:lineRule="auto"/>
        <w:ind w:left="0" w:leftChars="0" w:right="0"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2、小型、微型企业提供中型企业提供的货物的，视同为中型企业。</w:t>
      </w:r>
    </w:p>
    <w:p w14:paraId="0179C30F">
      <w:pPr>
        <w:keepNext w:val="0"/>
        <w:keepLines w:val="0"/>
        <w:pageBreakBefore w:val="0"/>
        <w:widowControl/>
        <w:kinsoku/>
        <w:wordWrap/>
        <w:overflowPunct/>
        <w:topLinePunct w:val="0"/>
        <w:autoSpaceDE/>
        <w:autoSpaceDN/>
        <w:bidi w:val="0"/>
        <w:adjustRightInd/>
        <w:spacing w:line="360" w:lineRule="auto"/>
        <w:ind w:left="0" w:leftChars="0" w:right="0" w:firstLine="464" w:firstLineChars="200"/>
        <w:textAlignment w:val="auto"/>
        <w:rPr>
          <w:rFonts w:hint="eastAsia" w:ascii="宋体" w:hAnsi="宋体" w:eastAsia="宋体" w:cs="宋体"/>
          <w:color w:val="auto"/>
          <w:spacing w:val="-4"/>
          <w:sz w:val="24"/>
          <w:szCs w:val="24"/>
          <w:highlight w:val="none"/>
        </w:rPr>
      </w:pPr>
    </w:p>
    <w:p w14:paraId="4AB8278C">
      <w:pPr>
        <w:keepNext w:val="0"/>
        <w:keepLines w:val="0"/>
        <w:pageBreakBefore w:val="0"/>
        <w:widowControl/>
        <w:kinsoku/>
        <w:wordWrap/>
        <w:overflowPunct/>
        <w:topLinePunct w:val="0"/>
        <w:autoSpaceDE/>
        <w:autoSpaceDN/>
        <w:bidi w:val="0"/>
        <w:adjustRightInd/>
        <w:spacing w:line="360" w:lineRule="auto"/>
        <w:ind w:left="0" w:leftChars="0" w:right="0" w:firstLine="480" w:firstLineChars="200"/>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kern w:val="24"/>
          <w:sz w:val="24"/>
          <w:szCs w:val="24"/>
          <w:highlight w:val="none"/>
          <w:u w:val="single"/>
        </w:rPr>
        <w:t>（采购人）</w:t>
      </w:r>
      <w:r>
        <w:rPr>
          <w:rFonts w:hint="eastAsia" w:ascii="宋体" w:hAnsi="宋体" w:eastAsia="宋体" w:cs="宋体"/>
          <w:color w:val="auto"/>
          <w:kern w:val="24"/>
          <w:sz w:val="24"/>
          <w:szCs w:val="24"/>
          <w:highlight w:val="none"/>
        </w:rPr>
        <w:t>的</w:t>
      </w:r>
      <w:r>
        <w:rPr>
          <w:rFonts w:hint="eastAsia" w:ascii="宋体" w:hAnsi="宋体" w:eastAsia="宋体" w:cs="宋体"/>
          <w:color w:val="auto"/>
          <w:kern w:val="24"/>
          <w:sz w:val="24"/>
          <w:szCs w:val="24"/>
          <w:highlight w:val="none"/>
          <w:u w:val="single"/>
        </w:rPr>
        <w:t xml:space="preserve">          （项目名称）     </w:t>
      </w:r>
      <w:r>
        <w:rPr>
          <w:rFonts w:hint="eastAsia" w:ascii="宋体" w:hAnsi="宋体" w:eastAsia="宋体" w:cs="宋体"/>
          <w:color w:val="auto"/>
          <w:kern w:val="24"/>
          <w:sz w:val="24"/>
          <w:szCs w:val="24"/>
          <w:highlight w:val="none"/>
        </w:rPr>
        <w:t>采购活动，提供的货物全部由符合政策要求的中小企业制造。相关企业（含联合体中的中小企业、签订分包意向协议的中小企业）的具体情况如下：</w:t>
      </w:r>
    </w:p>
    <w:p w14:paraId="600F8B64">
      <w:pPr>
        <w:keepNext w:val="0"/>
        <w:keepLines w:val="0"/>
        <w:pageBreakBefore w:val="0"/>
        <w:widowControl/>
        <w:numPr>
          <w:ilvl w:val="0"/>
          <w:numId w:val="5"/>
        </w:numPr>
        <w:kinsoku/>
        <w:wordWrap/>
        <w:overflowPunct/>
        <w:topLinePunct w:val="0"/>
        <w:autoSpaceDE/>
        <w:autoSpaceDN/>
        <w:bidi w:val="0"/>
        <w:adjustRightInd/>
        <w:spacing w:line="360" w:lineRule="auto"/>
        <w:ind w:left="0" w:leftChars="0" w:right="0" w:firstLine="453" w:firstLineChars="189"/>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，属于</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行业；制造商为</w:t>
      </w:r>
      <w:r>
        <w:rPr>
          <w:rFonts w:hint="eastAsia" w:ascii="宋体" w:hAnsi="宋体" w:eastAsia="宋体" w:cs="宋体"/>
          <w:color w:val="auto"/>
          <w:kern w:val="24"/>
          <w:sz w:val="24"/>
          <w:szCs w:val="24"/>
          <w:highlight w:val="none"/>
          <w:u w:val="single"/>
        </w:rPr>
        <w:t xml:space="preserve">    （企业名称）</w:t>
      </w:r>
      <w:r>
        <w:rPr>
          <w:rFonts w:hint="eastAsia" w:ascii="宋体" w:hAnsi="宋体" w:eastAsia="宋体" w:cs="宋体"/>
          <w:color w:val="auto"/>
          <w:kern w:val="24"/>
          <w:sz w:val="24"/>
          <w:szCs w:val="24"/>
          <w:highlight w:val="none"/>
        </w:rPr>
        <w:t xml:space="preserve">，从业人员 </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人，营业收入为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万元，资产总额为</w:t>
      </w:r>
    </w:p>
    <w:p w14:paraId="690755CF">
      <w:pPr>
        <w:keepNext w:val="0"/>
        <w:keepLines w:val="0"/>
        <w:pageBreakBefore w:val="0"/>
        <w:widowControl/>
        <w:numPr>
          <w:ilvl w:val="0"/>
          <w:numId w:val="0"/>
        </w:numPr>
        <w:kinsoku/>
        <w:wordWrap/>
        <w:overflowPunct/>
        <w:topLinePunct w:val="0"/>
        <w:autoSpaceDE/>
        <w:autoSpaceDN/>
        <w:bidi w:val="0"/>
        <w:adjustRightInd/>
        <w:spacing w:line="360" w:lineRule="auto"/>
        <w:ind w:right="0" w:rightChars="0"/>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万元，属于</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（中型企业、小型企业、微型企业）；</w:t>
      </w:r>
    </w:p>
    <w:p w14:paraId="77405EFC">
      <w:pPr>
        <w:keepNext w:val="0"/>
        <w:keepLines w:val="0"/>
        <w:pageBreakBefore w:val="0"/>
        <w:widowControl/>
        <w:numPr>
          <w:ilvl w:val="0"/>
          <w:numId w:val="5"/>
        </w:numPr>
        <w:kinsoku/>
        <w:wordWrap/>
        <w:overflowPunct/>
        <w:topLinePunct w:val="0"/>
        <w:autoSpaceDE/>
        <w:autoSpaceDN/>
        <w:bidi w:val="0"/>
        <w:adjustRightInd/>
        <w:spacing w:line="360" w:lineRule="auto"/>
        <w:ind w:left="0" w:leftChars="0" w:right="0" w:firstLine="453" w:firstLineChars="189"/>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，属于</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行业；制造商为</w:t>
      </w:r>
      <w:r>
        <w:rPr>
          <w:rFonts w:hint="eastAsia" w:ascii="宋体" w:hAnsi="宋体" w:eastAsia="宋体" w:cs="宋体"/>
          <w:color w:val="auto"/>
          <w:kern w:val="24"/>
          <w:sz w:val="24"/>
          <w:szCs w:val="24"/>
          <w:highlight w:val="none"/>
          <w:u w:val="single"/>
        </w:rPr>
        <w:t xml:space="preserve">   （企业名称）</w:t>
      </w:r>
      <w:r>
        <w:rPr>
          <w:rFonts w:hint="eastAsia" w:ascii="宋体" w:hAnsi="宋体" w:eastAsia="宋体" w:cs="宋体"/>
          <w:color w:val="auto"/>
          <w:kern w:val="24"/>
          <w:sz w:val="24"/>
          <w:szCs w:val="24"/>
          <w:highlight w:val="none"/>
        </w:rPr>
        <w:t xml:space="preserve">，从业人员 </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人，营业收入为</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万元，资产总额为</w:t>
      </w:r>
    </w:p>
    <w:p w14:paraId="2084AB21">
      <w:pPr>
        <w:keepNext w:val="0"/>
        <w:keepLines w:val="0"/>
        <w:pageBreakBefore w:val="0"/>
        <w:widowControl/>
        <w:numPr>
          <w:ilvl w:val="0"/>
          <w:numId w:val="0"/>
        </w:numPr>
        <w:kinsoku/>
        <w:wordWrap/>
        <w:overflowPunct/>
        <w:topLinePunct w:val="0"/>
        <w:autoSpaceDE/>
        <w:autoSpaceDN/>
        <w:bidi w:val="0"/>
        <w:adjustRightInd/>
        <w:spacing w:line="360" w:lineRule="auto"/>
        <w:ind w:right="0" w:rightChars="0"/>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万元，属于</w:t>
      </w:r>
      <w:r>
        <w:rPr>
          <w:rFonts w:hint="eastAsia" w:ascii="宋体" w:hAnsi="宋体" w:eastAsia="宋体" w:cs="宋体"/>
          <w:color w:val="auto"/>
          <w:kern w:val="24"/>
          <w:sz w:val="24"/>
          <w:szCs w:val="24"/>
          <w:highlight w:val="none"/>
          <w:u w:val="single"/>
        </w:rPr>
        <w:t xml:space="preserve">         </w:t>
      </w:r>
      <w:r>
        <w:rPr>
          <w:rFonts w:hint="eastAsia" w:ascii="宋体" w:hAnsi="宋体" w:eastAsia="宋体" w:cs="宋体"/>
          <w:color w:val="auto"/>
          <w:kern w:val="24"/>
          <w:sz w:val="24"/>
          <w:szCs w:val="24"/>
          <w:highlight w:val="none"/>
        </w:rPr>
        <w:t>（中型企业、小型企业、微型企业）；</w:t>
      </w:r>
    </w:p>
    <w:p w14:paraId="31ABFB1B">
      <w:pPr>
        <w:keepNext w:val="0"/>
        <w:keepLines w:val="0"/>
        <w:pageBreakBefore w:val="0"/>
        <w:widowControl/>
        <w:kinsoku/>
        <w:wordWrap/>
        <w:overflowPunct/>
        <w:topLinePunct w:val="0"/>
        <w:autoSpaceDE/>
        <w:autoSpaceDN/>
        <w:bidi w:val="0"/>
        <w:adjustRightInd/>
        <w:spacing w:line="360" w:lineRule="auto"/>
        <w:ind w:left="0" w:leftChars="0" w:right="0" w:firstLine="453" w:firstLineChars="189"/>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w:t>
      </w:r>
    </w:p>
    <w:p w14:paraId="28BBC71E">
      <w:pPr>
        <w:keepNext w:val="0"/>
        <w:keepLines w:val="0"/>
        <w:pageBreakBefore w:val="0"/>
        <w:widowControl/>
        <w:kinsoku/>
        <w:wordWrap/>
        <w:overflowPunct/>
        <w:topLinePunct w:val="0"/>
        <w:autoSpaceDE/>
        <w:autoSpaceDN/>
        <w:bidi w:val="0"/>
        <w:adjustRightInd/>
        <w:spacing w:line="360" w:lineRule="auto"/>
        <w:ind w:left="0" w:leftChars="0" w:right="0" w:firstLine="453" w:firstLineChars="189"/>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以上企业，不属于大企业的分支机构，不存在控股股东为大企业的情形，也不存在与大企业的负责人为同一人的情形。</w:t>
      </w:r>
    </w:p>
    <w:p w14:paraId="31C23DDE">
      <w:pPr>
        <w:keepNext w:val="0"/>
        <w:keepLines w:val="0"/>
        <w:pageBreakBefore w:val="0"/>
        <w:widowControl/>
        <w:kinsoku/>
        <w:wordWrap/>
        <w:overflowPunct/>
        <w:topLinePunct w:val="0"/>
        <w:autoSpaceDE/>
        <w:autoSpaceDN/>
        <w:bidi w:val="0"/>
        <w:adjustRightInd/>
        <w:spacing w:line="360" w:lineRule="auto"/>
        <w:ind w:left="0" w:leftChars="0" w:right="0" w:firstLine="567"/>
        <w:contextualSpacing/>
        <w:textAlignment w:val="auto"/>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rPr>
        <w:t>本企业对上述声明内容的真实性负责。如有虚假，将依法承担相应责任。</w:t>
      </w:r>
    </w:p>
    <w:p w14:paraId="39A562C9">
      <w:pPr>
        <w:keepNext w:val="0"/>
        <w:keepLines w:val="0"/>
        <w:pageBreakBefore w:val="0"/>
        <w:widowControl/>
        <w:kinsoku/>
        <w:wordWrap/>
        <w:overflowPunct/>
        <w:topLinePunct w:val="0"/>
        <w:autoSpaceDE/>
        <w:autoSpaceDN/>
        <w:bidi w:val="0"/>
        <w:adjustRightInd/>
        <w:spacing w:line="360" w:lineRule="auto"/>
        <w:ind w:left="0" w:leftChars="0" w:right="0" w:firstLine="480" w:firstLineChars="200"/>
        <w:textAlignment w:val="auto"/>
        <w:rPr>
          <w:rFonts w:hint="eastAsia" w:ascii="宋体" w:hAnsi="宋体" w:eastAsia="宋体" w:cs="宋体"/>
          <w:color w:val="auto"/>
          <w:sz w:val="24"/>
          <w:szCs w:val="24"/>
          <w:highlight w:val="none"/>
        </w:rPr>
      </w:pPr>
    </w:p>
    <w:p w14:paraId="69183D34">
      <w:pPr>
        <w:keepNext w:val="0"/>
        <w:keepLines w:val="0"/>
        <w:pageBreakBefore w:val="0"/>
        <w:kinsoku/>
        <w:wordWrap/>
        <w:overflowPunct/>
        <w:topLinePunct w:val="0"/>
        <w:autoSpaceDE/>
        <w:autoSpaceDN/>
        <w:bidi w:val="0"/>
        <w:adjustRightInd/>
        <w:snapToGrid w:val="0"/>
        <w:spacing w:line="360" w:lineRule="auto"/>
        <w:ind w:left="0" w:leftChars="0" w:right="0" w:firstLine="5040" w:firstLineChars="21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bidi="ar"/>
        </w:rPr>
        <w:t>投标人名称(电子签章)：</w:t>
      </w:r>
    </w:p>
    <w:p w14:paraId="0E671E0F">
      <w:pPr>
        <w:keepNext w:val="0"/>
        <w:keepLines w:val="0"/>
        <w:pageBreakBefore w:val="0"/>
        <w:kinsoku/>
        <w:wordWrap/>
        <w:overflowPunct/>
        <w:topLinePunct w:val="0"/>
        <w:autoSpaceDE/>
        <w:autoSpaceDN/>
        <w:bidi w:val="0"/>
        <w:adjustRightInd/>
        <w:snapToGrid w:val="0"/>
        <w:spacing w:line="360" w:lineRule="auto"/>
        <w:ind w:left="0" w:leftChars="0" w:right="0" w:firstLine="5160" w:firstLineChars="215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bidi="ar"/>
        </w:rPr>
        <w:t>日期</w:t>
      </w:r>
      <w:r>
        <w:rPr>
          <w:rFonts w:hint="eastAsia" w:ascii="宋体" w:hAnsi="宋体" w:eastAsia="宋体" w:cs="宋体"/>
          <w:color w:val="auto"/>
          <w:kern w:val="0"/>
          <w:sz w:val="24"/>
          <w:szCs w:val="24"/>
          <w:highlight w:val="none"/>
          <w:lang w:bidi="ar"/>
        </w:rPr>
        <w:t xml:space="preserve">：  年  </w:t>
      </w:r>
      <w:r>
        <w:rPr>
          <w:rFonts w:hint="eastAsia" w:ascii="宋体" w:hAnsi="宋体" w:eastAsia="宋体" w:cs="宋体"/>
          <w:color w:val="auto"/>
          <w:kern w:val="0"/>
          <w:sz w:val="24"/>
          <w:szCs w:val="24"/>
          <w:highlight w:val="none"/>
          <w:lang w:val="zh-CN" w:bidi="ar"/>
        </w:rPr>
        <w:t>月</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zh-CN" w:bidi="ar"/>
        </w:rPr>
        <w:t>日</w:t>
      </w:r>
    </w:p>
    <w:p w14:paraId="3AF013CE">
      <w:pPr>
        <w:keepNext w:val="0"/>
        <w:keepLines w:val="0"/>
        <w:pageBreakBefore w:val="0"/>
        <w:kinsoku/>
        <w:wordWrap/>
        <w:overflowPunct/>
        <w:topLinePunct w:val="0"/>
        <w:autoSpaceDE/>
        <w:autoSpaceDN/>
        <w:bidi w:val="0"/>
        <w:adjustRightInd/>
        <w:snapToGrid w:val="0"/>
        <w:spacing w:line="360" w:lineRule="auto"/>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778DE115">
      <w:pPr>
        <w:keepNext w:val="0"/>
        <w:keepLines w:val="0"/>
        <w:pageBreakBefore w:val="0"/>
        <w:numPr>
          <w:ilvl w:val="0"/>
          <w:numId w:val="6"/>
        </w:numPr>
        <w:kinsoku/>
        <w:wordWrap/>
        <w:overflowPunct/>
        <w:topLinePunct w:val="0"/>
        <w:autoSpaceDE/>
        <w:autoSpaceDN/>
        <w:bidi w:val="0"/>
        <w:adjustRightInd/>
        <w:snapToGrid w:val="0"/>
        <w:spacing w:line="360" w:lineRule="auto"/>
        <w:ind w:left="0" w:leftChars="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从业人员、营业收入、资产总额填报上一年度数据，无上一年度数据的新成立企业可不填报。</w:t>
      </w:r>
    </w:p>
    <w:p w14:paraId="5C46800C">
      <w:pPr>
        <w:keepNext w:val="0"/>
        <w:keepLines w:val="0"/>
        <w:pageBreakBefore w:val="0"/>
        <w:numPr>
          <w:ilvl w:val="0"/>
          <w:numId w:val="6"/>
        </w:numPr>
        <w:kinsoku/>
        <w:wordWrap/>
        <w:overflowPunct/>
        <w:topLinePunct w:val="0"/>
        <w:autoSpaceDE/>
        <w:autoSpaceDN/>
        <w:bidi w:val="0"/>
        <w:adjustRightInd/>
        <w:snapToGrid w:val="0"/>
        <w:spacing w:line="360" w:lineRule="auto"/>
        <w:ind w:left="0" w:leftChars="0" w:right="0"/>
        <w:jc w:val="left"/>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请根据自己的真实情况出具《中小企业声明函》。依法享受中小企业优惠政策的，采购人或者采购代理机构在公告中标结果时，同时公告其《中小企业声明函》，接受社会监督。</w:t>
      </w:r>
    </w:p>
    <w:p w14:paraId="08F57501">
      <w:pPr>
        <w:pStyle w:val="24"/>
        <w:rPr>
          <w:rFonts w:hint="eastAsia" w:ascii="宋体" w:hAnsi="宋体" w:eastAsia="宋体" w:cs="宋体"/>
          <w:color w:val="auto"/>
          <w:sz w:val="20"/>
          <w:highlight w:val="none"/>
          <w:lang w:bidi="ar"/>
        </w:rPr>
        <w:sectPr>
          <w:pgSz w:w="11906" w:h="16838"/>
          <w:pgMar w:top="1135" w:right="1135" w:bottom="1135" w:left="1135" w:header="720" w:footer="720" w:gutter="0"/>
          <w:pgNumType w:fmt="decimal"/>
          <w:cols w:space="720" w:num="1"/>
          <w:docGrid w:type="lines" w:linePitch="331" w:charSpace="0"/>
        </w:sectPr>
      </w:pPr>
    </w:p>
    <w:p w14:paraId="2349182F">
      <w:pPr>
        <w:snapToGrid w:val="0"/>
        <w:spacing w:before="165" w:beforeLines="50" w:after="50"/>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bidi="ar"/>
        </w:rPr>
        <w:t>第六节  其他文书、文件格式</w:t>
      </w:r>
      <w:bookmarkEnd w:id="365"/>
      <w:bookmarkEnd w:id="366"/>
      <w:bookmarkEnd w:id="367"/>
      <w:bookmarkEnd w:id="368"/>
    </w:p>
    <w:p w14:paraId="013C42AE">
      <w:pPr>
        <w:widowControl/>
        <w:spacing w:line="360" w:lineRule="auto"/>
        <w:jc w:val="center"/>
        <w:rPr>
          <w:rFonts w:hint="eastAsia" w:ascii="宋体" w:hAnsi="宋体" w:cs="宋体"/>
          <w:b/>
          <w:color w:val="auto"/>
          <w:sz w:val="30"/>
          <w:szCs w:val="30"/>
          <w:highlight w:val="none"/>
        </w:rPr>
      </w:pPr>
    </w:p>
    <w:p w14:paraId="387BA020">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知识产权合规性声明</w:t>
      </w:r>
    </w:p>
    <w:p w14:paraId="12E17EB3">
      <w:pPr>
        <w:rPr>
          <w:rFonts w:hint="eastAsia" w:ascii="宋体" w:hAnsi="宋体" w:cs="宋体"/>
          <w:color w:val="auto"/>
          <w:sz w:val="30"/>
          <w:szCs w:val="30"/>
          <w:highlight w:val="none"/>
        </w:rPr>
      </w:pPr>
      <w:r>
        <w:rPr>
          <w:rFonts w:hint="eastAsia" w:ascii="宋体" w:hAnsi="宋体" w:cs="宋体"/>
          <w:color w:val="auto"/>
          <w:sz w:val="30"/>
          <w:szCs w:val="30"/>
          <w:highlight w:val="none"/>
          <w:lang w:bidi="ar"/>
        </w:rPr>
        <w:t xml:space="preserve">    </w:t>
      </w:r>
    </w:p>
    <w:p w14:paraId="3C46C826">
      <w:pPr>
        <w:rPr>
          <w:rFonts w:hint="eastAsia" w:ascii="宋体" w:hAnsi="宋体" w:cs="宋体"/>
          <w:color w:val="auto"/>
          <w:sz w:val="30"/>
          <w:szCs w:val="30"/>
          <w:highlight w:val="none"/>
        </w:rPr>
      </w:pPr>
      <w:r>
        <w:rPr>
          <w:rFonts w:hint="eastAsia" w:ascii="宋体" w:hAnsi="宋体" w:cs="宋体"/>
          <w:color w:val="auto"/>
          <w:sz w:val="30"/>
          <w:szCs w:val="30"/>
          <w:highlight w:val="none"/>
          <w:lang w:bidi="ar"/>
        </w:rPr>
        <w:t xml:space="preserve">    本企业（单位）自愿参与政府投资政府采购的</w:t>
      </w:r>
      <w:r>
        <w:rPr>
          <w:rFonts w:hint="eastAsia" w:ascii="宋体" w:hAnsi="宋体" w:cs="宋体"/>
          <w:color w:val="auto"/>
          <w:sz w:val="30"/>
          <w:szCs w:val="30"/>
          <w:highlight w:val="none"/>
          <w:u w:val="single"/>
          <w:lang w:bidi="ar"/>
        </w:rPr>
        <w:t xml:space="preserve">                </w:t>
      </w:r>
      <w:r>
        <w:rPr>
          <w:rFonts w:hint="eastAsia" w:ascii="宋体" w:hAnsi="宋体" w:cs="宋体"/>
          <w:color w:val="auto"/>
          <w:sz w:val="30"/>
          <w:szCs w:val="30"/>
          <w:highlight w:val="none"/>
          <w:lang w:bidi="ar"/>
        </w:rPr>
        <w:t>项目，</w:t>
      </w:r>
      <w:r>
        <w:rPr>
          <w:rFonts w:hint="eastAsia" w:ascii="宋体" w:hAnsi="宋体" w:cs="宋体"/>
          <w:b/>
          <w:bCs/>
          <w:color w:val="auto"/>
          <w:sz w:val="30"/>
          <w:szCs w:val="30"/>
          <w:highlight w:val="none"/>
          <w:lang w:bidi="ar"/>
        </w:rPr>
        <w:t>在此郑重承诺：</w:t>
      </w:r>
      <w:r>
        <w:rPr>
          <w:rFonts w:hint="eastAsia" w:ascii="宋体" w:hAnsi="宋体" w:cs="宋体"/>
          <w:color w:val="auto"/>
          <w:sz w:val="30"/>
          <w:szCs w:val="30"/>
          <w:highlight w:val="none"/>
          <w:lang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D10D980">
      <w:pPr>
        <w:snapToGrid w:val="0"/>
        <w:spacing w:line="360" w:lineRule="auto"/>
        <w:ind w:left="5137" w:leftChars="1736" w:hanging="1491" w:hangingChars="825"/>
        <w:rPr>
          <w:rFonts w:hint="eastAsia" w:ascii="宋体" w:hAnsi="宋体" w:cs="宋体"/>
          <w:b/>
          <w:color w:val="auto"/>
          <w:sz w:val="18"/>
          <w:szCs w:val="18"/>
          <w:highlight w:val="none"/>
        </w:rPr>
      </w:pPr>
      <w:r>
        <w:rPr>
          <w:rFonts w:hint="eastAsia" w:ascii="宋体" w:hAnsi="宋体" w:cs="宋体"/>
          <w:b/>
          <w:color w:val="auto"/>
          <w:sz w:val="18"/>
          <w:szCs w:val="18"/>
          <w:highlight w:val="none"/>
          <w:lang w:bidi="ar"/>
        </w:rPr>
        <w:t xml:space="preserve">           </w:t>
      </w:r>
    </w:p>
    <w:p w14:paraId="39F9F734">
      <w:pPr>
        <w:snapToGrid w:val="0"/>
        <w:spacing w:line="360" w:lineRule="auto"/>
        <w:ind w:left="5137" w:leftChars="1736" w:hanging="1491" w:hangingChars="825"/>
        <w:rPr>
          <w:rFonts w:hint="eastAsia" w:ascii="宋体" w:hAnsi="宋体" w:cs="宋体"/>
          <w:b/>
          <w:color w:val="auto"/>
          <w:sz w:val="18"/>
          <w:szCs w:val="18"/>
          <w:highlight w:val="none"/>
        </w:rPr>
      </w:pPr>
    </w:p>
    <w:p w14:paraId="7D164058">
      <w:pPr>
        <w:snapToGrid w:val="0"/>
        <w:spacing w:line="360" w:lineRule="auto"/>
        <w:ind w:left="5137" w:leftChars="1736" w:hanging="1491" w:hangingChars="825"/>
        <w:rPr>
          <w:rFonts w:hint="eastAsia" w:ascii="宋体" w:hAnsi="宋体" w:cs="宋体"/>
          <w:b/>
          <w:color w:val="auto"/>
          <w:sz w:val="18"/>
          <w:szCs w:val="18"/>
          <w:highlight w:val="none"/>
        </w:rPr>
      </w:pPr>
    </w:p>
    <w:p w14:paraId="2FAA08AF">
      <w:pPr>
        <w:snapToGrid w:val="0"/>
        <w:spacing w:line="360" w:lineRule="auto"/>
        <w:ind w:left="5137" w:leftChars="1736" w:hanging="1491" w:hangingChars="825"/>
        <w:rPr>
          <w:rFonts w:hint="eastAsia" w:ascii="宋体" w:hAnsi="宋体" w:cs="宋体"/>
          <w:b/>
          <w:color w:val="auto"/>
          <w:sz w:val="18"/>
          <w:szCs w:val="18"/>
          <w:highlight w:val="none"/>
        </w:rPr>
      </w:pPr>
    </w:p>
    <w:p w14:paraId="379CB78B">
      <w:pPr>
        <w:snapToGrid w:val="0"/>
        <w:spacing w:line="360" w:lineRule="auto"/>
        <w:ind w:left="5137" w:leftChars="1736" w:hanging="1491" w:hangingChars="825"/>
        <w:rPr>
          <w:rFonts w:hint="eastAsia" w:ascii="宋体" w:hAnsi="宋体" w:cs="宋体"/>
          <w:color w:val="auto"/>
          <w:kern w:val="0"/>
          <w:sz w:val="24"/>
          <w:highlight w:val="none"/>
        </w:rPr>
      </w:pPr>
      <w:r>
        <w:rPr>
          <w:rFonts w:hint="eastAsia" w:ascii="宋体" w:hAnsi="宋体" w:cs="宋体"/>
          <w:b/>
          <w:color w:val="auto"/>
          <w:sz w:val="18"/>
          <w:szCs w:val="18"/>
          <w:highlight w:val="none"/>
          <w:lang w:bidi="ar"/>
        </w:rPr>
        <w:t xml:space="preserve">      </w:t>
      </w:r>
      <w:r>
        <w:rPr>
          <w:rFonts w:hint="eastAsia" w:ascii="宋体" w:hAnsi="宋体" w:cs="宋体"/>
          <w:color w:val="auto"/>
          <w:kern w:val="0"/>
          <w:sz w:val="24"/>
          <w:highlight w:val="none"/>
          <w:lang w:val="zh-CN" w:bidi="ar"/>
        </w:rPr>
        <w:t>投标人名称(电子签章)：</w:t>
      </w:r>
    </w:p>
    <w:p w14:paraId="7ECFC9CE">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51991109">
      <w:pPr>
        <w:spacing w:line="360" w:lineRule="auto"/>
        <w:rPr>
          <w:rFonts w:hint="eastAsia" w:ascii="宋体" w:hAnsi="宋体" w:cs="宋体"/>
          <w:b/>
          <w:color w:val="auto"/>
          <w:sz w:val="30"/>
          <w:szCs w:val="30"/>
          <w:highlight w:val="none"/>
          <w:lang w:bidi="ar"/>
        </w:rPr>
        <w:sectPr>
          <w:pgSz w:w="11906" w:h="16838"/>
          <w:pgMar w:top="1135" w:right="1135" w:bottom="1135" w:left="1135" w:header="720" w:footer="720" w:gutter="0"/>
          <w:pgNumType w:fmt="decimal"/>
          <w:cols w:space="720" w:num="1"/>
          <w:docGrid w:type="lines" w:linePitch="331" w:charSpace="0"/>
        </w:sectPr>
      </w:pPr>
    </w:p>
    <w:p w14:paraId="2C18EDF0">
      <w:pPr>
        <w:widowControl/>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残疾人福利性单位声明函（格式）</w:t>
      </w:r>
    </w:p>
    <w:p w14:paraId="078C9DD2">
      <w:pPr>
        <w:widowControl/>
        <w:spacing w:line="360" w:lineRule="auto"/>
        <w:jc w:val="center"/>
        <w:rPr>
          <w:rFonts w:hint="eastAsia" w:ascii="宋体" w:hAnsi="宋体" w:cs="宋体"/>
          <w:b/>
          <w:color w:val="auto"/>
          <w:sz w:val="30"/>
          <w:szCs w:val="30"/>
          <w:highlight w:val="none"/>
        </w:rPr>
      </w:pPr>
    </w:p>
    <w:p w14:paraId="0DB48051">
      <w:pPr>
        <w:widowControl/>
        <w:spacing w:line="360" w:lineRule="auto"/>
        <w:jc w:val="left"/>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项目采购活动提供本单位制造的货物（由本单位承担工程/提供服务），或者提供其他残疾人福利性单位制造的货物（不包括使用非残疾人福利性单位注册商标的货物）。</w:t>
      </w:r>
    </w:p>
    <w:p w14:paraId="1FC1F5DF">
      <w:pPr>
        <w:widowControl/>
        <w:spacing w:line="360" w:lineRule="auto"/>
        <w:jc w:val="left"/>
        <w:rPr>
          <w:rFonts w:hint="eastAsia" w:ascii="宋体" w:hAnsi="宋体" w:cs="宋体"/>
          <w:b/>
          <w:color w:val="auto"/>
          <w:szCs w:val="21"/>
          <w:highlight w:val="none"/>
        </w:rPr>
      </w:pPr>
      <w:r>
        <w:rPr>
          <w:rFonts w:hint="eastAsia" w:ascii="宋体" w:hAnsi="宋体" w:cs="宋体"/>
          <w:color w:val="auto"/>
          <w:sz w:val="30"/>
          <w:szCs w:val="30"/>
          <w:highlight w:val="none"/>
        </w:rPr>
        <w:t xml:space="preserve">  </w:t>
      </w:r>
    </w:p>
    <w:p w14:paraId="041AF707">
      <w:pPr>
        <w:widowControl/>
        <w:spacing w:line="360" w:lineRule="auto"/>
        <w:jc w:val="left"/>
        <w:rPr>
          <w:rFonts w:hint="eastAsia" w:ascii="宋体" w:hAnsi="宋体" w:cs="宋体"/>
          <w:b/>
          <w:color w:val="auto"/>
          <w:szCs w:val="21"/>
          <w:highlight w:val="none"/>
        </w:rPr>
      </w:pPr>
    </w:p>
    <w:p w14:paraId="0BDCE2C9">
      <w:pPr>
        <w:snapToGrid w:val="0"/>
        <w:spacing w:line="360" w:lineRule="auto"/>
        <w:ind w:left="5137" w:leftChars="1736" w:hanging="1491" w:hangingChars="825"/>
        <w:rPr>
          <w:rFonts w:hint="eastAsia" w:ascii="宋体" w:hAnsi="宋体" w:cs="宋体"/>
          <w:color w:val="auto"/>
          <w:kern w:val="0"/>
          <w:sz w:val="24"/>
          <w:highlight w:val="none"/>
        </w:rPr>
      </w:pPr>
      <w:r>
        <w:rPr>
          <w:rFonts w:hint="eastAsia" w:ascii="宋体" w:hAnsi="宋体" w:cs="宋体"/>
          <w:b/>
          <w:color w:val="auto"/>
          <w:sz w:val="18"/>
          <w:szCs w:val="18"/>
          <w:highlight w:val="none"/>
          <w:lang w:bidi="ar"/>
        </w:rPr>
        <w:t xml:space="preserve">                                                                    </w:t>
      </w:r>
      <w:r>
        <w:rPr>
          <w:rFonts w:hint="eastAsia" w:ascii="宋体" w:hAnsi="宋体" w:cs="宋体"/>
          <w:color w:val="auto"/>
          <w:kern w:val="0"/>
          <w:sz w:val="24"/>
          <w:highlight w:val="none"/>
          <w:lang w:val="zh-CN" w:bidi="ar"/>
        </w:rPr>
        <w:t>投标人名称(电子签章)：</w:t>
      </w:r>
    </w:p>
    <w:p w14:paraId="4F9468D9">
      <w:pPr>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bidi="ar"/>
        </w:rPr>
        <w:t>日期</w:t>
      </w:r>
      <w:r>
        <w:rPr>
          <w:rFonts w:hint="eastAsia" w:ascii="宋体" w:hAnsi="宋体" w:cs="宋体"/>
          <w:color w:val="auto"/>
          <w:kern w:val="0"/>
          <w:sz w:val="24"/>
          <w:highlight w:val="none"/>
          <w:lang w:bidi="ar"/>
        </w:rPr>
        <w:t xml:space="preserve">：  年  </w:t>
      </w:r>
      <w:r>
        <w:rPr>
          <w:rFonts w:hint="eastAsia" w:ascii="宋体" w:hAnsi="宋体" w:cs="宋体"/>
          <w:color w:val="auto"/>
          <w:kern w:val="0"/>
          <w:sz w:val="24"/>
          <w:highlight w:val="none"/>
          <w:lang w:val="zh-CN" w:bidi="ar"/>
        </w:rPr>
        <w:t>月</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zh-CN" w:bidi="ar"/>
        </w:rPr>
        <w:t>日</w:t>
      </w:r>
    </w:p>
    <w:p w14:paraId="7538305D">
      <w:pPr>
        <w:widowControl/>
        <w:spacing w:line="360" w:lineRule="auto"/>
        <w:ind w:left="5132" w:leftChars="1979" w:hanging="976" w:hangingChars="488"/>
        <w:rPr>
          <w:rFonts w:hint="eastAsia" w:ascii="宋体" w:hAnsi="宋体" w:cs="宋体"/>
          <w:color w:val="auto"/>
          <w:sz w:val="20"/>
          <w:szCs w:val="20"/>
          <w:highlight w:val="none"/>
        </w:rPr>
      </w:pPr>
    </w:p>
    <w:p w14:paraId="15EBD6B0">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lang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A1377AF">
      <w:pPr>
        <w:spacing w:line="360" w:lineRule="auto"/>
        <w:rPr>
          <w:rFonts w:hint="eastAsia" w:ascii="宋体" w:hAnsi="宋体" w:cs="宋体"/>
          <w:color w:val="auto"/>
          <w:sz w:val="20"/>
          <w:highlight w:val="none"/>
          <w:lang w:bidi="ar"/>
        </w:rPr>
        <w:sectPr>
          <w:pgSz w:w="11906" w:h="16838"/>
          <w:pgMar w:top="1135" w:right="1135" w:bottom="1135" w:left="1135" w:header="720" w:footer="720" w:gutter="0"/>
          <w:pgNumType w:fmt="decimal"/>
          <w:cols w:space="720" w:num="1"/>
          <w:docGrid w:type="lines" w:linePitch="331" w:charSpace="0"/>
        </w:sectPr>
      </w:pPr>
    </w:p>
    <w:p w14:paraId="4596FE60">
      <w:pPr>
        <w:snapToGrid w:val="0"/>
        <w:spacing w:before="50" w:after="165" w:afterLines="50" w:line="360" w:lineRule="auto"/>
        <w:jc w:val="left"/>
        <w:rPr>
          <w:rFonts w:hint="eastAsia" w:ascii="宋体" w:hAnsi="宋体" w:cs="宋体"/>
          <w:color w:val="auto"/>
          <w:sz w:val="20"/>
          <w:highlight w:val="none"/>
        </w:rPr>
      </w:pPr>
    </w:p>
    <w:p w14:paraId="123278BC">
      <w:pPr>
        <w:widowControl/>
        <w:tabs>
          <w:tab w:val="left" w:pos="2472"/>
        </w:tabs>
        <w:spacing w:line="460" w:lineRule="exact"/>
        <w:jc w:val="center"/>
        <w:rPr>
          <w:rFonts w:hint="eastAsia" w:ascii="宋体" w:hAnsi="宋体" w:cs="宋体"/>
          <w:b/>
          <w:color w:val="auto"/>
          <w:sz w:val="36"/>
          <w:szCs w:val="20"/>
          <w:highlight w:val="none"/>
        </w:rPr>
      </w:pPr>
    </w:p>
    <w:p w14:paraId="2983E7CC">
      <w:pPr>
        <w:widowControl/>
        <w:tabs>
          <w:tab w:val="left" w:pos="2472"/>
        </w:tabs>
        <w:spacing w:line="460" w:lineRule="exact"/>
        <w:jc w:val="center"/>
        <w:rPr>
          <w:rFonts w:hint="eastAsia" w:ascii="宋体" w:hAnsi="宋体" w:cs="宋体"/>
          <w:b/>
          <w:color w:val="auto"/>
          <w:sz w:val="36"/>
          <w:szCs w:val="20"/>
          <w:highlight w:val="none"/>
        </w:rPr>
      </w:pPr>
    </w:p>
    <w:p w14:paraId="46235EF9">
      <w:pPr>
        <w:widowControl/>
        <w:tabs>
          <w:tab w:val="left" w:pos="2472"/>
        </w:tabs>
        <w:spacing w:line="460" w:lineRule="exact"/>
        <w:jc w:val="center"/>
        <w:rPr>
          <w:rFonts w:hint="eastAsia" w:ascii="宋体" w:hAnsi="宋体" w:cs="宋体"/>
          <w:b/>
          <w:color w:val="auto"/>
          <w:sz w:val="36"/>
          <w:szCs w:val="20"/>
          <w:highlight w:val="none"/>
        </w:rPr>
      </w:pPr>
    </w:p>
    <w:p w14:paraId="653DEF71">
      <w:pPr>
        <w:widowControl/>
        <w:tabs>
          <w:tab w:val="left" w:pos="2472"/>
        </w:tabs>
        <w:spacing w:line="460" w:lineRule="exact"/>
        <w:jc w:val="center"/>
        <w:rPr>
          <w:rFonts w:hint="eastAsia" w:ascii="宋体" w:hAnsi="宋体" w:cs="宋体"/>
          <w:b/>
          <w:color w:val="auto"/>
          <w:sz w:val="36"/>
          <w:szCs w:val="20"/>
          <w:highlight w:val="none"/>
        </w:rPr>
      </w:pPr>
    </w:p>
    <w:p w14:paraId="781BA9C1">
      <w:pPr>
        <w:widowControl/>
        <w:tabs>
          <w:tab w:val="left" w:pos="2472"/>
        </w:tabs>
        <w:spacing w:line="460" w:lineRule="exact"/>
        <w:jc w:val="center"/>
        <w:rPr>
          <w:rFonts w:hint="eastAsia" w:ascii="宋体" w:hAnsi="宋体" w:cs="宋体"/>
          <w:b/>
          <w:color w:val="auto"/>
          <w:sz w:val="36"/>
          <w:szCs w:val="20"/>
          <w:highlight w:val="none"/>
        </w:rPr>
      </w:pPr>
    </w:p>
    <w:p w14:paraId="7DEE5A39">
      <w:pPr>
        <w:widowControl/>
        <w:tabs>
          <w:tab w:val="left" w:pos="2472"/>
        </w:tabs>
        <w:spacing w:line="460" w:lineRule="exact"/>
        <w:jc w:val="center"/>
        <w:rPr>
          <w:rFonts w:hint="eastAsia" w:ascii="宋体" w:hAnsi="宋体" w:cs="宋体"/>
          <w:b/>
          <w:color w:val="auto"/>
          <w:sz w:val="36"/>
          <w:szCs w:val="20"/>
          <w:highlight w:val="none"/>
        </w:rPr>
      </w:pPr>
    </w:p>
    <w:p w14:paraId="4CD37E4A">
      <w:pPr>
        <w:widowControl/>
        <w:tabs>
          <w:tab w:val="left" w:pos="2472"/>
        </w:tabs>
        <w:spacing w:line="460" w:lineRule="exact"/>
        <w:jc w:val="center"/>
        <w:rPr>
          <w:rFonts w:hint="eastAsia" w:ascii="宋体" w:hAnsi="宋体" w:cs="宋体"/>
          <w:b/>
          <w:color w:val="auto"/>
          <w:sz w:val="36"/>
          <w:szCs w:val="20"/>
          <w:highlight w:val="none"/>
        </w:rPr>
      </w:pPr>
    </w:p>
    <w:p w14:paraId="58B12358">
      <w:pPr>
        <w:widowControl/>
        <w:tabs>
          <w:tab w:val="left" w:pos="2472"/>
        </w:tabs>
        <w:spacing w:line="460" w:lineRule="exact"/>
        <w:jc w:val="center"/>
        <w:rPr>
          <w:rFonts w:hint="eastAsia" w:ascii="宋体" w:hAnsi="宋体" w:cs="宋体"/>
          <w:b/>
          <w:color w:val="auto"/>
          <w:sz w:val="36"/>
          <w:szCs w:val="20"/>
          <w:highlight w:val="none"/>
        </w:rPr>
      </w:pPr>
    </w:p>
    <w:p w14:paraId="608389C6">
      <w:pPr>
        <w:widowControl/>
        <w:tabs>
          <w:tab w:val="left" w:pos="2472"/>
        </w:tabs>
        <w:spacing w:line="460" w:lineRule="exact"/>
        <w:jc w:val="center"/>
        <w:rPr>
          <w:rFonts w:hint="eastAsia" w:ascii="宋体" w:hAnsi="宋体" w:cs="宋体"/>
          <w:b/>
          <w:color w:val="auto"/>
          <w:sz w:val="36"/>
          <w:szCs w:val="20"/>
          <w:highlight w:val="none"/>
        </w:rPr>
      </w:pPr>
    </w:p>
    <w:p w14:paraId="3C56C84A">
      <w:pPr>
        <w:widowControl/>
        <w:tabs>
          <w:tab w:val="left" w:pos="2472"/>
        </w:tabs>
        <w:spacing w:line="460" w:lineRule="exact"/>
        <w:jc w:val="center"/>
        <w:rPr>
          <w:rFonts w:hint="eastAsia" w:ascii="宋体" w:hAnsi="宋体" w:cs="宋体"/>
          <w:b/>
          <w:color w:val="auto"/>
          <w:sz w:val="36"/>
          <w:szCs w:val="20"/>
          <w:highlight w:val="none"/>
        </w:rPr>
      </w:pPr>
    </w:p>
    <w:p w14:paraId="5576AE46">
      <w:pPr>
        <w:widowControl/>
        <w:tabs>
          <w:tab w:val="left" w:pos="2472"/>
        </w:tabs>
        <w:spacing w:line="460" w:lineRule="exact"/>
        <w:jc w:val="center"/>
        <w:rPr>
          <w:rFonts w:hint="eastAsia" w:ascii="宋体" w:hAnsi="宋体" w:cs="宋体"/>
          <w:b/>
          <w:color w:val="auto"/>
          <w:sz w:val="36"/>
          <w:szCs w:val="20"/>
          <w:highlight w:val="none"/>
        </w:rPr>
      </w:pPr>
    </w:p>
    <w:p w14:paraId="6235A0DA">
      <w:pPr>
        <w:widowControl/>
        <w:tabs>
          <w:tab w:val="left" w:pos="2472"/>
        </w:tabs>
        <w:spacing w:line="460" w:lineRule="exact"/>
        <w:jc w:val="center"/>
        <w:outlineLvl w:val="0"/>
        <w:rPr>
          <w:rFonts w:hint="eastAsia" w:ascii="宋体" w:hAnsi="宋体" w:cs="宋体"/>
          <w:b/>
          <w:color w:val="auto"/>
          <w:sz w:val="36"/>
          <w:szCs w:val="20"/>
          <w:highlight w:val="none"/>
        </w:rPr>
      </w:pPr>
      <w:bookmarkStart w:id="369" w:name="_Toc14252"/>
      <w:bookmarkStart w:id="370" w:name="_Toc2381"/>
      <w:bookmarkStart w:id="371" w:name="_Toc3473"/>
      <w:r>
        <w:rPr>
          <w:rFonts w:hint="eastAsia" w:ascii="宋体" w:hAnsi="宋体" w:cs="宋体"/>
          <w:b/>
          <w:color w:val="auto"/>
          <w:sz w:val="36"/>
          <w:szCs w:val="20"/>
          <w:highlight w:val="none"/>
        </w:rPr>
        <w:t>第七章 质疑、投诉证明材料格式</w:t>
      </w:r>
      <w:bookmarkEnd w:id="369"/>
      <w:bookmarkEnd w:id="370"/>
      <w:bookmarkEnd w:id="371"/>
    </w:p>
    <w:p w14:paraId="7A48E7D4">
      <w:pPr>
        <w:spacing w:line="360" w:lineRule="auto"/>
        <w:rPr>
          <w:rFonts w:hint="eastAsia" w:ascii="宋体" w:hAnsi="宋体" w:cs="宋体"/>
          <w:color w:val="auto"/>
          <w:sz w:val="20"/>
          <w:highlight w:val="none"/>
          <w:lang w:bidi="ar"/>
        </w:rPr>
        <w:sectPr>
          <w:pgSz w:w="11906" w:h="16838"/>
          <w:pgMar w:top="1135" w:right="1135" w:bottom="1135" w:left="1135" w:header="720" w:footer="720" w:gutter="0"/>
          <w:pgNumType w:fmt="decimal"/>
          <w:cols w:space="720" w:num="1"/>
          <w:docGrid w:type="lines" w:linePitch="331" w:charSpace="0"/>
        </w:sectPr>
      </w:pPr>
    </w:p>
    <w:p w14:paraId="6598DDD6">
      <w:pPr>
        <w:widowControl/>
        <w:spacing w:line="260" w:lineRule="exact"/>
        <w:jc w:val="left"/>
        <w:rPr>
          <w:rFonts w:hint="eastAsia" w:ascii="宋体" w:hAnsi="宋体" w:cs="宋体"/>
          <w:b/>
          <w:bCs/>
          <w:color w:val="auto"/>
          <w:sz w:val="28"/>
          <w:szCs w:val="28"/>
          <w:highlight w:val="none"/>
          <w:shd w:val="clear" w:color="auto" w:fill="FFFFFF"/>
        </w:rPr>
      </w:pPr>
    </w:p>
    <w:p w14:paraId="538A8679">
      <w:pPr>
        <w:keepNext/>
        <w:keepLines/>
        <w:widowControl/>
        <w:spacing w:before="260" w:after="260" w:line="412" w:lineRule="auto"/>
        <w:jc w:val="center"/>
        <w:outlineLvl w:val="1"/>
        <w:rPr>
          <w:rFonts w:hint="eastAsia" w:ascii="宋体" w:hAnsi="宋体" w:cs="宋体"/>
          <w:color w:val="auto"/>
          <w:sz w:val="32"/>
          <w:szCs w:val="32"/>
          <w:highlight w:val="none"/>
        </w:rPr>
      </w:pPr>
      <w:bookmarkStart w:id="372" w:name="_Toc13640"/>
      <w:bookmarkStart w:id="373" w:name="_Toc1444"/>
      <w:bookmarkStart w:id="374" w:name="_Toc21306"/>
      <w:r>
        <w:rPr>
          <w:rFonts w:hint="eastAsia" w:ascii="宋体" w:hAnsi="宋体" w:cs="宋体"/>
          <w:color w:val="auto"/>
          <w:sz w:val="32"/>
          <w:szCs w:val="32"/>
          <w:highlight w:val="none"/>
        </w:rPr>
        <w:t>第一节 质疑函（格式）</w:t>
      </w:r>
      <w:bookmarkEnd w:id="372"/>
      <w:bookmarkEnd w:id="373"/>
      <w:bookmarkEnd w:id="374"/>
    </w:p>
    <w:p w14:paraId="2F9BEF6E">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lang w:bidi="ar"/>
        </w:rPr>
        <w:t>质疑函范本</w:t>
      </w:r>
    </w:p>
    <w:p w14:paraId="1B545F42">
      <w:pPr>
        <w:adjustRightInd w:val="0"/>
        <w:snapToGrid w:val="0"/>
        <w:spacing w:before="331" w:beforeLines="100" w:line="36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lang w:bidi="ar"/>
        </w:rPr>
        <w:t>一、质疑供应商基本信息</w:t>
      </w:r>
    </w:p>
    <w:p w14:paraId="5593C2F4">
      <w:pPr>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质疑供应商：</w:t>
      </w:r>
      <w:r>
        <w:rPr>
          <w:rFonts w:hint="eastAsia" w:ascii="宋体" w:hAnsi="宋体" w:cs="宋体"/>
          <w:color w:val="auto"/>
          <w:sz w:val="32"/>
          <w:szCs w:val="32"/>
          <w:highlight w:val="none"/>
          <w:u w:val="dotted"/>
          <w:lang w:bidi="ar"/>
        </w:rPr>
        <w:t xml:space="preserve">                                        </w:t>
      </w:r>
    </w:p>
    <w:p w14:paraId="76A9A74B">
      <w:pPr>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地址：</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邮编：</w:t>
      </w:r>
      <w:r>
        <w:rPr>
          <w:rFonts w:hint="eastAsia" w:ascii="宋体" w:hAnsi="宋体" w:cs="宋体"/>
          <w:color w:val="auto"/>
          <w:sz w:val="32"/>
          <w:szCs w:val="32"/>
          <w:highlight w:val="none"/>
          <w:u w:val="dotted"/>
          <w:lang w:bidi="ar"/>
        </w:rPr>
        <w:t xml:space="preserve">                       </w:t>
      </w:r>
    </w:p>
    <w:p w14:paraId="33C76232">
      <w:pPr>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联系人：</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联系电话：</w:t>
      </w:r>
      <w:r>
        <w:rPr>
          <w:rFonts w:hint="eastAsia" w:ascii="宋体" w:hAnsi="宋体" w:cs="宋体"/>
          <w:color w:val="auto"/>
          <w:sz w:val="32"/>
          <w:szCs w:val="32"/>
          <w:highlight w:val="none"/>
          <w:u w:val="dotted"/>
          <w:lang w:bidi="ar"/>
        </w:rPr>
        <w:t xml:space="preserve">                      </w:t>
      </w:r>
    </w:p>
    <w:p w14:paraId="7F9944F2">
      <w:pPr>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授权代表：</w:t>
      </w:r>
      <w:r>
        <w:rPr>
          <w:rFonts w:hint="eastAsia" w:ascii="宋体" w:hAnsi="宋体" w:cs="宋体"/>
          <w:color w:val="auto"/>
          <w:sz w:val="32"/>
          <w:szCs w:val="32"/>
          <w:highlight w:val="none"/>
          <w:u w:val="dotted"/>
          <w:lang w:bidi="ar"/>
        </w:rPr>
        <w:t xml:space="preserve">                                          </w:t>
      </w:r>
    </w:p>
    <w:p w14:paraId="679BCC60">
      <w:pPr>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联系电话：</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 xml:space="preserve"> </w:t>
      </w:r>
    </w:p>
    <w:p w14:paraId="520DED10">
      <w:pPr>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 xml:space="preserve">地址： </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邮编：</w:t>
      </w:r>
      <w:r>
        <w:rPr>
          <w:rFonts w:hint="eastAsia" w:ascii="宋体" w:hAnsi="宋体" w:cs="宋体"/>
          <w:color w:val="auto"/>
          <w:sz w:val="32"/>
          <w:szCs w:val="32"/>
          <w:highlight w:val="none"/>
          <w:u w:val="dotted"/>
          <w:lang w:bidi="ar"/>
        </w:rPr>
        <w:t xml:space="preserve">                         </w:t>
      </w:r>
    </w:p>
    <w:p w14:paraId="5E91D02F">
      <w:pPr>
        <w:adjustRightInd w:val="0"/>
        <w:snapToGrid w:val="0"/>
        <w:spacing w:line="36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lang w:bidi="ar"/>
        </w:rPr>
        <w:t>二、质疑项目基本情况</w:t>
      </w:r>
    </w:p>
    <w:p w14:paraId="1F331B47">
      <w:pPr>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质疑项目的名称：</w:t>
      </w:r>
      <w:r>
        <w:rPr>
          <w:rFonts w:hint="eastAsia" w:ascii="宋体" w:hAnsi="宋体" w:cs="宋体"/>
          <w:color w:val="auto"/>
          <w:sz w:val="32"/>
          <w:szCs w:val="32"/>
          <w:highlight w:val="none"/>
          <w:u w:val="dotted"/>
          <w:lang w:bidi="ar"/>
        </w:rPr>
        <w:t xml:space="preserve">                                            </w:t>
      </w:r>
    </w:p>
    <w:p w14:paraId="06F4622A">
      <w:pPr>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质疑项目的编号：</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包号：</w:t>
      </w:r>
      <w:r>
        <w:rPr>
          <w:rFonts w:hint="eastAsia" w:ascii="宋体" w:hAnsi="宋体" w:cs="宋体"/>
          <w:color w:val="auto"/>
          <w:sz w:val="32"/>
          <w:szCs w:val="32"/>
          <w:highlight w:val="none"/>
          <w:u w:val="dotted"/>
          <w:lang w:bidi="ar"/>
        </w:rPr>
        <w:t xml:space="preserve">                 </w:t>
      </w:r>
    </w:p>
    <w:p w14:paraId="22A39128">
      <w:pPr>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采购人名称：</w:t>
      </w:r>
      <w:r>
        <w:rPr>
          <w:rFonts w:hint="eastAsia" w:ascii="宋体" w:hAnsi="宋体" w:cs="宋体"/>
          <w:color w:val="auto"/>
          <w:sz w:val="32"/>
          <w:szCs w:val="32"/>
          <w:highlight w:val="none"/>
          <w:u w:val="dotted"/>
          <w:lang w:bidi="ar"/>
        </w:rPr>
        <w:t xml:space="preserve">                                               </w:t>
      </w:r>
    </w:p>
    <w:p w14:paraId="6209D2B0">
      <w:pPr>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采购文件获取日期：</w:t>
      </w:r>
      <w:r>
        <w:rPr>
          <w:rFonts w:hint="eastAsia" w:ascii="宋体" w:hAnsi="宋体" w:cs="宋体"/>
          <w:color w:val="auto"/>
          <w:sz w:val="32"/>
          <w:szCs w:val="32"/>
          <w:highlight w:val="none"/>
          <w:u w:val="dotted"/>
          <w:lang w:bidi="ar"/>
        </w:rPr>
        <w:t xml:space="preserve">                                           </w:t>
      </w:r>
    </w:p>
    <w:p w14:paraId="3BD676FA">
      <w:pPr>
        <w:adjustRightInd w:val="0"/>
        <w:snapToGrid w:val="0"/>
        <w:spacing w:line="36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lang w:bidi="ar"/>
        </w:rPr>
        <w:t>三、质疑事项具体内容</w:t>
      </w:r>
    </w:p>
    <w:p w14:paraId="7E5F9949">
      <w:pPr>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质疑事项1：</w:t>
      </w:r>
      <w:r>
        <w:rPr>
          <w:rFonts w:hint="eastAsia" w:ascii="宋体" w:hAnsi="宋体" w:cs="宋体"/>
          <w:color w:val="auto"/>
          <w:sz w:val="32"/>
          <w:szCs w:val="32"/>
          <w:highlight w:val="none"/>
          <w:u w:val="dotted"/>
          <w:lang w:bidi="ar"/>
        </w:rPr>
        <w:t xml:space="preserve">                                         </w:t>
      </w:r>
    </w:p>
    <w:p w14:paraId="16EAD5C7">
      <w:pPr>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事实依据：</w:t>
      </w:r>
      <w:r>
        <w:rPr>
          <w:rFonts w:hint="eastAsia" w:ascii="宋体" w:hAnsi="宋体" w:cs="宋体"/>
          <w:color w:val="auto"/>
          <w:sz w:val="32"/>
          <w:szCs w:val="32"/>
          <w:highlight w:val="none"/>
          <w:u w:val="dotted"/>
          <w:lang w:bidi="ar"/>
        </w:rPr>
        <w:t xml:space="preserve">                                          </w:t>
      </w:r>
    </w:p>
    <w:p w14:paraId="5868C6DF">
      <w:pPr>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u w:val="dotted"/>
          <w:lang w:bidi="ar"/>
        </w:rPr>
        <w:t xml:space="preserve">                                                       </w:t>
      </w:r>
    </w:p>
    <w:p w14:paraId="46844452">
      <w:pPr>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法律依据：</w:t>
      </w:r>
      <w:r>
        <w:rPr>
          <w:rFonts w:hint="eastAsia" w:ascii="宋体" w:hAnsi="宋体" w:cs="宋体"/>
          <w:color w:val="auto"/>
          <w:sz w:val="32"/>
          <w:szCs w:val="32"/>
          <w:highlight w:val="none"/>
          <w:u w:val="dotted"/>
          <w:lang w:bidi="ar"/>
        </w:rPr>
        <w:t xml:space="preserve">                                          </w:t>
      </w:r>
    </w:p>
    <w:p w14:paraId="7F919D38">
      <w:pPr>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lang w:bidi="ar"/>
        </w:rPr>
        <w:t xml:space="preserve">                                                     </w:t>
      </w:r>
    </w:p>
    <w:p w14:paraId="28093169">
      <w:pPr>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质疑事项2</w:t>
      </w:r>
    </w:p>
    <w:p w14:paraId="5F4CE14B">
      <w:pPr>
        <w:adjustRightInd w:val="0"/>
        <w:snapToGrid w:val="0"/>
        <w:spacing w:line="360" w:lineRule="auto"/>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w:t>
      </w:r>
    </w:p>
    <w:p w14:paraId="6ED18D3B">
      <w:pPr>
        <w:adjustRightInd w:val="0"/>
        <w:snapToGrid w:val="0"/>
        <w:spacing w:line="36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lang w:bidi="ar"/>
        </w:rPr>
        <w:t>四、与质疑事项相关的质疑请求</w:t>
      </w:r>
    </w:p>
    <w:p w14:paraId="5E5E536D">
      <w:pPr>
        <w:adjustRightInd w:val="0"/>
        <w:snapToGrid w:val="0"/>
        <w:spacing w:line="360" w:lineRule="auto"/>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请求：</w:t>
      </w:r>
      <w:r>
        <w:rPr>
          <w:rFonts w:hint="eastAsia" w:ascii="宋体" w:hAnsi="宋体" w:cs="宋体"/>
          <w:color w:val="auto"/>
          <w:sz w:val="32"/>
          <w:szCs w:val="32"/>
          <w:highlight w:val="none"/>
          <w:u w:val="dotted"/>
          <w:lang w:bidi="ar"/>
        </w:rPr>
        <w:t xml:space="preserve">                                               </w:t>
      </w:r>
    </w:p>
    <w:p w14:paraId="24C84AB0">
      <w:pPr>
        <w:rPr>
          <w:rFonts w:hint="eastAsia" w:ascii="宋体" w:hAnsi="宋体" w:cs="宋体"/>
          <w:color w:val="auto"/>
          <w:sz w:val="30"/>
          <w:szCs w:val="30"/>
          <w:highlight w:val="none"/>
        </w:rPr>
      </w:pPr>
      <w:r>
        <w:rPr>
          <w:rFonts w:hint="eastAsia" w:ascii="宋体" w:hAnsi="宋体" w:cs="宋体"/>
          <w:color w:val="auto"/>
          <w:sz w:val="30"/>
          <w:szCs w:val="30"/>
          <w:highlight w:val="none"/>
          <w:lang w:bidi="ar"/>
        </w:rPr>
        <w:t xml:space="preserve">签字(签章)：                   公章：                      </w:t>
      </w:r>
    </w:p>
    <w:p w14:paraId="7174AB51">
      <w:pPr>
        <w:rPr>
          <w:rFonts w:hint="eastAsia" w:ascii="宋体" w:hAnsi="宋体" w:cs="宋体"/>
          <w:color w:val="auto"/>
          <w:sz w:val="30"/>
          <w:szCs w:val="30"/>
          <w:highlight w:val="none"/>
        </w:rPr>
      </w:pPr>
      <w:r>
        <w:rPr>
          <w:rFonts w:hint="eastAsia" w:ascii="宋体" w:hAnsi="宋体" w:cs="宋体"/>
          <w:color w:val="auto"/>
          <w:sz w:val="30"/>
          <w:szCs w:val="30"/>
          <w:highlight w:val="none"/>
          <w:lang w:bidi="ar"/>
        </w:rPr>
        <w:t xml:space="preserve">日期：    </w:t>
      </w:r>
    </w:p>
    <w:p w14:paraId="03FAA109">
      <w:pPr>
        <w:adjustRightInd w:val="0"/>
        <w:snapToGrid w:val="0"/>
        <w:spacing w:line="360" w:lineRule="auto"/>
        <w:rPr>
          <w:rFonts w:hint="eastAsia" w:ascii="宋体" w:hAnsi="宋体" w:cs="宋体"/>
          <w:color w:val="auto"/>
          <w:sz w:val="32"/>
          <w:szCs w:val="32"/>
          <w:highlight w:val="none"/>
        </w:rPr>
      </w:pPr>
    </w:p>
    <w:p w14:paraId="1E13B6E2">
      <w:pPr>
        <w:adjustRightInd w:val="0"/>
        <w:snapToGrid w:val="0"/>
        <w:spacing w:line="360" w:lineRule="auto"/>
        <w:rPr>
          <w:rFonts w:hint="eastAsia" w:ascii="宋体" w:hAnsi="宋体" w:cs="宋体"/>
          <w:color w:val="auto"/>
          <w:sz w:val="32"/>
          <w:szCs w:val="32"/>
          <w:highlight w:val="none"/>
        </w:rPr>
      </w:pPr>
    </w:p>
    <w:p w14:paraId="18171141">
      <w:pPr>
        <w:jc w:val="center"/>
        <w:rPr>
          <w:rFonts w:hint="eastAsia" w:ascii="宋体" w:hAnsi="宋体" w:cs="宋体"/>
          <w:b/>
          <w:bCs/>
          <w:color w:val="auto"/>
          <w:sz w:val="32"/>
          <w:szCs w:val="32"/>
          <w:highlight w:val="none"/>
        </w:rPr>
      </w:pPr>
    </w:p>
    <w:p w14:paraId="74A79391">
      <w:pPr>
        <w:jc w:val="center"/>
        <w:rPr>
          <w:rFonts w:hint="eastAsia" w:ascii="宋体" w:hAnsi="宋体" w:cs="宋体"/>
          <w:b/>
          <w:bCs/>
          <w:color w:val="auto"/>
          <w:sz w:val="32"/>
          <w:szCs w:val="32"/>
          <w:highlight w:val="none"/>
        </w:rPr>
      </w:pPr>
    </w:p>
    <w:p w14:paraId="3CE41A94">
      <w:pPr>
        <w:jc w:val="center"/>
        <w:rPr>
          <w:rFonts w:hint="eastAsia" w:ascii="宋体" w:hAnsi="宋体" w:cs="宋体"/>
          <w:b/>
          <w:bCs/>
          <w:color w:val="auto"/>
          <w:sz w:val="32"/>
          <w:szCs w:val="32"/>
          <w:highlight w:val="none"/>
        </w:rPr>
      </w:pPr>
    </w:p>
    <w:p w14:paraId="7F90B155">
      <w:pPr>
        <w:jc w:val="center"/>
        <w:rPr>
          <w:rFonts w:hint="eastAsia" w:ascii="宋体" w:hAnsi="宋体" w:cs="宋体"/>
          <w:b/>
          <w:bCs/>
          <w:color w:val="auto"/>
          <w:sz w:val="32"/>
          <w:szCs w:val="32"/>
          <w:highlight w:val="none"/>
        </w:rPr>
      </w:pPr>
    </w:p>
    <w:p w14:paraId="70ED1143">
      <w:pPr>
        <w:jc w:val="center"/>
        <w:rPr>
          <w:rFonts w:hint="eastAsia" w:ascii="宋体" w:hAnsi="宋体" w:cs="宋体"/>
          <w:b/>
          <w:bCs/>
          <w:color w:val="auto"/>
          <w:sz w:val="32"/>
          <w:szCs w:val="32"/>
          <w:highlight w:val="none"/>
        </w:rPr>
      </w:pPr>
    </w:p>
    <w:p w14:paraId="0D4AE501">
      <w:pPr>
        <w:jc w:val="center"/>
        <w:rPr>
          <w:rFonts w:hint="eastAsia" w:ascii="宋体" w:hAnsi="宋体" w:cs="宋体"/>
          <w:b/>
          <w:bCs/>
          <w:color w:val="auto"/>
          <w:sz w:val="32"/>
          <w:szCs w:val="32"/>
          <w:highlight w:val="none"/>
        </w:rPr>
      </w:pPr>
    </w:p>
    <w:p w14:paraId="79443B29">
      <w:pPr>
        <w:jc w:val="center"/>
        <w:rPr>
          <w:rFonts w:hint="eastAsia" w:ascii="宋体" w:hAnsi="宋体" w:cs="宋体"/>
          <w:b/>
          <w:bCs/>
          <w:color w:val="auto"/>
          <w:sz w:val="32"/>
          <w:szCs w:val="32"/>
          <w:highlight w:val="none"/>
        </w:rPr>
      </w:pPr>
    </w:p>
    <w:p w14:paraId="47939358">
      <w:pPr>
        <w:rPr>
          <w:rFonts w:hint="eastAsia" w:ascii="宋体" w:hAnsi="宋体" w:cs="宋体"/>
          <w:b/>
          <w:color w:val="auto"/>
          <w:sz w:val="32"/>
          <w:szCs w:val="32"/>
          <w:highlight w:val="none"/>
        </w:rPr>
      </w:pPr>
    </w:p>
    <w:p w14:paraId="6916647C">
      <w:pPr>
        <w:rPr>
          <w:rFonts w:hint="eastAsia" w:ascii="宋体" w:hAnsi="宋体" w:cs="宋体"/>
          <w:b/>
          <w:color w:val="auto"/>
          <w:sz w:val="32"/>
          <w:szCs w:val="32"/>
          <w:highlight w:val="none"/>
        </w:rPr>
      </w:pPr>
    </w:p>
    <w:p w14:paraId="6E0F310B">
      <w:pPr>
        <w:rPr>
          <w:rFonts w:hint="eastAsia" w:ascii="宋体" w:hAnsi="宋体" w:cs="宋体"/>
          <w:b/>
          <w:color w:val="auto"/>
          <w:sz w:val="32"/>
          <w:szCs w:val="32"/>
          <w:highlight w:val="none"/>
        </w:rPr>
      </w:pPr>
    </w:p>
    <w:p w14:paraId="5E424D7B">
      <w:pPr>
        <w:rPr>
          <w:rFonts w:hint="eastAsia" w:ascii="宋体" w:hAnsi="宋体" w:cs="宋体"/>
          <w:b/>
          <w:color w:val="auto"/>
          <w:sz w:val="32"/>
          <w:szCs w:val="32"/>
          <w:highlight w:val="none"/>
        </w:rPr>
      </w:pPr>
    </w:p>
    <w:p w14:paraId="308657AF">
      <w:pPr>
        <w:rPr>
          <w:rFonts w:hint="eastAsia" w:ascii="宋体" w:hAnsi="宋体" w:cs="宋体"/>
          <w:b/>
          <w:color w:val="auto"/>
          <w:sz w:val="32"/>
          <w:szCs w:val="32"/>
          <w:highlight w:val="none"/>
        </w:rPr>
      </w:pPr>
    </w:p>
    <w:p w14:paraId="54EE8EF8">
      <w:pPr>
        <w:rPr>
          <w:rFonts w:hint="eastAsia" w:ascii="宋体" w:hAnsi="宋体" w:cs="宋体"/>
          <w:b/>
          <w:color w:val="auto"/>
          <w:sz w:val="32"/>
          <w:szCs w:val="32"/>
          <w:highlight w:val="none"/>
        </w:rPr>
      </w:pPr>
    </w:p>
    <w:p w14:paraId="73F18A73">
      <w:pPr>
        <w:rPr>
          <w:rFonts w:hint="eastAsia" w:ascii="宋体" w:hAnsi="宋体" w:cs="宋体"/>
          <w:b/>
          <w:color w:val="auto"/>
          <w:sz w:val="32"/>
          <w:szCs w:val="32"/>
          <w:highlight w:val="none"/>
        </w:rPr>
      </w:pPr>
    </w:p>
    <w:p w14:paraId="74C33384">
      <w:pPr>
        <w:rPr>
          <w:rFonts w:hint="eastAsia" w:ascii="宋体" w:hAnsi="宋体" w:cs="宋体"/>
          <w:b/>
          <w:color w:val="auto"/>
          <w:sz w:val="32"/>
          <w:szCs w:val="32"/>
          <w:highlight w:val="none"/>
        </w:rPr>
      </w:pPr>
    </w:p>
    <w:p w14:paraId="7D73B37B">
      <w:pPr>
        <w:rPr>
          <w:rFonts w:hint="eastAsia" w:ascii="宋体" w:hAnsi="宋体" w:cs="宋体"/>
          <w:b/>
          <w:color w:val="auto"/>
          <w:sz w:val="32"/>
          <w:szCs w:val="32"/>
          <w:highlight w:val="none"/>
        </w:rPr>
      </w:pPr>
    </w:p>
    <w:p w14:paraId="37CB1EC1">
      <w:pPr>
        <w:rPr>
          <w:rFonts w:hint="eastAsia" w:ascii="宋体" w:hAnsi="宋体" w:cs="宋体"/>
          <w:b/>
          <w:color w:val="auto"/>
          <w:sz w:val="32"/>
          <w:szCs w:val="32"/>
          <w:highlight w:val="none"/>
        </w:rPr>
      </w:pPr>
      <w:r>
        <w:rPr>
          <w:rFonts w:hint="eastAsia" w:ascii="宋体" w:hAnsi="宋体" w:cs="宋体"/>
          <w:b/>
          <w:color w:val="auto"/>
          <w:sz w:val="32"/>
          <w:szCs w:val="32"/>
          <w:highlight w:val="none"/>
          <w:lang w:bidi="ar"/>
        </w:rPr>
        <w:t>质疑函制作说明：</w:t>
      </w:r>
    </w:p>
    <w:p w14:paraId="7B66D93B">
      <w:pPr>
        <w:widowControl/>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1.供应商提出质疑时，应提交质疑函和必要的证明材料。</w:t>
      </w:r>
    </w:p>
    <w:p w14:paraId="7273E236">
      <w:pPr>
        <w:widowControl/>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lang w:bidi="ar"/>
        </w:rPr>
        <w:t>供应商签署的授权委托书。授权委托书应载明代理人的姓名或者名称、代理事项、具体权限、期限和相关事项。</w:t>
      </w:r>
    </w:p>
    <w:p w14:paraId="1054F5B6">
      <w:pPr>
        <w:widowControl/>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3.质疑供应商若对项目的某一分包进行质疑，质疑函中应列明具体分包号。</w:t>
      </w:r>
    </w:p>
    <w:p w14:paraId="3C2D1273">
      <w:pPr>
        <w:widowControl/>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4.质疑函的质疑事项应具体、明确，并有必要的事实依据和法律依据。</w:t>
      </w:r>
    </w:p>
    <w:p w14:paraId="666167FC">
      <w:pPr>
        <w:widowControl/>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5.质疑函的质疑请求应与质疑事项相关。</w:t>
      </w:r>
    </w:p>
    <w:p w14:paraId="21EA0E58">
      <w:pPr>
        <w:widowControl/>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6.质疑供应商为自然人的，质疑函应由本人签字；质疑供应商为法人或者其他组织的，质疑函应由法定代表人、主要负责人，或者其授权代表签字或者盖章，并加盖公章。</w:t>
      </w:r>
    </w:p>
    <w:p w14:paraId="34528831">
      <w:pPr>
        <w:widowControl/>
        <w:ind w:firstLine="600" w:firstLineChars="200"/>
        <w:jc w:val="left"/>
        <w:rPr>
          <w:rFonts w:hint="eastAsia" w:ascii="宋体" w:hAnsi="宋体" w:cs="宋体"/>
          <w:color w:val="auto"/>
          <w:sz w:val="30"/>
          <w:szCs w:val="30"/>
          <w:highlight w:val="none"/>
        </w:rPr>
      </w:pPr>
    </w:p>
    <w:p w14:paraId="64E7FFFA">
      <w:pPr>
        <w:spacing w:line="360" w:lineRule="auto"/>
        <w:rPr>
          <w:rFonts w:hint="eastAsia" w:ascii="宋体" w:hAnsi="宋体" w:cs="宋体"/>
          <w:color w:val="auto"/>
          <w:sz w:val="24"/>
          <w:highlight w:val="none"/>
          <w:lang w:bidi="ar"/>
        </w:rPr>
        <w:sectPr>
          <w:pgSz w:w="11906" w:h="16838"/>
          <w:pgMar w:top="1135" w:right="1135" w:bottom="1135" w:left="1135" w:header="720" w:footer="720" w:gutter="0"/>
          <w:pgNumType w:fmt="decimal"/>
          <w:cols w:space="720" w:num="1"/>
          <w:docGrid w:type="lines" w:linePitch="331" w:charSpace="0"/>
        </w:sectPr>
      </w:pPr>
    </w:p>
    <w:p w14:paraId="26011200">
      <w:pPr>
        <w:keepNext/>
        <w:keepLines/>
        <w:widowControl/>
        <w:spacing w:before="260" w:after="260" w:line="412" w:lineRule="auto"/>
        <w:jc w:val="center"/>
        <w:outlineLvl w:val="1"/>
        <w:rPr>
          <w:rFonts w:hint="eastAsia" w:ascii="宋体" w:hAnsi="宋体" w:cs="宋体"/>
          <w:color w:val="auto"/>
          <w:sz w:val="32"/>
          <w:szCs w:val="32"/>
          <w:highlight w:val="none"/>
        </w:rPr>
      </w:pPr>
      <w:bookmarkStart w:id="375" w:name="_Toc12182"/>
      <w:bookmarkStart w:id="376" w:name="_Toc21369"/>
      <w:bookmarkStart w:id="377" w:name="_Toc13434"/>
      <w:r>
        <w:rPr>
          <w:rFonts w:hint="eastAsia" w:ascii="宋体" w:hAnsi="宋体" w:cs="宋体"/>
          <w:color w:val="auto"/>
          <w:sz w:val="32"/>
          <w:szCs w:val="32"/>
          <w:highlight w:val="none"/>
        </w:rPr>
        <w:t>第二节 投诉书（格式）</w:t>
      </w:r>
      <w:bookmarkEnd w:id="375"/>
      <w:bookmarkEnd w:id="376"/>
      <w:bookmarkEnd w:id="377"/>
    </w:p>
    <w:p w14:paraId="45ECF751">
      <w:pPr>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lang w:bidi="ar"/>
        </w:rPr>
        <w:t>投诉书范本</w:t>
      </w:r>
    </w:p>
    <w:p w14:paraId="2BE8BEB5">
      <w:pPr>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一、投诉相关主体基本情况</w:t>
      </w:r>
    </w:p>
    <w:p w14:paraId="748B1928">
      <w:pPr>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投诉人：</w:t>
      </w:r>
      <w:r>
        <w:rPr>
          <w:rFonts w:hint="eastAsia" w:ascii="宋体" w:hAnsi="宋体" w:cs="宋体"/>
          <w:color w:val="auto"/>
          <w:sz w:val="32"/>
          <w:szCs w:val="32"/>
          <w:highlight w:val="none"/>
          <w:u w:val="dotted"/>
          <w:lang w:bidi="ar"/>
        </w:rPr>
        <w:t xml:space="preserve">                                               </w:t>
      </w:r>
    </w:p>
    <w:p w14:paraId="7F82E54B">
      <w:pPr>
        <w:rPr>
          <w:rFonts w:hint="eastAsia" w:ascii="宋体" w:hAnsi="宋体" w:cs="宋体"/>
          <w:color w:val="auto"/>
          <w:sz w:val="32"/>
          <w:szCs w:val="32"/>
          <w:highlight w:val="none"/>
          <w:u w:val="single"/>
        </w:rPr>
      </w:pPr>
      <w:r>
        <w:rPr>
          <w:rFonts w:hint="eastAsia" w:ascii="宋体" w:hAnsi="宋体" w:cs="宋体"/>
          <w:color w:val="auto"/>
          <w:sz w:val="32"/>
          <w:szCs w:val="32"/>
          <w:highlight w:val="none"/>
          <w:lang w:bidi="ar"/>
        </w:rPr>
        <w:t>地     址：</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邮编：</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u w:val="single"/>
          <w:lang w:bidi="ar"/>
        </w:rPr>
        <w:t xml:space="preserve">   </w:t>
      </w:r>
    </w:p>
    <w:p w14:paraId="4845AA28">
      <w:pPr>
        <w:tabs>
          <w:tab w:val="left" w:pos="6510"/>
        </w:tabs>
        <w:jc w:val="left"/>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法定代表人/主要负责人：</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 xml:space="preserve">  </w:t>
      </w:r>
    </w:p>
    <w:p w14:paraId="6E93B825">
      <w:pPr>
        <w:tabs>
          <w:tab w:val="left" w:pos="6510"/>
        </w:tabs>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联系电话：</w:t>
      </w:r>
      <w:r>
        <w:rPr>
          <w:rFonts w:hint="eastAsia" w:ascii="宋体" w:hAnsi="宋体" w:cs="宋体"/>
          <w:color w:val="auto"/>
          <w:sz w:val="32"/>
          <w:szCs w:val="32"/>
          <w:highlight w:val="none"/>
          <w:u w:val="dotted"/>
          <w:lang w:bidi="ar"/>
        </w:rPr>
        <w:t xml:space="preserve">                                             </w:t>
      </w:r>
    </w:p>
    <w:p w14:paraId="76D71FAB">
      <w:pPr>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授权代表：</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联系电话</w:t>
      </w:r>
      <w:r>
        <w:rPr>
          <w:rFonts w:hint="eastAsia" w:ascii="宋体" w:hAnsi="宋体" w:cs="宋体"/>
          <w:color w:val="auto"/>
          <w:sz w:val="32"/>
          <w:szCs w:val="32"/>
          <w:highlight w:val="none"/>
          <w:u w:val="dotted"/>
          <w:lang w:bidi="ar"/>
        </w:rPr>
        <w:t xml:space="preserve">：                  </w:t>
      </w:r>
    </w:p>
    <w:p w14:paraId="3D58BEFF">
      <w:pPr>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地     址：</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邮编：</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u w:val="single"/>
          <w:lang w:bidi="ar"/>
        </w:rPr>
        <w:t xml:space="preserve"> </w:t>
      </w:r>
      <w:r>
        <w:rPr>
          <w:rFonts w:hint="eastAsia" w:ascii="宋体" w:hAnsi="宋体" w:cs="宋体"/>
          <w:color w:val="auto"/>
          <w:sz w:val="32"/>
          <w:szCs w:val="32"/>
          <w:highlight w:val="none"/>
          <w:u w:val="dotted"/>
          <w:lang w:bidi="ar"/>
        </w:rPr>
        <w:t xml:space="preserve">                   </w:t>
      </w:r>
    </w:p>
    <w:p w14:paraId="48712533">
      <w:pPr>
        <w:rPr>
          <w:rFonts w:hint="eastAsia" w:ascii="宋体" w:hAnsi="宋体" w:cs="宋体"/>
          <w:color w:val="auto"/>
          <w:sz w:val="32"/>
          <w:szCs w:val="32"/>
          <w:highlight w:val="none"/>
          <w:u w:val="single"/>
        </w:rPr>
      </w:pPr>
      <w:r>
        <w:rPr>
          <w:rFonts w:hint="eastAsia" w:ascii="宋体" w:hAnsi="宋体" w:cs="宋体"/>
          <w:color w:val="auto"/>
          <w:sz w:val="32"/>
          <w:szCs w:val="32"/>
          <w:highlight w:val="none"/>
          <w:lang w:bidi="ar"/>
        </w:rPr>
        <w:t>被投诉人1：</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u w:val="single"/>
          <w:lang w:bidi="ar"/>
        </w:rPr>
        <w:t xml:space="preserve">  </w:t>
      </w:r>
    </w:p>
    <w:p w14:paraId="0A88D2C4">
      <w:pPr>
        <w:rPr>
          <w:rFonts w:hint="eastAsia" w:ascii="宋体" w:hAnsi="宋体" w:cs="宋体"/>
          <w:color w:val="auto"/>
          <w:sz w:val="32"/>
          <w:szCs w:val="32"/>
          <w:highlight w:val="none"/>
          <w:u w:val="single"/>
        </w:rPr>
      </w:pPr>
      <w:r>
        <w:rPr>
          <w:rFonts w:hint="eastAsia" w:ascii="宋体" w:hAnsi="宋体" w:cs="宋体"/>
          <w:color w:val="auto"/>
          <w:sz w:val="32"/>
          <w:szCs w:val="32"/>
          <w:highlight w:val="none"/>
          <w:lang w:bidi="ar"/>
        </w:rPr>
        <w:t>地     址：</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邮编：</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u w:val="single"/>
          <w:lang w:bidi="ar"/>
        </w:rPr>
        <w:t xml:space="preserve"> </w:t>
      </w:r>
    </w:p>
    <w:p w14:paraId="5FECF642">
      <w:pPr>
        <w:rPr>
          <w:rFonts w:hint="eastAsia" w:ascii="宋体" w:hAnsi="宋体" w:cs="宋体"/>
          <w:color w:val="auto"/>
          <w:sz w:val="32"/>
          <w:szCs w:val="32"/>
          <w:highlight w:val="none"/>
          <w:u w:val="single"/>
        </w:rPr>
      </w:pPr>
      <w:r>
        <w:rPr>
          <w:rFonts w:hint="eastAsia" w:ascii="宋体" w:hAnsi="宋体" w:cs="宋体"/>
          <w:color w:val="auto"/>
          <w:sz w:val="32"/>
          <w:szCs w:val="32"/>
          <w:highlight w:val="none"/>
          <w:lang w:bidi="ar"/>
        </w:rPr>
        <w:t>联系人：</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联系电话：</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u w:val="single"/>
          <w:lang w:bidi="ar"/>
        </w:rPr>
        <w:t xml:space="preserve"> </w:t>
      </w:r>
    </w:p>
    <w:p w14:paraId="082CC72E">
      <w:pPr>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被投诉人2</w:t>
      </w:r>
    </w:p>
    <w:p w14:paraId="257DDD7E">
      <w:pPr>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w:t>
      </w:r>
    </w:p>
    <w:p w14:paraId="47293D7E">
      <w:pPr>
        <w:rPr>
          <w:rFonts w:hint="eastAsia" w:ascii="宋体" w:hAnsi="宋体" w:cs="宋体"/>
          <w:color w:val="auto"/>
          <w:sz w:val="32"/>
          <w:szCs w:val="32"/>
          <w:highlight w:val="none"/>
          <w:u w:val="single"/>
        </w:rPr>
      </w:pPr>
      <w:r>
        <w:rPr>
          <w:rFonts w:hint="eastAsia" w:ascii="宋体" w:hAnsi="宋体" w:cs="宋体"/>
          <w:color w:val="auto"/>
          <w:sz w:val="32"/>
          <w:szCs w:val="32"/>
          <w:highlight w:val="none"/>
          <w:lang w:bidi="ar"/>
        </w:rPr>
        <w:t>相关供应商：</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u w:val="single"/>
          <w:lang w:bidi="ar"/>
        </w:rPr>
        <w:t xml:space="preserve">    </w:t>
      </w:r>
    </w:p>
    <w:p w14:paraId="3E50EC82">
      <w:pPr>
        <w:rPr>
          <w:rFonts w:hint="eastAsia" w:ascii="宋体" w:hAnsi="宋体" w:cs="宋体"/>
          <w:color w:val="auto"/>
          <w:sz w:val="32"/>
          <w:szCs w:val="32"/>
          <w:highlight w:val="none"/>
          <w:u w:val="single"/>
        </w:rPr>
      </w:pPr>
      <w:r>
        <w:rPr>
          <w:rFonts w:hint="eastAsia" w:ascii="宋体" w:hAnsi="宋体" w:cs="宋体"/>
          <w:color w:val="auto"/>
          <w:sz w:val="32"/>
          <w:szCs w:val="32"/>
          <w:highlight w:val="none"/>
          <w:lang w:bidi="ar"/>
        </w:rPr>
        <w:t>地     址：</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邮编：</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u w:val="single"/>
          <w:lang w:bidi="ar"/>
        </w:rPr>
        <w:t xml:space="preserve"> </w:t>
      </w:r>
    </w:p>
    <w:p w14:paraId="2B0B7EF5">
      <w:pPr>
        <w:rPr>
          <w:rFonts w:hint="eastAsia" w:ascii="宋体" w:hAnsi="宋体" w:cs="宋体"/>
          <w:color w:val="auto"/>
          <w:sz w:val="32"/>
          <w:szCs w:val="32"/>
          <w:highlight w:val="none"/>
          <w:u w:val="single"/>
        </w:rPr>
      </w:pPr>
      <w:r>
        <w:rPr>
          <w:rFonts w:hint="eastAsia" w:ascii="宋体" w:hAnsi="宋体" w:cs="宋体"/>
          <w:color w:val="auto"/>
          <w:sz w:val="32"/>
          <w:szCs w:val="32"/>
          <w:highlight w:val="none"/>
          <w:lang w:bidi="ar"/>
        </w:rPr>
        <w:t>联系人：</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联系电话：</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u w:val="single"/>
          <w:lang w:bidi="ar"/>
        </w:rPr>
        <w:t xml:space="preserve">      </w:t>
      </w:r>
    </w:p>
    <w:p w14:paraId="27FED489">
      <w:pPr>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二、投诉项目基本情况</w:t>
      </w:r>
    </w:p>
    <w:p w14:paraId="127BD15E">
      <w:pPr>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采购项目名称：</w:t>
      </w:r>
      <w:r>
        <w:rPr>
          <w:rFonts w:hint="eastAsia" w:ascii="宋体" w:hAnsi="宋体" w:cs="宋体"/>
          <w:color w:val="auto"/>
          <w:sz w:val="32"/>
          <w:szCs w:val="32"/>
          <w:highlight w:val="none"/>
          <w:u w:val="dotted"/>
          <w:lang w:bidi="ar"/>
        </w:rPr>
        <w:t xml:space="preserve">                                           </w:t>
      </w:r>
    </w:p>
    <w:p w14:paraId="3DBA1D2B">
      <w:pPr>
        <w:rPr>
          <w:rFonts w:hint="eastAsia" w:ascii="宋体" w:hAnsi="宋体" w:cs="宋体"/>
          <w:color w:val="auto"/>
          <w:sz w:val="32"/>
          <w:szCs w:val="32"/>
          <w:highlight w:val="none"/>
          <w:u w:val="single"/>
        </w:rPr>
      </w:pPr>
      <w:r>
        <w:rPr>
          <w:rFonts w:hint="eastAsia" w:ascii="宋体" w:hAnsi="宋体" w:cs="宋体"/>
          <w:color w:val="auto"/>
          <w:sz w:val="32"/>
          <w:szCs w:val="32"/>
          <w:highlight w:val="none"/>
          <w:lang w:bidi="ar"/>
        </w:rPr>
        <w:t>采购项目编号：</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包号：</w:t>
      </w:r>
      <w:r>
        <w:rPr>
          <w:rFonts w:hint="eastAsia" w:ascii="宋体" w:hAnsi="宋体" w:cs="宋体"/>
          <w:color w:val="auto"/>
          <w:sz w:val="32"/>
          <w:szCs w:val="32"/>
          <w:highlight w:val="none"/>
          <w:u w:val="dotted"/>
          <w:lang w:bidi="ar"/>
        </w:rPr>
        <w:t xml:space="preserve">              </w:t>
      </w:r>
    </w:p>
    <w:p w14:paraId="33417331">
      <w:pPr>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采购人名称：</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u w:val="single"/>
          <w:lang w:bidi="ar"/>
        </w:rPr>
        <w:t xml:space="preserve"> </w:t>
      </w:r>
    </w:p>
    <w:p w14:paraId="12547E28">
      <w:pPr>
        <w:rPr>
          <w:rFonts w:hint="eastAsia" w:ascii="宋体" w:hAnsi="宋体" w:cs="宋体"/>
          <w:color w:val="auto"/>
          <w:sz w:val="32"/>
          <w:szCs w:val="32"/>
          <w:highlight w:val="none"/>
          <w:u w:val="single"/>
        </w:rPr>
      </w:pPr>
      <w:r>
        <w:rPr>
          <w:rFonts w:hint="eastAsia" w:ascii="宋体" w:hAnsi="宋体" w:cs="宋体"/>
          <w:color w:val="auto"/>
          <w:sz w:val="32"/>
          <w:szCs w:val="32"/>
          <w:highlight w:val="none"/>
          <w:lang w:bidi="ar"/>
        </w:rPr>
        <w:t>代理机构名称：</w:t>
      </w:r>
      <w:r>
        <w:rPr>
          <w:rFonts w:hint="eastAsia" w:ascii="宋体" w:hAnsi="宋体" w:cs="宋体"/>
          <w:color w:val="auto"/>
          <w:sz w:val="32"/>
          <w:szCs w:val="32"/>
          <w:highlight w:val="none"/>
          <w:u w:val="dotted"/>
          <w:lang w:bidi="ar"/>
        </w:rPr>
        <w:t xml:space="preserve">                                         </w:t>
      </w:r>
    </w:p>
    <w:p w14:paraId="437207E8">
      <w:pPr>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采购文件公告:</w:t>
      </w:r>
      <w:r>
        <w:rPr>
          <w:rFonts w:hint="eastAsia" w:ascii="宋体" w:hAnsi="宋体" w:cs="宋体"/>
          <w:color w:val="auto"/>
          <w:sz w:val="32"/>
          <w:szCs w:val="32"/>
          <w:highlight w:val="none"/>
          <w:u w:val="dotted"/>
          <w:lang w:bidi="ar"/>
        </w:rPr>
        <w:t xml:space="preserve">是/否 </w:t>
      </w:r>
      <w:r>
        <w:rPr>
          <w:rFonts w:hint="eastAsia" w:ascii="宋体" w:hAnsi="宋体" w:cs="宋体"/>
          <w:color w:val="auto"/>
          <w:sz w:val="32"/>
          <w:szCs w:val="32"/>
          <w:highlight w:val="none"/>
          <w:lang w:bidi="ar"/>
        </w:rPr>
        <w:t>公告期限：</w:t>
      </w:r>
      <w:r>
        <w:rPr>
          <w:rFonts w:hint="eastAsia" w:ascii="宋体" w:hAnsi="宋体" w:cs="宋体"/>
          <w:color w:val="auto"/>
          <w:sz w:val="32"/>
          <w:szCs w:val="32"/>
          <w:highlight w:val="none"/>
          <w:u w:val="dotted"/>
          <w:lang w:bidi="ar"/>
        </w:rPr>
        <w:t xml:space="preserve">                                 </w:t>
      </w:r>
    </w:p>
    <w:p w14:paraId="69E35D91">
      <w:pPr>
        <w:rPr>
          <w:rFonts w:hint="eastAsia" w:ascii="宋体" w:hAnsi="宋体" w:cs="宋体"/>
          <w:color w:val="auto"/>
          <w:sz w:val="32"/>
          <w:szCs w:val="32"/>
          <w:highlight w:val="none"/>
          <w:u w:val="single"/>
        </w:rPr>
      </w:pPr>
      <w:r>
        <w:rPr>
          <w:rFonts w:hint="eastAsia" w:ascii="宋体" w:hAnsi="宋体" w:cs="宋体"/>
          <w:color w:val="auto"/>
          <w:sz w:val="32"/>
          <w:szCs w:val="32"/>
          <w:highlight w:val="none"/>
          <w:lang w:bidi="ar"/>
        </w:rPr>
        <w:t>采购结果公告:</w:t>
      </w:r>
      <w:r>
        <w:rPr>
          <w:rFonts w:hint="eastAsia" w:ascii="宋体" w:hAnsi="宋体" w:cs="宋体"/>
          <w:color w:val="auto"/>
          <w:sz w:val="32"/>
          <w:szCs w:val="32"/>
          <w:highlight w:val="none"/>
          <w:u w:val="dotted"/>
          <w:lang w:bidi="ar"/>
        </w:rPr>
        <w:t xml:space="preserve">是/否 </w:t>
      </w:r>
      <w:r>
        <w:rPr>
          <w:rFonts w:hint="eastAsia" w:ascii="宋体" w:hAnsi="宋体" w:cs="宋体"/>
          <w:color w:val="auto"/>
          <w:sz w:val="32"/>
          <w:szCs w:val="32"/>
          <w:highlight w:val="none"/>
          <w:lang w:bidi="ar"/>
        </w:rPr>
        <w:t>公告期限：</w:t>
      </w:r>
      <w:r>
        <w:rPr>
          <w:rFonts w:hint="eastAsia" w:ascii="宋体" w:hAnsi="宋体" w:cs="宋体"/>
          <w:color w:val="auto"/>
          <w:sz w:val="32"/>
          <w:szCs w:val="32"/>
          <w:highlight w:val="none"/>
          <w:u w:val="dotted"/>
          <w:lang w:bidi="ar"/>
        </w:rPr>
        <w:t xml:space="preserve">                        </w:t>
      </w:r>
    </w:p>
    <w:p w14:paraId="3B5E01D9">
      <w:pPr>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三、质疑基本情况</w:t>
      </w:r>
    </w:p>
    <w:p w14:paraId="3C18208E">
      <w:pPr>
        <w:ind w:firstLine="640" w:firstLineChars="200"/>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投诉人于</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年</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月</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日,向</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提出质疑，质疑事项为：</w:t>
      </w:r>
      <w:r>
        <w:rPr>
          <w:rFonts w:hint="eastAsia" w:ascii="宋体" w:hAnsi="宋体" w:cs="宋体"/>
          <w:color w:val="auto"/>
          <w:sz w:val="32"/>
          <w:szCs w:val="32"/>
          <w:highlight w:val="none"/>
          <w:u w:val="dotted"/>
          <w:lang w:bidi="ar"/>
        </w:rPr>
        <w:t xml:space="preserve">                                </w:t>
      </w:r>
    </w:p>
    <w:p w14:paraId="098B640F">
      <w:pPr>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 xml:space="preserve">  </w:t>
      </w:r>
    </w:p>
    <w:p w14:paraId="556DD847">
      <w:pPr>
        <w:ind w:firstLine="480" w:firstLineChars="150"/>
        <w:rPr>
          <w:rFonts w:hint="eastAsia" w:ascii="宋体" w:hAnsi="宋体" w:cs="宋体"/>
          <w:color w:val="auto"/>
          <w:sz w:val="32"/>
          <w:szCs w:val="32"/>
          <w:highlight w:val="none"/>
        </w:rPr>
      </w:pPr>
      <w:r>
        <w:rPr>
          <w:rFonts w:hint="eastAsia" w:ascii="宋体" w:hAnsi="宋体" w:cs="宋体"/>
          <w:color w:val="auto"/>
          <w:sz w:val="32"/>
          <w:szCs w:val="32"/>
          <w:highlight w:val="none"/>
          <w:u w:val="dotted"/>
          <w:lang w:bidi="ar"/>
        </w:rPr>
        <w:t>采购人/代理机构</w:t>
      </w:r>
      <w:r>
        <w:rPr>
          <w:rFonts w:hint="eastAsia" w:ascii="宋体" w:hAnsi="宋体" w:cs="宋体"/>
          <w:color w:val="auto"/>
          <w:sz w:val="32"/>
          <w:szCs w:val="32"/>
          <w:highlight w:val="none"/>
          <w:lang w:bidi="ar"/>
        </w:rPr>
        <w:t>于</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年</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月</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日,就质疑事项作出了答复/没有在法定期限内作出答复。</w:t>
      </w:r>
    </w:p>
    <w:p w14:paraId="27B17081">
      <w:pPr>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四、投诉事项具体内容</w:t>
      </w:r>
    </w:p>
    <w:p w14:paraId="1E747310">
      <w:pPr>
        <w:rPr>
          <w:rFonts w:hint="eastAsia" w:ascii="宋体" w:hAnsi="宋体" w:cs="宋体"/>
          <w:color w:val="auto"/>
          <w:sz w:val="32"/>
          <w:szCs w:val="32"/>
          <w:highlight w:val="none"/>
          <w:u w:val="single"/>
        </w:rPr>
      </w:pPr>
      <w:r>
        <w:rPr>
          <w:rFonts w:hint="eastAsia" w:ascii="宋体" w:hAnsi="宋体" w:cs="宋体"/>
          <w:color w:val="auto"/>
          <w:sz w:val="32"/>
          <w:szCs w:val="32"/>
          <w:highlight w:val="none"/>
          <w:lang w:bidi="ar"/>
        </w:rPr>
        <w:t>投诉事项 1：</w:t>
      </w:r>
      <w:r>
        <w:rPr>
          <w:rFonts w:hint="eastAsia" w:ascii="宋体" w:hAnsi="宋体" w:cs="宋体"/>
          <w:color w:val="auto"/>
          <w:sz w:val="32"/>
          <w:szCs w:val="32"/>
          <w:highlight w:val="none"/>
          <w:u w:val="dotted"/>
          <w:lang w:bidi="ar"/>
        </w:rPr>
        <w:t xml:space="preserve">                                       </w:t>
      </w:r>
    </w:p>
    <w:p w14:paraId="75E27032">
      <w:pPr>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事实依据：</w:t>
      </w:r>
      <w:r>
        <w:rPr>
          <w:rFonts w:hint="eastAsia" w:ascii="宋体" w:hAnsi="宋体" w:cs="宋体"/>
          <w:color w:val="auto"/>
          <w:sz w:val="32"/>
          <w:szCs w:val="32"/>
          <w:highlight w:val="none"/>
          <w:u w:val="dotted"/>
          <w:lang w:bidi="ar"/>
        </w:rPr>
        <w:t xml:space="preserve">                                         </w:t>
      </w:r>
    </w:p>
    <w:p w14:paraId="0C40B2FA">
      <w:pPr>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lang w:bidi="ar"/>
        </w:rPr>
        <w:t xml:space="preserve">                                                      </w:t>
      </w:r>
    </w:p>
    <w:p w14:paraId="496FF21D">
      <w:pPr>
        <w:rPr>
          <w:rFonts w:hint="eastAsia" w:ascii="宋体" w:hAnsi="宋体" w:cs="宋体"/>
          <w:color w:val="auto"/>
          <w:sz w:val="32"/>
          <w:szCs w:val="32"/>
          <w:highlight w:val="none"/>
          <w:u w:val="single"/>
        </w:rPr>
      </w:pPr>
      <w:r>
        <w:rPr>
          <w:rFonts w:hint="eastAsia" w:ascii="宋体" w:hAnsi="宋体" w:cs="宋体"/>
          <w:color w:val="auto"/>
          <w:sz w:val="32"/>
          <w:szCs w:val="32"/>
          <w:highlight w:val="none"/>
          <w:lang w:bidi="ar"/>
        </w:rPr>
        <w:t>法律依据：</w:t>
      </w:r>
      <w:r>
        <w:rPr>
          <w:rFonts w:hint="eastAsia" w:ascii="宋体" w:hAnsi="宋体" w:cs="宋体"/>
          <w:color w:val="auto"/>
          <w:sz w:val="32"/>
          <w:szCs w:val="32"/>
          <w:highlight w:val="none"/>
          <w:u w:val="dotted"/>
          <w:lang w:bidi="ar"/>
        </w:rPr>
        <w:t xml:space="preserve">                                          </w:t>
      </w:r>
    </w:p>
    <w:p w14:paraId="3DCCA654">
      <w:pPr>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lang w:bidi="ar"/>
        </w:rPr>
        <w:t xml:space="preserve">                                                      </w:t>
      </w:r>
    </w:p>
    <w:p w14:paraId="7ACF6330">
      <w:pPr>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投诉事项2</w:t>
      </w:r>
    </w:p>
    <w:p w14:paraId="2D1DDF93">
      <w:pPr>
        <w:rPr>
          <w:rFonts w:hint="eastAsia" w:ascii="宋体" w:hAnsi="宋体" w:cs="宋体"/>
          <w:color w:val="auto"/>
          <w:sz w:val="32"/>
          <w:szCs w:val="32"/>
          <w:highlight w:val="none"/>
          <w:u w:val="dotted"/>
        </w:rPr>
      </w:pPr>
      <w:r>
        <w:rPr>
          <w:rFonts w:hint="eastAsia" w:ascii="宋体" w:hAnsi="宋体" w:cs="宋体"/>
          <w:color w:val="auto"/>
          <w:sz w:val="32"/>
          <w:szCs w:val="32"/>
          <w:highlight w:val="none"/>
          <w:lang w:bidi="ar"/>
        </w:rPr>
        <w:t>……</w:t>
      </w:r>
    </w:p>
    <w:p w14:paraId="4BEDAD18">
      <w:pPr>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五、与投诉事项相关的投诉请求</w:t>
      </w:r>
    </w:p>
    <w:p w14:paraId="71F48512">
      <w:pPr>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请求：</w:t>
      </w:r>
      <w:r>
        <w:rPr>
          <w:rFonts w:hint="eastAsia" w:ascii="宋体" w:hAnsi="宋体" w:cs="宋体"/>
          <w:color w:val="auto"/>
          <w:sz w:val="32"/>
          <w:szCs w:val="32"/>
          <w:highlight w:val="none"/>
          <w:u w:val="dotted"/>
          <w:lang w:bidi="ar"/>
        </w:rPr>
        <w:t xml:space="preserve">                                              </w:t>
      </w:r>
      <w:r>
        <w:rPr>
          <w:rFonts w:hint="eastAsia" w:ascii="宋体" w:hAnsi="宋体" w:cs="宋体"/>
          <w:color w:val="auto"/>
          <w:sz w:val="32"/>
          <w:szCs w:val="32"/>
          <w:highlight w:val="none"/>
          <w:lang w:bidi="ar"/>
        </w:rPr>
        <w:t xml:space="preserve"> </w:t>
      </w:r>
    </w:p>
    <w:p w14:paraId="4139CA6B">
      <w:pPr>
        <w:rPr>
          <w:rFonts w:hint="eastAsia" w:ascii="宋体" w:hAnsi="宋体" w:cs="宋体"/>
          <w:color w:val="auto"/>
          <w:sz w:val="32"/>
          <w:szCs w:val="32"/>
          <w:highlight w:val="none"/>
          <w:u w:val="single"/>
        </w:rPr>
      </w:pPr>
      <w:r>
        <w:rPr>
          <w:rFonts w:hint="eastAsia" w:ascii="宋体" w:hAnsi="宋体" w:cs="宋体"/>
          <w:color w:val="auto"/>
          <w:sz w:val="32"/>
          <w:szCs w:val="32"/>
          <w:highlight w:val="none"/>
          <w:lang w:bidi="ar"/>
        </w:rPr>
        <w:t xml:space="preserve">                                                                                                    </w:t>
      </w:r>
    </w:p>
    <w:p w14:paraId="51CA6215">
      <w:pPr>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 xml:space="preserve">签字(签章)：                   公章：                      </w:t>
      </w:r>
    </w:p>
    <w:p w14:paraId="5988683B">
      <w:pPr>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 xml:space="preserve">日期：    </w:t>
      </w:r>
    </w:p>
    <w:p w14:paraId="3127DDA9">
      <w:pPr>
        <w:rPr>
          <w:rFonts w:hint="eastAsia" w:ascii="宋体" w:hAnsi="宋体" w:cs="宋体"/>
          <w:b/>
          <w:color w:val="auto"/>
          <w:sz w:val="32"/>
          <w:szCs w:val="32"/>
          <w:highlight w:val="none"/>
        </w:rPr>
      </w:pPr>
    </w:p>
    <w:p w14:paraId="50050406">
      <w:pPr>
        <w:rPr>
          <w:rFonts w:hint="eastAsia" w:ascii="宋体" w:hAnsi="宋体" w:cs="宋体"/>
          <w:b/>
          <w:color w:val="auto"/>
          <w:sz w:val="32"/>
          <w:szCs w:val="32"/>
          <w:highlight w:val="none"/>
        </w:rPr>
      </w:pPr>
      <w:r>
        <w:rPr>
          <w:rFonts w:hint="eastAsia" w:ascii="宋体" w:hAnsi="宋体" w:cs="宋体"/>
          <w:b/>
          <w:color w:val="auto"/>
          <w:sz w:val="32"/>
          <w:szCs w:val="32"/>
          <w:highlight w:val="none"/>
          <w:lang w:bidi="ar"/>
        </w:rPr>
        <w:t>投诉书制作说明：</w:t>
      </w:r>
    </w:p>
    <w:p w14:paraId="23C15FF8">
      <w:pPr>
        <w:widowControl/>
        <w:ind w:firstLine="640" w:firstLineChars="200"/>
        <w:rPr>
          <w:rFonts w:hint="eastAsia" w:ascii="宋体" w:hAnsi="宋体" w:cs="宋体"/>
          <w:color w:val="auto"/>
          <w:kern w:val="0"/>
          <w:sz w:val="32"/>
          <w:szCs w:val="32"/>
          <w:highlight w:val="none"/>
        </w:rPr>
      </w:pPr>
      <w:r>
        <w:rPr>
          <w:rFonts w:hint="eastAsia" w:ascii="宋体" w:hAnsi="宋体" w:cs="宋体"/>
          <w:color w:val="auto"/>
          <w:sz w:val="32"/>
          <w:szCs w:val="32"/>
          <w:highlight w:val="none"/>
          <w:lang w:bidi="ar"/>
        </w:rPr>
        <w:t>1.投诉人提起投诉时，应当提交投诉书和必要的证明材料，并按照被投诉人和与投诉事项有关的供应商数量提供投诉书副本。</w:t>
      </w:r>
    </w:p>
    <w:p w14:paraId="70BD8779">
      <w:pPr>
        <w:widowControl/>
        <w:ind w:firstLine="640" w:firstLineChars="200"/>
        <w:jc w:val="left"/>
        <w:rPr>
          <w:rFonts w:hint="eastAsia" w:ascii="宋体" w:hAnsi="宋体" w:cs="宋体"/>
          <w:color w:val="auto"/>
          <w:kern w:val="0"/>
          <w:sz w:val="32"/>
          <w:szCs w:val="32"/>
          <w:highlight w:val="none"/>
        </w:rPr>
      </w:pPr>
      <w:r>
        <w:rPr>
          <w:rFonts w:hint="eastAsia" w:ascii="宋体" w:hAnsi="宋体" w:cs="宋体"/>
          <w:color w:val="auto"/>
          <w:sz w:val="32"/>
          <w:szCs w:val="32"/>
          <w:highlight w:val="none"/>
          <w:lang w:bidi="ar"/>
        </w:rPr>
        <w:t>2.投诉人若委托代理人进行投诉的，投诉书应按照要求列明“授权代表”的有关内容，并在附件中提交由</w:t>
      </w:r>
      <w:r>
        <w:rPr>
          <w:rFonts w:hint="eastAsia" w:ascii="宋体" w:hAnsi="宋体" w:cs="宋体"/>
          <w:color w:val="auto"/>
          <w:kern w:val="0"/>
          <w:sz w:val="32"/>
          <w:szCs w:val="32"/>
          <w:highlight w:val="none"/>
          <w:lang w:bidi="ar"/>
        </w:rPr>
        <w:t>投诉人签署的授权委托书。授权委托书应当载明代理人的姓名或者名称、代理事项、具体权限、期限和相关事项。</w:t>
      </w:r>
    </w:p>
    <w:p w14:paraId="2C42C201">
      <w:pPr>
        <w:widowControl/>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3.投诉人若对项目的某一分包进行投诉，投诉书应列明具体分包号。</w:t>
      </w:r>
    </w:p>
    <w:p w14:paraId="478646E3">
      <w:pPr>
        <w:widowControl/>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4.投诉书应简要列明质疑事项，质疑函、质疑答复等作为附件材料提供。</w:t>
      </w:r>
    </w:p>
    <w:p w14:paraId="5CE77807">
      <w:pPr>
        <w:widowControl/>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5.投诉书的投诉事项应具体、明确，并有必要的事实依据和法律依据。</w:t>
      </w:r>
    </w:p>
    <w:p w14:paraId="5CCFE214">
      <w:pPr>
        <w:widowControl/>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lang w:bidi="ar"/>
        </w:rPr>
        <w:t>6.投诉书的投诉请求应与投诉事项相关。</w:t>
      </w:r>
    </w:p>
    <w:p w14:paraId="2F3CBCCA">
      <w:pPr>
        <w:widowControl/>
        <w:ind w:firstLine="640" w:firstLineChars="200"/>
        <w:jc w:val="left"/>
        <w:rPr>
          <w:rFonts w:hint="eastAsia" w:ascii="宋体" w:hAnsi="宋体" w:cs="宋体"/>
          <w:color w:val="auto"/>
          <w:kern w:val="0"/>
          <w:sz w:val="32"/>
          <w:szCs w:val="32"/>
          <w:highlight w:val="none"/>
        </w:rPr>
      </w:pPr>
      <w:r>
        <w:rPr>
          <w:rFonts w:hint="eastAsia" w:ascii="宋体" w:hAnsi="宋体" w:cs="宋体"/>
          <w:color w:val="auto"/>
          <w:sz w:val="32"/>
          <w:szCs w:val="32"/>
          <w:highlight w:val="none"/>
          <w:lang w:bidi="ar"/>
        </w:rPr>
        <w:t>7.投诉人为自然人的，投诉书应当由本人签字；投诉人为法人或者其他组织的，投诉书应当由法定代表人、主要负责人，或者其授权代表签字或者盖章，并加盖公章。</w:t>
      </w:r>
    </w:p>
    <w:p w14:paraId="07C21F36">
      <w:pPr>
        <w:snapToGrid w:val="0"/>
        <w:spacing w:before="50" w:after="165" w:afterLines="50" w:line="360" w:lineRule="auto"/>
        <w:ind w:firstLine="480" w:firstLineChars="200"/>
        <w:jc w:val="left"/>
        <w:rPr>
          <w:rFonts w:hint="eastAsia" w:ascii="宋体" w:hAnsi="宋体" w:cs="宋体"/>
          <w:color w:val="auto"/>
          <w:sz w:val="24"/>
          <w:highlight w:val="none"/>
        </w:rPr>
      </w:pPr>
    </w:p>
    <w:p w14:paraId="28E52220">
      <w:pPr>
        <w:rPr>
          <w:rFonts w:hint="eastAsia" w:ascii="宋体" w:hAnsi="宋体" w:cs="宋体"/>
          <w:color w:val="auto"/>
          <w:highlight w:val="none"/>
        </w:rPr>
      </w:pPr>
    </w:p>
    <w:p w14:paraId="3C67EC70">
      <w:pPr>
        <w:rPr>
          <w:rFonts w:hint="eastAsia" w:ascii="宋体" w:hAnsi="宋体" w:cs="宋体"/>
          <w:color w:val="auto"/>
          <w:highlight w:val="none"/>
        </w:rPr>
      </w:pPr>
    </w:p>
    <w:p w14:paraId="79FB1C70">
      <w:pPr>
        <w:rPr>
          <w:rFonts w:hint="eastAsia" w:ascii="宋体" w:hAnsi="宋体" w:cs="宋体"/>
          <w:color w:val="auto"/>
          <w:highlight w:val="none"/>
        </w:rPr>
      </w:pPr>
    </w:p>
    <w:p w14:paraId="1C87A15D">
      <w:pPr>
        <w:rPr>
          <w:rFonts w:hint="eastAsia" w:ascii="宋体" w:hAnsi="宋体" w:cs="宋体"/>
          <w:color w:val="auto"/>
          <w:highlight w:val="none"/>
        </w:rPr>
      </w:pPr>
    </w:p>
    <w:sectPr>
      <w:footerReference r:id="rId9" w:type="first"/>
      <w:footerReference r:id="rId7" w:type="default"/>
      <w:footerReference r:id="rId8"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54DD4">
    <w:pPr>
      <w:pStyle w:val="24"/>
      <w:tabs>
        <w:tab w:val="left" w:pos="5505"/>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CDACE">
    <w:pPr>
      <w:pStyle w:val="24"/>
      <w:tabs>
        <w:tab w:val="left" w:pos="5505"/>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65B24">
                          <w:pPr>
                            <w:pStyle w:val="2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X8Gl+EBAADBAwAADgAAAGRycy9lMm9Eb2MueG1srVPNjtMwEL4j8Q6W&#10;7zRpE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UXnDlhaeDnXz/Pv/+e//xg&#10;8/Llq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xfwaX4QEAAMEDAAAOAAAA&#10;AAAAAAEAIAAAAB4BAABkcnMvZTJvRG9jLnhtbFBLBQYAAAAABgAGAFkBAABxBQAAAAA=&#10;">
              <v:fill on="f" focussize="0,0"/>
              <v:stroke on="f"/>
              <v:imagedata o:title=""/>
              <o:lock v:ext="edit" aspectratio="f"/>
              <v:textbox inset="0mm,0mm,0mm,0mm" style="mso-fit-shape-to-text:t;">
                <w:txbxContent>
                  <w:p w14:paraId="10B65B24">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29414">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5F0EF0">
                          <w:pPr>
                            <w:pStyle w:val="24"/>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RH5ZW4QEAAMEDAAAOAAAA&#10;AAAAAAEAIAAAAB4BAABkcnMvZTJvRG9jLnhtbFBLBQYAAAAABgAGAFkBAABxBQAAAAA=&#10;">
              <v:fill on="f" focussize="0,0"/>
              <v:stroke on="f"/>
              <v:imagedata o:title=""/>
              <o:lock v:ext="edit" aspectratio="f"/>
              <v:textbox inset="0mm,0mm,0mm,0mm" style="mso-fit-shape-to-text:t;">
                <w:txbxContent>
                  <w:p w14:paraId="335F0EF0">
                    <w:pPr>
                      <w:pStyle w:val="2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4D800">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F983D9">
                          <w:pPr>
                            <w:pStyle w:val="24"/>
                          </w:pPr>
                          <w:r>
                            <w:fldChar w:fldCharType="begin"/>
                          </w:r>
                          <w:r>
                            <w:instrText xml:space="preserve"> PAGE  \* MERGEFORMAT </w:instrText>
                          </w:r>
                          <w:r>
                            <w:fldChar w:fldCharType="separate"/>
                          </w:r>
                          <w:r>
                            <w:t>68</w:t>
                          </w:r>
                          <w:r>
                            <w:fldChar w:fldCharType="end"/>
                          </w:r>
                        </w:p>
                      </w:txbxContent>
                    </wps:txbx>
                    <wps:bodyPr vert="horz" wrap="none" lIns="0" tIns="0" rIns="0" bIns="0" anchor="t" anchorCtr="0" upright="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2iB+Q4QEAAMEDAAAOAAAA&#10;AAAAAAEAIAAAAB4BAABkcnMvZTJvRG9jLnhtbFBLBQYAAAAABgAGAFkBAABxBQAAAAA=&#10;">
              <v:fill on="f" focussize="0,0"/>
              <v:stroke on="f"/>
              <v:imagedata o:title=""/>
              <o:lock v:ext="edit" aspectratio="f"/>
              <v:textbox inset="0mm,0mm,0mm,0mm" style="mso-fit-shape-to-text:t;">
                <w:txbxContent>
                  <w:p w14:paraId="05F983D9">
                    <w:pPr>
                      <w:pStyle w:val="2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D883B">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DB16F1">
                          <w:pPr>
                            <w:pStyle w:val="24"/>
                          </w:pPr>
                          <w:r>
                            <w:fldChar w:fldCharType="begin"/>
                          </w:r>
                          <w:r>
                            <w:instrText xml:space="preserve"> PAGE  \* MERGEFORMAT </w:instrText>
                          </w:r>
                          <w:r>
                            <w:fldChar w:fldCharType="separate"/>
                          </w:r>
                          <w:r>
                            <w:t>117</w:t>
                          </w:r>
                          <w:r>
                            <w:fldChar w:fldCharType="end"/>
                          </w:r>
                        </w:p>
                      </w:txbxContent>
                    </wps:txbx>
                    <wps:bodyPr vert="horz" wrap="none" lIns="0" tIns="0" rIns="0" bIns="0" anchor="t" anchorCtr="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SKHw+ABAADBAwAADgAAAGRycy9lMm9Eb2MueG1srVPNjtMwEL4j8Q6W&#10;7zRpkVCp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p7E5YGvj518/z77/nPz/Y&#10;vHz5OinUBVhR4k2gVOzf+p72ZvIDORPxvok2/YkSozjpe7roq3pkMl1aLpbLkkKSYtOB8Iu76yEC&#10;vlfesmRUPNIAs67i+BFwSJ1SUjXnr7UxeYjG/ecgzOQpUu9Dj8nCftePhHa+PhEfeglUp/XxO2cd&#10;7UHFHa09Z+aDI5nTykxGnIzdZAgn6WLFkbPBfIfDah1C1Ps2L1tqCsKbA1KnmUBqY6g9dkeTzRKM&#10;W5hW599zzrp7eZt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D0ih8PgAQAAwQMAAA4AAAAA&#10;AAAAAQAgAAAAHgEAAGRycy9lMm9Eb2MueG1sUEsFBgAAAAAGAAYAWQEAAHAFAAAAAA==&#10;">
              <v:fill on="f" focussize="0,0"/>
              <v:stroke on="f"/>
              <v:imagedata o:title=""/>
              <o:lock v:ext="edit" aspectratio="f"/>
              <v:textbox inset="0mm,0mm,0mm,0mm" style="mso-fit-shape-to-text:t;">
                <w:txbxContent>
                  <w:p w14:paraId="1DDB16F1">
                    <w:pPr>
                      <w:pStyle w:val="24"/>
                    </w:pPr>
                    <w:r>
                      <w:fldChar w:fldCharType="begin"/>
                    </w:r>
                    <w:r>
                      <w:instrText xml:space="preserve"> PAGE  \* MERGEFORMAT </w:instrText>
                    </w:r>
                    <w:r>
                      <w:fldChar w:fldCharType="separate"/>
                    </w:r>
                    <w:r>
                      <w:t>117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C0A4D4">
                          <w:pPr>
                            <w:pStyle w:val="24"/>
                            <w:jc w:val="center"/>
                          </w:pPr>
                        </w:p>
                        <w:p w14:paraId="6C85C79E"/>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3BC0A4D4">
                    <w:pPr>
                      <w:pStyle w:val="24"/>
                      <w:jc w:val="center"/>
                    </w:pPr>
                  </w:p>
                  <w:p w14:paraId="6C85C79E"/>
                </w:txbxContent>
              </v:textbox>
            </v:shape>
          </w:pict>
        </mc:Fallback>
      </mc:AlternateContent>
    </w:r>
  </w:p>
  <w:p w14:paraId="4C2AFF0A">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7B6A">
    <w:pPr>
      <w:pStyle w:val="24"/>
      <w:framePr w:wrap="around" w:vAnchor="text" w:hAnchor="margin" w:xAlign="center" w:y="1"/>
      <w:rPr>
        <w:rStyle w:val="43"/>
      </w:rPr>
    </w:pPr>
    <w:r>
      <w:fldChar w:fldCharType="begin"/>
    </w:r>
    <w:r>
      <w:rPr>
        <w:rStyle w:val="43"/>
      </w:rPr>
      <w:instrText xml:space="preserve">PAGE  </w:instrText>
    </w:r>
    <w:r>
      <w:fldChar w:fldCharType="end"/>
    </w:r>
  </w:p>
  <w:p w14:paraId="0DCFF9DD">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9D142">
    <w:pPr>
      <w:pStyle w:val="24"/>
      <w:framePr w:wrap="around" w:vAnchor="text" w:hAnchor="margin" w:xAlign="right" w:y="1"/>
      <w:rPr>
        <w:rStyle w:val="43"/>
      </w:rPr>
    </w:pPr>
    <w:r>
      <w:fldChar w:fldCharType="begin"/>
    </w:r>
    <w:r>
      <w:rPr>
        <w:rStyle w:val="43"/>
      </w:rPr>
      <w:instrText xml:space="preserve">PAGE  </w:instrText>
    </w:r>
    <w:r>
      <w:fldChar w:fldCharType="separate"/>
    </w:r>
    <w:r>
      <w:rPr>
        <w:rStyle w:val="43"/>
      </w:rPr>
      <w:t>122</w:t>
    </w:r>
    <w:r>
      <w:fldChar w:fldCharType="end"/>
    </w:r>
  </w:p>
  <w:p w14:paraId="6CE6A62D">
    <w:pPr>
      <w:pStyle w:val="24"/>
      <w:ind w:right="360"/>
      <w:jc w:val="both"/>
      <w:rPr>
        <w:rFonts w:hint="eastAsia"/>
      </w:rPr>
    </w:pPr>
    <w:r>
      <w:rPr>
        <w:rFonts w:hint="eastAsia"/>
      </w:rPr>
      <w:t>121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55191"/>
    <w:multiLevelType w:val="singleLevel"/>
    <w:tmpl w:val="B5355191"/>
    <w:lvl w:ilvl="0" w:tentative="0">
      <w:start w:val="2"/>
      <w:numFmt w:val="decimal"/>
      <w:pStyle w:val="134"/>
      <w:lvlText w:val="%1."/>
      <w:lvlJc w:val="left"/>
      <w:pPr>
        <w:tabs>
          <w:tab w:val="left" w:pos="312"/>
        </w:tabs>
      </w:pPr>
    </w:lvl>
  </w:abstractNum>
  <w:abstractNum w:abstractNumId="1">
    <w:nsid w:val="D15B8844"/>
    <w:multiLevelType w:val="singleLevel"/>
    <w:tmpl w:val="D15B8844"/>
    <w:lvl w:ilvl="0" w:tentative="0">
      <w:start w:val="1"/>
      <w:numFmt w:val="decimal"/>
      <w:suff w:val="space"/>
      <w:lvlText w:val="%1."/>
      <w:lvlJc w:val="left"/>
    </w:lvl>
  </w:abstractNum>
  <w:abstractNum w:abstractNumId="2">
    <w:nsid w:val="D8711DF4"/>
    <w:multiLevelType w:val="multilevel"/>
    <w:tmpl w:val="D8711DF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251BA61"/>
    <w:multiLevelType w:val="multilevel"/>
    <w:tmpl w:val="F251BA61"/>
    <w:lvl w:ilvl="0" w:tentative="0">
      <w:start w:val="1"/>
      <w:numFmt w:val="decimal"/>
      <w:lvlText w:val="%1、"/>
      <w:lvlJc w:val="left"/>
      <w:pPr>
        <w:ind w:left="660" w:hanging="360"/>
      </w:p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41957462"/>
    <w:multiLevelType w:val="multilevel"/>
    <w:tmpl w:val="41957462"/>
    <w:lvl w:ilvl="0" w:tentative="0">
      <w:start w:val="1"/>
      <w:numFmt w:val="japaneseCounting"/>
      <w:lvlText w:val="（%1）"/>
      <w:lvlJc w:val="left"/>
      <w:pPr>
        <w:ind w:left="1237" w:hanging="765"/>
      </w:p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5">
    <w:nsid w:val="7E89CDB0"/>
    <w:multiLevelType w:val="multilevel"/>
    <w:tmpl w:val="7E89CDB0"/>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1" w:cryptProviderType="rsaFull" w:cryptAlgorithmClass="hash" w:cryptAlgorithmType="typeAny" w:cryptAlgorithmSid="4" w:cryptSpinCount="0" w:hash="94GoQvFhvOqVyZ+aYoXYHm3Yw34=" w:salt="XhC57GrjvIaJ64tXKncwWw=="/>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2MTAxYTdiYmUxMDQxYWY1ZWIyZDU2N2E3ZTA3MmQifQ=="/>
  </w:docVars>
  <w:rsids>
    <w:rsidRoot w:val="00172A27"/>
    <w:rsid w:val="0000096C"/>
    <w:rsid w:val="00000CDB"/>
    <w:rsid w:val="00004344"/>
    <w:rsid w:val="00005909"/>
    <w:rsid w:val="00013151"/>
    <w:rsid w:val="000207D5"/>
    <w:rsid w:val="00024E82"/>
    <w:rsid w:val="00025211"/>
    <w:rsid w:val="0002666E"/>
    <w:rsid w:val="00027659"/>
    <w:rsid w:val="00030800"/>
    <w:rsid w:val="00031652"/>
    <w:rsid w:val="00034A7D"/>
    <w:rsid w:val="00035197"/>
    <w:rsid w:val="00035F9C"/>
    <w:rsid w:val="00044EDB"/>
    <w:rsid w:val="00054304"/>
    <w:rsid w:val="000553BC"/>
    <w:rsid w:val="0006218D"/>
    <w:rsid w:val="00063F24"/>
    <w:rsid w:val="00065AF0"/>
    <w:rsid w:val="00066EA9"/>
    <w:rsid w:val="00066FE1"/>
    <w:rsid w:val="00074D5F"/>
    <w:rsid w:val="00077BF5"/>
    <w:rsid w:val="00081789"/>
    <w:rsid w:val="00085A0D"/>
    <w:rsid w:val="00092A54"/>
    <w:rsid w:val="0009317E"/>
    <w:rsid w:val="00093A06"/>
    <w:rsid w:val="00093B18"/>
    <w:rsid w:val="00094E84"/>
    <w:rsid w:val="000A7A4B"/>
    <w:rsid w:val="000C302E"/>
    <w:rsid w:val="000C5D44"/>
    <w:rsid w:val="000C79CA"/>
    <w:rsid w:val="000D5F48"/>
    <w:rsid w:val="000D7284"/>
    <w:rsid w:val="000F1BBE"/>
    <w:rsid w:val="001031E7"/>
    <w:rsid w:val="0010333C"/>
    <w:rsid w:val="00104245"/>
    <w:rsid w:val="001108AC"/>
    <w:rsid w:val="00110DD2"/>
    <w:rsid w:val="00116FC9"/>
    <w:rsid w:val="00120C46"/>
    <w:rsid w:val="00125837"/>
    <w:rsid w:val="00140B14"/>
    <w:rsid w:val="00140CE8"/>
    <w:rsid w:val="00143DA6"/>
    <w:rsid w:val="00151CEE"/>
    <w:rsid w:val="0015209C"/>
    <w:rsid w:val="001551E7"/>
    <w:rsid w:val="00162E0C"/>
    <w:rsid w:val="00166CDF"/>
    <w:rsid w:val="00170AA7"/>
    <w:rsid w:val="001726F0"/>
    <w:rsid w:val="00173852"/>
    <w:rsid w:val="00174F9B"/>
    <w:rsid w:val="00177D95"/>
    <w:rsid w:val="00182C28"/>
    <w:rsid w:val="00190F4C"/>
    <w:rsid w:val="00193D49"/>
    <w:rsid w:val="0019577E"/>
    <w:rsid w:val="001A307B"/>
    <w:rsid w:val="001B1366"/>
    <w:rsid w:val="001B2BDE"/>
    <w:rsid w:val="001B2FAE"/>
    <w:rsid w:val="001D047F"/>
    <w:rsid w:val="001D59CB"/>
    <w:rsid w:val="001E0216"/>
    <w:rsid w:val="001E0590"/>
    <w:rsid w:val="001E3B85"/>
    <w:rsid w:val="001E3E3A"/>
    <w:rsid w:val="001E4E53"/>
    <w:rsid w:val="001E6153"/>
    <w:rsid w:val="001E6C5D"/>
    <w:rsid w:val="001E7AB6"/>
    <w:rsid w:val="001F330A"/>
    <w:rsid w:val="001F4D3C"/>
    <w:rsid w:val="00201770"/>
    <w:rsid w:val="00204164"/>
    <w:rsid w:val="00204F25"/>
    <w:rsid w:val="00205999"/>
    <w:rsid w:val="00207350"/>
    <w:rsid w:val="00221909"/>
    <w:rsid w:val="002230A4"/>
    <w:rsid w:val="00231EAB"/>
    <w:rsid w:val="00232E04"/>
    <w:rsid w:val="00236055"/>
    <w:rsid w:val="00236B7D"/>
    <w:rsid w:val="00242CE9"/>
    <w:rsid w:val="002441C7"/>
    <w:rsid w:val="00244627"/>
    <w:rsid w:val="0025753A"/>
    <w:rsid w:val="002738BD"/>
    <w:rsid w:val="002867CF"/>
    <w:rsid w:val="00293976"/>
    <w:rsid w:val="00297271"/>
    <w:rsid w:val="002B3400"/>
    <w:rsid w:val="002B4610"/>
    <w:rsid w:val="002C084A"/>
    <w:rsid w:val="002C1328"/>
    <w:rsid w:val="002C27F2"/>
    <w:rsid w:val="002C38A0"/>
    <w:rsid w:val="002D2EF2"/>
    <w:rsid w:val="002E0A18"/>
    <w:rsid w:val="002E350B"/>
    <w:rsid w:val="002E6D9F"/>
    <w:rsid w:val="002F55FD"/>
    <w:rsid w:val="002F667D"/>
    <w:rsid w:val="003014B1"/>
    <w:rsid w:val="003051FD"/>
    <w:rsid w:val="00305816"/>
    <w:rsid w:val="0031447E"/>
    <w:rsid w:val="00315EB2"/>
    <w:rsid w:val="003162D6"/>
    <w:rsid w:val="00316994"/>
    <w:rsid w:val="00320B19"/>
    <w:rsid w:val="00325672"/>
    <w:rsid w:val="00327461"/>
    <w:rsid w:val="00330EE9"/>
    <w:rsid w:val="003331F5"/>
    <w:rsid w:val="00337A9F"/>
    <w:rsid w:val="00345F8F"/>
    <w:rsid w:val="00346976"/>
    <w:rsid w:val="00347950"/>
    <w:rsid w:val="00353905"/>
    <w:rsid w:val="00355191"/>
    <w:rsid w:val="003566A5"/>
    <w:rsid w:val="00366E54"/>
    <w:rsid w:val="0037075A"/>
    <w:rsid w:val="00371C87"/>
    <w:rsid w:val="00384EB6"/>
    <w:rsid w:val="003868E3"/>
    <w:rsid w:val="0039417D"/>
    <w:rsid w:val="003A3917"/>
    <w:rsid w:val="003A622A"/>
    <w:rsid w:val="003B031E"/>
    <w:rsid w:val="003B2214"/>
    <w:rsid w:val="003B31F1"/>
    <w:rsid w:val="003B7C9A"/>
    <w:rsid w:val="003C027A"/>
    <w:rsid w:val="003C393F"/>
    <w:rsid w:val="003C7A51"/>
    <w:rsid w:val="003D3465"/>
    <w:rsid w:val="003D478D"/>
    <w:rsid w:val="003D7400"/>
    <w:rsid w:val="003E0AD4"/>
    <w:rsid w:val="003E1425"/>
    <w:rsid w:val="003E64C1"/>
    <w:rsid w:val="003E67F9"/>
    <w:rsid w:val="003E70B7"/>
    <w:rsid w:val="003F1F9C"/>
    <w:rsid w:val="003F7B0D"/>
    <w:rsid w:val="004029ED"/>
    <w:rsid w:val="00403AA3"/>
    <w:rsid w:val="0040651A"/>
    <w:rsid w:val="00415282"/>
    <w:rsid w:val="00423F17"/>
    <w:rsid w:val="00435268"/>
    <w:rsid w:val="0043740C"/>
    <w:rsid w:val="0044600A"/>
    <w:rsid w:val="00447BDE"/>
    <w:rsid w:val="00450ADB"/>
    <w:rsid w:val="00452102"/>
    <w:rsid w:val="004531C4"/>
    <w:rsid w:val="0046071E"/>
    <w:rsid w:val="0046694A"/>
    <w:rsid w:val="0046760D"/>
    <w:rsid w:val="00467833"/>
    <w:rsid w:val="00472DF0"/>
    <w:rsid w:val="00474447"/>
    <w:rsid w:val="004820E2"/>
    <w:rsid w:val="004853B6"/>
    <w:rsid w:val="004861BA"/>
    <w:rsid w:val="00486E44"/>
    <w:rsid w:val="004925A4"/>
    <w:rsid w:val="004A0443"/>
    <w:rsid w:val="004A1B20"/>
    <w:rsid w:val="004A5F2A"/>
    <w:rsid w:val="004A6736"/>
    <w:rsid w:val="004B5C38"/>
    <w:rsid w:val="004E126C"/>
    <w:rsid w:val="004E5A78"/>
    <w:rsid w:val="004F5BCD"/>
    <w:rsid w:val="004F6639"/>
    <w:rsid w:val="005033B8"/>
    <w:rsid w:val="00503A40"/>
    <w:rsid w:val="00506840"/>
    <w:rsid w:val="00506FAB"/>
    <w:rsid w:val="00511A25"/>
    <w:rsid w:val="00517D40"/>
    <w:rsid w:val="00520861"/>
    <w:rsid w:val="00521880"/>
    <w:rsid w:val="005279FB"/>
    <w:rsid w:val="00532BF5"/>
    <w:rsid w:val="0053418F"/>
    <w:rsid w:val="0053494D"/>
    <w:rsid w:val="0053541C"/>
    <w:rsid w:val="005458AD"/>
    <w:rsid w:val="0055409E"/>
    <w:rsid w:val="00554A36"/>
    <w:rsid w:val="00562514"/>
    <w:rsid w:val="00564C6D"/>
    <w:rsid w:val="00565F7F"/>
    <w:rsid w:val="00576E04"/>
    <w:rsid w:val="0057733C"/>
    <w:rsid w:val="00581AC2"/>
    <w:rsid w:val="00583AC0"/>
    <w:rsid w:val="005873D0"/>
    <w:rsid w:val="005917A6"/>
    <w:rsid w:val="005932B6"/>
    <w:rsid w:val="0059420D"/>
    <w:rsid w:val="00596F89"/>
    <w:rsid w:val="005B53A3"/>
    <w:rsid w:val="005C06FA"/>
    <w:rsid w:val="005C1383"/>
    <w:rsid w:val="005D54D6"/>
    <w:rsid w:val="005E671C"/>
    <w:rsid w:val="005F6F86"/>
    <w:rsid w:val="00600743"/>
    <w:rsid w:val="00603D18"/>
    <w:rsid w:val="006048A4"/>
    <w:rsid w:val="00605362"/>
    <w:rsid w:val="006064F7"/>
    <w:rsid w:val="006068F0"/>
    <w:rsid w:val="00606C3B"/>
    <w:rsid w:val="00614F34"/>
    <w:rsid w:val="006214D7"/>
    <w:rsid w:val="006224B3"/>
    <w:rsid w:val="00622C28"/>
    <w:rsid w:val="00626CA8"/>
    <w:rsid w:val="00627E6B"/>
    <w:rsid w:val="006301C4"/>
    <w:rsid w:val="006304DE"/>
    <w:rsid w:val="00631BAB"/>
    <w:rsid w:val="006406A8"/>
    <w:rsid w:val="00640B4E"/>
    <w:rsid w:val="00641D5B"/>
    <w:rsid w:val="006501DD"/>
    <w:rsid w:val="00653CDE"/>
    <w:rsid w:val="00656442"/>
    <w:rsid w:val="00661DA0"/>
    <w:rsid w:val="006632E6"/>
    <w:rsid w:val="0067703D"/>
    <w:rsid w:val="006807FB"/>
    <w:rsid w:val="006831E3"/>
    <w:rsid w:val="00691B1A"/>
    <w:rsid w:val="00694EF7"/>
    <w:rsid w:val="00695425"/>
    <w:rsid w:val="006A101B"/>
    <w:rsid w:val="006A53A9"/>
    <w:rsid w:val="006A6DC8"/>
    <w:rsid w:val="006B38DD"/>
    <w:rsid w:val="006C015A"/>
    <w:rsid w:val="006C2360"/>
    <w:rsid w:val="006C55A9"/>
    <w:rsid w:val="006C5999"/>
    <w:rsid w:val="006D0A1B"/>
    <w:rsid w:val="006D6A62"/>
    <w:rsid w:val="006F0015"/>
    <w:rsid w:val="006F4267"/>
    <w:rsid w:val="006F68C0"/>
    <w:rsid w:val="006F77B6"/>
    <w:rsid w:val="00707FF2"/>
    <w:rsid w:val="00715456"/>
    <w:rsid w:val="00717D53"/>
    <w:rsid w:val="0072351B"/>
    <w:rsid w:val="00730FBB"/>
    <w:rsid w:val="00736625"/>
    <w:rsid w:val="00744B4B"/>
    <w:rsid w:val="00745BFF"/>
    <w:rsid w:val="0074683F"/>
    <w:rsid w:val="00750CA6"/>
    <w:rsid w:val="007549ED"/>
    <w:rsid w:val="0075643C"/>
    <w:rsid w:val="00756DD1"/>
    <w:rsid w:val="00757B36"/>
    <w:rsid w:val="00761289"/>
    <w:rsid w:val="00761EA6"/>
    <w:rsid w:val="00767154"/>
    <w:rsid w:val="00771A8B"/>
    <w:rsid w:val="00773B6C"/>
    <w:rsid w:val="00776CF0"/>
    <w:rsid w:val="0078187A"/>
    <w:rsid w:val="00781DF2"/>
    <w:rsid w:val="00790B95"/>
    <w:rsid w:val="007937A3"/>
    <w:rsid w:val="007C09EA"/>
    <w:rsid w:val="007C3614"/>
    <w:rsid w:val="007C3B9F"/>
    <w:rsid w:val="007D5273"/>
    <w:rsid w:val="007D6581"/>
    <w:rsid w:val="007D6EBC"/>
    <w:rsid w:val="007F0A33"/>
    <w:rsid w:val="007F1D2B"/>
    <w:rsid w:val="007F4D7D"/>
    <w:rsid w:val="007F717F"/>
    <w:rsid w:val="00800753"/>
    <w:rsid w:val="008176CE"/>
    <w:rsid w:val="008232D5"/>
    <w:rsid w:val="00823F88"/>
    <w:rsid w:val="008300D6"/>
    <w:rsid w:val="008429D8"/>
    <w:rsid w:val="00843D45"/>
    <w:rsid w:val="008604A4"/>
    <w:rsid w:val="008606F1"/>
    <w:rsid w:val="00862516"/>
    <w:rsid w:val="00866447"/>
    <w:rsid w:val="0086784A"/>
    <w:rsid w:val="008811BB"/>
    <w:rsid w:val="00884280"/>
    <w:rsid w:val="00884C48"/>
    <w:rsid w:val="0089747C"/>
    <w:rsid w:val="008974F2"/>
    <w:rsid w:val="008B0CC1"/>
    <w:rsid w:val="008B13BE"/>
    <w:rsid w:val="008C4798"/>
    <w:rsid w:val="008D33A8"/>
    <w:rsid w:val="008D3FFB"/>
    <w:rsid w:val="008D43F8"/>
    <w:rsid w:val="008E3451"/>
    <w:rsid w:val="008E53FF"/>
    <w:rsid w:val="00904A9B"/>
    <w:rsid w:val="00920D6C"/>
    <w:rsid w:val="009276D5"/>
    <w:rsid w:val="00942D58"/>
    <w:rsid w:val="00942FDE"/>
    <w:rsid w:val="00952863"/>
    <w:rsid w:val="009528FA"/>
    <w:rsid w:val="0096166D"/>
    <w:rsid w:val="009911B9"/>
    <w:rsid w:val="009924D4"/>
    <w:rsid w:val="009961B0"/>
    <w:rsid w:val="009963BC"/>
    <w:rsid w:val="009A6C00"/>
    <w:rsid w:val="009B5EA8"/>
    <w:rsid w:val="009B644A"/>
    <w:rsid w:val="009B67C7"/>
    <w:rsid w:val="009B7A85"/>
    <w:rsid w:val="009C3D9F"/>
    <w:rsid w:val="009C55D3"/>
    <w:rsid w:val="009C60E6"/>
    <w:rsid w:val="009D5E30"/>
    <w:rsid w:val="009D64B0"/>
    <w:rsid w:val="009D78FE"/>
    <w:rsid w:val="009E2765"/>
    <w:rsid w:val="009E2C4C"/>
    <w:rsid w:val="009E509B"/>
    <w:rsid w:val="009E5F55"/>
    <w:rsid w:val="009F48CE"/>
    <w:rsid w:val="009F5431"/>
    <w:rsid w:val="009F5C57"/>
    <w:rsid w:val="00A07462"/>
    <w:rsid w:val="00A11791"/>
    <w:rsid w:val="00A15437"/>
    <w:rsid w:val="00A16C11"/>
    <w:rsid w:val="00A207B9"/>
    <w:rsid w:val="00A21AD0"/>
    <w:rsid w:val="00A24156"/>
    <w:rsid w:val="00A31C07"/>
    <w:rsid w:val="00A31E32"/>
    <w:rsid w:val="00A35D90"/>
    <w:rsid w:val="00A37ECC"/>
    <w:rsid w:val="00A41DC7"/>
    <w:rsid w:val="00A4364F"/>
    <w:rsid w:val="00A54EBE"/>
    <w:rsid w:val="00A56CB5"/>
    <w:rsid w:val="00A61313"/>
    <w:rsid w:val="00A64717"/>
    <w:rsid w:val="00A748C9"/>
    <w:rsid w:val="00A80C51"/>
    <w:rsid w:val="00A81EDF"/>
    <w:rsid w:val="00A83A62"/>
    <w:rsid w:val="00A929CC"/>
    <w:rsid w:val="00A9536F"/>
    <w:rsid w:val="00A95495"/>
    <w:rsid w:val="00A955F2"/>
    <w:rsid w:val="00A968DB"/>
    <w:rsid w:val="00AA0FBE"/>
    <w:rsid w:val="00AA43B6"/>
    <w:rsid w:val="00AA4479"/>
    <w:rsid w:val="00AA48D1"/>
    <w:rsid w:val="00AA5D30"/>
    <w:rsid w:val="00AA64E2"/>
    <w:rsid w:val="00AB7E31"/>
    <w:rsid w:val="00AC1255"/>
    <w:rsid w:val="00AC59AC"/>
    <w:rsid w:val="00AD464B"/>
    <w:rsid w:val="00AD7E81"/>
    <w:rsid w:val="00AE0FF5"/>
    <w:rsid w:val="00AE127D"/>
    <w:rsid w:val="00AF12E5"/>
    <w:rsid w:val="00AF7B47"/>
    <w:rsid w:val="00AF7D70"/>
    <w:rsid w:val="00B017FE"/>
    <w:rsid w:val="00B05D04"/>
    <w:rsid w:val="00B17E63"/>
    <w:rsid w:val="00B17F7F"/>
    <w:rsid w:val="00B20869"/>
    <w:rsid w:val="00B211ED"/>
    <w:rsid w:val="00B21E32"/>
    <w:rsid w:val="00B33B3B"/>
    <w:rsid w:val="00B37238"/>
    <w:rsid w:val="00B52B37"/>
    <w:rsid w:val="00B548FD"/>
    <w:rsid w:val="00B54BFD"/>
    <w:rsid w:val="00B556FB"/>
    <w:rsid w:val="00B56361"/>
    <w:rsid w:val="00B61746"/>
    <w:rsid w:val="00B62005"/>
    <w:rsid w:val="00B67934"/>
    <w:rsid w:val="00B70B03"/>
    <w:rsid w:val="00B76FFB"/>
    <w:rsid w:val="00B7795B"/>
    <w:rsid w:val="00B77961"/>
    <w:rsid w:val="00B803FE"/>
    <w:rsid w:val="00B84C74"/>
    <w:rsid w:val="00B91C94"/>
    <w:rsid w:val="00B94CF1"/>
    <w:rsid w:val="00BA2274"/>
    <w:rsid w:val="00BA2379"/>
    <w:rsid w:val="00BA6F13"/>
    <w:rsid w:val="00BA73E4"/>
    <w:rsid w:val="00BB3A8E"/>
    <w:rsid w:val="00BB7111"/>
    <w:rsid w:val="00BC0690"/>
    <w:rsid w:val="00BC65F1"/>
    <w:rsid w:val="00BC6D1F"/>
    <w:rsid w:val="00BD1CD3"/>
    <w:rsid w:val="00BE0F5B"/>
    <w:rsid w:val="00BE242C"/>
    <w:rsid w:val="00BE59EE"/>
    <w:rsid w:val="00BE7BAF"/>
    <w:rsid w:val="00BF2DE4"/>
    <w:rsid w:val="00BF4E4B"/>
    <w:rsid w:val="00BF7045"/>
    <w:rsid w:val="00C011F7"/>
    <w:rsid w:val="00C03881"/>
    <w:rsid w:val="00C03EC3"/>
    <w:rsid w:val="00C052AB"/>
    <w:rsid w:val="00C114D9"/>
    <w:rsid w:val="00C115C2"/>
    <w:rsid w:val="00C12A33"/>
    <w:rsid w:val="00C20A8B"/>
    <w:rsid w:val="00C21A59"/>
    <w:rsid w:val="00C234FA"/>
    <w:rsid w:val="00C263C2"/>
    <w:rsid w:val="00C30F1F"/>
    <w:rsid w:val="00C31DD3"/>
    <w:rsid w:val="00C329EE"/>
    <w:rsid w:val="00C3405B"/>
    <w:rsid w:val="00C42870"/>
    <w:rsid w:val="00C54574"/>
    <w:rsid w:val="00C67F26"/>
    <w:rsid w:val="00C72985"/>
    <w:rsid w:val="00C73607"/>
    <w:rsid w:val="00C76322"/>
    <w:rsid w:val="00C7749B"/>
    <w:rsid w:val="00C82DE7"/>
    <w:rsid w:val="00C90F87"/>
    <w:rsid w:val="00CA1815"/>
    <w:rsid w:val="00CA7ED5"/>
    <w:rsid w:val="00CB1671"/>
    <w:rsid w:val="00CB2B01"/>
    <w:rsid w:val="00CB582D"/>
    <w:rsid w:val="00CB63FC"/>
    <w:rsid w:val="00CB78F3"/>
    <w:rsid w:val="00CC1E96"/>
    <w:rsid w:val="00CC7527"/>
    <w:rsid w:val="00CD60E2"/>
    <w:rsid w:val="00CF45D0"/>
    <w:rsid w:val="00CF4883"/>
    <w:rsid w:val="00CF6FCC"/>
    <w:rsid w:val="00D06972"/>
    <w:rsid w:val="00D21461"/>
    <w:rsid w:val="00D37A63"/>
    <w:rsid w:val="00D400C9"/>
    <w:rsid w:val="00D44310"/>
    <w:rsid w:val="00D44B33"/>
    <w:rsid w:val="00D556A1"/>
    <w:rsid w:val="00D563C2"/>
    <w:rsid w:val="00D57164"/>
    <w:rsid w:val="00D57281"/>
    <w:rsid w:val="00D65967"/>
    <w:rsid w:val="00D71920"/>
    <w:rsid w:val="00D732AF"/>
    <w:rsid w:val="00D777F1"/>
    <w:rsid w:val="00D81536"/>
    <w:rsid w:val="00D8185B"/>
    <w:rsid w:val="00D83A76"/>
    <w:rsid w:val="00D86EF6"/>
    <w:rsid w:val="00D969A3"/>
    <w:rsid w:val="00DB6895"/>
    <w:rsid w:val="00DC6A82"/>
    <w:rsid w:val="00DC7AB8"/>
    <w:rsid w:val="00DD180D"/>
    <w:rsid w:val="00DD525D"/>
    <w:rsid w:val="00DD5508"/>
    <w:rsid w:val="00DD7321"/>
    <w:rsid w:val="00DE0E0D"/>
    <w:rsid w:val="00DE5E63"/>
    <w:rsid w:val="00DE675A"/>
    <w:rsid w:val="00E35DF1"/>
    <w:rsid w:val="00E375E1"/>
    <w:rsid w:val="00E40A3B"/>
    <w:rsid w:val="00E431DF"/>
    <w:rsid w:val="00E54657"/>
    <w:rsid w:val="00E606DE"/>
    <w:rsid w:val="00E6335F"/>
    <w:rsid w:val="00E6697F"/>
    <w:rsid w:val="00E74681"/>
    <w:rsid w:val="00E77CF4"/>
    <w:rsid w:val="00E8042B"/>
    <w:rsid w:val="00E820A0"/>
    <w:rsid w:val="00E9496E"/>
    <w:rsid w:val="00E95E2C"/>
    <w:rsid w:val="00E96765"/>
    <w:rsid w:val="00E97D09"/>
    <w:rsid w:val="00EA009B"/>
    <w:rsid w:val="00EA0937"/>
    <w:rsid w:val="00EA7723"/>
    <w:rsid w:val="00EB17F3"/>
    <w:rsid w:val="00EB28CA"/>
    <w:rsid w:val="00EB57D6"/>
    <w:rsid w:val="00EC5445"/>
    <w:rsid w:val="00ED6CDF"/>
    <w:rsid w:val="00EE1688"/>
    <w:rsid w:val="00EE23CC"/>
    <w:rsid w:val="00EF36D5"/>
    <w:rsid w:val="00EF3F63"/>
    <w:rsid w:val="00EF4C13"/>
    <w:rsid w:val="00EF6EEB"/>
    <w:rsid w:val="00F072C2"/>
    <w:rsid w:val="00F1066F"/>
    <w:rsid w:val="00F15AC3"/>
    <w:rsid w:val="00F21207"/>
    <w:rsid w:val="00F37240"/>
    <w:rsid w:val="00F5110A"/>
    <w:rsid w:val="00F52FF2"/>
    <w:rsid w:val="00F53FD4"/>
    <w:rsid w:val="00F56BEA"/>
    <w:rsid w:val="00F64661"/>
    <w:rsid w:val="00F72D89"/>
    <w:rsid w:val="00F74F31"/>
    <w:rsid w:val="00F95FE2"/>
    <w:rsid w:val="00FA0D4F"/>
    <w:rsid w:val="00FA3C12"/>
    <w:rsid w:val="00FB02D1"/>
    <w:rsid w:val="00FB3A1E"/>
    <w:rsid w:val="00FB6647"/>
    <w:rsid w:val="00FD3F1A"/>
    <w:rsid w:val="00FD442A"/>
    <w:rsid w:val="00FD59D5"/>
    <w:rsid w:val="00FD6406"/>
    <w:rsid w:val="00FE5FE9"/>
    <w:rsid w:val="00FE7C3E"/>
    <w:rsid w:val="00FF0F02"/>
    <w:rsid w:val="00FF5ACA"/>
    <w:rsid w:val="00FF6FEC"/>
    <w:rsid w:val="013F4183"/>
    <w:rsid w:val="01C85D65"/>
    <w:rsid w:val="02290253"/>
    <w:rsid w:val="023C4E17"/>
    <w:rsid w:val="025263E9"/>
    <w:rsid w:val="025B2DC4"/>
    <w:rsid w:val="038755DF"/>
    <w:rsid w:val="03AD58A1"/>
    <w:rsid w:val="03C874C4"/>
    <w:rsid w:val="040522EB"/>
    <w:rsid w:val="042E26EB"/>
    <w:rsid w:val="043770CF"/>
    <w:rsid w:val="044C6E68"/>
    <w:rsid w:val="049B7589"/>
    <w:rsid w:val="04AA38CE"/>
    <w:rsid w:val="04DD5D12"/>
    <w:rsid w:val="04E83035"/>
    <w:rsid w:val="05465FAD"/>
    <w:rsid w:val="05B05AE3"/>
    <w:rsid w:val="05BE78F1"/>
    <w:rsid w:val="06454E8D"/>
    <w:rsid w:val="06844DBE"/>
    <w:rsid w:val="06AE7ADB"/>
    <w:rsid w:val="06B56F46"/>
    <w:rsid w:val="071E0E7E"/>
    <w:rsid w:val="0725050E"/>
    <w:rsid w:val="07302A71"/>
    <w:rsid w:val="078F59E9"/>
    <w:rsid w:val="07CD5F62"/>
    <w:rsid w:val="08734D3B"/>
    <w:rsid w:val="08B56357"/>
    <w:rsid w:val="08BB636A"/>
    <w:rsid w:val="093920B1"/>
    <w:rsid w:val="095116A4"/>
    <w:rsid w:val="09717ADB"/>
    <w:rsid w:val="09720B95"/>
    <w:rsid w:val="09AF4121"/>
    <w:rsid w:val="09DD1183"/>
    <w:rsid w:val="0A233FBE"/>
    <w:rsid w:val="0A5A41CA"/>
    <w:rsid w:val="0A735943"/>
    <w:rsid w:val="0A866BA0"/>
    <w:rsid w:val="0AAD755F"/>
    <w:rsid w:val="0AAE262A"/>
    <w:rsid w:val="0AB77B2B"/>
    <w:rsid w:val="0ACF70BC"/>
    <w:rsid w:val="0B0028BD"/>
    <w:rsid w:val="0B350D3C"/>
    <w:rsid w:val="0B5320BF"/>
    <w:rsid w:val="0B95312F"/>
    <w:rsid w:val="0BA73BFE"/>
    <w:rsid w:val="0BB73467"/>
    <w:rsid w:val="0BCA3379"/>
    <w:rsid w:val="0BE67BA2"/>
    <w:rsid w:val="0BFB189F"/>
    <w:rsid w:val="0C354F2B"/>
    <w:rsid w:val="0C3C5A14"/>
    <w:rsid w:val="0C5B519B"/>
    <w:rsid w:val="0C601702"/>
    <w:rsid w:val="0C670A18"/>
    <w:rsid w:val="0C6E2C7C"/>
    <w:rsid w:val="0C7E5622"/>
    <w:rsid w:val="0C97102C"/>
    <w:rsid w:val="0C9870EE"/>
    <w:rsid w:val="0CCD0C4F"/>
    <w:rsid w:val="0CE246C6"/>
    <w:rsid w:val="0D1A078A"/>
    <w:rsid w:val="0E1A1D85"/>
    <w:rsid w:val="0EA11202"/>
    <w:rsid w:val="0EA61E94"/>
    <w:rsid w:val="0EBA3EC5"/>
    <w:rsid w:val="0EC817E1"/>
    <w:rsid w:val="0EC870E3"/>
    <w:rsid w:val="0EEA1757"/>
    <w:rsid w:val="0F0F77CA"/>
    <w:rsid w:val="0F5558E9"/>
    <w:rsid w:val="0F6B4E68"/>
    <w:rsid w:val="0FC91CB4"/>
    <w:rsid w:val="0FD2114B"/>
    <w:rsid w:val="0FD35405"/>
    <w:rsid w:val="104D76E4"/>
    <w:rsid w:val="106A1193"/>
    <w:rsid w:val="11382C4E"/>
    <w:rsid w:val="11B11FA9"/>
    <w:rsid w:val="11CB1B3C"/>
    <w:rsid w:val="122907E8"/>
    <w:rsid w:val="124E182B"/>
    <w:rsid w:val="12843C71"/>
    <w:rsid w:val="12E003E4"/>
    <w:rsid w:val="12E16442"/>
    <w:rsid w:val="13076D7C"/>
    <w:rsid w:val="13175CC4"/>
    <w:rsid w:val="1367270D"/>
    <w:rsid w:val="13C407C9"/>
    <w:rsid w:val="13D442BA"/>
    <w:rsid w:val="14092680"/>
    <w:rsid w:val="143878AD"/>
    <w:rsid w:val="14644184"/>
    <w:rsid w:val="14847F58"/>
    <w:rsid w:val="14D40EDF"/>
    <w:rsid w:val="14E950DD"/>
    <w:rsid w:val="14EB7FD7"/>
    <w:rsid w:val="151B6249"/>
    <w:rsid w:val="15653BDA"/>
    <w:rsid w:val="158278D5"/>
    <w:rsid w:val="15A13EC5"/>
    <w:rsid w:val="15EB10C1"/>
    <w:rsid w:val="160B2299"/>
    <w:rsid w:val="16110D31"/>
    <w:rsid w:val="16551BAC"/>
    <w:rsid w:val="1697538F"/>
    <w:rsid w:val="16D73E12"/>
    <w:rsid w:val="17233A58"/>
    <w:rsid w:val="173043C7"/>
    <w:rsid w:val="173B4FB6"/>
    <w:rsid w:val="178E2610"/>
    <w:rsid w:val="17B429B6"/>
    <w:rsid w:val="17B53D39"/>
    <w:rsid w:val="17B85EC0"/>
    <w:rsid w:val="17BD3867"/>
    <w:rsid w:val="18060020"/>
    <w:rsid w:val="18067577"/>
    <w:rsid w:val="18426674"/>
    <w:rsid w:val="18506ACF"/>
    <w:rsid w:val="18714C97"/>
    <w:rsid w:val="18951A4B"/>
    <w:rsid w:val="18997F65"/>
    <w:rsid w:val="18B8105B"/>
    <w:rsid w:val="18D303A9"/>
    <w:rsid w:val="18D632A0"/>
    <w:rsid w:val="190478B9"/>
    <w:rsid w:val="1954601C"/>
    <w:rsid w:val="199944A6"/>
    <w:rsid w:val="19A753EF"/>
    <w:rsid w:val="19D31B96"/>
    <w:rsid w:val="1A0D459C"/>
    <w:rsid w:val="1A350AAF"/>
    <w:rsid w:val="1A382DB8"/>
    <w:rsid w:val="1A703458"/>
    <w:rsid w:val="1B3D6144"/>
    <w:rsid w:val="1B5A0944"/>
    <w:rsid w:val="1B8B42C2"/>
    <w:rsid w:val="1B9969DF"/>
    <w:rsid w:val="1BC37DFF"/>
    <w:rsid w:val="1BE52567"/>
    <w:rsid w:val="1BE835D7"/>
    <w:rsid w:val="1C0D453A"/>
    <w:rsid w:val="1C27223D"/>
    <w:rsid w:val="1C6E5745"/>
    <w:rsid w:val="1C7D5357"/>
    <w:rsid w:val="1C93632D"/>
    <w:rsid w:val="1CB533A4"/>
    <w:rsid w:val="1CE63200"/>
    <w:rsid w:val="1CED3D81"/>
    <w:rsid w:val="1CF530E3"/>
    <w:rsid w:val="1DCD1CD1"/>
    <w:rsid w:val="1E407CEF"/>
    <w:rsid w:val="1E4D5AA1"/>
    <w:rsid w:val="1E672014"/>
    <w:rsid w:val="1E7E509B"/>
    <w:rsid w:val="1EE03E1D"/>
    <w:rsid w:val="1F511160"/>
    <w:rsid w:val="1FC03AE4"/>
    <w:rsid w:val="1FF66B73"/>
    <w:rsid w:val="201F1A70"/>
    <w:rsid w:val="202B1BD0"/>
    <w:rsid w:val="203B579E"/>
    <w:rsid w:val="20464585"/>
    <w:rsid w:val="20C11A4B"/>
    <w:rsid w:val="20DD3140"/>
    <w:rsid w:val="20E83E89"/>
    <w:rsid w:val="210E5779"/>
    <w:rsid w:val="219358D6"/>
    <w:rsid w:val="21AB43B7"/>
    <w:rsid w:val="21B43E17"/>
    <w:rsid w:val="21EC60DB"/>
    <w:rsid w:val="22AC349C"/>
    <w:rsid w:val="22C265B2"/>
    <w:rsid w:val="22D138CC"/>
    <w:rsid w:val="22D569A0"/>
    <w:rsid w:val="22DE117B"/>
    <w:rsid w:val="22F72B6B"/>
    <w:rsid w:val="23056708"/>
    <w:rsid w:val="23077684"/>
    <w:rsid w:val="23605A82"/>
    <w:rsid w:val="23D50F7B"/>
    <w:rsid w:val="243F6582"/>
    <w:rsid w:val="245B3C6C"/>
    <w:rsid w:val="25137802"/>
    <w:rsid w:val="251F3A9E"/>
    <w:rsid w:val="255E166A"/>
    <w:rsid w:val="25973C49"/>
    <w:rsid w:val="259D0E7A"/>
    <w:rsid w:val="25FC3DF2"/>
    <w:rsid w:val="263059B9"/>
    <w:rsid w:val="267C4F25"/>
    <w:rsid w:val="2684437C"/>
    <w:rsid w:val="26924756"/>
    <w:rsid w:val="26A61FB0"/>
    <w:rsid w:val="26C012C4"/>
    <w:rsid w:val="26C37F72"/>
    <w:rsid w:val="26EB1EFE"/>
    <w:rsid w:val="27221F7E"/>
    <w:rsid w:val="274D4BC9"/>
    <w:rsid w:val="275763AD"/>
    <w:rsid w:val="27846795"/>
    <w:rsid w:val="27C178BD"/>
    <w:rsid w:val="28331A56"/>
    <w:rsid w:val="2868335E"/>
    <w:rsid w:val="28A01F9F"/>
    <w:rsid w:val="2923075A"/>
    <w:rsid w:val="2939535D"/>
    <w:rsid w:val="294320F2"/>
    <w:rsid w:val="295C7458"/>
    <w:rsid w:val="299821E2"/>
    <w:rsid w:val="2A3F5D40"/>
    <w:rsid w:val="2A421A2A"/>
    <w:rsid w:val="2A9A1E2C"/>
    <w:rsid w:val="2B2835CE"/>
    <w:rsid w:val="2BB539CA"/>
    <w:rsid w:val="2C006A18"/>
    <w:rsid w:val="2C26606D"/>
    <w:rsid w:val="2C59790C"/>
    <w:rsid w:val="2C815931"/>
    <w:rsid w:val="2CA220C6"/>
    <w:rsid w:val="2CCF04B2"/>
    <w:rsid w:val="2CE1214B"/>
    <w:rsid w:val="2D031F0A"/>
    <w:rsid w:val="2D1A479B"/>
    <w:rsid w:val="2DC41EB4"/>
    <w:rsid w:val="2EA03B36"/>
    <w:rsid w:val="2F0C4ABE"/>
    <w:rsid w:val="2FB87165"/>
    <w:rsid w:val="2FE75B13"/>
    <w:rsid w:val="2FFC69A5"/>
    <w:rsid w:val="30134B5A"/>
    <w:rsid w:val="30466CDD"/>
    <w:rsid w:val="30866E99"/>
    <w:rsid w:val="308772AD"/>
    <w:rsid w:val="308A70BF"/>
    <w:rsid w:val="30A07E54"/>
    <w:rsid w:val="30A8287F"/>
    <w:rsid w:val="30EE0170"/>
    <w:rsid w:val="31185680"/>
    <w:rsid w:val="319770C5"/>
    <w:rsid w:val="31A33CBC"/>
    <w:rsid w:val="31C334E4"/>
    <w:rsid w:val="31ED2BE1"/>
    <w:rsid w:val="32207ABE"/>
    <w:rsid w:val="3222569A"/>
    <w:rsid w:val="323C72FE"/>
    <w:rsid w:val="3253071D"/>
    <w:rsid w:val="32A73338"/>
    <w:rsid w:val="32AD51A6"/>
    <w:rsid w:val="32F26CA9"/>
    <w:rsid w:val="33092244"/>
    <w:rsid w:val="33B71CA0"/>
    <w:rsid w:val="33C85C5B"/>
    <w:rsid w:val="33CB12A8"/>
    <w:rsid w:val="33FB393B"/>
    <w:rsid w:val="34207846"/>
    <w:rsid w:val="345F6B7A"/>
    <w:rsid w:val="348C7AC7"/>
    <w:rsid w:val="348F6779"/>
    <w:rsid w:val="351936C7"/>
    <w:rsid w:val="352670DE"/>
    <w:rsid w:val="3573471F"/>
    <w:rsid w:val="35C10BB4"/>
    <w:rsid w:val="366A3A67"/>
    <w:rsid w:val="36856700"/>
    <w:rsid w:val="36CE6005"/>
    <w:rsid w:val="370B27C8"/>
    <w:rsid w:val="370B49E1"/>
    <w:rsid w:val="373873CF"/>
    <w:rsid w:val="37541ADF"/>
    <w:rsid w:val="377D0B0B"/>
    <w:rsid w:val="37C11C43"/>
    <w:rsid w:val="38360444"/>
    <w:rsid w:val="38A7646A"/>
    <w:rsid w:val="38C537E4"/>
    <w:rsid w:val="38EB12C3"/>
    <w:rsid w:val="39500E6A"/>
    <w:rsid w:val="3951224F"/>
    <w:rsid w:val="395F0B7B"/>
    <w:rsid w:val="39A843DF"/>
    <w:rsid w:val="39BE6310"/>
    <w:rsid w:val="39CD5D7A"/>
    <w:rsid w:val="39D30EB6"/>
    <w:rsid w:val="39D409FD"/>
    <w:rsid w:val="39EF4699"/>
    <w:rsid w:val="3A6366DE"/>
    <w:rsid w:val="3A655FB2"/>
    <w:rsid w:val="3AE25226"/>
    <w:rsid w:val="3B4B4DCE"/>
    <w:rsid w:val="3B8B1C35"/>
    <w:rsid w:val="3B986F4A"/>
    <w:rsid w:val="3BD05BCD"/>
    <w:rsid w:val="3C0C7A38"/>
    <w:rsid w:val="3C0F2264"/>
    <w:rsid w:val="3C642299"/>
    <w:rsid w:val="3C706E90"/>
    <w:rsid w:val="3C941FF2"/>
    <w:rsid w:val="3D002CB8"/>
    <w:rsid w:val="3D022611"/>
    <w:rsid w:val="3D2B0DA7"/>
    <w:rsid w:val="3D477BF1"/>
    <w:rsid w:val="3D661F7E"/>
    <w:rsid w:val="3D680C3D"/>
    <w:rsid w:val="3D862391"/>
    <w:rsid w:val="3DB0162A"/>
    <w:rsid w:val="3DE04D2F"/>
    <w:rsid w:val="3DED66E2"/>
    <w:rsid w:val="3E111FAD"/>
    <w:rsid w:val="3E173A67"/>
    <w:rsid w:val="3E3F4D6C"/>
    <w:rsid w:val="3E5A656F"/>
    <w:rsid w:val="3E9B6FAC"/>
    <w:rsid w:val="3EE80F60"/>
    <w:rsid w:val="3EF31B01"/>
    <w:rsid w:val="3F42403B"/>
    <w:rsid w:val="3F675720"/>
    <w:rsid w:val="3F725A85"/>
    <w:rsid w:val="3FA11997"/>
    <w:rsid w:val="3FA9754F"/>
    <w:rsid w:val="3FE51199"/>
    <w:rsid w:val="3FEC2BC3"/>
    <w:rsid w:val="41016AB0"/>
    <w:rsid w:val="41091CFF"/>
    <w:rsid w:val="4159263F"/>
    <w:rsid w:val="41B125BB"/>
    <w:rsid w:val="41FB2144"/>
    <w:rsid w:val="42002A64"/>
    <w:rsid w:val="428B1338"/>
    <w:rsid w:val="42EB7271"/>
    <w:rsid w:val="436F7EA2"/>
    <w:rsid w:val="439C7001"/>
    <w:rsid w:val="43A713E9"/>
    <w:rsid w:val="43E964A0"/>
    <w:rsid w:val="44193AC4"/>
    <w:rsid w:val="445175A7"/>
    <w:rsid w:val="445F7F16"/>
    <w:rsid w:val="44A8366B"/>
    <w:rsid w:val="44CA4BFA"/>
    <w:rsid w:val="450B3BFA"/>
    <w:rsid w:val="451F4ABA"/>
    <w:rsid w:val="45813EBC"/>
    <w:rsid w:val="45886FF9"/>
    <w:rsid w:val="45920AF2"/>
    <w:rsid w:val="45967968"/>
    <w:rsid w:val="45B147A1"/>
    <w:rsid w:val="46253B7E"/>
    <w:rsid w:val="462F6103"/>
    <w:rsid w:val="46420213"/>
    <w:rsid w:val="464E3D9E"/>
    <w:rsid w:val="469C5C39"/>
    <w:rsid w:val="47094169"/>
    <w:rsid w:val="475E0A4F"/>
    <w:rsid w:val="478478F8"/>
    <w:rsid w:val="478832E0"/>
    <w:rsid w:val="47BF4CA2"/>
    <w:rsid w:val="47C85937"/>
    <w:rsid w:val="48217291"/>
    <w:rsid w:val="48273688"/>
    <w:rsid w:val="482C6841"/>
    <w:rsid w:val="48684670"/>
    <w:rsid w:val="48825F81"/>
    <w:rsid w:val="488C3671"/>
    <w:rsid w:val="48F87206"/>
    <w:rsid w:val="49156DF5"/>
    <w:rsid w:val="497605D5"/>
    <w:rsid w:val="49906437"/>
    <w:rsid w:val="49AD38FD"/>
    <w:rsid w:val="49C13AD3"/>
    <w:rsid w:val="49E03995"/>
    <w:rsid w:val="49F650E8"/>
    <w:rsid w:val="49F96717"/>
    <w:rsid w:val="4A031344"/>
    <w:rsid w:val="4A266DE0"/>
    <w:rsid w:val="4BD621BA"/>
    <w:rsid w:val="4C5B7215"/>
    <w:rsid w:val="4C6D519A"/>
    <w:rsid w:val="4C934C01"/>
    <w:rsid w:val="4CB73D90"/>
    <w:rsid w:val="4CF72150"/>
    <w:rsid w:val="4D3C56E0"/>
    <w:rsid w:val="4D810440"/>
    <w:rsid w:val="4D9A22EA"/>
    <w:rsid w:val="4DB7491F"/>
    <w:rsid w:val="4DF551E8"/>
    <w:rsid w:val="4EB62F39"/>
    <w:rsid w:val="4EDE5EDB"/>
    <w:rsid w:val="4EE81A44"/>
    <w:rsid w:val="4F192ACE"/>
    <w:rsid w:val="4F381A8F"/>
    <w:rsid w:val="4F8343BC"/>
    <w:rsid w:val="4FAA2D7A"/>
    <w:rsid w:val="4FAB707E"/>
    <w:rsid w:val="4FAE3B00"/>
    <w:rsid w:val="4FE50AD3"/>
    <w:rsid w:val="50236B06"/>
    <w:rsid w:val="503D159E"/>
    <w:rsid w:val="508E5E86"/>
    <w:rsid w:val="50E33C5A"/>
    <w:rsid w:val="50FB1D5E"/>
    <w:rsid w:val="51906ECE"/>
    <w:rsid w:val="51B64EEE"/>
    <w:rsid w:val="52210B4A"/>
    <w:rsid w:val="52C471CB"/>
    <w:rsid w:val="52C93ED9"/>
    <w:rsid w:val="52FF7776"/>
    <w:rsid w:val="53007988"/>
    <w:rsid w:val="53487DC7"/>
    <w:rsid w:val="535D7D17"/>
    <w:rsid w:val="53702FD3"/>
    <w:rsid w:val="53762B86"/>
    <w:rsid w:val="539614EC"/>
    <w:rsid w:val="53EE0A95"/>
    <w:rsid w:val="5425031B"/>
    <w:rsid w:val="54492650"/>
    <w:rsid w:val="544A4B78"/>
    <w:rsid w:val="54721636"/>
    <w:rsid w:val="549445ED"/>
    <w:rsid w:val="54E80B69"/>
    <w:rsid w:val="550435DE"/>
    <w:rsid w:val="550C0EF5"/>
    <w:rsid w:val="553B384A"/>
    <w:rsid w:val="554027C6"/>
    <w:rsid w:val="558C61FC"/>
    <w:rsid w:val="55F66ACA"/>
    <w:rsid w:val="56761DE9"/>
    <w:rsid w:val="572C012C"/>
    <w:rsid w:val="59387A7E"/>
    <w:rsid w:val="59462FFB"/>
    <w:rsid w:val="59692354"/>
    <w:rsid w:val="59A33FA9"/>
    <w:rsid w:val="59A4671D"/>
    <w:rsid w:val="59BD3249"/>
    <w:rsid w:val="59D44365"/>
    <w:rsid w:val="59DC0BCE"/>
    <w:rsid w:val="5A2C0443"/>
    <w:rsid w:val="5A494B51"/>
    <w:rsid w:val="5A6951F3"/>
    <w:rsid w:val="5AB15CFD"/>
    <w:rsid w:val="5ACD5802"/>
    <w:rsid w:val="5AF251E8"/>
    <w:rsid w:val="5B2071CB"/>
    <w:rsid w:val="5B6854AA"/>
    <w:rsid w:val="5B940215"/>
    <w:rsid w:val="5BA81D4B"/>
    <w:rsid w:val="5BA90359"/>
    <w:rsid w:val="5BB760A5"/>
    <w:rsid w:val="5BED775E"/>
    <w:rsid w:val="5C386A82"/>
    <w:rsid w:val="5C3D21D9"/>
    <w:rsid w:val="5C412E25"/>
    <w:rsid w:val="5C5A5991"/>
    <w:rsid w:val="5C7D4C93"/>
    <w:rsid w:val="5C8167D8"/>
    <w:rsid w:val="5CCE3A33"/>
    <w:rsid w:val="5CD86660"/>
    <w:rsid w:val="5D070A87"/>
    <w:rsid w:val="5D817997"/>
    <w:rsid w:val="5DAB167E"/>
    <w:rsid w:val="5DD462AE"/>
    <w:rsid w:val="5DFE6F3B"/>
    <w:rsid w:val="5E491923"/>
    <w:rsid w:val="5E7149D8"/>
    <w:rsid w:val="5EF162B2"/>
    <w:rsid w:val="5F7672EE"/>
    <w:rsid w:val="5F85487D"/>
    <w:rsid w:val="5FA02048"/>
    <w:rsid w:val="5FAF32F9"/>
    <w:rsid w:val="60426EC2"/>
    <w:rsid w:val="604F6C39"/>
    <w:rsid w:val="605F58C8"/>
    <w:rsid w:val="606800CD"/>
    <w:rsid w:val="607273B6"/>
    <w:rsid w:val="60767D50"/>
    <w:rsid w:val="60E67315"/>
    <w:rsid w:val="60EB5C13"/>
    <w:rsid w:val="61963FB3"/>
    <w:rsid w:val="619C7C5C"/>
    <w:rsid w:val="61A66172"/>
    <w:rsid w:val="61CD1F3C"/>
    <w:rsid w:val="61DC274E"/>
    <w:rsid w:val="61FF459E"/>
    <w:rsid w:val="625B620F"/>
    <w:rsid w:val="62776161"/>
    <w:rsid w:val="629A408B"/>
    <w:rsid w:val="62E57B2A"/>
    <w:rsid w:val="632D72AE"/>
    <w:rsid w:val="63443004"/>
    <w:rsid w:val="636B182C"/>
    <w:rsid w:val="63A8314E"/>
    <w:rsid w:val="642C65A6"/>
    <w:rsid w:val="64393D7D"/>
    <w:rsid w:val="648438B3"/>
    <w:rsid w:val="648A6F00"/>
    <w:rsid w:val="64C056AD"/>
    <w:rsid w:val="64C574CA"/>
    <w:rsid w:val="64FA7C33"/>
    <w:rsid w:val="65037FF2"/>
    <w:rsid w:val="651E6BDA"/>
    <w:rsid w:val="651E7FAD"/>
    <w:rsid w:val="652502F0"/>
    <w:rsid w:val="656E3179"/>
    <w:rsid w:val="6640264D"/>
    <w:rsid w:val="66453A5D"/>
    <w:rsid w:val="6678672C"/>
    <w:rsid w:val="66A3383B"/>
    <w:rsid w:val="66CE4802"/>
    <w:rsid w:val="67127C7D"/>
    <w:rsid w:val="67184229"/>
    <w:rsid w:val="67206C39"/>
    <w:rsid w:val="673C5E50"/>
    <w:rsid w:val="67776314"/>
    <w:rsid w:val="678109A4"/>
    <w:rsid w:val="678673E4"/>
    <w:rsid w:val="67973525"/>
    <w:rsid w:val="679B09B6"/>
    <w:rsid w:val="67C9069F"/>
    <w:rsid w:val="67D0065F"/>
    <w:rsid w:val="67ED117D"/>
    <w:rsid w:val="685E3EBD"/>
    <w:rsid w:val="68D45F2D"/>
    <w:rsid w:val="68E04B7D"/>
    <w:rsid w:val="68E0603A"/>
    <w:rsid w:val="68E800F8"/>
    <w:rsid w:val="690829B6"/>
    <w:rsid w:val="69460523"/>
    <w:rsid w:val="69554BC0"/>
    <w:rsid w:val="69590607"/>
    <w:rsid w:val="698B1703"/>
    <w:rsid w:val="699A7177"/>
    <w:rsid w:val="69D83FF3"/>
    <w:rsid w:val="69DE136E"/>
    <w:rsid w:val="6A132A85"/>
    <w:rsid w:val="6A1C126B"/>
    <w:rsid w:val="6A421F45"/>
    <w:rsid w:val="6A531ADF"/>
    <w:rsid w:val="6A5803A9"/>
    <w:rsid w:val="6AD36AFF"/>
    <w:rsid w:val="6AE23558"/>
    <w:rsid w:val="6AEA32BC"/>
    <w:rsid w:val="6AF90A50"/>
    <w:rsid w:val="6B0A3E88"/>
    <w:rsid w:val="6B0F6ED9"/>
    <w:rsid w:val="6B1918B6"/>
    <w:rsid w:val="6B233C48"/>
    <w:rsid w:val="6B3715F5"/>
    <w:rsid w:val="6B7430FE"/>
    <w:rsid w:val="6B753F21"/>
    <w:rsid w:val="6B797260"/>
    <w:rsid w:val="6B827EC3"/>
    <w:rsid w:val="6CB542C8"/>
    <w:rsid w:val="6D0240E7"/>
    <w:rsid w:val="6D0B1173"/>
    <w:rsid w:val="6DE456D2"/>
    <w:rsid w:val="6DFB3F5C"/>
    <w:rsid w:val="6E14255E"/>
    <w:rsid w:val="6E2C2AE7"/>
    <w:rsid w:val="6E706ED7"/>
    <w:rsid w:val="6E8201DA"/>
    <w:rsid w:val="6E8D516C"/>
    <w:rsid w:val="6ED24CBD"/>
    <w:rsid w:val="6F806E0F"/>
    <w:rsid w:val="6F81714C"/>
    <w:rsid w:val="6FE75546"/>
    <w:rsid w:val="70FE623D"/>
    <w:rsid w:val="71BB3A25"/>
    <w:rsid w:val="71BD0CF6"/>
    <w:rsid w:val="71C96BFB"/>
    <w:rsid w:val="71D473EF"/>
    <w:rsid w:val="71E35433"/>
    <w:rsid w:val="72345C8F"/>
    <w:rsid w:val="72F75B5D"/>
    <w:rsid w:val="73396EC9"/>
    <w:rsid w:val="735803E4"/>
    <w:rsid w:val="735B0C3A"/>
    <w:rsid w:val="73610E76"/>
    <w:rsid w:val="73C36379"/>
    <w:rsid w:val="73CC2623"/>
    <w:rsid w:val="73D25173"/>
    <w:rsid w:val="73D27484"/>
    <w:rsid w:val="73E21E46"/>
    <w:rsid w:val="74054476"/>
    <w:rsid w:val="7416564C"/>
    <w:rsid w:val="741B2E6E"/>
    <w:rsid w:val="74534249"/>
    <w:rsid w:val="74734E98"/>
    <w:rsid w:val="748D30FC"/>
    <w:rsid w:val="74CB0557"/>
    <w:rsid w:val="751002ED"/>
    <w:rsid w:val="757A1C0A"/>
    <w:rsid w:val="759D2F10"/>
    <w:rsid w:val="75EA6D90"/>
    <w:rsid w:val="75F23E97"/>
    <w:rsid w:val="76D12FD3"/>
    <w:rsid w:val="773874B1"/>
    <w:rsid w:val="77870DF7"/>
    <w:rsid w:val="77DB7A8E"/>
    <w:rsid w:val="77F86D6D"/>
    <w:rsid w:val="781C344D"/>
    <w:rsid w:val="7843427F"/>
    <w:rsid w:val="788A6608"/>
    <w:rsid w:val="78CB4186"/>
    <w:rsid w:val="78D81D52"/>
    <w:rsid w:val="799D1612"/>
    <w:rsid w:val="79E920C0"/>
    <w:rsid w:val="7A317E88"/>
    <w:rsid w:val="7A4822D7"/>
    <w:rsid w:val="7AA137B0"/>
    <w:rsid w:val="7AAA11E4"/>
    <w:rsid w:val="7ADB75EF"/>
    <w:rsid w:val="7ADF2D25"/>
    <w:rsid w:val="7AEB769F"/>
    <w:rsid w:val="7B053676"/>
    <w:rsid w:val="7B1072F5"/>
    <w:rsid w:val="7B191EC6"/>
    <w:rsid w:val="7B195679"/>
    <w:rsid w:val="7B531079"/>
    <w:rsid w:val="7B897830"/>
    <w:rsid w:val="7C0E7C95"/>
    <w:rsid w:val="7C1C3A1B"/>
    <w:rsid w:val="7C85533B"/>
    <w:rsid w:val="7C924EE2"/>
    <w:rsid w:val="7C947A56"/>
    <w:rsid w:val="7CC876FF"/>
    <w:rsid w:val="7CE03F6F"/>
    <w:rsid w:val="7D0F3580"/>
    <w:rsid w:val="7D114111"/>
    <w:rsid w:val="7D4C20DE"/>
    <w:rsid w:val="7D5016AE"/>
    <w:rsid w:val="7DB02960"/>
    <w:rsid w:val="7DFD38DF"/>
    <w:rsid w:val="7E2D3F5F"/>
    <w:rsid w:val="7E6D4779"/>
    <w:rsid w:val="7E7A4D36"/>
    <w:rsid w:val="7EC00FD6"/>
    <w:rsid w:val="7ED00AED"/>
    <w:rsid w:val="7EF46011"/>
    <w:rsid w:val="7F0B3D14"/>
    <w:rsid w:val="7F1946B2"/>
    <w:rsid w:val="7F5C05D3"/>
    <w:rsid w:val="7F686F78"/>
    <w:rsid w:val="7FB754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qFormat="1" w:unhideWhenUsed="0" w:uiPriority="0" w:semiHidden="0" w:name="toc 1"/>
    <w:lsdException w:qFormat="1" w:unhideWhenUsed="0" w:uiPriority="0"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50"/>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51"/>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52"/>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53"/>
    <w:qFormat/>
    <w:uiPriority w:val="0"/>
    <w:pPr>
      <w:keepNext/>
      <w:keepLines/>
      <w:spacing w:before="280" w:after="290" w:line="376" w:lineRule="auto"/>
      <w:outlineLvl w:val="4"/>
    </w:pPr>
    <w:rPr>
      <w:b/>
      <w:bCs/>
      <w:sz w:val="28"/>
      <w:szCs w:val="28"/>
    </w:rPr>
  </w:style>
  <w:style w:type="character" w:default="1" w:styleId="41">
    <w:name w:val="Default Paragraph Font"/>
    <w:qFormat/>
    <w:uiPriority w:val="0"/>
  </w:style>
  <w:style w:type="table" w:default="1" w:styleId="39">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jc w:val="left"/>
    </w:pPr>
    <w:rPr>
      <w:rFonts w:ascii="Calibri" w:hAnsi="Calibri"/>
      <w:sz w:val="22"/>
      <w:szCs w:val="22"/>
    </w:rPr>
  </w:style>
  <w:style w:type="paragraph" w:styleId="8">
    <w:name w:val="index 8"/>
    <w:basedOn w:val="1"/>
    <w:next w:val="1"/>
    <w:qFormat/>
    <w:uiPriority w:val="99"/>
    <w:pPr>
      <w:ind w:left="2940"/>
    </w:pPr>
    <w:rPr>
      <w:rFonts w:ascii="Calibri" w:hAnsi="Calibri"/>
    </w:rPr>
  </w:style>
  <w:style w:type="paragraph" w:styleId="9">
    <w:name w:val="Normal Indent"/>
    <w:basedOn w:val="1"/>
    <w:qFormat/>
    <w:uiPriority w:val="0"/>
    <w:pPr>
      <w:ind w:firstLine="420"/>
    </w:pPr>
    <w:rPr>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54"/>
    <w:qFormat/>
    <w:uiPriority w:val="0"/>
    <w:rPr>
      <w:rFonts w:ascii="宋体"/>
      <w:sz w:val="18"/>
      <w:szCs w:val="18"/>
    </w:rPr>
  </w:style>
  <w:style w:type="paragraph" w:styleId="12">
    <w:name w:val="annotation text"/>
    <w:basedOn w:val="1"/>
    <w:link w:val="55"/>
    <w:qFormat/>
    <w:uiPriority w:val="0"/>
    <w:pPr>
      <w:jc w:val="left"/>
    </w:pPr>
  </w:style>
  <w:style w:type="paragraph" w:styleId="13">
    <w:name w:val="Body Text 3"/>
    <w:basedOn w:val="1"/>
    <w:link w:val="56"/>
    <w:unhideWhenUsed/>
    <w:qFormat/>
    <w:uiPriority w:val="0"/>
    <w:pPr>
      <w:spacing w:after="120"/>
    </w:pPr>
    <w:rPr>
      <w:sz w:val="16"/>
      <w:szCs w:val="16"/>
    </w:rPr>
  </w:style>
  <w:style w:type="paragraph" w:styleId="14">
    <w:name w:val="Body Text"/>
    <w:basedOn w:val="1"/>
    <w:next w:val="1"/>
    <w:link w:val="48"/>
    <w:unhideWhenUsed/>
    <w:qFormat/>
    <w:uiPriority w:val="0"/>
    <w:pPr>
      <w:spacing w:after="120"/>
    </w:pPr>
  </w:style>
  <w:style w:type="paragraph" w:styleId="15">
    <w:name w:val="Body Text Indent"/>
    <w:basedOn w:val="1"/>
    <w:link w:val="57"/>
    <w:qFormat/>
    <w:uiPriority w:val="0"/>
    <w:pPr>
      <w:spacing w:line="200" w:lineRule="exact"/>
      <w:ind w:firstLine="301"/>
    </w:pPr>
    <w:rPr>
      <w:rFonts w:ascii="宋体" w:hAnsi="Courier New"/>
      <w:spacing w:val="-4"/>
      <w:sz w:val="18"/>
      <w:szCs w:val="20"/>
    </w:rPr>
  </w:style>
  <w:style w:type="paragraph" w:styleId="16">
    <w:name w:val="Block Text"/>
    <w:basedOn w:val="1"/>
    <w:qFormat/>
    <w:uiPriority w:val="99"/>
    <w:pPr>
      <w:ind w:left="1171" w:right="91" w:hanging="1080"/>
    </w:pPr>
    <w:rPr>
      <w:rFonts w:eastAsia="楷体_GB2312"/>
    </w:rPr>
  </w:style>
  <w:style w:type="paragraph" w:styleId="17">
    <w:name w:val="toc 5"/>
    <w:basedOn w:val="1"/>
    <w:next w:val="1"/>
    <w:unhideWhenUsed/>
    <w:qFormat/>
    <w:uiPriority w:val="39"/>
    <w:pPr>
      <w:jc w:val="left"/>
    </w:pPr>
    <w:rPr>
      <w:rFonts w:ascii="Calibri" w:hAnsi="Calibri"/>
      <w:sz w:val="22"/>
      <w:szCs w:val="22"/>
    </w:rPr>
  </w:style>
  <w:style w:type="paragraph" w:styleId="18">
    <w:name w:val="toc 3"/>
    <w:basedOn w:val="1"/>
    <w:next w:val="1"/>
    <w:unhideWhenUsed/>
    <w:qFormat/>
    <w:uiPriority w:val="0"/>
    <w:pPr>
      <w:jc w:val="left"/>
    </w:pPr>
    <w:rPr>
      <w:rFonts w:ascii="Calibri" w:hAnsi="Calibri"/>
      <w:smallCaps/>
      <w:sz w:val="22"/>
      <w:szCs w:val="22"/>
    </w:rPr>
  </w:style>
  <w:style w:type="paragraph" w:styleId="19">
    <w:name w:val="Plain Text"/>
    <w:basedOn w:val="1"/>
    <w:next w:val="1"/>
    <w:link w:val="58"/>
    <w:qFormat/>
    <w:uiPriority w:val="0"/>
    <w:rPr>
      <w:rFonts w:ascii="宋体" w:hAnsi="Courier New"/>
      <w:szCs w:val="20"/>
    </w:rPr>
  </w:style>
  <w:style w:type="paragraph" w:styleId="20">
    <w:name w:val="toc 8"/>
    <w:basedOn w:val="1"/>
    <w:next w:val="1"/>
    <w:unhideWhenUsed/>
    <w:qFormat/>
    <w:uiPriority w:val="39"/>
    <w:pPr>
      <w:jc w:val="left"/>
    </w:pPr>
    <w:rPr>
      <w:rFonts w:ascii="Calibri" w:hAnsi="Calibri"/>
      <w:sz w:val="22"/>
      <w:szCs w:val="22"/>
    </w:rPr>
  </w:style>
  <w:style w:type="paragraph" w:styleId="21">
    <w:name w:val="Date"/>
    <w:basedOn w:val="1"/>
    <w:next w:val="1"/>
    <w:link w:val="59"/>
    <w:qFormat/>
    <w:uiPriority w:val="0"/>
    <w:pPr>
      <w:ind w:left="100" w:leftChars="2500"/>
    </w:pPr>
  </w:style>
  <w:style w:type="paragraph" w:styleId="22">
    <w:name w:val="Body Text Indent 2"/>
    <w:basedOn w:val="1"/>
    <w:link w:val="60"/>
    <w:qFormat/>
    <w:uiPriority w:val="0"/>
    <w:pPr>
      <w:spacing w:after="120" w:afterLines="0" w:line="480" w:lineRule="auto"/>
      <w:ind w:left="420" w:leftChars="200"/>
    </w:pPr>
  </w:style>
  <w:style w:type="paragraph" w:styleId="23">
    <w:name w:val="Balloon Text"/>
    <w:basedOn w:val="1"/>
    <w:link w:val="61"/>
    <w:qFormat/>
    <w:uiPriority w:val="0"/>
    <w:rPr>
      <w:sz w:val="18"/>
      <w:szCs w:val="18"/>
    </w:rPr>
  </w:style>
  <w:style w:type="paragraph" w:styleId="24">
    <w:name w:val="footer"/>
    <w:basedOn w:val="1"/>
    <w:link w:val="62"/>
    <w:qFormat/>
    <w:uiPriority w:val="0"/>
    <w:pPr>
      <w:tabs>
        <w:tab w:val="center" w:pos="4153"/>
        <w:tab w:val="right" w:pos="8306"/>
      </w:tabs>
      <w:snapToGrid w:val="0"/>
      <w:jc w:val="left"/>
    </w:pPr>
    <w:rPr>
      <w:sz w:val="18"/>
      <w:szCs w:val="18"/>
    </w:rPr>
  </w:style>
  <w:style w:type="paragraph" w:styleId="25">
    <w:name w:val="header"/>
    <w:basedOn w:val="1"/>
    <w:next w:val="26"/>
    <w:link w:val="63"/>
    <w:qFormat/>
    <w:uiPriority w:val="0"/>
    <w:pPr>
      <w:pBdr>
        <w:bottom w:val="single" w:color="auto" w:sz="6" w:space="1"/>
      </w:pBdr>
      <w:tabs>
        <w:tab w:val="center" w:pos="4153"/>
        <w:tab w:val="right" w:pos="8306"/>
      </w:tabs>
      <w:snapToGrid w:val="0"/>
      <w:jc w:val="center"/>
    </w:pPr>
    <w:rPr>
      <w:sz w:val="18"/>
      <w:szCs w:val="18"/>
    </w:rPr>
  </w:style>
  <w:style w:type="paragraph" w:styleId="26">
    <w:name w:val="Normal (Web)"/>
    <w:basedOn w:val="1"/>
    <w:next w:val="1"/>
    <w:qFormat/>
    <w:uiPriority w:val="0"/>
    <w:rPr>
      <w:rFonts w:ascii="Calibri" w:hAnsi="Calibri"/>
      <w:sz w:val="24"/>
    </w:rPr>
  </w:style>
  <w:style w:type="paragraph" w:styleId="27">
    <w:name w:val="toc 1"/>
    <w:basedOn w:val="1"/>
    <w:next w:val="1"/>
    <w:qFormat/>
    <w:uiPriority w:val="0"/>
    <w:pPr>
      <w:spacing w:before="360" w:after="360"/>
      <w:jc w:val="left"/>
    </w:pPr>
    <w:rPr>
      <w:rFonts w:ascii="Calibri" w:hAnsi="Calibri"/>
      <w:b/>
      <w:bCs/>
      <w:caps/>
      <w:sz w:val="22"/>
      <w:szCs w:val="22"/>
      <w:u w:val="single"/>
    </w:rPr>
  </w:style>
  <w:style w:type="paragraph" w:styleId="28">
    <w:name w:val="toc 4"/>
    <w:basedOn w:val="1"/>
    <w:next w:val="1"/>
    <w:unhideWhenUsed/>
    <w:qFormat/>
    <w:uiPriority w:val="39"/>
    <w:pPr>
      <w:jc w:val="left"/>
    </w:pPr>
    <w:rPr>
      <w:rFonts w:ascii="Calibri" w:hAnsi="Calibri"/>
      <w:sz w:val="22"/>
      <w:szCs w:val="22"/>
    </w:rPr>
  </w:style>
  <w:style w:type="paragraph" w:styleId="29">
    <w:name w:val="List"/>
    <w:basedOn w:val="1"/>
    <w:qFormat/>
    <w:uiPriority w:val="0"/>
    <w:pPr>
      <w:ind w:left="200" w:hanging="200" w:hangingChars="200"/>
    </w:pPr>
    <w:rPr>
      <w:sz w:val="28"/>
    </w:rPr>
  </w:style>
  <w:style w:type="paragraph" w:styleId="30">
    <w:name w:val="toc 6"/>
    <w:basedOn w:val="1"/>
    <w:next w:val="1"/>
    <w:unhideWhenUsed/>
    <w:qFormat/>
    <w:uiPriority w:val="39"/>
    <w:pPr>
      <w:jc w:val="left"/>
    </w:pPr>
    <w:rPr>
      <w:rFonts w:ascii="Calibri" w:hAnsi="Calibri"/>
      <w:sz w:val="22"/>
      <w:szCs w:val="22"/>
    </w:rPr>
  </w:style>
  <w:style w:type="paragraph" w:styleId="31">
    <w:name w:val="Body Text Indent 3"/>
    <w:basedOn w:val="1"/>
    <w:qFormat/>
    <w:uiPriority w:val="0"/>
    <w:pPr>
      <w:spacing w:beforeLines="0" w:after="120"/>
      <w:ind w:left="420" w:leftChars="200"/>
    </w:pPr>
    <w:rPr>
      <w:rFonts w:hint="default"/>
      <w:sz w:val="16"/>
    </w:rPr>
  </w:style>
  <w:style w:type="paragraph" w:styleId="32">
    <w:name w:val="table of figures"/>
    <w:basedOn w:val="1"/>
    <w:next w:val="1"/>
    <w:unhideWhenUsed/>
    <w:qFormat/>
    <w:uiPriority w:val="0"/>
    <w:pPr>
      <w:ind w:left="200" w:leftChars="200" w:hanging="200" w:hangingChars="200"/>
    </w:pPr>
    <w:rPr>
      <w:sz w:val="28"/>
    </w:rPr>
  </w:style>
  <w:style w:type="paragraph" w:styleId="33">
    <w:name w:val="toc 2"/>
    <w:basedOn w:val="1"/>
    <w:next w:val="1"/>
    <w:qFormat/>
    <w:uiPriority w:val="0"/>
    <w:pPr>
      <w:jc w:val="left"/>
    </w:pPr>
    <w:rPr>
      <w:rFonts w:ascii="Calibri" w:hAnsi="Calibri"/>
      <w:b/>
      <w:bCs/>
      <w:smallCaps/>
      <w:sz w:val="22"/>
      <w:szCs w:val="22"/>
    </w:rPr>
  </w:style>
  <w:style w:type="paragraph" w:styleId="34">
    <w:name w:val="toc 9"/>
    <w:basedOn w:val="1"/>
    <w:next w:val="1"/>
    <w:unhideWhenUsed/>
    <w:qFormat/>
    <w:uiPriority w:val="0"/>
    <w:pPr>
      <w:jc w:val="left"/>
    </w:pPr>
    <w:rPr>
      <w:rFonts w:ascii="Calibri" w:hAnsi="Calibri"/>
      <w:sz w:val="22"/>
      <w:szCs w:val="22"/>
    </w:rPr>
  </w:style>
  <w:style w:type="paragraph" w:styleId="3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jc w:val="left"/>
    </w:pPr>
    <w:rPr>
      <w:rFonts w:hint="default" w:ascii="宋体" w:hAnsi="宋体" w:eastAsia="宋体"/>
      <w:kern w:val="0"/>
      <w:sz w:val="24"/>
    </w:rPr>
  </w:style>
  <w:style w:type="paragraph" w:styleId="36">
    <w:name w:val="Title"/>
    <w:basedOn w:val="1"/>
    <w:next w:val="1"/>
    <w:link w:val="64"/>
    <w:qFormat/>
    <w:uiPriority w:val="10"/>
    <w:pPr>
      <w:spacing w:before="240" w:after="60"/>
      <w:jc w:val="center"/>
      <w:outlineLvl w:val="0"/>
    </w:pPr>
    <w:rPr>
      <w:rFonts w:ascii="Cambria" w:hAnsi="Cambria"/>
      <w:b/>
      <w:bCs/>
      <w:sz w:val="32"/>
      <w:szCs w:val="32"/>
    </w:rPr>
  </w:style>
  <w:style w:type="paragraph" w:styleId="37">
    <w:name w:val="annotation subject"/>
    <w:basedOn w:val="12"/>
    <w:next w:val="12"/>
    <w:link w:val="65"/>
    <w:unhideWhenUsed/>
    <w:qFormat/>
    <w:uiPriority w:val="0"/>
    <w:rPr>
      <w:b/>
      <w:bCs/>
    </w:rPr>
  </w:style>
  <w:style w:type="paragraph" w:styleId="38">
    <w:name w:val="Body Text First Indent 2"/>
    <w:basedOn w:val="15"/>
    <w:link w:val="66"/>
    <w:qFormat/>
    <w:uiPriority w:val="0"/>
    <w:pPr>
      <w:ind w:firstLine="420" w:firstLineChars="200"/>
      <w:jc w:val="left"/>
    </w:pPr>
    <w:rPr>
      <w:rFonts w:hint="eastAsia" w:hAnsi="仿宋_GB2312" w:eastAsia="黑体"/>
      <w:sz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21"/>
      <w:szCs w:val="21"/>
    </w:rPr>
  </w:style>
  <w:style w:type="paragraph" w:customStyle="1" w:styleId="47">
    <w:name w:val="表格文字"/>
    <w:basedOn w:val="1"/>
    <w:next w:val="14"/>
    <w:qFormat/>
    <w:uiPriority w:val="0"/>
    <w:pPr>
      <w:adjustRightInd w:val="0"/>
      <w:spacing w:line="420" w:lineRule="atLeast"/>
      <w:jc w:val="left"/>
      <w:textAlignment w:val="baseline"/>
    </w:pPr>
    <w:rPr>
      <w:kern w:val="0"/>
    </w:rPr>
  </w:style>
  <w:style w:type="character" w:customStyle="1" w:styleId="48">
    <w:name w:val="正文文本 字符1"/>
    <w:link w:val="14"/>
    <w:qFormat/>
    <w:uiPriority w:val="0"/>
    <w:rPr>
      <w:kern w:val="2"/>
      <w:sz w:val="21"/>
      <w:szCs w:val="24"/>
    </w:rPr>
  </w:style>
  <w:style w:type="character" w:customStyle="1" w:styleId="49">
    <w:name w:val="标题 1 字符2"/>
    <w:link w:val="2"/>
    <w:qFormat/>
    <w:uiPriority w:val="0"/>
    <w:rPr>
      <w:b/>
      <w:bCs/>
      <w:kern w:val="44"/>
      <w:sz w:val="44"/>
      <w:szCs w:val="44"/>
    </w:rPr>
  </w:style>
  <w:style w:type="character" w:customStyle="1" w:styleId="50">
    <w:name w:val="标题 2 字符2"/>
    <w:link w:val="3"/>
    <w:qFormat/>
    <w:uiPriority w:val="0"/>
    <w:rPr>
      <w:rFonts w:ascii="Arial" w:hAnsi="Arial" w:eastAsia="黑体"/>
      <w:b/>
      <w:bCs/>
      <w:kern w:val="2"/>
      <w:sz w:val="32"/>
      <w:szCs w:val="32"/>
    </w:rPr>
  </w:style>
  <w:style w:type="character" w:customStyle="1" w:styleId="51">
    <w:name w:val="标题 3 字符2"/>
    <w:link w:val="4"/>
    <w:qFormat/>
    <w:uiPriority w:val="0"/>
    <w:rPr>
      <w:b/>
      <w:bCs/>
      <w:kern w:val="2"/>
      <w:sz w:val="32"/>
      <w:szCs w:val="32"/>
    </w:rPr>
  </w:style>
  <w:style w:type="character" w:customStyle="1" w:styleId="52">
    <w:name w:val="标题 4 字符2"/>
    <w:link w:val="5"/>
    <w:qFormat/>
    <w:uiPriority w:val="0"/>
    <w:rPr>
      <w:rFonts w:ascii="Arial" w:eastAsia="黑体"/>
      <w:sz w:val="28"/>
    </w:rPr>
  </w:style>
  <w:style w:type="character" w:customStyle="1" w:styleId="53">
    <w:name w:val="标题 5 字符2"/>
    <w:link w:val="6"/>
    <w:qFormat/>
    <w:uiPriority w:val="0"/>
    <w:rPr>
      <w:b/>
      <w:bCs/>
      <w:kern w:val="2"/>
      <w:sz w:val="28"/>
      <w:szCs w:val="28"/>
    </w:rPr>
  </w:style>
  <w:style w:type="character" w:customStyle="1" w:styleId="54">
    <w:name w:val="文档结构图 字符1"/>
    <w:link w:val="11"/>
    <w:qFormat/>
    <w:uiPriority w:val="0"/>
    <w:rPr>
      <w:rFonts w:ascii="宋体"/>
      <w:kern w:val="2"/>
      <w:sz w:val="18"/>
      <w:szCs w:val="18"/>
    </w:rPr>
  </w:style>
  <w:style w:type="character" w:customStyle="1" w:styleId="55">
    <w:name w:val="批注文字 字符2"/>
    <w:link w:val="12"/>
    <w:qFormat/>
    <w:uiPriority w:val="0"/>
    <w:rPr>
      <w:kern w:val="2"/>
      <w:sz w:val="21"/>
      <w:szCs w:val="24"/>
    </w:rPr>
  </w:style>
  <w:style w:type="character" w:customStyle="1" w:styleId="56">
    <w:name w:val="正文文本 3 字符1"/>
    <w:link w:val="13"/>
    <w:qFormat/>
    <w:uiPriority w:val="0"/>
    <w:rPr>
      <w:kern w:val="2"/>
      <w:sz w:val="16"/>
      <w:szCs w:val="16"/>
    </w:rPr>
  </w:style>
  <w:style w:type="character" w:customStyle="1" w:styleId="57">
    <w:name w:val="正文文本缩进 字符1"/>
    <w:link w:val="15"/>
    <w:qFormat/>
    <w:uiPriority w:val="0"/>
    <w:rPr>
      <w:rFonts w:ascii="宋体" w:hAnsi="Courier New" w:eastAsia="宋体"/>
      <w:spacing w:val="-4"/>
      <w:kern w:val="2"/>
      <w:sz w:val="18"/>
      <w:lang w:val="en-US" w:eastAsia="zh-CN" w:bidi="ar-SA"/>
    </w:rPr>
  </w:style>
  <w:style w:type="character" w:customStyle="1" w:styleId="58">
    <w:name w:val="纯文本 字符3"/>
    <w:link w:val="19"/>
    <w:qFormat/>
    <w:uiPriority w:val="0"/>
    <w:rPr>
      <w:rFonts w:ascii="宋体" w:hAnsi="Courier New" w:eastAsia="宋体"/>
      <w:kern w:val="2"/>
      <w:sz w:val="21"/>
      <w:lang w:val="en-US" w:eastAsia="zh-CN" w:bidi="ar-SA"/>
    </w:rPr>
  </w:style>
  <w:style w:type="character" w:customStyle="1" w:styleId="59">
    <w:name w:val="日期 字符1"/>
    <w:link w:val="21"/>
    <w:qFormat/>
    <w:uiPriority w:val="0"/>
    <w:rPr>
      <w:kern w:val="2"/>
      <w:sz w:val="21"/>
      <w:szCs w:val="24"/>
    </w:rPr>
  </w:style>
  <w:style w:type="character" w:customStyle="1" w:styleId="60">
    <w:name w:val="正文文本缩进 2 字符1"/>
    <w:link w:val="22"/>
    <w:qFormat/>
    <w:uiPriority w:val="0"/>
    <w:rPr>
      <w:kern w:val="2"/>
      <w:sz w:val="21"/>
      <w:szCs w:val="24"/>
    </w:rPr>
  </w:style>
  <w:style w:type="character" w:customStyle="1" w:styleId="61">
    <w:name w:val="批注框文本 字符1"/>
    <w:link w:val="23"/>
    <w:qFormat/>
    <w:uiPriority w:val="0"/>
    <w:rPr>
      <w:kern w:val="2"/>
      <w:sz w:val="18"/>
      <w:szCs w:val="18"/>
    </w:rPr>
  </w:style>
  <w:style w:type="character" w:customStyle="1" w:styleId="62">
    <w:name w:val="页脚 字符2"/>
    <w:link w:val="24"/>
    <w:qFormat/>
    <w:uiPriority w:val="0"/>
    <w:rPr>
      <w:kern w:val="2"/>
      <w:sz w:val="18"/>
      <w:szCs w:val="18"/>
    </w:rPr>
  </w:style>
  <w:style w:type="character" w:customStyle="1" w:styleId="63">
    <w:name w:val="页眉 字符2"/>
    <w:link w:val="25"/>
    <w:qFormat/>
    <w:uiPriority w:val="0"/>
    <w:rPr>
      <w:kern w:val="2"/>
      <w:sz w:val="18"/>
      <w:szCs w:val="18"/>
    </w:rPr>
  </w:style>
  <w:style w:type="character" w:customStyle="1" w:styleId="64">
    <w:name w:val="标题 字符"/>
    <w:link w:val="36"/>
    <w:qFormat/>
    <w:uiPriority w:val="10"/>
    <w:rPr>
      <w:rFonts w:ascii="Cambria" w:hAnsi="Cambria"/>
      <w:b/>
      <w:bCs/>
      <w:kern w:val="2"/>
      <w:sz w:val="32"/>
      <w:szCs w:val="32"/>
    </w:rPr>
  </w:style>
  <w:style w:type="character" w:customStyle="1" w:styleId="65">
    <w:name w:val="批注主题 字符1"/>
    <w:link w:val="37"/>
    <w:qFormat/>
    <w:uiPriority w:val="0"/>
    <w:rPr>
      <w:b/>
      <w:bCs/>
      <w:kern w:val="2"/>
      <w:sz w:val="21"/>
      <w:szCs w:val="24"/>
    </w:rPr>
  </w:style>
  <w:style w:type="character" w:customStyle="1" w:styleId="66">
    <w:name w:val="正文文本首行缩进 2 字符"/>
    <w:link w:val="38"/>
    <w:qFormat/>
    <w:uiPriority w:val="0"/>
    <w:rPr>
      <w:rFonts w:hAnsi="仿宋_GB2312" w:eastAsia="黑体"/>
      <w:sz w:val="24"/>
      <w:lang w:val="en-US" w:eastAsia="zh-CN" w:bidi="ar-SA"/>
    </w:rPr>
  </w:style>
  <w:style w:type="paragraph" w:customStyle="1" w:styleId="6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8">
    <w:name w:val="正文文本_"/>
    <w:link w:val="69"/>
    <w:qFormat/>
    <w:uiPriority w:val="0"/>
    <w:rPr>
      <w:rFonts w:ascii="MingLiU" w:hAnsi="MingLiU" w:eastAsia="MingLiU" w:cs="MingLiU"/>
      <w:spacing w:val="9"/>
      <w:sz w:val="19"/>
      <w:szCs w:val="19"/>
      <w:shd w:val="clear" w:color="auto" w:fill="FFFFFF"/>
    </w:rPr>
  </w:style>
  <w:style w:type="paragraph" w:customStyle="1" w:styleId="69">
    <w:name w:val="正文文本1"/>
    <w:basedOn w:val="1"/>
    <w:link w:val="68"/>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0">
    <w:name w:val="纯文本 Char1"/>
    <w:link w:val="71"/>
    <w:qFormat/>
    <w:uiPriority w:val="0"/>
    <w:rPr>
      <w:rFonts w:ascii="宋体" w:hAnsi="Courier New" w:eastAsia="宋体"/>
      <w:kern w:val="2"/>
      <w:sz w:val="21"/>
      <w:lang w:val="en-US" w:eastAsia="zh-CN" w:bidi="ar-SA"/>
    </w:rPr>
  </w:style>
  <w:style w:type="paragraph" w:customStyle="1" w:styleId="71">
    <w:name w:val="纯文本1"/>
    <w:basedOn w:val="1"/>
    <w:link w:val="70"/>
    <w:qFormat/>
    <w:uiPriority w:val="0"/>
    <w:rPr>
      <w:rFonts w:ascii="宋体" w:hAnsi="Courier New"/>
      <w:szCs w:val="20"/>
    </w:rPr>
  </w:style>
  <w:style w:type="character" w:customStyle="1" w:styleId="72">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3">
    <w:name w:val="Char Char1"/>
    <w:qFormat/>
    <w:uiPriority w:val="0"/>
    <w:rPr>
      <w:rFonts w:ascii="宋体" w:hAnsi="Courier New" w:eastAsia="宋体"/>
      <w:kern w:val="2"/>
      <w:sz w:val="21"/>
      <w:lang w:val="en-US" w:eastAsia="zh-CN" w:bidi="ar-SA"/>
    </w:rPr>
  </w:style>
  <w:style w:type="character" w:customStyle="1" w:styleId="7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5">
    <w:name w:val="页脚 字符"/>
    <w:qFormat/>
    <w:uiPriority w:val="0"/>
    <w:rPr>
      <w:sz w:val="18"/>
      <w:szCs w:val="18"/>
    </w:rPr>
  </w:style>
  <w:style w:type="character" w:customStyle="1" w:styleId="76">
    <w:name w:val="页眉 字符"/>
    <w:qFormat/>
    <w:uiPriority w:val="0"/>
    <w:rPr>
      <w:rFonts w:ascii="Times New Roman" w:hAnsi="Times New Roman"/>
      <w:kern w:val="2"/>
      <w:sz w:val="18"/>
      <w:szCs w:val="18"/>
    </w:rPr>
  </w:style>
  <w:style w:type="character" w:customStyle="1" w:styleId="77">
    <w:name w:val="批注文字 字符1"/>
    <w:qFormat/>
    <w:uiPriority w:val="0"/>
    <w:rPr>
      <w:rFonts w:ascii="Times New Roman" w:hAnsi="Times New Roman"/>
      <w:kern w:val="2"/>
      <w:sz w:val="21"/>
      <w:szCs w:val="24"/>
    </w:rPr>
  </w:style>
  <w:style w:type="character" w:customStyle="1" w:styleId="78">
    <w:name w:val="纯文本 字符2"/>
    <w:qFormat/>
    <w:uiPriority w:val="0"/>
    <w:rPr>
      <w:rFonts w:ascii="宋体" w:hAnsi="Courier New" w:eastAsia="宋体" w:cs="Courier New"/>
      <w:szCs w:val="21"/>
    </w:rPr>
  </w:style>
  <w:style w:type="paragraph" w:customStyle="1" w:styleId="79">
    <w:name w:val=" Char"/>
    <w:basedOn w:val="1"/>
    <w:qFormat/>
    <w:uiPriority w:val="0"/>
    <w:rPr>
      <w:szCs w:val="21"/>
    </w:rPr>
  </w:style>
  <w:style w:type="paragraph" w:customStyle="1" w:styleId="80">
    <w:name w:val=" Char Char Char Char Char Char Char"/>
    <w:basedOn w:val="1"/>
    <w:qFormat/>
    <w:uiPriority w:val="0"/>
  </w:style>
  <w:style w:type="paragraph" w:customStyle="1" w:styleId="81">
    <w:name w:val="_Style 80"/>
    <w:qFormat/>
    <w:uiPriority w:val="99"/>
    <w:rPr>
      <w:rFonts w:ascii="Times New Roman" w:hAnsi="Times New Roman" w:eastAsia="宋体" w:cs="Times New Roman"/>
      <w:kern w:val="2"/>
      <w:sz w:val="21"/>
      <w:szCs w:val="24"/>
      <w:lang w:val="en-US" w:eastAsia="zh-CN" w:bidi="ar-SA"/>
    </w:rPr>
  </w:style>
  <w:style w:type="paragraph" w:customStyle="1" w:styleId="82">
    <w:name w:val="Char Char Char Char Char Char Char Char Char Char Char Char"/>
    <w:basedOn w:val="1"/>
    <w:qFormat/>
    <w:uiPriority w:val="0"/>
    <w:pPr>
      <w:widowControl/>
      <w:spacing w:after="160" w:afterLines="0" w:line="240" w:lineRule="exact"/>
      <w:jc w:val="left"/>
    </w:pPr>
  </w:style>
  <w:style w:type="paragraph" w:customStyle="1" w:styleId="83">
    <w:name w:val=" Char Char Char Char Char Char Char Char Char Char Char Char"/>
    <w:basedOn w:val="1"/>
    <w:qFormat/>
    <w:uiPriority w:val="0"/>
    <w:pPr>
      <w:widowControl/>
      <w:spacing w:after="160" w:afterLines="0" w:line="240" w:lineRule="exact"/>
      <w:jc w:val="left"/>
    </w:pPr>
  </w:style>
  <w:style w:type="paragraph" w:customStyle="1" w:styleId="84">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85">
    <w:name w:val="Table Paragraph"/>
    <w:basedOn w:val="1"/>
    <w:qFormat/>
    <w:uiPriority w:val="1"/>
    <w:pPr>
      <w:jc w:val="left"/>
    </w:pPr>
    <w:rPr>
      <w:rFonts w:ascii="Calibri" w:hAnsi="Calibri"/>
      <w:kern w:val="0"/>
      <w:sz w:val="22"/>
      <w:szCs w:val="22"/>
      <w:lang w:eastAsia="en-US"/>
    </w:rPr>
  </w:style>
  <w:style w:type="paragraph" w:customStyle="1" w:styleId="86">
    <w:name w:val="p0"/>
    <w:basedOn w:val="1"/>
    <w:qFormat/>
    <w:uiPriority w:val="0"/>
    <w:pPr>
      <w:widowControl/>
    </w:pPr>
    <w:rPr>
      <w:kern w:val="0"/>
      <w:szCs w:val="21"/>
    </w:rPr>
  </w:style>
  <w:style w:type="paragraph" w:customStyle="1" w:styleId="87">
    <w:name w:val="Char Char Char"/>
    <w:basedOn w:val="1"/>
    <w:qFormat/>
    <w:uiPriority w:val="0"/>
    <w:rPr>
      <w:szCs w:val="20"/>
    </w:rPr>
  </w:style>
  <w:style w:type="paragraph" w:customStyle="1" w:styleId="88">
    <w:name w:val="_Style 87"/>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9">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90">
    <w:name w:val="Char Char Char1 Char Char Char Char Char Char Char"/>
    <w:basedOn w:val="1"/>
    <w:qFormat/>
    <w:uiPriority w:val="0"/>
  </w:style>
  <w:style w:type="paragraph" w:customStyle="1" w:styleId="91">
    <w:name w:val="默认段落字体 Para Char Char Char Char Char Char Char Char Char1 Char Char Char Char"/>
    <w:basedOn w:val="1"/>
    <w:qFormat/>
    <w:uiPriority w:val="0"/>
    <w:rPr>
      <w:rFonts w:ascii="Tahoma" w:hAnsi="Tahoma"/>
      <w:sz w:val="24"/>
      <w:szCs w:val="20"/>
    </w:rPr>
  </w:style>
  <w:style w:type="paragraph" w:customStyle="1" w:styleId="92">
    <w:name w:val="Char"/>
    <w:basedOn w:val="1"/>
    <w:qFormat/>
    <w:uiPriority w:val="0"/>
  </w:style>
  <w:style w:type="paragraph" w:styleId="93">
    <w:name w:val="List Paragraph"/>
    <w:basedOn w:val="1"/>
    <w:qFormat/>
    <w:uiPriority w:val="34"/>
    <w:pPr>
      <w:ind w:firstLine="420" w:firstLineChars="200"/>
    </w:pPr>
  </w:style>
  <w:style w:type="paragraph" w:customStyle="1" w:styleId="94">
    <w:name w:val="Char Char Char Char"/>
    <w:basedOn w:val="1"/>
    <w:qFormat/>
    <w:uiPriority w:val="0"/>
    <w:pPr>
      <w:widowControl/>
      <w:spacing w:after="160" w:afterLines="0" w:line="240" w:lineRule="exact"/>
      <w:jc w:val="left"/>
    </w:pPr>
  </w:style>
  <w:style w:type="paragraph" w:customStyle="1" w:styleId="95">
    <w:name w:val=" Char Char Char Char"/>
    <w:basedOn w:val="1"/>
    <w:qFormat/>
    <w:uiPriority w:val="0"/>
    <w:pPr>
      <w:widowControl/>
      <w:spacing w:after="160" w:afterLines="0" w:line="240" w:lineRule="exact"/>
      <w:jc w:val="left"/>
    </w:pPr>
  </w:style>
  <w:style w:type="paragraph" w:customStyle="1" w:styleId="96">
    <w:name w:val="正文段"/>
    <w:basedOn w:val="1"/>
    <w:qFormat/>
    <w:uiPriority w:val="0"/>
    <w:pPr>
      <w:widowControl/>
      <w:snapToGrid w:val="0"/>
      <w:spacing w:after="156" w:afterLines="50"/>
      <w:ind w:firstLine="200" w:firstLineChars="200"/>
    </w:pPr>
    <w:rPr>
      <w:kern w:val="0"/>
      <w:sz w:val="24"/>
      <w:szCs w:val="20"/>
    </w:rPr>
  </w:style>
  <w:style w:type="paragraph" w:customStyle="1" w:styleId="97">
    <w:name w:val="列出段落1"/>
    <w:basedOn w:val="1"/>
    <w:qFormat/>
    <w:uiPriority w:val="34"/>
    <w:pPr>
      <w:spacing w:before="100" w:beforeAutospacing="1" w:after="100" w:afterAutospacing="1" w:line="360" w:lineRule="auto"/>
      <w:ind w:firstLine="420" w:firstLineChars="200"/>
    </w:pPr>
  </w:style>
  <w:style w:type="paragraph" w:customStyle="1" w:styleId="98">
    <w:name w:val="Char Char Char Char Char Char Char"/>
    <w:basedOn w:val="1"/>
    <w:qFormat/>
    <w:uiPriority w:val="0"/>
  </w:style>
  <w:style w:type="character" w:customStyle="1" w:styleId="99">
    <w:name w:val="正文2 Char Char"/>
    <w:link w:val="100"/>
    <w:qFormat/>
    <w:uiPriority w:val="0"/>
    <w:rPr>
      <w:kern w:val="2"/>
      <w:sz w:val="24"/>
    </w:rPr>
  </w:style>
  <w:style w:type="paragraph" w:customStyle="1" w:styleId="100">
    <w:name w:val="正文2"/>
    <w:basedOn w:val="1"/>
    <w:link w:val="99"/>
    <w:qFormat/>
    <w:uiPriority w:val="0"/>
    <w:pPr>
      <w:adjustRightInd w:val="0"/>
      <w:spacing w:before="156" w:line="360" w:lineRule="auto"/>
      <w:ind w:firstLine="510" w:firstLineChars="200"/>
    </w:pPr>
    <w:rPr>
      <w:sz w:val="24"/>
      <w:szCs w:val="20"/>
    </w:rPr>
  </w:style>
  <w:style w:type="character" w:customStyle="1" w:styleId="101">
    <w:name w:val="纯文本 Char_0"/>
    <w:link w:val="102"/>
    <w:qFormat/>
    <w:uiPriority w:val="0"/>
    <w:rPr>
      <w:rFonts w:ascii="宋体" w:hAnsi="Courier New"/>
      <w:kern w:val="2"/>
      <w:sz w:val="21"/>
      <w:szCs w:val="21"/>
    </w:rPr>
  </w:style>
  <w:style w:type="paragraph" w:customStyle="1" w:styleId="102">
    <w:name w:val="纯文本_0_0"/>
    <w:basedOn w:val="1"/>
    <w:link w:val="101"/>
    <w:qFormat/>
    <w:uiPriority w:val="0"/>
    <w:rPr>
      <w:rFonts w:ascii="宋体" w:hAnsi="Courier New"/>
      <w:szCs w:val="21"/>
    </w:rPr>
  </w:style>
  <w:style w:type="paragraph" w:customStyle="1" w:styleId="10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04">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character" w:customStyle="1" w:styleId="105">
    <w:name w:val="批注文字 Char1"/>
    <w:qFormat/>
    <w:uiPriority w:val="0"/>
    <w:rPr>
      <w:rFonts w:ascii="Times New Roman" w:hAnsi="Times New Roman"/>
      <w:kern w:val="2"/>
      <w:sz w:val="21"/>
      <w:szCs w:val="24"/>
    </w:rPr>
  </w:style>
  <w:style w:type="character" w:customStyle="1" w:styleId="106">
    <w:name w:val="标题 1 字符"/>
    <w:qFormat/>
    <w:uiPriority w:val="0"/>
    <w:rPr>
      <w:b/>
      <w:bCs/>
      <w:kern w:val="44"/>
      <w:sz w:val="44"/>
      <w:szCs w:val="44"/>
    </w:rPr>
  </w:style>
  <w:style w:type="character" w:customStyle="1" w:styleId="107">
    <w:name w:val="标题 2 字符"/>
    <w:qFormat/>
    <w:uiPriority w:val="0"/>
    <w:rPr>
      <w:rFonts w:ascii="Arial" w:hAnsi="Arial" w:eastAsia="黑体"/>
      <w:b/>
      <w:bCs/>
      <w:kern w:val="2"/>
      <w:sz w:val="32"/>
      <w:szCs w:val="32"/>
    </w:rPr>
  </w:style>
  <w:style w:type="character" w:customStyle="1" w:styleId="108">
    <w:name w:val="标题 3 字符"/>
    <w:qFormat/>
    <w:uiPriority w:val="0"/>
    <w:rPr>
      <w:b/>
      <w:bCs/>
      <w:kern w:val="2"/>
      <w:sz w:val="32"/>
      <w:szCs w:val="32"/>
    </w:rPr>
  </w:style>
  <w:style w:type="character" w:customStyle="1" w:styleId="109">
    <w:name w:val="标题 4 字符"/>
    <w:qFormat/>
    <w:uiPriority w:val="0"/>
    <w:rPr>
      <w:rFonts w:ascii="Arial" w:eastAsia="黑体"/>
      <w:sz w:val="28"/>
    </w:rPr>
  </w:style>
  <w:style w:type="character" w:customStyle="1" w:styleId="110">
    <w:name w:val="标题 5 字符"/>
    <w:qFormat/>
    <w:uiPriority w:val="0"/>
    <w:rPr>
      <w:b/>
      <w:bCs/>
      <w:kern w:val="2"/>
      <w:sz w:val="28"/>
      <w:szCs w:val="28"/>
    </w:rPr>
  </w:style>
  <w:style w:type="character" w:customStyle="1" w:styleId="111">
    <w:name w:val="文档结构图 字符"/>
    <w:qFormat/>
    <w:uiPriority w:val="0"/>
    <w:rPr>
      <w:rFonts w:ascii="宋体"/>
      <w:kern w:val="2"/>
      <w:sz w:val="18"/>
      <w:szCs w:val="18"/>
    </w:rPr>
  </w:style>
  <w:style w:type="character" w:customStyle="1" w:styleId="112">
    <w:name w:val="批注文字 字符"/>
    <w:qFormat/>
    <w:uiPriority w:val="0"/>
    <w:rPr>
      <w:kern w:val="2"/>
      <w:sz w:val="21"/>
      <w:szCs w:val="24"/>
    </w:rPr>
  </w:style>
  <w:style w:type="character" w:customStyle="1" w:styleId="113">
    <w:name w:val="正文文本 3 字符"/>
    <w:qFormat/>
    <w:uiPriority w:val="0"/>
    <w:rPr>
      <w:kern w:val="2"/>
      <w:sz w:val="16"/>
      <w:szCs w:val="16"/>
    </w:rPr>
  </w:style>
  <w:style w:type="character" w:customStyle="1" w:styleId="114">
    <w:name w:val="正文文本 字符"/>
    <w:qFormat/>
    <w:uiPriority w:val="0"/>
    <w:rPr>
      <w:kern w:val="2"/>
      <w:sz w:val="21"/>
      <w:szCs w:val="24"/>
    </w:rPr>
  </w:style>
  <w:style w:type="character" w:customStyle="1" w:styleId="115">
    <w:name w:val="正文文本缩进 字符"/>
    <w:qFormat/>
    <w:uiPriority w:val="0"/>
    <w:rPr>
      <w:rFonts w:ascii="宋体" w:hAnsi="Courier New"/>
      <w:spacing w:val="-4"/>
      <w:kern w:val="2"/>
      <w:sz w:val="18"/>
    </w:rPr>
  </w:style>
  <w:style w:type="character" w:customStyle="1" w:styleId="116">
    <w:name w:val="纯文本 字符"/>
    <w:qFormat/>
    <w:uiPriority w:val="0"/>
    <w:rPr>
      <w:rFonts w:ascii="宋体" w:hAnsi="Courier New"/>
      <w:kern w:val="2"/>
      <w:sz w:val="21"/>
    </w:rPr>
  </w:style>
  <w:style w:type="character" w:customStyle="1" w:styleId="117">
    <w:name w:val="日期 字符"/>
    <w:qFormat/>
    <w:uiPriority w:val="0"/>
    <w:rPr>
      <w:kern w:val="2"/>
      <w:sz w:val="21"/>
      <w:szCs w:val="24"/>
    </w:rPr>
  </w:style>
  <w:style w:type="character" w:customStyle="1" w:styleId="118">
    <w:name w:val="正文文本缩进 2 字符"/>
    <w:qFormat/>
    <w:uiPriority w:val="0"/>
    <w:rPr>
      <w:kern w:val="2"/>
      <w:sz w:val="21"/>
      <w:szCs w:val="24"/>
    </w:rPr>
  </w:style>
  <w:style w:type="character" w:customStyle="1" w:styleId="119">
    <w:name w:val="批注框文本 字符"/>
    <w:qFormat/>
    <w:uiPriority w:val="0"/>
    <w:rPr>
      <w:kern w:val="2"/>
      <w:sz w:val="18"/>
      <w:szCs w:val="18"/>
    </w:rPr>
  </w:style>
  <w:style w:type="character" w:customStyle="1" w:styleId="120">
    <w:name w:val="页脚 字符1"/>
    <w:qFormat/>
    <w:uiPriority w:val="0"/>
    <w:rPr>
      <w:kern w:val="2"/>
      <w:sz w:val="18"/>
      <w:szCs w:val="18"/>
    </w:rPr>
  </w:style>
  <w:style w:type="character" w:customStyle="1" w:styleId="121">
    <w:name w:val="页眉 字符1"/>
    <w:qFormat/>
    <w:uiPriority w:val="0"/>
    <w:rPr>
      <w:kern w:val="2"/>
      <w:sz w:val="18"/>
      <w:szCs w:val="18"/>
    </w:rPr>
  </w:style>
  <w:style w:type="character" w:customStyle="1" w:styleId="122">
    <w:name w:val="批注主题 字符"/>
    <w:qFormat/>
    <w:uiPriority w:val="0"/>
    <w:rPr>
      <w:b/>
      <w:bCs/>
      <w:kern w:val="2"/>
      <w:sz w:val="21"/>
      <w:szCs w:val="24"/>
    </w:rPr>
  </w:style>
  <w:style w:type="paragraph" w:customStyle="1" w:styleId="123">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25">
    <w:name w:val="纯文本 字符1"/>
    <w:qFormat/>
    <w:locked/>
    <w:uiPriority w:val="0"/>
    <w:rPr>
      <w:rFonts w:ascii="宋体" w:hAnsi="Courier New"/>
      <w:kern w:val="2"/>
      <w:sz w:val="21"/>
    </w:rPr>
  </w:style>
  <w:style w:type="character" w:customStyle="1" w:styleId="126">
    <w:name w:val="标题 4 字符1"/>
    <w:qFormat/>
    <w:locked/>
    <w:uiPriority w:val="0"/>
    <w:rPr>
      <w:rFonts w:ascii="Arial" w:eastAsia="黑体"/>
      <w:sz w:val="28"/>
    </w:rPr>
  </w:style>
  <w:style w:type="character" w:customStyle="1" w:styleId="127">
    <w:name w:val="标题 2 字符1"/>
    <w:qFormat/>
    <w:locked/>
    <w:uiPriority w:val="0"/>
    <w:rPr>
      <w:rFonts w:ascii="Arial" w:hAnsi="Arial" w:eastAsia="黑体"/>
      <w:b/>
      <w:bCs/>
      <w:kern w:val="2"/>
      <w:sz w:val="32"/>
      <w:szCs w:val="32"/>
    </w:rPr>
  </w:style>
  <w:style w:type="character" w:customStyle="1" w:styleId="128">
    <w:name w:val="标题 1 字符1"/>
    <w:qFormat/>
    <w:locked/>
    <w:uiPriority w:val="0"/>
    <w:rPr>
      <w:b/>
      <w:bCs/>
      <w:kern w:val="44"/>
      <w:sz w:val="44"/>
      <w:szCs w:val="44"/>
    </w:rPr>
  </w:style>
  <w:style w:type="character" w:customStyle="1" w:styleId="129">
    <w:name w:val="标题 3 字符1"/>
    <w:qFormat/>
    <w:locked/>
    <w:uiPriority w:val="0"/>
    <w:rPr>
      <w:b/>
      <w:bCs/>
      <w:kern w:val="2"/>
      <w:sz w:val="32"/>
      <w:szCs w:val="32"/>
    </w:rPr>
  </w:style>
  <w:style w:type="character" w:customStyle="1" w:styleId="130">
    <w:name w:val="标题 5 字符1"/>
    <w:qFormat/>
    <w:locked/>
    <w:uiPriority w:val="0"/>
    <w:rPr>
      <w:b/>
      <w:bCs/>
      <w:kern w:val="2"/>
      <w:sz w:val="28"/>
      <w:szCs w:val="28"/>
    </w:rPr>
  </w:style>
  <w:style w:type="paragraph" w:customStyle="1" w:styleId="13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32">
    <w:name w:val="WPSOffice手动目录 1"/>
    <w:qFormat/>
    <w:uiPriority w:val="0"/>
    <w:rPr>
      <w:rFonts w:ascii="Times New Roman" w:hAnsi="Times New Roman" w:eastAsia="宋体" w:cs="Times New Roman"/>
      <w:lang w:val="en-US" w:eastAsia="zh-CN" w:bidi="ar-SA"/>
    </w:rPr>
  </w:style>
  <w:style w:type="paragraph" w:customStyle="1" w:styleId="133">
    <w:name w:val="WPSOffice手动目录 2"/>
    <w:qFormat/>
    <w:uiPriority w:val="0"/>
    <w:pPr>
      <w:ind w:leftChars="200"/>
    </w:pPr>
    <w:rPr>
      <w:rFonts w:ascii="Times New Roman" w:hAnsi="Times New Roman" w:eastAsia="宋体" w:cs="Times New Roman"/>
      <w:lang w:val="en-US" w:eastAsia="zh-CN" w:bidi="ar-SA"/>
    </w:rPr>
  </w:style>
  <w:style w:type="paragraph" w:customStyle="1" w:styleId="134">
    <w:name w:val="正文1"/>
    <w:basedOn w:val="1"/>
    <w:qFormat/>
    <w:uiPriority w:val="0"/>
    <w:pPr>
      <w:numPr>
        <w:ilvl w:val="0"/>
        <w:numId w:val="1"/>
      </w:numPr>
      <w:tabs>
        <w:tab w:val="left" w:pos="360"/>
      </w:tabs>
      <w:spacing w:line="360" w:lineRule="exact"/>
      <w:ind w:left="357" w:hanging="357"/>
    </w:pPr>
    <w:rPr>
      <w:rFonts w:ascii="宋体" w:hAnsi="宋体"/>
      <w:color w:val="FF0000"/>
      <w:szCs w:val="21"/>
    </w:rPr>
  </w:style>
  <w:style w:type="character" w:customStyle="1" w:styleId="135">
    <w:name w:val="NormalCharacter"/>
    <w:qFormat/>
    <w:uiPriority w:val="0"/>
  </w:style>
  <w:style w:type="paragraph" w:customStyle="1" w:styleId="136">
    <w:name w:val="BodyText2"/>
    <w:basedOn w:val="1"/>
    <w:qFormat/>
    <w:uiPriority w:val="0"/>
    <w:pPr>
      <w:spacing w:after="120" w:line="480" w:lineRule="auto"/>
      <w:textAlignment w:val="baseline"/>
    </w:pPr>
  </w:style>
  <w:style w:type="character" w:customStyle="1" w:styleId="137">
    <w:name w:val="font01"/>
    <w:qFormat/>
    <w:uiPriority w:val="0"/>
    <w:rPr>
      <w:rFonts w:hint="eastAsia" w:ascii="宋体" w:hAnsi="宋体" w:eastAsia="宋体" w:cs="宋体"/>
      <w:color w:val="000000"/>
      <w:sz w:val="22"/>
      <w:szCs w:val="22"/>
      <w:u w:val="none"/>
    </w:rPr>
  </w:style>
  <w:style w:type="table" w:customStyle="1" w:styleId="138">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139">
    <w:name w:val="font11"/>
    <w:basedOn w:val="41"/>
    <w:qFormat/>
    <w:uiPriority w:val="0"/>
    <w:rPr>
      <w:rFonts w:hint="eastAsia" w:ascii="宋体" w:hAnsi="宋体" w:eastAsia="宋体" w:cs="宋体"/>
      <w:color w:val="993300"/>
      <w:sz w:val="24"/>
      <w:szCs w:val="24"/>
      <w:u w:val="none"/>
    </w:rPr>
  </w:style>
  <w:style w:type="paragraph" w:customStyle="1" w:styleId="140">
    <w:name w:val="Body text|1"/>
    <w:basedOn w:val="1"/>
    <w:qFormat/>
    <w:uiPriority w:val="0"/>
    <w:pPr>
      <w:spacing w:line="420" w:lineRule="auto"/>
      <w:ind w:firstLine="400"/>
      <w:jc w:val="left"/>
    </w:pPr>
    <w:rPr>
      <w:rFonts w:ascii="MingLiU" w:hAnsi="MingLiU" w:eastAsia="MingLiU" w:cs="MingLiU"/>
      <w:kern w:val="0"/>
      <w:sz w:val="22"/>
      <w:szCs w:val="20"/>
      <w:lang w:val="zh-TW" w:eastAsia="zh-TW" w:bidi="zh-TW"/>
    </w:rPr>
  </w:style>
  <w:style w:type="paragraph" w:customStyle="1" w:styleId="141">
    <w:name w:val="Table Text"/>
    <w:basedOn w:val="1"/>
    <w:semiHidden/>
    <w:qFormat/>
    <w:uiPriority w:val="0"/>
    <w:rPr>
      <w:rFonts w:ascii="宋体" w:hAnsi="宋体" w:eastAsia="宋体" w:cs="宋体"/>
      <w:sz w:val="18"/>
      <w:szCs w:val="18"/>
      <w:lang w:val="en-US" w:eastAsia="en-US" w:bidi="ar-SA"/>
    </w:rPr>
  </w:style>
  <w:style w:type="paragraph" w:customStyle="1" w:styleId="142">
    <w:name w:val="列表段落1"/>
    <w:basedOn w:val="1"/>
    <w:qFormat/>
    <w:uiPriority w:val="34"/>
    <w:pPr>
      <w:ind w:firstLine="420" w:firstLineChars="200"/>
    </w:pPr>
  </w:style>
  <w:style w:type="paragraph" w:customStyle="1" w:styleId="143">
    <w:name w:val="表格"/>
    <w:basedOn w:val="1"/>
    <w:qFormat/>
    <w:uiPriority w:val="0"/>
    <w:pPr>
      <w:spacing w:line="288" w:lineRule="auto"/>
      <w:jc w:val="left"/>
    </w:pPr>
    <w:rPr>
      <w:szCs w:val="24"/>
      <w:lang w:val="zh-CN"/>
    </w:rPr>
  </w:style>
  <w:style w:type="character" w:customStyle="1" w:styleId="144">
    <w:name w:val="font71"/>
    <w:basedOn w:val="41"/>
    <w:qFormat/>
    <w:uiPriority w:val="0"/>
    <w:rPr>
      <w:rFonts w:hint="eastAsia" w:ascii="宋体" w:hAnsi="宋体" w:eastAsia="宋体" w:cs="宋体"/>
      <w:color w:val="000000"/>
      <w:sz w:val="22"/>
      <w:szCs w:val="22"/>
      <w:u w:val="none"/>
    </w:rPr>
  </w:style>
  <w:style w:type="character" w:customStyle="1" w:styleId="145">
    <w:name w:val="font61"/>
    <w:basedOn w:val="41"/>
    <w:qFormat/>
    <w:uiPriority w:val="0"/>
    <w:rPr>
      <w:rFonts w:ascii="Arial" w:hAnsi="Arial" w:cs="Arial"/>
      <w:color w:val="000000"/>
      <w:sz w:val="22"/>
      <w:szCs w:val="22"/>
      <w:u w:val="none"/>
    </w:rPr>
  </w:style>
  <w:style w:type="character" w:customStyle="1" w:styleId="146">
    <w:name w:val="font81"/>
    <w:basedOn w:val="41"/>
    <w:qFormat/>
    <w:uiPriority w:val="0"/>
    <w:rPr>
      <w:rFonts w:ascii="Arial" w:hAnsi="Arial" w:cs="Arial"/>
      <w:color w:val="000000"/>
      <w:sz w:val="20"/>
      <w:szCs w:val="20"/>
      <w:u w:val="none"/>
    </w:rPr>
  </w:style>
  <w:style w:type="character" w:customStyle="1" w:styleId="147">
    <w:name w:val="font21"/>
    <w:basedOn w:val="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110</Pages>
  <Words>51973</Words>
  <Characters>55648</Characters>
  <Lines>545</Lines>
  <Paragraphs>153</Paragraphs>
  <TotalTime>15</TotalTime>
  <ScaleCrop>false</ScaleCrop>
  <LinksUpToDate>false</LinksUpToDate>
  <CharactersWithSpaces>62392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2024-05-11T08:12:00Z</dcterms:created>
  <dc:creator>丁琳</dc:creator>
  <cp:lastModifiedBy>no  umbrella</cp:lastModifiedBy>
  <cp:lastPrinted>2021-08-26T08:01:00Z</cp:lastPrinted>
  <dcterms:modified xsi:type="dcterms:W3CDTF">2025-10-31T07:30:01Z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24EE5A75ED554CA78C5CC6A93E758340_13</vt:lpwstr>
  </property>
  <property fmtid="{D5CDD505-2E9C-101B-9397-08002B2CF9AE}" pid="4" name="KSOTemplateDocerSaveRecord">
    <vt:lpwstr>eyJoZGlkIjoiNzBiOTFhODhhODQ5MGE1NjQ3NjcyY2IzYTY3ZGMxNDUiLCJ1c2VySWQiOiIxMjU4NzUyMzk1In0=</vt:lpwstr>
  </property>
</Properties>
</file>