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94A29">
      <w:pPr>
        <w:spacing w:before="120" w:beforeLines="50" w:line="360" w:lineRule="auto"/>
        <w:jc w:val="center"/>
        <w:rPr>
          <w:rFonts w:hint="default" w:ascii="Times New Roman" w:hAnsi="Times New Roman" w:eastAsia="黑体" w:cs="Times New Roman"/>
          <w:b/>
          <w:bCs/>
          <w:color w:val="auto"/>
          <w:w w:val="95"/>
          <w:sz w:val="72"/>
          <w:szCs w:val="72"/>
          <w:highlight w:val="none"/>
          <w:u w:val="double"/>
          <w:lang w:eastAsia="zh-CN"/>
        </w:rPr>
      </w:pPr>
      <w:r>
        <w:rPr>
          <w:rFonts w:hint="eastAsia" w:eastAsia="黑体" w:cs="Times New Roman"/>
          <w:b/>
          <w:bCs/>
          <w:color w:val="auto"/>
          <w:w w:val="95"/>
          <w:sz w:val="72"/>
          <w:szCs w:val="72"/>
          <w:highlight w:val="none"/>
          <w:u w:val="none"/>
          <w:lang w:eastAsia="zh-CN"/>
        </w:rPr>
        <w:t>广西华进项目管理有限公司</w:t>
      </w:r>
    </w:p>
    <w:p w14:paraId="4D76EB0D">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p>
    <w:p w14:paraId="3809CC5D">
      <w:pPr>
        <w:snapToGrid w:val="0"/>
        <w:spacing w:before="156" w:beforeLines="50" w:line="360" w:lineRule="auto"/>
        <w:jc w:val="center"/>
        <w:rPr>
          <w:rFonts w:hint="default" w:ascii="Times New Roman" w:hAnsi="Times New Roman" w:eastAsia="华文新魏" w:cs="Times New Roman"/>
          <w:color w:val="auto"/>
          <w:sz w:val="120"/>
          <w:szCs w:val="120"/>
          <w:highlight w:val="none"/>
        </w:rPr>
      </w:pPr>
      <w:r>
        <w:rPr>
          <w:rFonts w:hint="default" w:ascii="Times New Roman" w:hAnsi="Times New Roman" w:eastAsia="宋体" w:cs="Times New Roman"/>
          <w:b/>
          <w:color w:val="auto"/>
          <w:kern w:val="0"/>
          <w:sz w:val="76"/>
          <w:szCs w:val="76"/>
          <w:highlight w:val="none"/>
          <w:lang w:eastAsia="zh-CN"/>
        </w:rPr>
        <w:t>竞争性磋商文件</w:t>
      </w:r>
    </w:p>
    <w:p w14:paraId="5BE80B7C">
      <w:pPr>
        <w:snapToGrid w:val="0"/>
        <w:spacing w:before="156" w:beforeLines="50" w:line="360" w:lineRule="auto"/>
        <w:jc w:val="center"/>
        <w:rPr>
          <w:rFonts w:hint="default" w:ascii="Times New Roman" w:hAnsi="Times New Roman" w:eastAsia="仿宋_GB2312" w:cs="Times New Roman"/>
          <w:b/>
          <w:color w:val="auto"/>
          <w:sz w:val="30"/>
          <w:szCs w:val="72"/>
          <w:highlight w:val="none"/>
        </w:rPr>
      </w:pPr>
      <w:r>
        <w:rPr>
          <w:rFonts w:hint="default" w:ascii="Times New Roman" w:hAnsi="Times New Roman" w:eastAsia="仿宋_GB2312" w:cs="Times New Roman"/>
          <w:b/>
          <w:color w:val="auto"/>
          <w:sz w:val="48"/>
          <w:szCs w:val="48"/>
          <w:highlight w:val="none"/>
        </w:rPr>
        <w:t>（全流程电子化采购）</w:t>
      </w:r>
    </w:p>
    <w:p w14:paraId="7DD599AD">
      <w:pPr>
        <w:snapToGrid w:val="0"/>
        <w:spacing w:line="360" w:lineRule="auto"/>
        <w:rPr>
          <w:rFonts w:hint="default" w:ascii="Times New Roman" w:hAnsi="Times New Roman" w:eastAsia="仿宋_GB2312" w:cs="Times New Roman"/>
          <w:color w:val="auto"/>
          <w:sz w:val="30"/>
          <w:szCs w:val="72"/>
          <w:highlight w:val="none"/>
        </w:rPr>
      </w:pPr>
    </w:p>
    <w:p w14:paraId="4EC1A117">
      <w:pPr>
        <w:pStyle w:val="63"/>
        <w:ind w:firstLine="480"/>
        <w:rPr>
          <w:rFonts w:hint="default" w:ascii="Times New Roman" w:hAnsi="Times New Roman" w:cs="Times New Roman"/>
          <w:color w:val="auto"/>
          <w:highlight w:val="none"/>
          <w:lang w:eastAsia="zh-CN"/>
        </w:rPr>
      </w:pPr>
    </w:p>
    <w:p w14:paraId="2198274C">
      <w:pPr>
        <w:pStyle w:val="4"/>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项目名称：</w:t>
      </w:r>
      <w:r>
        <w:rPr>
          <w:rFonts w:hint="eastAsia" w:ascii="Times New Roman" w:hAnsi="Times New Roman" w:eastAsia="仿宋_GB2312" w:cs="Times New Roman"/>
          <w:b/>
          <w:bCs/>
          <w:color w:val="auto"/>
          <w:sz w:val="30"/>
          <w:szCs w:val="30"/>
          <w:highlight w:val="none"/>
          <w:lang w:eastAsia="zh-CN"/>
        </w:rPr>
        <w:t>大新县下雷镇“五个共同”主题边境地区人居环境整治项目</w:t>
      </w:r>
    </w:p>
    <w:p w14:paraId="76C3F466">
      <w:pPr>
        <w:pStyle w:val="4"/>
        <w:snapToGrid w:val="0"/>
        <w:spacing w:line="360" w:lineRule="auto"/>
        <w:ind w:firstLine="904" w:firstLineChars="300"/>
        <w:rPr>
          <w:rFonts w:hint="eastAsia" w:ascii="Times New Roman" w:hAnsi="Times New Roman" w:eastAsia="仿宋_GB2312" w:cs="Times New Roman"/>
          <w:b/>
          <w:bCs/>
          <w:color w:val="auto"/>
          <w:sz w:val="30"/>
          <w:szCs w:val="30"/>
          <w:highlight w:val="none"/>
          <w:lang w:eastAsia="zh-CN"/>
        </w:rPr>
      </w:pPr>
      <w:r>
        <w:rPr>
          <w:rFonts w:hint="default" w:ascii="Times New Roman" w:hAnsi="Times New Roman" w:eastAsia="仿宋_GB2312" w:cs="Times New Roman"/>
          <w:b/>
          <w:bCs/>
          <w:color w:val="auto"/>
          <w:sz w:val="30"/>
          <w:szCs w:val="30"/>
          <w:highlight w:val="none"/>
        </w:rPr>
        <w:t>项目编号</w:t>
      </w:r>
      <w:r>
        <w:rPr>
          <w:rFonts w:hint="eastAsia" w:ascii="Times New Roman" w:hAnsi="Times New Roman" w:eastAsia="仿宋_GB2312" w:cs="Times New Roman"/>
          <w:b/>
          <w:bCs/>
          <w:color w:val="auto"/>
          <w:sz w:val="30"/>
          <w:szCs w:val="30"/>
          <w:highlight w:val="none"/>
          <w:lang w:eastAsia="zh-CN"/>
        </w:rPr>
        <w:t>：CZZC2025-C2-240087-GXHJ</w:t>
      </w:r>
    </w:p>
    <w:p w14:paraId="03B5E7FB">
      <w:pPr>
        <w:pStyle w:val="4"/>
        <w:snapToGrid w:val="0"/>
        <w:spacing w:line="360" w:lineRule="auto"/>
        <w:ind w:firstLine="904" w:firstLineChars="300"/>
        <w:rPr>
          <w:rFonts w:hint="default" w:ascii="Times New Roman" w:hAnsi="Times New Roman" w:eastAsia="仿宋_GB2312" w:cs="Times New Roman"/>
          <w:b/>
          <w:bCs/>
          <w:color w:val="auto"/>
          <w:sz w:val="30"/>
          <w:szCs w:val="30"/>
          <w:highlight w:val="none"/>
          <w:lang w:eastAsia="zh-CN"/>
        </w:rPr>
      </w:pPr>
      <w:r>
        <w:rPr>
          <w:rFonts w:hint="eastAsia" w:ascii="Times New Roman" w:hAnsi="Times New Roman" w:eastAsia="仿宋_GB2312" w:cs="Times New Roman"/>
          <w:b/>
          <w:bCs/>
          <w:color w:val="auto"/>
          <w:sz w:val="30"/>
          <w:szCs w:val="30"/>
          <w:highlight w:val="none"/>
          <w:lang w:val="en-US" w:eastAsia="zh-CN"/>
        </w:rPr>
        <w:t xml:space="preserve"> </w:t>
      </w:r>
      <w:r>
        <w:rPr>
          <w:rFonts w:hint="default" w:ascii="Times New Roman" w:hAnsi="Times New Roman" w:eastAsia="仿宋_GB2312" w:cs="Times New Roman"/>
          <w:b/>
          <w:bCs/>
          <w:color w:val="auto"/>
          <w:sz w:val="30"/>
          <w:szCs w:val="30"/>
          <w:highlight w:val="none"/>
        </w:rPr>
        <w:t xml:space="preserve"> </w:t>
      </w:r>
      <w:r>
        <w:rPr>
          <w:rFonts w:hint="default" w:ascii="Times New Roman" w:hAnsi="Times New Roman" w:eastAsia="仿宋_GB2312" w:cs="Times New Roman"/>
          <w:b/>
          <w:bCs/>
          <w:color w:val="auto"/>
          <w:sz w:val="30"/>
          <w:szCs w:val="30"/>
          <w:highlight w:val="none"/>
          <w:lang w:val="en-US" w:eastAsia="zh-CN"/>
        </w:rPr>
        <w:t xml:space="preserve"> </w:t>
      </w:r>
    </w:p>
    <w:p w14:paraId="66E7A302">
      <w:pPr>
        <w:pStyle w:val="4"/>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138064AA">
      <w:pPr>
        <w:pStyle w:val="4"/>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0E6FE576">
      <w:pPr>
        <w:pStyle w:val="4"/>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采购人：</w:t>
      </w:r>
      <w:r>
        <w:rPr>
          <w:rFonts w:hint="eastAsia" w:ascii="Times New Roman" w:hAnsi="Times New Roman" w:eastAsia="仿宋_GB2312" w:cs="Times New Roman"/>
          <w:b/>
          <w:bCs/>
          <w:color w:val="auto"/>
          <w:w w:val="95"/>
          <w:sz w:val="30"/>
          <w:szCs w:val="30"/>
          <w:highlight w:val="none"/>
          <w:lang w:eastAsia="zh-CN"/>
        </w:rPr>
        <w:t>大新县民族宗教服务中心</w:t>
      </w:r>
    </w:p>
    <w:p w14:paraId="0D1EA177">
      <w:pPr>
        <w:pStyle w:val="4"/>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rPr>
      </w:pPr>
    </w:p>
    <w:p w14:paraId="2C9EEE17">
      <w:pPr>
        <w:pStyle w:val="4"/>
        <w:snapToGrid w:val="0"/>
        <w:spacing w:line="360" w:lineRule="auto"/>
        <w:ind w:firstLine="859" w:firstLineChars="300"/>
        <w:rPr>
          <w:rFonts w:hint="default" w:ascii="Times New Roman" w:hAnsi="Times New Roman" w:eastAsia="仿宋_GB2312" w:cs="Times New Roman"/>
          <w:b/>
          <w:bCs/>
          <w:color w:val="auto"/>
          <w:w w:val="95"/>
          <w:sz w:val="30"/>
          <w:szCs w:val="30"/>
          <w:highlight w:val="none"/>
          <w:lang w:eastAsia="zh-CN"/>
        </w:rPr>
      </w:pPr>
      <w:r>
        <w:rPr>
          <w:rFonts w:hint="default" w:ascii="Times New Roman" w:hAnsi="Times New Roman" w:eastAsia="仿宋_GB2312" w:cs="Times New Roman"/>
          <w:b/>
          <w:bCs/>
          <w:color w:val="auto"/>
          <w:w w:val="95"/>
          <w:sz w:val="30"/>
          <w:szCs w:val="30"/>
          <w:highlight w:val="none"/>
        </w:rPr>
        <w:t>采购代理机构：</w:t>
      </w:r>
      <w:r>
        <w:rPr>
          <w:rFonts w:hint="eastAsia" w:ascii="Times New Roman" w:hAnsi="Times New Roman" w:eastAsia="仿宋_GB2312" w:cs="Times New Roman"/>
          <w:b/>
          <w:bCs/>
          <w:color w:val="auto"/>
          <w:w w:val="95"/>
          <w:sz w:val="30"/>
          <w:szCs w:val="30"/>
          <w:highlight w:val="none"/>
          <w:lang w:eastAsia="zh-CN"/>
        </w:rPr>
        <w:t>广西华进项目管理有限公司</w:t>
      </w:r>
    </w:p>
    <w:p w14:paraId="2B084F90">
      <w:pPr>
        <w:pStyle w:val="4"/>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1977BAA2">
      <w:pPr>
        <w:pStyle w:val="4"/>
        <w:snapToGrid w:val="0"/>
        <w:spacing w:line="360" w:lineRule="auto"/>
        <w:ind w:firstLine="1125" w:firstLineChars="393"/>
        <w:rPr>
          <w:rFonts w:hint="default" w:ascii="Times New Roman" w:hAnsi="Times New Roman" w:eastAsia="仿宋_GB2312" w:cs="Times New Roman"/>
          <w:b/>
          <w:bCs/>
          <w:color w:val="auto"/>
          <w:w w:val="95"/>
          <w:sz w:val="30"/>
          <w:szCs w:val="30"/>
          <w:highlight w:val="none"/>
        </w:rPr>
      </w:pPr>
    </w:p>
    <w:p w14:paraId="3FD22A4C">
      <w:pPr>
        <w:pStyle w:val="4"/>
        <w:snapToGrid w:val="0"/>
        <w:spacing w:line="360" w:lineRule="auto"/>
        <w:ind w:left="420" w:firstLine="2988" w:firstLineChars="1044"/>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w w:val="95"/>
          <w:sz w:val="30"/>
          <w:szCs w:val="30"/>
          <w:highlight w:val="none"/>
        </w:rPr>
        <w:t>202</w:t>
      </w:r>
      <w:r>
        <w:rPr>
          <w:rFonts w:hint="eastAsia" w:ascii="Times New Roman" w:hAnsi="Times New Roman" w:eastAsia="仿宋_GB2312" w:cs="Times New Roman"/>
          <w:b/>
          <w:bCs/>
          <w:color w:val="auto"/>
          <w:w w:val="95"/>
          <w:sz w:val="30"/>
          <w:szCs w:val="30"/>
          <w:highlight w:val="none"/>
          <w:lang w:val="en-US" w:eastAsia="zh-CN"/>
        </w:rPr>
        <w:t>5</w:t>
      </w:r>
      <w:r>
        <w:rPr>
          <w:rFonts w:hint="default" w:ascii="Times New Roman" w:hAnsi="Times New Roman" w:eastAsia="仿宋_GB2312" w:cs="Times New Roman"/>
          <w:b/>
          <w:bCs/>
          <w:color w:val="auto"/>
          <w:w w:val="95"/>
          <w:sz w:val="30"/>
          <w:szCs w:val="30"/>
          <w:highlight w:val="none"/>
        </w:rPr>
        <w:t>年</w:t>
      </w:r>
      <w:r>
        <w:rPr>
          <w:rFonts w:hint="eastAsia" w:ascii="Times New Roman" w:hAnsi="Times New Roman" w:eastAsia="仿宋_GB2312" w:cs="Times New Roman"/>
          <w:b/>
          <w:bCs/>
          <w:color w:val="auto"/>
          <w:w w:val="95"/>
          <w:sz w:val="30"/>
          <w:szCs w:val="30"/>
          <w:highlight w:val="none"/>
          <w:lang w:val="en-US" w:eastAsia="zh-CN"/>
        </w:rPr>
        <w:t>6</w:t>
      </w:r>
      <w:r>
        <w:rPr>
          <w:rFonts w:hint="default" w:ascii="Times New Roman" w:hAnsi="Times New Roman" w:eastAsia="仿宋_GB2312" w:cs="Times New Roman"/>
          <w:b/>
          <w:bCs/>
          <w:color w:val="auto"/>
          <w:w w:val="95"/>
          <w:sz w:val="30"/>
          <w:szCs w:val="30"/>
          <w:highlight w:val="none"/>
        </w:rPr>
        <w:t>月</w:t>
      </w:r>
    </w:p>
    <w:p w14:paraId="61F982B6">
      <w:pPr>
        <w:spacing w:line="360" w:lineRule="auto"/>
        <w:jc w:val="center"/>
        <w:rPr>
          <w:rFonts w:hint="default" w:ascii="Times New Roman" w:hAnsi="Times New Roman" w:cs="Times New Roman"/>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5793E90F">
      <w:pPr>
        <w:spacing w:line="360" w:lineRule="auto"/>
        <w:jc w:val="center"/>
        <w:rPr>
          <w:rFonts w:hint="default" w:ascii="Times New Roman" w:hAnsi="Times New Roman" w:cs="Times New Roman"/>
          <w:b/>
          <w:color w:val="auto"/>
          <w:sz w:val="44"/>
          <w:szCs w:val="44"/>
          <w:highlight w:val="none"/>
        </w:rPr>
      </w:pPr>
    </w:p>
    <w:p w14:paraId="7EE29381">
      <w:pPr>
        <w:spacing w:line="360" w:lineRule="auto"/>
        <w:jc w:val="center"/>
        <w:rPr>
          <w:rFonts w:hint="default" w:ascii="Times New Roman" w:hAnsi="Times New Roman" w:cs="Times New Roman"/>
          <w:b/>
          <w:color w:val="auto"/>
          <w:sz w:val="44"/>
          <w:szCs w:val="44"/>
          <w:highlight w:val="none"/>
        </w:rPr>
      </w:pPr>
    </w:p>
    <w:p w14:paraId="1371AD7D">
      <w:pPr>
        <w:spacing w:line="36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目 录</w:t>
      </w:r>
    </w:p>
    <w:p w14:paraId="68B0BD85">
      <w:pPr>
        <w:spacing w:line="400" w:lineRule="exact"/>
        <w:jc w:val="center"/>
        <w:rPr>
          <w:rFonts w:hint="default" w:ascii="Times New Roman" w:hAnsi="Times New Roman" w:cs="Times New Roman"/>
          <w:b/>
          <w:color w:val="auto"/>
          <w:sz w:val="44"/>
          <w:szCs w:val="44"/>
          <w:highlight w:val="none"/>
        </w:rPr>
      </w:pPr>
    </w:p>
    <w:p w14:paraId="1D3A3D57">
      <w:pPr>
        <w:pStyle w:val="32"/>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TOC \o "1-3" \h \z \u</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"_Toc74323456"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第一章竞争性磋商公告</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_Toc74323456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45A71060">
      <w:pPr>
        <w:pStyle w:val="32"/>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"_Toc74323457"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第二章供应</w:t>
      </w:r>
      <w:bookmarkStart w:id="0" w:name="_Hlt82161237"/>
      <w:r>
        <w:rPr>
          <w:rStyle w:val="56"/>
          <w:rFonts w:hint="default" w:ascii="Times New Roman" w:hAnsi="Times New Roman" w:cs="Times New Roman"/>
          <w:b/>
          <w:color w:val="auto"/>
          <w:sz w:val="24"/>
          <w:highlight w:val="none"/>
        </w:rPr>
        <w:t>商</w:t>
      </w:r>
      <w:bookmarkEnd w:id="0"/>
      <w:r>
        <w:rPr>
          <w:rStyle w:val="56"/>
          <w:rFonts w:hint="default" w:ascii="Times New Roman" w:hAnsi="Times New Roman" w:cs="Times New Roman"/>
          <w:b/>
          <w:color w:val="auto"/>
          <w:sz w:val="24"/>
          <w:highlight w:val="none"/>
        </w:rPr>
        <w:t>须</w:t>
      </w:r>
      <w:bookmarkStart w:id="1" w:name="_Hlt123912042"/>
      <w:r>
        <w:rPr>
          <w:rStyle w:val="56"/>
          <w:rFonts w:hint="default" w:ascii="Times New Roman" w:hAnsi="Times New Roman" w:cs="Times New Roman"/>
          <w:b/>
          <w:color w:val="auto"/>
          <w:sz w:val="24"/>
          <w:highlight w:val="none"/>
        </w:rPr>
        <w:t>知</w:t>
      </w:r>
      <w:bookmarkEnd w:id="1"/>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_Toc74323457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6</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670F64D0">
      <w:pPr>
        <w:pStyle w:val="32"/>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"_Toc74323458"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第三章采</w:t>
      </w:r>
      <w:bookmarkStart w:id="2" w:name="_Hlt123913427"/>
      <w:bookmarkStart w:id="3" w:name="_Hlt123905034"/>
      <w:bookmarkStart w:id="4" w:name="_Hlt123903950"/>
      <w:r>
        <w:rPr>
          <w:rStyle w:val="56"/>
          <w:rFonts w:hint="default" w:ascii="Times New Roman" w:hAnsi="Times New Roman" w:cs="Times New Roman"/>
          <w:b/>
          <w:color w:val="auto"/>
          <w:sz w:val="24"/>
          <w:highlight w:val="none"/>
        </w:rPr>
        <w:t>购</w:t>
      </w:r>
      <w:bookmarkEnd w:id="2"/>
      <w:bookmarkEnd w:id="3"/>
      <w:bookmarkEnd w:id="4"/>
      <w:bookmarkStart w:id="5" w:name="_Hlt123913500"/>
      <w:r>
        <w:rPr>
          <w:rStyle w:val="56"/>
          <w:rFonts w:hint="default" w:ascii="Times New Roman" w:hAnsi="Times New Roman" w:cs="Times New Roman"/>
          <w:b/>
          <w:color w:val="auto"/>
          <w:sz w:val="24"/>
          <w:highlight w:val="none"/>
        </w:rPr>
        <w:t>需</w:t>
      </w:r>
      <w:bookmarkEnd w:id="5"/>
      <w:bookmarkStart w:id="6" w:name="_Hlt82166940"/>
      <w:r>
        <w:rPr>
          <w:rStyle w:val="56"/>
          <w:rFonts w:hint="default" w:ascii="Times New Roman" w:hAnsi="Times New Roman" w:cs="Times New Roman"/>
          <w:b/>
          <w:color w:val="auto"/>
          <w:sz w:val="24"/>
          <w:highlight w:val="none"/>
        </w:rPr>
        <w:t>求</w:t>
      </w:r>
      <w:bookmarkEnd w:id="6"/>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_Toc74323458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22</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1FEE3570">
      <w:pPr>
        <w:pStyle w:val="32"/>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"_Toc74323459"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第四章评审</w:t>
      </w:r>
      <w:bookmarkStart w:id="7" w:name="_Hlt124354839"/>
      <w:r>
        <w:rPr>
          <w:rStyle w:val="56"/>
          <w:rFonts w:hint="default" w:ascii="Times New Roman" w:hAnsi="Times New Roman" w:cs="Times New Roman"/>
          <w:b/>
          <w:color w:val="auto"/>
          <w:sz w:val="24"/>
          <w:highlight w:val="none"/>
        </w:rPr>
        <w:t>程</w:t>
      </w:r>
      <w:bookmarkEnd w:id="7"/>
      <w:r>
        <w:rPr>
          <w:rStyle w:val="56"/>
          <w:rFonts w:hint="default" w:ascii="Times New Roman" w:hAnsi="Times New Roman" w:cs="Times New Roman"/>
          <w:b/>
          <w:color w:val="auto"/>
          <w:sz w:val="24"/>
          <w:highlight w:val="none"/>
        </w:rPr>
        <w:t>序、</w:t>
      </w:r>
      <w:bookmarkStart w:id="8" w:name="_Hlt82166000"/>
      <w:r>
        <w:rPr>
          <w:rStyle w:val="56"/>
          <w:rFonts w:hint="default" w:ascii="Times New Roman" w:hAnsi="Times New Roman" w:cs="Times New Roman"/>
          <w:b/>
          <w:color w:val="auto"/>
          <w:sz w:val="24"/>
          <w:highlight w:val="none"/>
        </w:rPr>
        <w:t>评</w:t>
      </w:r>
      <w:bookmarkEnd w:id="8"/>
      <w:r>
        <w:rPr>
          <w:rStyle w:val="56"/>
          <w:rFonts w:hint="default" w:ascii="Times New Roman" w:hAnsi="Times New Roman" w:cs="Times New Roman"/>
          <w:b/>
          <w:color w:val="auto"/>
          <w:sz w:val="24"/>
          <w:highlight w:val="none"/>
        </w:rPr>
        <w:t>审方法和评审标准</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_Toc74323459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24</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0603CD88">
      <w:pPr>
        <w:pStyle w:val="32"/>
        <w:tabs>
          <w:tab w:val="right" w:leader="dot" w:pos="8869"/>
        </w:tabs>
        <w:snapToGrid w:val="0"/>
        <w:spacing w:line="500" w:lineRule="atLeast"/>
        <w:rPr>
          <w:rFonts w:hint="default" w:ascii="Times New Roman" w:hAnsi="Times New Roman" w:cs="Times New Roman"/>
          <w:b/>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"_Toc74323460"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第五章响应</w:t>
      </w:r>
      <w:bookmarkStart w:id="9" w:name="_Hlt123912950"/>
      <w:r>
        <w:rPr>
          <w:rStyle w:val="56"/>
          <w:rFonts w:hint="default" w:ascii="Times New Roman" w:hAnsi="Times New Roman" w:cs="Times New Roman"/>
          <w:b/>
          <w:color w:val="auto"/>
          <w:sz w:val="24"/>
          <w:highlight w:val="none"/>
        </w:rPr>
        <w:t>文</w:t>
      </w:r>
      <w:bookmarkEnd w:id="9"/>
      <w:bookmarkStart w:id="10" w:name="_Hlt123911868"/>
      <w:r>
        <w:rPr>
          <w:rStyle w:val="56"/>
          <w:rFonts w:hint="default" w:ascii="Times New Roman" w:hAnsi="Times New Roman" w:cs="Times New Roman"/>
          <w:b/>
          <w:color w:val="auto"/>
          <w:sz w:val="24"/>
          <w:highlight w:val="none"/>
        </w:rPr>
        <w:t>件</w:t>
      </w:r>
      <w:bookmarkEnd w:id="10"/>
      <w:r>
        <w:rPr>
          <w:rStyle w:val="56"/>
          <w:rFonts w:hint="default" w:ascii="Times New Roman" w:hAnsi="Times New Roman" w:cs="Times New Roman"/>
          <w:b/>
          <w:color w:val="auto"/>
          <w:sz w:val="24"/>
          <w:highlight w:val="none"/>
        </w:rPr>
        <w:t>格式</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_Toc74323460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38</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047CDEAD">
      <w:pPr>
        <w:pStyle w:val="32"/>
        <w:tabs>
          <w:tab w:val="right" w:leader="dot" w:pos="8869"/>
        </w:tabs>
        <w:snapToGrid w:val="0"/>
        <w:spacing w:line="500" w:lineRule="atLeast"/>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"_Toc74323461" </w:instrText>
      </w:r>
      <w:r>
        <w:rPr>
          <w:rFonts w:hint="default" w:ascii="Times New Roman" w:hAnsi="Times New Roman" w:cs="Times New Roman"/>
          <w:color w:val="auto"/>
          <w:highlight w:val="none"/>
        </w:rPr>
        <w:fldChar w:fldCharType="separate"/>
      </w:r>
      <w:r>
        <w:rPr>
          <w:rStyle w:val="56"/>
          <w:rFonts w:hint="default" w:ascii="Times New Roman" w:hAnsi="Times New Roman" w:cs="Times New Roman"/>
          <w:b/>
          <w:color w:val="auto"/>
          <w:sz w:val="24"/>
          <w:highlight w:val="none"/>
        </w:rPr>
        <w:t>第六章合同文本</w:t>
      </w:r>
      <w:r>
        <w:rPr>
          <w:rFonts w:hint="default" w:ascii="Times New Roman" w:hAnsi="Times New Roman" w:cs="Times New Roman"/>
          <w:b/>
          <w:color w:val="auto"/>
          <w:sz w:val="24"/>
          <w:highlight w:val="none"/>
        </w:rPr>
        <w:tab/>
      </w:r>
      <w:r>
        <w:rPr>
          <w:rFonts w:hint="default" w:ascii="Times New Roman" w:hAnsi="Times New Roman" w:cs="Times New Roman"/>
          <w:b/>
          <w:color w:val="auto"/>
          <w:sz w:val="24"/>
          <w:highlight w:val="none"/>
        </w:rPr>
        <w:fldChar w:fldCharType="begin"/>
      </w:r>
      <w:r>
        <w:rPr>
          <w:rFonts w:hint="default" w:ascii="Times New Roman" w:hAnsi="Times New Roman" w:cs="Times New Roman"/>
          <w:b/>
          <w:color w:val="auto"/>
          <w:sz w:val="24"/>
          <w:highlight w:val="none"/>
        </w:rPr>
        <w:instrText xml:space="preserve"> PAGEREF _Toc74323461 \h </w:instrText>
      </w:r>
      <w:r>
        <w:rPr>
          <w:rFonts w:hint="default" w:ascii="Times New Roman" w:hAnsi="Times New Roman" w:cs="Times New Roman"/>
          <w:b/>
          <w:color w:val="auto"/>
          <w:sz w:val="24"/>
          <w:highlight w:val="none"/>
        </w:rPr>
        <w:fldChar w:fldCharType="separate"/>
      </w:r>
      <w:r>
        <w:rPr>
          <w:rFonts w:hint="default" w:ascii="Times New Roman" w:hAnsi="Times New Roman" w:cs="Times New Roman"/>
          <w:b/>
          <w:color w:val="auto"/>
          <w:sz w:val="24"/>
          <w:highlight w:val="none"/>
        </w:rPr>
        <w:t>91</w:t>
      </w:r>
      <w:r>
        <w:rPr>
          <w:rFonts w:hint="default" w:ascii="Times New Roman" w:hAnsi="Times New Roman" w:cs="Times New Roman"/>
          <w:b/>
          <w:color w:val="auto"/>
          <w:sz w:val="24"/>
          <w:highlight w:val="none"/>
        </w:rPr>
        <w:fldChar w:fldCharType="end"/>
      </w:r>
      <w:r>
        <w:rPr>
          <w:rFonts w:hint="default" w:ascii="Times New Roman" w:hAnsi="Times New Roman" w:cs="Times New Roman"/>
          <w:b/>
          <w:color w:val="auto"/>
          <w:sz w:val="24"/>
          <w:highlight w:val="none"/>
        </w:rPr>
        <w:fldChar w:fldCharType="end"/>
      </w:r>
    </w:p>
    <w:p w14:paraId="64ED7E61">
      <w:pPr>
        <w:pStyle w:val="38"/>
        <w:tabs>
          <w:tab w:val="right" w:leader="dot" w:pos="8931"/>
          <w:tab w:val="clear" w:pos="8296"/>
        </w:tabs>
        <w:snapToGrid w:val="0"/>
        <w:spacing w:line="500" w:lineRule="atLeast"/>
        <w:ind w:left="0" w:leftChars="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fldChar w:fldCharType="end"/>
      </w:r>
    </w:p>
    <w:p w14:paraId="69814E02">
      <w:pPr>
        <w:spacing w:line="400" w:lineRule="exact"/>
        <w:rPr>
          <w:rFonts w:hint="default" w:ascii="Times New Roman" w:hAnsi="Times New Roman"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77E02EBA">
      <w:pPr>
        <w:pStyle w:val="7"/>
        <w:spacing w:after="340" w:line="360" w:lineRule="auto"/>
        <w:jc w:val="center"/>
        <w:rPr>
          <w:rFonts w:hint="default" w:ascii="Times New Roman" w:hAnsi="Times New Roman" w:cs="Times New Roman"/>
          <w:color w:val="auto"/>
          <w:highlight w:val="none"/>
        </w:rPr>
      </w:pPr>
      <w:bookmarkStart w:id="11" w:name="_Toc74323456"/>
      <w:r>
        <w:rPr>
          <w:rFonts w:hint="default" w:ascii="Times New Roman" w:hAnsi="Times New Roman" w:cs="Times New Roman"/>
          <w:color w:val="auto"/>
          <w:highlight w:val="none"/>
        </w:rPr>
        <w:t>第一章竞争性磋商公告</w:t>
      </w:r>
      <w:bookmarkEnd w:id="11"/>
    </w:p>
    <w:p w14:paraId="67C7FDC0">
      <w:pPr>
        <w:spacing w:line="400" w:lineRule="exact"/>
        <w:jc w:val="center"/>
        <w:rPr>
          <w:rFonts w:hint="default" w:ascii="Times New Roman" w:hAnsi="Times New Roman" w:eastAsia="宋体" w:cs="Times New Roman"/>
          <w:b/>
          <w:bCs/>
          <w:color w:val="auto"/>
          <w:sz w:val="32"/>
          <w:szCs w:val="32"/>
          <w:highlight w:val="none"/>
          <w:lang w:val="en-US" w:eastAsia="zh-CN"/>
        </w:rPr>
      </w:pPr>
      <w:r>
        <w:rPr>
          <w:rFonts w:hint="eastAsia" w:cs="Times New Roman"/>
          <w:b/>
          <w:bCs/>
          <w:color w:val="auto"/>
          <w:sz w:val="32"/>
          <w:szCs w:val="32"/>
          <w:highlight w:val="none"/>
          <w:lang w:eastAsia="zh-CN"/>
        </w:rPr>
        <w:t>广西华进项目管理有限公司</w:t>
      </w:r>
      <w:r>
        <w:rPr>
          <w:rFonts w:hint="default" w:ascii="Times New Roman" w:hAnsi="Times New Roman" w:cs="Times New Roman"/>
          <w:b/>
          <w:bCs/>
          <w:color w:val="auto"/>
          <w:sz w:val="32"/>
          <w:szCs w:val="32"/>
          <w:highlight w:val="none"/>
        </w:rPr>
        <w:t>关于</w:t>
      </w:r>
      <w:r>
        <w:rPr>
          <w:rFonts w:hint="eastAsia" w:cs="Times New Roman"/>
          <w:b/>
          <w:bCs/>
          <w:color w:val="auto"/>
          <w:sz w:val="32"/>
          <w:szCs w:val="32"/>
          <w:highlight w:val="none"/>
          <w:lang w:eastAsia="zh-CN"/>
        </w:rPr>
        <w:t>大新县下雷镇“五个共同”主题边境地区人居环境整治项目</w:t>
      </w:r>
      <w:r>
        <w:rPr>
          <w:rFonts w:hint="default" w:ascii="Times New Roman" w:hAnsi="Times New Roman" w:cs="Times New Roman"/>
          <w:b/>
          <w:bCs/>
          <w:color w:val="auto"/>
          <w:sz w:val="32"/>
          <w:szCs w:val="32"/>
          <w:highlight w:val="none"/>
        </w:rPr>
        <w:t>的竞争性磋商公告（远程异地评标）</w:t>
      </w:r>
    </w:p>
    <w:p w14:paraId="4F68D012">
      <w:pPr>
        <w:spacing w:line="360" w:lineRule="auto"/>
        <w:rPr>
          <w:rFonts w:hint="default" w:ascii="Times New Roman" w:hAnsi="Times New Roman" w:cs="Times New Roman"/>
          <w:color w:val="auto"/>
          <w:szCs w:val="21"/>
          <w:highlight w:val="none"/>
        </w:rPr>
      </w:pPr>
    </w:p>
    <w:p w14:paraId="081C4EDE">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color w:val="auto"/>
          <w:szCs w:val="21"/>
          <w:highlight w:val="none"/>
        </w:rPr>
      </w:pPr>
      <w:bookmarkStart w:id="12" w:name="_Hlk37430271"/>
      <w:r>
        <w:rPr>
          <w:rFonts w:hint="default" w:ascii="Times New Roman" w:hAnsi="Times New Roman" w:cs="Times New Roman"/>
          <w:color w:val="auto"/>
          <w:szCs w:val="21"/>
          <w:highlight w:val="none"/>
        </w:rPr>
        <w:t>项目概况</w:t>
      </w:r>
    </w:p>
    <w:p w14:paraId="06D9646D">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color w:val="auto"/>
          <w:szCs w:val="21"/>
          <w:highlight w:val="none"/>
        </w:rPr>
      </w:pPr>
      <w:r>
        <w:rPr>
          <w:rFonts w:hint="eastAsia" w:cs="Times New Roman"/>
          <w:color w:val="auto"/>
          <w:szCs w:val="21"/>
          <w:highlight w:val="none"/>
          <w:lang w:eastAsia="zh-CN"/>
        </w:rPr>
        <w:t>大新县下雷镇“五个共同”主题边境地区人居环境整治项目</w:t>
      </w:r>
      <w:r>
        <w:rPr>
          <w:rFonts w:hint="default" w:ascii="Times New Roman" w:hAnsi="Times New Roman" w:cs="Times New Roman"/>
          <w:color w:val="auto"/>
          <w:szCs w:val="21"/>
          <w:highlight w:val="none"/>
        </w:rPr>
        <w:t>采购项目的潜在供应商应在广西政府采购云平台获取（下载）竞争性磋商文件，并于202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16</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 xml:space="preserve">  14</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 xml:space="preserve"> 30</w:t>
      </w:r>
      <w:r>
        <w:rPr>
          <w:rFonts w:hint="default" w:ascii="Times New Roman" w:hAnsi="Times New Roman" w:cs="Times New Roman"/>
          <w:bCs/>
          <w:color w:val="auto"/>
          <w:szCs w:val="21"/>
          <w:highlight w:val="none"/>
        </w:rPr>
        <w:t>（北京时间）前提交（上传）</w:t>
      </w:r>
      <w:r>
        <w:rPr>
          <w:rFonts w:hint="default" w:ascii="Times New Roman" w:hAnsi="Times New Roman" w:cs="Times New Roman"/>
          <w:color w:val="auto"/>
          <w:szCs w:val="21"/>
          <w:highlight w:val="none"/>
        </w:rPr>
        <w:t>响应</w:t>
      </w:r>
      <w:r>
        <w:rPr>
          <w:rFonts w:hint="default" w:ascii="Times New Roman" w:hAnsi="Times New Roman" w:cs="Times New Roman"/>
          <w:bCs/>
          <w:color w:val="auto"/>
          <w:szCs w:val="21"/>
          <w:highlight w:val="none"/>
        </w:rPr>
        <w:t>文件</w:t>
      </w:r>
      <w:r>
        <w:rPr>
          <w:rFonts w:hint="default" w:ascii="Times New Roman" w:hAnsi="Times New Roman" w:cs="Times New Roman"/>
          <w:color w:val="auto"/>
          <w:szCs w:val="21"/>
          <w:highlight w:val="none"/>
        </w:rPr>
        <w:t>。</w:t>
      </w:r>
    </w:p>
    <w:p w14:paraId="3FD49F57">
      <w:pPr>
        <w:spacing w:line="360" w:lineRule="auto"/>
        <w:ind w:firstLine="354" w:firstLineChars="147"/>
        <w:rPr>
          <w:rFonts w:hint="default" w:ascii="Times New Roman" w:hAnsi="Times New Roman" w:eastAsia="黑体" w:cs="Times New Roman"/>
          <w:b/>
          <w:color w:val="auto"/>
          <w:sz w:val="24"/>
          <w:highlight w:val="none"/>
        </w:rPr>
      </w:pPr>
      <w:bookmarkStart w:id="13" w:name="_Toc35393798"/>
      <w:bookmarkStart w:id="14" w:name="_Toc71365905"/>
      <w:bookmarkStart w:id="15" w:name="_Toc28359012"/>
      <w:bookmarkStart w:id="16" w:name="_Toc35393629"/>
      <w:bookmarkStart w:id="17" w:name="_Toc44229878"/>
      <w:bookmarkStart w:id="18" w:name="_Toc28359089"/>
      <w:r>
        <w:rPr>
          <w:rFonts w:hint="default" w:ascii="Times New Roman" w:hAnsi="Times New Roman" w:eastAsia="黑体" w:cs="Times New Roman"/>
          <w:b/>
          <w:color w:val="auto"/>
          <w:sz w:val="24"/>
          <w:highlight w:val="none"/>
        </w:rPr>
        <w:t>一、项目基本情况</w:t>
      </w:r>
      <w:bookmarkEnd w:id="13"/>
      <w:bookmarkEnd w:id="14"/>
      <w:bookmarkEnd w:id="15"/>
      <w:bookmarkEnd w:id="16"/>
      <w:bookmarkEnd w:id="17"/>
      <w:bookmarkEnd w:id="18"/>
    </w:p>
    <w:p w14:paraId="30CA199E">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项目编号：CZZC2025-C2-240087-GXHJ</w:t>
      </w:r>
      <w:r>
        <w:rPr>
          <w:rFonts w:hint="default" w:ascii="Times New Roman" w:hAnsi="Times New Roman" w:cs="Times New Roman"/>
          <w:color w:val="auto"/>
          <w:szCs w:val="21"/>
          <w:highlight w:val="none"/>
          <w:lang w:val="en-US" w:eastAsia="zh-CN"/>
        </w:rPr>
        <w:t xml:space="preserve"> </w:t>
      </w:r>
    </w:p>
    <w:p w14:paraId="3AA30AD1">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cs="Times New Roman"/>
          <w:color w:val="auto"/>
          <w:szCs w:val="21"/>
          <w:highlight w:val="none"/>
          <w:lang w:eastAsia="zh-CN"/>
        </w:rPr>
        <w:t>大新县下雷镇“五个共同”主题边境地区人居环境整治项目</w:t>
      </w:r>
    </w:p>
    <w:p w14:paraId="0B218C2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采购方式：竞争性磋商</w:t>
      </w:r>
    </w:p>
    <w:p w14:paraId="097A721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预算金额：</w:t>
      </w:r>
      <w:r>
        <w:rPr>
          <w:rFonts w:hint="eastAsia" w:cs="Times New Roman"/>
          <w:color w:val="auto"/>
          <w:szCs w:val="21"/>
          <w:highlight w:val="none"/>
          <w:lang w:val="en-US" w:eastAsia="zh-CN"/>
        </w:rPr>
        <w:t>925283.34</w:t>
      </w:r>
      <w:r>
        <w:rPr>
          <w:rFonts w:hint="default" w:ascii="Times New Roman" w:hAnsi="Times New Roman" w:cs="Times New Roman"/>
          <w:color w:val="auto"/>
          <w:szCs w:val="21"/>
          <w:highlight w:val="none"/>
        </w:rPr>
        <w:t>元</w:t>
      </w:r>
    </w:p>
    <w:p w14:paraId="1B56667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采购需求：</w:t>
      </w:r>
    </w:p>
    <w:p w14:paraId="6BB7FF4C">
      <w:pPr>
        <w:spacing w:line="360" w:lineRule="auto"/>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标项名称</w:t>
      </w:r>
      <w:r>
        <w:rPr>
          <w:rFonts w:hint="default" w:ascii="Times New Roman" w:hAnsi="Times New Roman" w:cs="Times New Roman"/>
          <w:color w:val="auto"/>
          <w:szCs w:val="21"/>
          <w:highlight w:val="none"/>
          <w:lang w:eastAsia="zh-CN"/>
        </w:rPr>
        <w:t>：</w:t>
      </w:r>
      <w:r>
        <w:rPr>
          <w:rFonts w:hint="eastAsia" w:cs="Times New Roman"/>
          <w:color w:val="auto"/>
          <w:szCs w:val="21"/>
          <w:highlight w:val="none"/>
          <w:lang w:eastAsia="zh-CN"/>
        </w:rPr>
        <w:t>大新县下雷镇“五个共同”主题边境地区人居环境整治项目</w:t>
      </w:r>
    </w:p>
    <w:p w14:paraId="1642825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数量:不限</w:t>
      </w:r>
    </w:p>
    <w:p w14:paraId="76B180A0">
      <w:pPr>
        <w:spacing w:line="360" w:lineRule="auto"/>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预算金额（元）</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highlight w:val="none"/>
          <w:lang w:val="en-US" w:eastAsia="zh-CN"/>
        </w:rPr>
        <w:t>925283.34</w:t>
      </w:r>
      <w:r>
        <w:rPr>
          <w:rFonts w:hint="default" w:ascii="Times New Roman" w:hAnsi="Times New Roman" w:cs="Times New Roman"/>
          <w:color w:val="auto"/>
          <w:szCs w:val="21"/>
          <w:highlight w:val="none"/>
          <w:lang w:val="en-US" w:eastAsia="zh-CN"/>
        </w:rPr>
        <w:t>元</w:t>
      </w:r>
    </w:p>
    <w:p w14:paraId="5408620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简要规格描述或项目基本概况介绍、用途：</w:t>
      </w:r>
      <w:r>
        <w:rPr>
          <w:rFonts w:hint="eastAsia" w:cs="Times New Roman"/>
          <w:color w:val="auto"/>
          <w:szCs w:val="21"/>
          <w:highlight w:val="none"/>
          <w:lang w:eastAsia="zh-CN"/>
        </w:rPr>
        <w:t>大新县下雷镇“五个共同”主题边境地区人居环境整治项目</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rPr>
        <w:t>。</w:t>
      </w:r>
    </w:p>
    <w:p w14:paraId="330C6A39">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最高限价（如有）：</w:t>
      </w:r>
      <w:r>
        <w:rPr>
          <w:rFonts w:hint="default" w:ascii="Times New Roman" w:hAnsi="Times New Roman" w:cs="Times New Roman"/>
          <w:color w:val="auto"/>
          <w:szCs w:val="21"/>
          <w:highlight w:val="none"/>
          <w:lang w:val="en-US" w:eastAsia="zh-CN"/>
        </w:rPr>
        <w:t>925283.34</w:t>
      </w:r>
      <w:r>
        <w:rPr>
          <w:rFonts w:hint="eastAsia" w:cs="Times New Roman"/>
          <w:color w:val="auto"/>
          <w:szCs w:val="21"/>
          <w:highlight w:val="none"/>
          <w:lang w:val="en-US" w:eastAsia="zh-CN"/>
        </w:rPr>
        <w:t xml:space="preserve">   </w:t>
      </w:r>
      <w:r>
        <w:rPr>
          <w:rFonts w:hint="default" w:ascii="Times New Roman" w:hAnsi="Times New Roman" w:cs="Times New Roman"/>
          <w:color w:val="auto"/>
          <w:szCs w:val="21"/>
          <w:highlight w:val="none"/>
          <w:lang w:val="en-US" w:eastAsia="zh-CN"/>
        </w:rPr>
        <w:t xml:space="preserve">  </w:t>
      </w:r>
    </w:p>
    <w:p w14:paraId="7317E44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合同履约期限：</w:t>
      </w:r>
      <w:r>
        <w:rPr>
          <w:rFonts w:hint="eastAsia" w:cs="Times New Roman"/>
          <w:color w:val="auto"/>
          <w:szCs w:val="21"/>
          <w:highlight w:val="none"/>
          <w:lang w:val="en-US" w:eastAsia="zh-CN"/>
        </w:rPr>
        <w:t>120</w:t>
      </w:r>
      <w:r>
        <w:rPr>
          <w:rFonts w:hint="default" w:ascii="Times New Roman" w:hAnsi="Times New Roman" w:cs="Times New Roman"/>
          <w:color w:val="auto"/>
          <w:szCs w:val="21"/>
          <w:highlight w:val="none"/>
        </w:rPr>
        <w:t>日历天</w:t>
      </w:r>
    </w:p>
    <w:p w14:paraId="59079CF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本标项（否）接受联合体投标</w:t>
      </w:r>
    </w:p>
    <w:p w14:paraId="08976A2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62157110">
      <w:pPr>
        <w:spacing w:line="360" w:lineRule="auto"/>
        <w:ind w:firstLine="354" w:firstLineChars="147"/>
        <w:rPr>
          <w:rFonts w:hint="default" w:ascii="Times New Roman" w:hAnsi="Times New Roman" w:eastAsia="黑体" w:cs="Times New Roman"/>
          <w:b/>
          <w:color w:val="auto"/>
          <w:sz w:val="24"/>
          <w:highlight w:val="none"/>
        </w:rPr>
      </w:pPr>
      <w:bookmarkStart w:id="19" w:name="_Toc71365906"/>
      <w:bookmarkStart w:id="20" w:name="_Toc35393630"/>
      <w:bookmarkStart w:id="21" w:name="_Toc35393799"/>
      <w:bookmarkStart w:id="22" w:name="_Toc44229879"/>
      <w:bookmarkStart w:id="23" w:name="_Toc28359090"/>
      <w:bookmarkStart w:id="24" w:name="_Toc28359013"/>
      <w:r>
        <w:rPr>
          <w:rFonts w:hint="default" w:ascii="Times New Roman" w:hAnsi="Times New Roman" w:eastAsia="黑体" w:cs="Times New Roman"/>
          <w:b/>
          <w:color w:val="auto"/>
          <w:sz w:val="24"/>
          <w:highlight w:val="none"/>
        </w:rPr>
        <w:t>二、申请人的资格条件：</w:t>
      </w:r>
      <w:bookmarkEnd w:id="19"/>
      <w:bookmarkEnd w:id="20"/>
      <w:bookmarkEnd w:id="21"/>
      <w:bookmarkEnd w:id="22"/>
      <w:bookmarkEnd w:id="23"/>
      <w:bookmarkEnd w:id="24"/>
    </w:p>
    <w:p w14:paraId="29B24449">
      <w:pPr>
        <w:spacing w:line="360" w:lineRule="auto"/>
        <w:ind w:firstLine="420" w:firstLineChars="200"/>
        <w:rPr>
          <w:rFonts w:hint="default" w:ascii="Times New Roman" w:hAnsi="Times New Roman" w:cs="Times New Roman"/>
          <w:color w:val="auto"/>
          <w:szCs w:val="21"/>
          <w:highlight w:val="none"/>
        </w:rPr>
      </w:pPr>
      <w:bookmarkStart w:id="25" w:name="_Toc35393800"/>
      <w:bookmarkStart w:id="26" w:name="_Toc28359014"/>
      <w:bookmarkStart w:id="27" w:name="_Toc28359091"/>
      <w:bookmarkStart w:id="28" w:name="_Toc35393631"/>
      <w:bookmarkStart w:id="29" w:name="_Toc44229880"/>
      <w:r>
        <w:rPr>
          <w:rFonts w:hint="default" w:ascii="Times New Roman" w:hAnsi="Times New Roman" w:cs="Times New Roman"/>
          <w:color w:val="auto"/>
          <w:szCs w:val="21"/>
          <w:highlight w:val="none"/>
        </w:rPr>
        <w:t>1.满足《中华人民共和国政府采购法》第二十二条规定；</w:t>
      </w:r>
    </w:p>
    <w:p w14:paraId="7A4F9FFD">
      <w:pPr>
        <w:spacing w:line="360" w:lineRule="auto"/>
        <w:ind w:firstLine="420" w:firstLineChars="200"/>
        <w:rPr>
          <w:rStyle w:val="58"/>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2.落实政府采购政策需满足的资格要求：本项目为</w:t>
      </w:r>
      <w:r>
        <w:rPr>
          <w:rStyle w:val="58"/>
          <w:rFonts w:hint="default" w:ascii="Times New Roman" w:hAnsi="Times New Roman" w:cs="Times New Roman"/>
          <w:color w:val="auto"/>
          <w:szCs w:val="21"/>
          <w:highlight w:val="none"/>
        </w:rPr>
        <w:t>专门面向</w:t>
      </w:r>
      <w:r>
        <w:rPr>
          <w:rStyle w:val="58"/>
          <w:rFonts w:hint="eastAsia" w:cs="Times New Roman"/>
          <w:color w:val="auto"/>
          <w:szCs w:val="21"/>
          <w:highlight w:val="none"/>
          <w:lang w:val="en-US" w:eastAsia="zh-CN"/>
        </w:rPr>
        <w:t>中</w:t>
      </w:r>
      <w:r>
        <w:rPr>
          <w:rStyle w:val="58"/>
          <w:rFonts w:hint="default" w:ascii="Times New Roman" w:hAnsi="Times New Roman" w:cs="Times New Roman"/>
          <w:color w:val="auto"/>
          <w:szCs w:val="21"/>
          <w:highlight w:val="none"/>
        </w:rPr>
        <w:t>小企业采购的项目</w:t>
      </w:r>
      <w:r>
        <w:rPr>
          <w:rStyle w:val="58"/>
          <w:rFonts w:hint="default" w:ascii="Times New Roman" w:hAnsi="Times New Roman" w:cs="Times New Roman"/>
          <w:color w:val="auto"/>
          <w:szCs w:val="21"/>
          <w:highlight w:val="none"/>
          <w:lang w:eastAsia="zh-CN"/>
        </w:rPr>
        <w:t>，</w:t>
      </w:r>
      <w:r>
        <w:rPr>
          <w:rStyle w:val="58"/>
          <w:rFonts w:hint="default" w:ascii="Times New Roman" w:hAnsi="Times New Roman" w:cs="Times New Roman"/>
          <w:color w:val="auto"/>
          <w:szCs w:val="21"/>
          <w:highlight w:val="none"/>
        </w:rPr>
        <w:t>供应商应为</w:t>
      </w:r>
      <w:r>
        <w:rPr>
          <w:rStyle w:val="58"/>
          <w:rFonts w:hint="eastAsia" w:cs="Times New Roman"/>
          <w:color w:val="auto"/>
          <w:szCs w:val="21"/>
          <w:highlight w:val="none"/>
          <w:lang w:val="en-US" w:eastAsia="zh-CN"/>
        </w:rPr>
        <w:t>中</w:t>
      </w:r>
      <w:r>
        <w:rPr>
          <w:rStyle w:val="58"/>
          <w:rFonts w:hint="default" w:ascii="Times New Roman" w:hAnsi="Times New Roman" w:cs="Times New Roman"/>
          <w:color w:val="auto"/>
          <w:szCs w:val="21"/>
          <w:highlight w:val="none"/>
        </w:rPr>
        <w:t>小微企业或者监狱企业或者残疾人福利性单位。</w:t>
      </w:r>
    </w:p>
    <w:p w14:paraId="62BB3ABD">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eastAsia="宋体" w:cs="Times New Roman"/>
          <w:color w:val="auto"/>
          <w:szCs w:val="21"/>
          <w:highlight w:val="none"/>
        </w:rPr>
        <w:t>本项目的特定资格要求：</w:t>
      </w:r>
    </w:p>
    <w:p w14:paraId="6371D2D3">
      <w:pPr>
        <w:spacing w:line="360" w:lineRule="auto"/>
        <w:ind w:firstLine="420" w:firstLineChars="200"/>
        <w:rPr>
          <w:rFonts w:hint="eastAsia" w:ascii="Times New Roman" w:hAnsi="Times New Roman" w:eastAsia="宋体" w:cs="Times New Roman"/>
          <w:color w:val="auto"/>
          <w:szCs w:val="21"/>
          <w:highlight w:val="none"/>
        </w:rPr>
      </w:pPr>
      <w:bookmarkStart w:id="30" w:name="_Toc71365907"/>
      <w:r>
        <w:rPr>
          <w:rFonts w:hint="eastAsia" w:ascii="Times New Roman" w:hAnsi="Times New Roman" w:eastAsia="宋体" w:cs="Times New Roman"/>
          <w:color w:val="auto"/>
          <w:szCs w:val="21"/>
          <w:highlight w:val="none"/>
        </w:rPr>
        <w:t>（1）磋商供应商须具备市政公用工程施工总承包三级（含）及以上资质，具备有效的安全生产许可证，并在人员、设备、资金等方面具备相应的施工能力。</w:t>
      </w:r>
    </w:p>
    <w:p w14:paraId="7C24F029">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供应商拟派的项目经理须具备市政公用工程专业贰级(含)以上注册建造师执业资格及有效的安全生产考核合格证书（B类）。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18A600F2">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三、</w:t>
      </w:r>
      <w:bookmarkEnd w:id="25"/>
      <w:bookmarkEnd w:id="26"/>
      <w:bookmarkEnd w:id="27"/>
      <w:bookmarkEnd w:id="28"/>
      <w:bookmarkEnd w:id="29"/>
      <w:bookmarkEnd w:id="30"/>
      <w:r>
        <w:rPr>
          <w:rFonts w:hint="default" w:ascii="Times New Roman" w:hAnsi="Times New Roman" w:eastAsia="黑体" w:cs="Times New Roman"/>
          <w:b/>
          <w:color w:val="auto"/>
          <w:sz w:val="24"/>
          <w:highlight w:val="none"/>
        </w:rPr>
        <w:t>获取采购文件</w:t>
      </w:r>
    </w:p>
    <w:p w14:paraId="3B8721A9">
      <w:pPr>
        <w:spacing w:line="360" w:lineRule="auto"/>
        <w:ind w:firstLine="420" w:firstLineChars="200"/>
        <w:rPr>
          <w:rFonts w:hint="default" w:ascii="Times New Roman" w:hAnsi="Times New Roman" w:cs="Times New Roman"/>
          <w:bCs/>
          <w:color w:val="auto"/>
          <w:kern w:val="0"/>
          <w:szCs w:val="21"/>
          <w:highlight w:val="none"/>
        </w:rPr>
      </w:pPr>
      <w:bookmarkStart w:id="31" w:name="_Toc35393632"/>
      <w:bookmarkStart w:id="32" w:name="_Toc28359092"/>
      <w:bookmarkStart w:id="33" w:name="_Toc44229881"/>
      <w:bookmarkStart w:id="34" w:name="_Toc28359015"/>
      <w:bookmarkStart w:id="35" w:name="_Toc35393801"/>
      <w:r>
        <w:rPr>
          <w:rFonts w:hint="default" w:ascii="Times New Roman" w:hAnsi="Times New Roman" w:cs="Times New Roman"/>
          <w:bCs/>
          <w:color w:val="auto"/>
          <w:kern w:val="0"/>
          <w:szCs w:val="21"/>
          <w:highlight w:val="none"/>
        </w:rPr>
        <w:t>时间：202</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年</w:t>
      </w:r>
      <w:r>
        <w:rPr>
          <w:rFonts w:hint="eastAsia"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日至202</w:t>
      </w:r>
      <w:r>
        <w:rPr>
          <w:rFonts w:hint="eastAsia"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年</w:t>
      </w:r>
      <w:r>
        <w:rPr>
          <w:rFonts w:hint="eastAsia"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月</w:t>
      </w:r>
      <w:r>
        <w:rPr>
          <w:rFonts w:hint="eastAsia" w:cs="Times New Roman"/>
          <w:bCs/>
          <w:color w:val="auto"/>
          <w:kern w:val="0"/>
          <w:szCs w:val="21"/>
          <w:highlight w:val="none"/>
          <w:lang w:val="en-US" w:eastAsia="zh-CN"/>
        </w:rPr>
        <w:t>12</w:t>
      </w:r>
      <w:r>
        <w:rPr>
          <w:rFonts w:hint="default" w:ascii="Times New Roman" w:hAnsi="Times New Roman" w:cs="Times New Roman"/>
          <w:bCs/>
          <w:color w:val="auto"/>
          <w:kern w:val="0"/>
          <w:szCs w:val="21"/>
          <w:highlight w:val="none"/>
        </w:rPr>
        <w:t>日，每天上午00:00至12:00，下午12:00至23:59（北京时间，法定节假日除外）</w:t>
      </w:r>
    </w:p>
    <w:p w14:paraId="2773BE40">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 xml:space="preserve">地点（网址）：广西政府采购云平台线上获取 </w:t>
      </w:r>
    </w:p>
    <w:p w14:paraId="0CC01791">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方式：供应商登录</w:t>
      </w:r>
      <w:r>
        <w:rPr>
          <w:rFonts w:hint="default" w:ascii="Times New Roman" w:hAnsi="Times New Roman" w:cs="Times New Roman"/>
          <w:color w:val="auto"/>
          <w:highlight w:val="none"/>
        </w:rPr>
        <w:t>广西政府采购云平台</w:t>
      </w:r>
      <w:r>
        <w:rPr>
          <w:rFonts w:hint="default" w:ascii="Times New Roman" w:hAnsi="Times New Roman" w:cs="Times New Roman"/>
          <w:color w:val="auto"/>
          <w:szCs w:val="21"/>
          <w:highlight w:val="none"/>
        </w:rPr>
        <w:t>https://login.gcy.zfcg.gxzf.gov.cn</w:t>
      </w:r>
      <w:r>
        <w:rPr>
          <w:rFonts w:hint="default" w:ascii="Times New Roman" w:hAnsi="Times New Roman" w:cs="Times New Roman"/>
          <w:bCs/>
          <w:color w:val="auto"/>
          <w:kern w:val="0"/>
          <w:szCs w:val="21"/>
          <w:highlight w:val="none"/>
        </w:rPr>
        <w:t xml:space="preserve">在线申请获取采购文件（进入“项目采购”应用，在获取采购文件菜单中选择项目，申请获取采购文件） </w:t>
      </w:r>
    </w:p>
    <w:p w14:paraId="3A170241">
      <w:pPr>
        <w:spacing w:line="360" w:lineRule="auto"/>
        <w:ind w:firstLine="420" w:firstLineChars="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售价（元）：0</w:t>
      </w:r>
    </w:p>
    <w:p w14:paraId="2C6C81E0">
      <w:pPr>
        <w:spacing w:line="360" w:lineRule="auto"/>
        <w:ind w:firstLine="354" w:firstLineChars="147"/>
        <w:rPr>
          <w:rFonts w:hint="default" w:ascii="Times New Roman" w:hAnsi="Times New Roman" w:eastAsia="黑体" w:cs="Times New Roman"/>
          <w:b/>
          <w:color w:val="auto"/>
          <w:sz w:val="24"/>
          <w:highlight w:val="none"/>
        </w:rPr>
      </w:pPr>
      <w:bookmarkStart w:id="36" w:name="_Toc71365908"/>
      <w:r>
        <w:rPr>
          <w:rFonts w:hint="default" w:ascii="Times New Roman" w:hAnsi="Times New Roman" w:eastAsia="黑体" w:cs="Times New Roman"/>
          <w:b/>
          <w:color w:val="auto"/>
          <w:sz w:val="24"/>
          <w:highlight w:val="none"/>
        </w:rPr>
        <w:t>四、响应文件提交</w:t>
      </w:r>
      <w:bookmarkEnd w:id="31"/>
      <w:bookmarkEnd w:id="32"/>
      <w:bookmarkEnd w:id="33"/>
      <w:bookmarkEnd w:id="34"/>
      <w:bookmarkEnd w:id="35"/>
      <w:bookmarkEnd w:id="36"/>
    </w:p>
    <w:p w14:paraId="525268DC">
      <w:pPr>
        <w:spacing w:line="360" w:lineRule="auto"/>
        <w:ind w:firstLine="420" w:firstLineChars="200"/>
        <w:rPr>
          <w:rFonts w:hint="default" w:ascii="Times New Roman" w:hAnsi="Times New Roman" w:eastAsia="宋体" w:cs="Times New Roman"/>
          <w:color w:val="auto"/>
          <w:szCs w:val="21"/>
          <w:highlight w:val="none"/>
          <w:lang w:val="en-US" w:eastAsia="zh-CN"/>
        </w:rPr>
      </w:pPr>
      <w:bookmarkStart w:id="37" w:name="_Toc28359016"/>
      <w:bookmarkStart w:id="38" w:name="_Toc44229882"/>
      <w:bookmarkStart w:id="39" w:name="_Toc35393633"/>
      <w:bookmarkStart w:id="40" w:name="_Toc28359093"/>
      <w:bookmarkStart w:id="41" w:name="_Toc35393802"/>
      <w:r>
        <w:rPr>
          <w:rFonts w:hint="default" w:ascii="Times New Roman" w:hAnsi="Times New Roman" w:cs="Times New Roman"/>
          <w:color w:val="auto"/>
          <w:szCs w:val="21"/>
          <w:highlight w:val="none"/>
        </w:rPr>
        <w:t>截止时间：202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16</w:t>
      </w:r>
      <w:r>
        <w:rPr>
          <w:rFonts w:hint="default" w:ascii="Times New Roman" w:hAnsi="Times New Roman" w:cs="Times New Roman"/>
          <w:color w:val="auto"/>
          <w:szCs w:val="21"/>
          <w:highlight w:val="none"/>
        </w:rPr>
        <w:t xml:space="preserve">日 </w:t>
      </w:r>
      <w:r>
        <w:rPr>
          <w:rFonts w:hint="eastAsia" w:cs="Times New Roman"/>
          <w:color w:val="auto"/>
          <w:szCs w:val="21"/>
          <w:highlight w:val="none"/>
          <w:lang w:val="en-US" w:eastAsia="zh-CN"/>
        </w:rPr>
        <w:t>14: 30</w:t>
      </w:r>
      <w:r>
        <w:rPr>
          <w:rFonts w:hint="default" w:ascii="Times New Roman" w:hAnsi="Times New Roman" w:cs="Times New Roman"/>
          <w:color w:val="auto"/>
          <w:szCs w:val="21"/>
          <w:highlight w:val="none"/>
        </w:rPr>
        <w:t>（北京时间）</w:t>
      </w:r>
      <w:r>
        <w:rPr>
          <w:rFonts w:hint="default" w:ascii="Times New Roman" w:hAnsi="Times New Roman" w:cs="Times New Roman"/>
          <w:color w:val="auto"/>
          <w:szCs w:val="21"/>
          <w:highlight w:val="none"/>
          <w:lang w:val="en-US" w:eastAsia="zh-CN"/>
        </w:rPr>
        <w:t xml:space="preserve"> </w:t>
      </w:r>
    </w:p>
    <w:p w14:paraId="28DFBDD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地点（网址）：请登录广西政府采购云平台投标客户端投标</w:t>
      </w:r>
    </w:p>
    <w:p w14:paraId="2CC66F99">
      <w:pPr>
        <w:spacing w:line="360" w:lineRule="auto"/>
        <w:ind w:firstLine="354" w:firstLineChars="147"/>
        <w:rPr>
          <w:rFonts w:hint="default" w:ascii="Times New Roman" w:hAnsi="Times New Roman" w:eastAsia="黑体" w:cs="Times New Roman"/>
          <w:b/>
          <w:color w:val="auto"/>
          <w:sz w:val="24"/>
          <w:highlight w:val="none"/>
        </w:rPr>
      </w:pPr>
      <w:bookmarkStart w:id="42" w:name="_Toc71365909"/>
      <w:r>
        <w:rPr>
          <w:rFonts w:hint="default" w:ascii="Times New Roman" w:hAnsi="Times New Roman" w:eastAsia="黑体" w:cs="Times New Roman"/>
          <w:b/>
          <w:color w:val="auto"/>
          <w:sz w:val="24"/>
          <w:highlight w:val="none"/>
        </w:rPr>
        <w:t>五、响应文件开启</w:t>
      </w:r>
      <w:bookmarkEnd w:id="37"/>
      <w:bookmarkEnd w:id="38"/>
      <w:bookmarkEnd w:id="39"/>
      <w:bookmarkEnd w:id="40"/>
      <w:bookmarkEnd w:id="41"/>
      <w:bookmarkEnd w:id="42"/>
    </w:p>
    <w:p w14:paraId="6878C32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开启时间：202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16</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 xml:space="preserve"> </w:t>
      </w:r>
      <w:r>
        <w:rPr>
          <w:rFonts w:hint="default" w:ascii="Times New Roman" w:hAnsi="Times New Roman" w:cs="Times New Roman"/>
          <w:color w:val="auto"/>
          <w:szCs w:val="21"/>
          <w:highlight w:val="none"/>
          <w:lang w:val="en-US" w:eastAsia="zh-CN"/>
        </w:rPr>
        <w:t>14: 30</w:t>
      </w:r>
      <w:r>
        <w:rPr>
          <w:rFonts w:hint="default" w:ascii="Times New Roman" w:hAnsi="Times New Roman" w:cs="Times New Roman"/>
          <w:color w:val="auto"/>
          <w:szCs w:val="21"/>
          <w:highlight w:val="none"/>
        </w:rPr>
        <w:t xml:space="preserve"> （北京时间）</w:t>
      </w:r>
    </w:p>
    <w:p w14:paraId="7291E7B3">
      <w:pPr>
        <w:spacing w:line="360" w:lineRule="auto"/>
        <w:ind w:firstLine="420" w:firstLineChars="200"/>
        <w:rPr>
          <w:rFonts w:hint="default" w:ascii="Times New Roman" w:hAnsi="Times New Roman" w:cs="Times New Roman"/>
          <w:bCs/>
          <w:color w:val="0000FF"/>
          <w:kern w:val="0"/>
          <w:szCs w:val="21"/>
          <w:highlight w:val="none"/>
        </w:rPr>
      </w:pPr>
      <w:r>
        <w:rPr>
          <w:rFonts w:hint="default" w:ascii="Times New Roman" w:hAnsi="Times New Roman" w:cs="Times New Roman"/>
          <w:bCs/>
          <w:color w:val="auto"/>
          <w:kern w:val="0"/>
          <w:szCs w:val="21"/>
          <w:highlight w:val="none"/>
        </w:rPr>
        <w:t>地点：</w:t>
      </w:r>
      <w:r>
        <w:rPr>
          <w:rFonts w:hint="default" w:ascii="Times New Roman" w:hAnsi="Times New Roman" w:cs="Times New Roman"/>
          <w:bCs/>
          <w:color w:val="auto"/>
          <w:kern w:val="0"/>
          <w:highlight w:val="none"/>
        </w:rPr>
        <w:t>通过广西政府采购云平台实行在线电子响应。评标说明：本项目采用远程异地评标，全流程电子评标。评标主场设在崇左市花山路（嘉苑小区）S组团S-16号，副场设在</w:t>
      </w:r>
      <w:r>
        <w:rPr>
          <w:rFonts w:hint="eastAsia" w:cs="Times New Roman"/>
          <w:bCs/>
          <w:color w:val="auto"/>
          <w:kern w:val="0"/>
          <w:highlight w:val="none"/>
          <w:lang w:val="en-US" w:eastAsia="zh-CN"/>
        </w:rPr>
        <w:t>南宁市西乡塘区鲁班路73号（荔园路2号）尚饶华逸大厦A座22层</w:t>
      </w:r>
      <w:r>
        <w:rPr>
          <w:rFonts w:hint="default" w:ascii="Times New Roman" w:hAnsi="Times New Roman" w:cs="Times New Roman"/>
          <w:bCs/>
          <w:color w:val="auto"/>
          <w:kern w:val="0"/>
          <w:highlight w:val="none"/>
        </w:rPr>
        <w:t>。</w:t>
      </w:r>
    </w:p>
    <w:p w14:paraId="5D7B4444">
      <w:pPr>
        <w:spacing w:line="360" w:lineRule="auto"/>
        <w:ind w:firstLine="354" w:firstLineChars="147"/>
        <w:rPr>
          <w:rFonts w:hint="default" w:ascii="Times New Roman" w:hAnsi="Times New Roman" w:eastAsia="黑体" w:cs="Times New Roman"/>
          <w:b/>
          <w:color w:val="auto"/>
          <w:sz w:val="24"/>
          <w:highlight w:val="none"/>
        </w:rPr>
      </w:pPr>
      <w:bookmarkStart w:id="43" w:name="_Toc71365910"/>
      <w:bookmarkStart w:id="44" w:name="_Toc35393803"/>
      <w:bookmarkStart w:id="45" w:name="_Toc28359017"/>
      <w:bookmarkStart w:id="46" w:name="_Toc44229883"/>
      <w:bookmarkStart w:id="47" w:name="_Toc35393634"/>
      <w:bookmarkStart w:id="48" w:name="_Toc28359094"/>
      <w:r>
        <w:rPr>
          <w:rFonts w:hint="default" w:ascii="Times New Roman" w:hAnsi="Times New Roman" w:eastAsia="黑体" w:cs="Times New Roman"/>
          <w:b/>
          <w:color w:val="auto"/>
          <w:sz w:val="24"/>
          <w:highlight w:val="none"/>
        </w:rPr>
        <w:t>六、公告期限</w:t>
      </w:r>
      <w:bookmarkEnd w:id="43"/>
      <w:bookmarkEnd w:id="44"/>
      <w:bookmarkEnd w:id="45"/>
      <w:bookmarkEnd w:id="46"/>
      <w:bookmarkEnd w:id="47"/>
      <w:bookmarkEnd w:id="48"/>
    </w:p>
    <w:p w14:paraId="18F3F01C">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自本公告发布之日起</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个工作日。</w:t>
      </w:r>
    </w:p>
    <w:p w14:paraId="77413D52">
      <w:pPr>
        <w:spacing w:line="360" w:lineRule="auto"/>
        <w:ind w:firstLine="354" w:firstLineChars="147"/>
        <w:rPr>
          <w:rFonts w:hint="default" w:ascii="Times New Roman" w:hAnsi="Times New Roman" w:eastAsia="黑体" w:cs="Times New Roman"/>
          <w:b/>
          <w:color w:val="auto"/>
          <w:sz w:val="24"/>
          <w:highlight w:val="none"/>
        </w:rPr>
      </w:pPr>
      <w:bookmarkStart w:id="49" w:name="_Toc35393804"/>
      <w:bookmarkStart w:id="50" w:name="_Toc44229884"/>
      <w:bookmarkStart w:id="51" w:name="_Toc35393635"/>
      <w:bookmarkStart w:id="52" w:name="_Toc71365911"/>
      <w:r>
        <w:rPr>
          <w:rFonts w:hint="default" w:ascii="Times New Roman" w:hAnsi="Times New Roman" w:eastAsia="黑体" w:cs="Times New Roman"/>
          <w:b/>
          <w:color w:val="auto"/>
          <w:sz w:val="24"/>
          <w:highlight w:val="none"/>
        </w:rPr>
        <w:t>七、其他补充事宜</w:t>
      </w:r>
      <w:bookmarkEnd w:id="49"/>
      <w:bookmarkEnd w:id="50"/>
      <w:bookmarkEnd w:id="51"/>
      <w:bookmarkEnd w:id="52"/>
    </w:p>
    <w:p w14:paraId="59F6E45C">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1.网上查询地址</w:t>
      </w:r>
    </w:p>
    <w:p w14:paraId="6D11B666">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中国政府采购网、广西壮族自治区政府采购网</w:t>
      </w:r>
      <w:r>
        <w:rPr>
          <w:rFonts w:hint="default" w:ascii="Times New Roman" w:hAnsi="Times New Roman" w:cs="Times New Roman"/>
          <w:i/>
          <w:color w:val="auto"/>
          <w:kern w:val="0"/>
          <w:szCs w:val="21"/>
          <w:highlight w:val="none"/>
        </w:rPr>
        <w:t>。</w:t>
      </w:r>
    </w:p>
    <w:p w14:paraId="05A96F6F">
      <w:pPr>
        <w:spacing w:line="360" w:lineRule="auto"/>
        <w:ind w:firstLine="424" w:firstLineChars="202"/>
        <w:rPr>
          <w:rFonts w:hint="default" w:ascii="Times New Roman" w:hAnsi="Times New Roman" w:cs="Times New Roman"/>
          <w:color w:val="auto"/>
          <w:kern w:val="0"/>
          <w:szCs w:val="21"/>
          <w:highlight w:val="none"/>
        </w:rPr>
      </w:pPr>
      <w:bookmarkStart w:id="53" w:name="_Hlk37429674"/>
      <w:bookmarkStart w:id="54" w:name="_Toc28359095"/>
      <w:bookmarkStart w:id="55" w:name="_Toc35393805"/>
      <w:bookmarkStart w:id="56" w:name="_Toc28359018"/>
      <w:bookmarkStart w:id="57" w:name="_Toc35393636"/>
      <w:bookmarkStart w:id="58" w:name="_Toc44229885"/>
      <w:r>
        <w:rPr>
          <w:rFonts w:hint="default" w:ascii="Times New Roman" w:hAnsi="Times New Roman" w:cs="Times New Roman"/>
          <w:color w:val="auto"/>
          <w:szCs w:val="21"/>
          <w:highlight w:val="none"/>
        </w:rPr>
        <w:t>2.</w:t>
      </w:r>
      <w:r>
        <w:rPr>
          <w:rFonts w:hint="default" w:ascii="Times New Roman" w:hAnsi="Times New Roman" w:cs="Times New Roman"/>
          <w:color w:val="auto"/>
          <w:kern w:val="0"/>
          <w:szCs w:val="21"/>
          <w:highlight w:val="none"/>
        </w:rPr>
        <w:t>本项目需要落实的政府采购政策</w:t>
      </w:r>
    </w:p>
    <w:p w14:paraId="7BC11B75">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22C455F8">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07C34728">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2DA118B5">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5155AA12">
      <w:pPr>
        <w:spacing w:line="360" w:lineRule="auto"/>
        <w:ind w:firstLine="424" w:firstLineChars="202"/>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（5）政府采购支持监狱企业发展。</w:t>
      </w:r>
    </w:p>
    <w:bookmarkEnd w:id="53"/>
    <w:p w14:paraId="2B620866">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3.供应商</w:t>
      </w:r>
      <w:r>
        <w:rPr>
          <w:rFonts w:hint="default" w:ascii="Times New Roman" w:hAnsi="Times New Roman" w:cs="Times New Roman"/>
          <w:color w:val="auto"/>
          <w:szCs w:val="21"/>
          <w:highlight w:val="none"/>
        </w:rPr>
        <w:t>竞标注意事项</w:t>
      </w:r>
    </w:p>
    <w:p w14:paraId="06D4ADE4">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项目为全流程电子化采购项目，通过广西政府采购云平台（https://login.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default" w:ascii="Times New Roman" w:hAnsi="Times New Roman" w:cs="Times New Roman"/>
          <w:color w:val="auto"/>
          <w:highlight w:val="none"/>
        </w:rPr>
        <w:t>后缀名为“jmbs”的文件</w:t>
      </w:r>
      <w:r>
        <w:rPr>
          <w:rFonts w:hint="default" w:ascii="Times New Roman" w:hAnsi="Times New Roman" w:cs="Times New Roman"/>
          <w:color w:val="auto"/>
          <w:szCs w:val="21"/>
          <w:highlight w:val="none"/>
        </w:rPr>
        <w:t>），供应商在广西政府采购云平台提交电子响应文件时，请填写参加远程采购活动经办人联系方式。供应商登录广西政府采购云平台，依次进入“服务中心-项目采购-操作流程-电子招投标-</w:t>
      </w:r>
      <w:r>
        <w:rPr>
          <w:rFonts w:hint="default" w:ascii="Times New Roman" w:hAnsi="Times New Roman" w:cs="Times New Roman"/>
          <w:color w:val="auto"/>
          <w:highlight w:val="none"/>
        </w:rPr>
        <w:t>政府采购项目电子交易管理操作指南-供应商</w:t>
      </w:r>
      <w:r>
        <w:rPr>
          <w:rFonts w:hint="default" w:ascii="Times New Roman" w:hAnsi="Times New Roman" w:cs="Times New Roman"/>
          <w:color w:val="auto"/>
          <w:szCs w:val="21"/>
          <w:highlight w:val="none"/>
        </w:rPr>
        <w:t>”查看电子竞标具体操作流程。</w:t>
      </w:r>
    </w:p>
    <w:p w14:paraId="5A573F93">
      <w:pPr>
        <w:widowControl/>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default" w:ascii="Times New Roman" w:hAnsi="Times New Roman" w:cs="Times New Roman"/>
          <w:color w:val="auto"/>
          <w:kern w:val="0"/>
          <w:szCs w:val="21"/>
          <w:highlight w:val="none"/>
        </w:rPr>
        <w:t>广西政府采购云平台，</w:t>
      </w:r>
      <w:r>
        <w:rPr>
          <w:rFonts w:hint="default" w:ascii="Times New Roman" w:hAnsi="Times New Roman" w:cs="Times New Roman"/>
          <w:color w:val="auto"/>
          <w:szCs w:val="21"/>
          <w:highlight w:val="none"/>
        </w:rPr>
        <w:t>依次进入“服务中心-入驻与配置”中查看CA数字证书办理操作流程。如在操作过程中遇到问题或者需要技术支持，请致电广西政府采购云平台客服热线：95763）。</w:t>
      </w:r>
    </w:p>
    <w:p w14:paraId="0C5915C3">
      <w:pPr>
        <w:widowControl/>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（3）CA证书在线解密：首次响应文件开启时，需携带制作响应文件时用来加密的有效数字证书（CA认证）登录广西政府采购云平台</w:t>
      </w:r>
      <w:r>
        <w:rPr>
          <w:rFonts w:hint="default" w:ascii="Times New Roman" w:hAnsi="Times New Roman" w:cs="Times New Roman"/>
          <w:color w:val="auto"/>
          <w:kern w:val="0"/>
          <w:szCs w:val="21"/>
          <w:highlight w:val="none"/>
        </w:rPr>
        <w:t>电子开标大厅现场按规定时间对加密的响应文件进行解密，否则后果自负。</w:t>
      </w:r>
    </w:p>
    <w:p w14:paraId="0F997295">
      <w:pPr>
        <w:widowControl/>
        <w:spacing w:line="360" w:lineRule="auto"/>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default" w:ascii="Times New Roman" w:hAnsi="Times New Roman" w:cs="Times New Roman"/>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2851615">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（4）供应商需要在具备有摄像头及语音功能且互联网网络状况良好的电脑登录广西政府采购云平台远程开标大厅参与本次磋商，否则后果自负。</w:t>
      </w:r>
    </w:p>
    <w:p w14:paraId="43B7464E">
      <w:pPr>
        <w:widowControl/>
        <w:spacing w:line="360" w:lineRule="auto"/>
        <w:ind w:firstLine="422" w:firstLineChars="200"/>
        <w:jc w:val="lef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11DF55FB">
      <w:pPr>
        <w:pStyle w:val="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6.评标说明：本项目采用远程异地评标，全流程电子评标。评标主场设在崇左市花山路（嘉苑小区）S组团S-16号，副场设在</w:t>
      </w:r>
      <w:r>
        <w:rPr>
          <w:rFonts w:hint="eastAsia" w:cs="Times New Roman"/>
          <w:b/>
          <w:bCs/>
          <w:color w:val="auto"/>
          <w:kern w:val="2"/>
          <w:sz w:val="21"/>
          <w:szCs w:val="21"/>
          <w:highlight w:val="none"/>
          <w:lang w:val="en-US" w:eastAsia="zh-CN" w:bidi="ar-SA"/>
        </w:rPr>
        <w:t>南宁市西乡塘区鲁班路73号（荔园路2号）尚饶华逸大厦A座22层</w:t>
      </w:r>
      <w:r>
        <w:rPr>
          <w:rFonts w:hint="default" w:ascii="Times New Roman" w:hAnsi="Times New Roman" w:eastAsia="宋体" w:cs="Times New Roman"/>
          <w:b/>
          <w:bCs/>
          <w:color w:val="auto"/>
          <w:kern w:val="2"/>
          <w:sz w:val="21"/>
          <w:szCs w:val="21"/>
          <w:highlight w:val="none"/>
          <w:lang w:val="en-US" w:eastAsia="zh-CN" w:bidi="ar-SA"/>
        </w:rPr>
        <w:t xml:space="preserve">。 </w:t>
      </w:r>
    </w:p>
    <w:p w14:paraId="72FDCDDA">
      <w:pPr>
        <w:ind w:firstLine="422" w:firstLineChars="200"/>
        <w:jc w:val="left"/>
        <w:rPr>
          <w:rFonts w:hint="default"/>
          <w:lang w:val="en-US" w:eastAsia="zh-CN"/>
        </w:rPr>
      </w:pPr>
      <w:r>
        <w:rPr>
          <w:rFonts w:hint="eastAsia" w:cs="Times New Roman"/>
          <w:b/>
          <w:bCs/>
          <w:color w:val="auto"/>
          <w:kern w:val="2"/>
          <w:sz w:val="21"/>
          <w:szCs w:val="21"/>
          <w:highlight w:val="none"/>
          <w:lang w:val="en-US" w:eastAsia="zh-CN" w:bidi="ar-SA"/>
        </w:rPr>
        <w:t>7.采购意向公开链接：https://zfcg.gxzf.gov.cn/site/detail?categoryCode=reformColumn&amp;parentId=66601&amp;articleId=dLWYHNaeO0h8X+tFc7+jzg==</w:t>
      </w:r>
    </w:p>
    <w:p w14:paraId="637ED880">
      <w:pPr>
        <w:spacing w:line="360" w:lineRule="auto"/>
        <w:ind w:firstLine="354" w:firstLineChars="147"/>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八、凡对本次采购提出询问，请按以下方式联系。</w:t>
      </w:r>
      <w:bookmarkEnd w:id="54"/>
      <w:bookmarkEnd w:id="55"/>
      <w:bookmarkEnd w:id="56"/>
      <w:bookmarkEnd w:id="57"/>
      <w:bookmarkEnd w:id="58"/>
    </w:p>
    <w:bookmarkEnd w:id="12"/>
    <w:p w14:paraId="19CC47AE">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1.采购人信息</w:t>
      </w:r>
    </w:p>
    <w:p w14:paraId="372C97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名 称：</w:t>
      </w:r>
      <w:r>
        <w:rPr>
          <w:rFonts w:hint="default" w:ascii="Times New Roman" w:hAnsi="Times New Roman" w:cs="Times New Roman"/>
          <w:color w:val="auto"/>
          <w:highlight w:val="none"/>
          <w:lang w:eastAsia="zh-CN"/>
        </w:rPr>
        <w:t>大新县民族宗教服务中心</w:t>
      </w:r>
    </w:p>
    <w:p w14:paraId="1178B1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地址：</w:t>
      </w:r>
      <w:r>
        <w:rPr>
          <w:rFonts w:hint="default" w:ascii="Times New Roman" w:hAnsi="Times New Roman" w:cs="Times New Roman"/>
          <w:color w:val="auto"/>
          <w:szCs w:val="21"/>
          <w:highlight w:val="none"/>
          <w:lang w:eastAsia="zh-CN"/>
        </w:rPr>
        <w:t>大新县桃城镇民生街9号</w:t>
      </w:r>
    </w:p>
    <w:p w14:paraId="78B838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项目联系人</w:t>
      </w:r>
      <w:r>
        <w:rPr>
          <w:rFonts w:hint="default" w:ascii="Times New Roman" w:hAnsi="Times New Roman" w:cs="Times New Roman"/>
          <w:color w:val="auto"/>
          <w:szCs w:val="21"/>
          <w:highlight w:val="none"/>
        </w:rPr>
        <w:t xml:space="preserve">：覃工 </w:t>
      </w:r>
    </w:p>
    <w:p w14:paraId="49A6501F">
      <w:pPr>
        <w:spacing w:line="360" w:lineRule="auto"/>
        <w:ind w:firstLine="420" w:firstLineChars="200"/>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szCs w:val="21"/>
          <w:highlight w:val="none"/>
        </w:rPr>
        <w:t>项目联系方式：</w:t>
      </w:r>
      <w:r>
        <w:rPr>
          <w:rFonts w:hint="eastAsia" w:cs="Times New Roman"/>
          <w:color w:val="auto"/>
          <w:szCs w:val="21"/>
          <w:highlight w:val="none"/>
          <w:lang w:eastAsia="zh-CN"/>
        </w:rPr>
        <w:t>0771-3623226</w:t>
      </w:r>
    </w:p>
    <w:p w14:paraId="3E4A29EF">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2.采购代理机构信息</w:t>
      </w:r>
    </w:p>
    <w:p w14:paraId="7B78CE2A">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名称：</w:t>
      </w:r>
      <w:r>
        <w:rPr>
          <w:rFonts w:hint="eastAsia" w:cs="Times New Roman"/>
          <w:color w:val="auto"/>
          <w:kern w:val="0"/>
          <w:szCs w:val="21"/>
          <w:highlight w:val="none"/>
          <w:lang w:eastAsia="zh-CN"/>
        </w:rPr>
        <w:t>广西华进项目管理有限公司</w:t>
      </w:r>
      <w:r>
        <w:rPr>
          <w:rFonts w:hint="default" w:ascii="Times New Roman" w:hAnsi="Times New Roman" w:cs="Times New Roman"/>
          <w:color w:val="auto"/>
          <w:kern w:val="0"/>
          <w:szCs w:val="21"/>
          <w:highlight w:val="none"/>
        </w:rPr>
        <w:t xml:space="preserve"> </w:t>
      </w:r>
    </w:p>
    <w:p w14:paraId="32C46B46">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地址：</w:t>
      </w:r>
      <w:r>
        <w:rPr>
          <w:rFonts w:hint="default" w:ascii="Times New Roman" w:hAnsi="Times New Roman" w:cs="Times New Roman"/>
          <w:color w:val="auto"/>
          <w:kern w:val="0"/>
          <w:szCs w:val="21"/>
          <w:highlight w:val="none"/>
          <w:lang w:eastAsia="zh-CN"/>
        </w:rPr>
        <w:t>崇左市花山路（嘉苑小区）S组团S-16号</w:t>
      </w:r>
      <w:r>
        <w:rPr>
          <w:rFonts w:hint="default" w:ascii="Times New Roman" w:hAnsi="Times New Roman" w:cs="Times New Roman"/>
          <w:color w:val="auto"/>
          <w:kern w:val="0"/>
          <w:szCs w:val="21"/>
          <w:highlight w:val="none"/>
        </w:rPr>
        <w:t xml:space="preserve"> </w:t>
      </w:r>
    </w:p>
    <w:p w14:paraId="3437A499">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项目联系人：</w:t>
      </w:r>
      <w:r>
        <w:rPr>
          <w:rFonts w:hint="default" w:ascii="Times New Roman" w:hAnsi="Times New Roman" w:cs="Times New Roman"/>
          <w:color w:val="auto"/>
          <w:kern w:val="0"/>
          <w:szCs w:val="21"/>
          <w:highlight w:val="none"/>
          <w:lang w:val="en-US" w:eastAsia="zh-CN"/>
        </w:rPr>
        <w:t>梁工</w:t>
      </w:r>
      <w:r>
        <w:rPr>
          <w:rFonts w:hint="default" w:ascii="Times New Roman" w:hAnsi="Times New Roman" w:cs="Times New Roman"/>
          <w:color w:val="auto"/>
          <w:kern w:val="0"/>
          <w:szCs w:val="21"/>
          <w:highlight w:val="none"/>
        </w:rPr>
        <w:t xml:space="preserve"> </w:t>
      </w:r>
    </w:p>
    <w:p w14:paraId="1F098E70">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项目联系方式：0771-7883548</w:t>
      </w:r>
      <w:r>
        <w:rPr>
          <w:rFonts w:hint="default" w:ascii="Times New Roman" w:hAnsi="Times New Roman" w:cs="Times New Roman"/>
          <w:color w:val="auto"/>
          <w:szCs w:val="21"/>
          <w:highlight w:val="none"/>
        </w:rPr>
        <w:br w:type="page"/>
      </w:r>
    </w:p>
    <w:p w14:paraId="73F47C1A">
      <w:pPr>
        <w:pStyle w:val="7"/>
        <w:spacing w:before="300" w:after="300" w:line="360" w:lineRule="auto"/>
        <w:jc w:val="center"/>
        <w:rPr>
          <w:rFonts w:hint="default" w:ascii="Times New Roman" w:hAnsi="Times New Roman" w:cs="Times New Roman"/>
          <w:color w:val="auto"/>
          <w:highlight w:val="none"/>
        </w:rPr>
      </w:pPr>
      <w:bookmarkStart w:id="59" w:name="_Toc74323457"/>
      <w:r>
        <w:rPr>
          <w:rFonts w:hint="default" w:ascii="Times New Roman" w:hAnsi="Times New Roman" w:cs="Times New Roman"/>
          <w:color w:val="auto"/>
          <w:highlight w:val="none"/>
        </w:rPr>
        <w:t>第二章供应商须知</w:t>
      </w:r>
      <w:bookmarkEnd w:id="59"/>
    </w:p>
    <w:p w14:paraId="4D175DEF">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供应商须知前附表</w:t>
      </w:r>
    </w:p>
    <w:p w14:paraId="1D00963D">
      <w:pPr>
        <w:spacing w:line="400" w:lineRule="exact"/>
        <w:jc w:val="center"/>
        <w:rPr>
          <w:rFonts w:hint="default" w:ascii="Times New Roman" w:hAnsi="Times New Roman" w:cs="Times New Roman"/>
          <w:b/>
          <w:color w:val="auto"/>
          <w:sz w:val="32"/>
          <w:szCs w:val="32"/>
          <w:highlight w:val="none"/>
        </w:rPr>
      </w:pP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3A5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64F1018">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7912" w:type="dxa"/>
          </w:tcPr>
          <w:p w14:paraId="2F968006">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r>
      <w:tr w14:paraId="51A64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52B16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7912" w:type="dxa"/>
            <w:vAlign w:val="center"/>
          </w:tcPr>
          <w:p w14:paraId="5ABCC67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1.供应商的资格条件</w:t>
            </w:r>
            <w:r>
              <w:rPr>
                <w:rFonts w:hint="default" w:ascii="Times New Roman" w:hAnsi="Times New Roman" w:cs="Times New Roman"/>
                <w:color w:val="auto"/>
                <w:szCs w:val="21"/>
                <w:highlight w:val="none"/>
              </w:rPr>
              <w:t>：详见竞争性磋商公告</w:t>
            </w:r>
          </w:p>
          <w:p w14:paraId="0674BD7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bCs/>
                <w:color w:val="auto"/>
                <w:szCs w:val="21"/>
                <w:highlight w:val="none"/>
              </w:rPr>
              <w:t>供应商</w:t>
            </w:r>
            <w:r>
              <w:rPr>
                <w:rFonts w:hint="default" w:ascii="Times New Roman" w:hAnsi="Times New Roman" w:cs="Times New Roman"/>
                <w:color w:val="auto"/>
                <w:szCs w:val="21"/>
                <w:highlight w:val="none"/>
              </w:rPr>
              <w:t>出现下列情形之一的，不得参加政府采购活动：</w:t>
            </w:r>
          </w:p>
          <w:p w14:paraId="3E069E6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A8520C">
            <w:pPr>
              <w:spacing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43E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AA7D4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w:t>
            </w:r>
          </w:p>
        </w:tc>
        <w:tc>
          <w:tcPr>
            <w:tcW w:w="7912" w:type="dxa"/>
            <w:vAlign w:val="center"/>
          </w:tcPr>
          <w:p w14:paraId="02FB66F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是否接受联合体竞标</w:t>
            </w:r>
            <w:r>
              <w:rPr>
                <w:rFonts w:hint="eastAsia"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详见竞争性磋商公告</w:t>
            </w:r>
          </w:p>
        </w:tc>
      </w:tr>
      <w:tr w14:paraId="1C1D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15E7F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7912" w:type="dxa"/>
            <w:vAlign w:val="center"/>
          </w:tcPr>
          <w:p w14:paraId="32B1948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如接受联合体竞标，联合体竞标要求如下：</w:t>
            </w:r>
          </w:p>
          <w:p w14:paraId="38E9069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1.两个以上供应商可以组成一个竞标联合体，以一个供应商的身份共同参加竞标。联合体竞标的，须提供《联合体竞标协议书》（格式后附）。</w:t>
            </w:r>
          </w:p>
          <w:p w14:paraId="46B8246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64E7D31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3.联合体各方之间必须签订联合竞标协议，协议书必须明确主体方（或者牵头方）并明确约定联合体各方承担的工作和相应的责任（</w:t>
            </w:r>
            <w:r>
              <w:rPr>
                <w:rFonts w:hint="default" w:ascii="Times New Roman" w:hAnsi="Times New Roman" w:cs="Times New Roman"/>
                <w:b/>
                <w:color w:val="auto"/>
                <w:szCs w:val="21"/>
                <w:highlight w:val="none"/>
              </w:rPr>
              <w:t>各方承担责任与义务的分工必须符合采购需求，否则，联合体竞标无效</w:t>
            </w:r>
            <w:r>
              <w:rPr>
                <w:rFonts w:hint="default" w:ascii="Times New Roman" w:hAnsi="Times New Roman" w:cs="Times New Roman"/>
                <w:color w:val="auto"/>
                <w:szCs w:val="21"/>
                <w:highlight w:val="none"/>
              </w:rPr>
              <w:t>），并将联合竞标协议放入响应文件。联合体各方必须共同与采购人签订采购合同，就采购合同约定的事项对采购人承担连带责任。</w:t>
            </w:r>
          </w:p>
          <w:p w14:paraId="275FFCA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4.以联合体形式参加政府采购活动的，联合体各方不得再单独参加或者与其他供应商另外组成联合体参加同一合同项下的政府采购活动。</w:t>
            </w:r>
          </w:p>
          <w:p w14:paraId="4901512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5.联合体中有同类资质的供应商按照联合体分工承担相同工作的，应当按照资质等级较低的供应商确定资质等级。</w:t>
            </w:r>
          </w:p>
          <w:p w14:paraId="313FD5A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6.联合体竞标业绩、履约能力按照联合体各方中较高的一方认定并计算（磋商文件另有规定的除外）。</w:t>
            </w:r>
          </w:p>
          <w:p w14:paraId="5D22AC6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7.供应商为联合体的，可以由联合体中的一方或者多方共同交纳磋商保证金，其交纳的保证金对联合体各方均具有约束力。</w:t>
            </w:r>
          </w:p>
          <w:p w14:paraId="735A3C7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8.联合体各方均应按照磋商文件的规定提交资格证明文件。</w:t>
            </w:r>
          </w:p>
        </w:tc>
      </w:tr>
      <w:tr w14:paraId="423A7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0EA56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6.2</w:t>
            </w:r>
          </w:p>
        </w:tc>
        <w:tc>
          <w:tcPr>
            <w:tcW w:w="7912" w:type="dxa"/>
            <w:vAlign w:val="center"/>
          </w:tcPr>
          <w:p w14:paraId="000D58BB">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highlight w:val="none"/>
              </w:rPr>
              <w:sym w:font="Wingdings 2" w:char="F052"/>
            </w:r>
            <w:r>
              <w:rPr>
                <w:rFonts w:hint="default" w:ascii="Times New Roman" w:hAnsi="Times New Roman" w:cs="Times New Roman"/>
                <w:color w:val="auto"/>
                <w:sz w:val="21"/>
                <w:szCs w:val="21"/>
                <w:highlight w:val="none"/>
              </w:rPr>
              <w:t>不允许分包</w:t>
            </w:r>
          </w:p>
          <w:p w14:paraId="76F3A257">
            <w:pPr>
              <w:pStyle w:val="20"/>
              <w:spacing w:line="360" w:lineRule="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允许分包</w:t>
            </w:r>
          </w:p>
          <w:p w14:paraId="308FF803">
            <w:pPr>
              <w:pStyle w:val="20"/>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分包内容：/。</w:t>
            </w:r>
          </w:p>
          <w:p w14:paraId="5DB99A54">
            <w:pPr>
              <w:pStyle w:val="20"/>
              <w:spacing w:line="360" w:lineRule="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分包金额或者比例：/。</w:t>
            </w:r>
          </w:p>
          <w:p w14:paraId="35F19F85">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分包供应商必须具备的资质：/。</w:t>
            </w:r>
          </w:p>
        </w:tc>
      </w:tr>
      <w:tr w14:paraId="4DE24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1CFD64">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w:t>
            </w:r>
          </w:p>
        </w:tc>
        <w:tc>
          <w:tcPr>
            <w:tcW w:w="7912" w:type="dxa"/>
            <w:vAlign w:val="center"/>
          </w:tcPr>
          <w:p w14:paraId="5F8C89FE">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资格证明文件</w:t>
            </w:r>
          </w:p>
          <w:p w14:paraId="11319349">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1.崇左市政府采购供应商信用承诺函（按第五章格式填写）；（</w:t>
            </w:r>
            <w:r>
              <w:rPr>
                <w:rFonts w:hint="default" w:ascii="Times New Roman" w:hAnsi="Times New Roman" w:cs="Times New Roman"/>
                <w:b/>
                <w:color w:val="auto"/>
                <w:szCs w:val="21"/>
                <w:highlight w:val="none"/>
              </w:rPr>
              <w:t>必须提供，否则响应文件按无效响应处理</w:t>
            </w:r>
            <w:r>
              <w:rPr>
                <w:rFonts w:hint="default" w:ascii="Times New Roman" w:hAnsi="Times New Roman" w:cs="Times New Roman"/>
                <w:color w:val="auto"/>
                <w:szCs w:val="21"/>
                <w:highlight w:val="none"/>
              </w:rPr>
              <w:t>）</w:t>
            </w:r>
          </w:p>
          <w:p w14:paraId="31EF9130">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2.供应商直接控股、管理关系信息表（格式后附）；（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7DFEF305">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3.竞标声明（格式后附）；（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1FD0F3FF">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4. 供应商《中小企业声明函》或《残疾人福利性单位声明函》或监狱企业证明（由省级以上监狱管理局、戒毒管理局（含新疆生产建设兵团）出具的属于监狱企业的证明文件）；</w:t>
            </w:r>
            <w:r>
              <w:rPr>
                <w:rFonts w:hint="default" w:ascii="Times New Roman" w:hAnsi="Times New Roman" w:cs="Times New Roman"/>
                <w:b/>
                <w:color w:val="auto"/>
                <w:szCs w:val="21"/>
                <w:highlight w:val="none"/>
              </w:rPr>
              <w:t>（必须提供，否则响应文件按无效响应处理）</w:t>
            </w:r>
          </w:p>
          <w:p w14:paraId="16E21E80">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5.特定资格要求：【必须提供，否则响应文件按无效处理】</w:t>
            </w:r>
          </w:p>
          <w:p w14:paraId="453E757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（1）磋商供应商具备</w:t>
            </w:r>
            <w:r>
              <w:rPr>
                <w:rFonts w:hint="eastAsia" w:cs="Times New Roman"/>
                <w:b/>
                <w:bCs/>
                <w:color w:val="auto"/>
                <w:sz w:val="21"/>
                <w:highlight w:val="none"/>
                <w:lang w:val="en-US" w:eastAsia="zh-CN"/>
              </w:rPr>
              <w:t>市政公用</w:t>
            </w:r>
            <w:r>
              <w:rPr>
                <w:rFonts w:hint="default" w:ascii="Times New Roman" w:hAnsi="Times New Roman" w:cs="Times New Roman"/>
                <w:b/>
                <w:bCs/>
                <w:color w:val="auto"/>
                <w:sz w:val="21"/>
                <w:highlight w:val="none"/>
              </w:rPr>
              <w:t>工程施工总承包三级（含三级）以上资质</w:t>
            </w:r>
            <w:r>
              <w:rPr>
                <w:rFonts w:hint="default" w:ascii="Times New Roman" w:hAnsi="Times New Roman" w:cs="Times New Roman"/>
                <w:color w:val="auto"/>
                <w:szCs w:val="21"/>
                <w:highlight w:val="none"/>
              </w:rPr>
              <w:t>证书、安全生产许可证复印件；</w:t>
            </w:r>
          </w:p>
          <w:p w14:paraId="4301C5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（2）供应商拟派的项目经理须具备市政公用工程专业贰级(含)以上注册建造师执业资格证书复印件及有效的安全生产考核合格证书（B类）复印件；项目经理未在其他在施建设工程项目的项目经理的承诺函原件。</w:t>
            </w:r>
          </w:p>
          <w:p w14:paraId="77B80217">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6.除磋商文件规定必须提供以外，供应商认为需要提供的其他证明材料；</w:t>
            </w:r>
          </w:p>
          <w:p w14:paraId="79D08B8A">
            <w:pPr>
              <w:snapToGrid w:val="0"/>
              <w:spacing w:line="360" w:lineRule="auto"/>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w:t>
            </w:r>
            <w:r>
              <w:rPr>
                <w:rFonts w:hint="default" w:ascii="Times New Roman" w:hAnsi="Times New Roman" w:cs="Times New Roman"/>
                <w:b/>
                <w:color w:val="auto"/>
                <w:highlight w:val="none"/>
              </w:rPr>
              <w:t>电子签章</w:t>
            </w:r>
            <w:r>
              <w:rPr>
                <w:rFonts w:hint="default" w:ascii="Times New Roman" w:hAnsi="Times New Roman" w:cs="Times New Roman"/>
                <w:b/>
                <w:color w:val="auto"/>
                <w:szCs w:val="21"/>
                <w:highlight w:val="none"/>
              </w:rPr>
              <w:t>，否则响应文件按无效处理。</w:t>
            </w:r>
          </w:p>
        </w:tc>
      </w:tr>
      <w:tr w14:paraId="58B4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52D07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w:t>
            </w:r>
          </w:p>
        </w:tc>
        <w:tc>
          <w:tcPr>
            <w:tcW w:w="7912" w:type="dxa"/>
            <w:vAlign w:val="center"/>
          </w:tcPr>
          <w:p w14:paraId="193A43A1">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报价文件</w:t>
            </w:r>
          </w:p>
          <w:p w14:paraId="3E63B11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1.竞标函及竞标函附录（格式后附）；（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52C6FEB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2.竞标报价表（格式后附）；（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345ADD3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3.已标价工程量清单；（</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31B264F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4.供应商认为需要提供的其他有关资料。</w:t>
            </w:r>
          </w:p>
        </w:tc>
      </w:tr>
      <w:tr w14:paraId="18E3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84704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w:t>
            </w:r>
          </w:p>
        </w:tc>
        <w:tc>
          <w:tcPr>
            <w:tcW w:w="7912" w:type="dxa"/>
            <w:vAlign w:val="center"/>
          </w:tcPr>
          <w:p w14:paraId="61E018F8">
            <w:pPr>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商务技术文件</w:t>
            </w:r>
          </w:p>
          <w:p w14:paraId="2F63A2D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1.无串通竞标行为的承诺函（格式后附）；（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6B0845EC">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2.法定代表人身份证明书及法定代表人有效身份证正反面复印件（格式后附）；（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2AE7BA7B">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3.授权委托书及委托代理人有效身份证正反面复印件（格式后附）；（</w:t>
            </w:r>
            <w:r>
              <w:rPr>
                <w:rFonts w:hint="default" w:ascii="Times New Roman" w:hAnsi="Times New Roman" w:cs="Times New Roman"/>
                <w:b/>
                <w:color w:val="auto"/>
                <w:szCs w:val="21"/>
                <w:highlight w:val="none"/>
              </w:rPr>
              <w:t>委托时必须提供，否则响应文件按无效处理</w:t>
            </w:r>
            <w:r>
              <w:rPr>
                <w:rFonts w:hint="default" w:ascii="Times New Roman" w:hAnsi="Times New Roman" w:cs="Times New Roman"/>
                <w:color w:val="auto"/>
                <w:szCs w:val="21"/>
                <w:highlight w:val="none"/>
              </w:rPr>
              <w:t>）</w:t>
            </w:r>
          </w:p>
          <w:p w14:paraId="7655B9B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4.施工组织设计（格式自拟）；（</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2595A00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.项目管理机构配备情况表及主要人员简历表（格式后附）；（</w:t>
            </w:r>
            <w:r>
              <w:rPr>
                <w:rFonts w:hint="default" w:ascii="Times New Roman" w:hAnsi="Times New Roman" w:cs="Times New Roman"/>
                <w:b/>
                <w:color w:val="auto"/>
                <w:szCs w:val="21"/>
                <w:highlight w:val="none"/>
              </w:rPr>
              <w:t>必须提供，否则响应文件按无效处理</w:t>
            </w:r>
            <w:r>
              <w:rPr>
                <w:rFonts w:hint="default" w:ascii="Times New Roman" w:hAnsi="Times New Roman" w:cs="Times New Roman"/>
                <w:color w:val="auto"/>
                <w:szCs w:val="21"/>
                <w:highlight w:val="none"/>
              </w:rPr>
              <w:t>）</w:t>
            </w:r>
          </w:p>
          <w:p w14:paraId="210D431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.拟分包项目情况表（格式后附）；（如有）</w:t>
            </w:r>
          </w:p>
          <w:p w14:paraId="4A555FC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.供应商认为需要提供的其他有关资料。</w:t>
            </w:r>
          </w:p>
          <w:p w14:paraId="3EC9E303">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注：以上标明“必须提供”的材料属于复印件的，必须加盖供应商电子签章，否则响应文件按无效处理。</w:t>
            </w:r>
          </w:p>
        </w:tc>
      </w:tr>
      <w:tr w14:paraId="5F86A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E242B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w:t>
            </w:r>
          </w:p>
        </w:tc>
        <w:tc>
          <w:tcPr>
            <w:tcW w:w="7912" w:type="dxa"/>
            <w:vAlign w:val="center"/>
          </w:tcPr>
          <w:p w14:paraId="2492B118">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竞标报价应按磋商文件中“竞标报价表”及“已标价工程量清单”格式填写。</w:t>
            </w:r>
          </w:p>
        </w:tc>
      </w:tr>
      <w:tr w14:paraId="0AECF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49155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w:t>
            </w:r>
          </w:p>
        </w:tc>
        <w:tc>
          <w:tcPr>
            <w:tcW w:w="7912" w:type="dxa"/>
            <w:vAlign w:val="center"/>
          </w:tcPr>
          <w:p w14:paraId="1D430DA3">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竞标报价是履行合同的最终价格，包括了为实施和完成合同工程所需的劳务、材料、机械、质检（自检）、安装、缺陷修复、管理、保险、税费、利润等费用，以及合同明示或暗示的所有责任、义务和一般风险。</w:t>
            </w:r>
          </w:p>
        </w:tc>
      </w:tr>
      <w:tr w14:paraId="24080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FD84F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w:t>
            </w:r>
          </w:p>
        </w:tc>
        <w:tc>
          <w:tcPr>
            <w:tcW w:w="7912" w:type="dxa"/>
            <w:vAlign w:val="center"/>
          </w:tcPr>
          <w:p w14:paraId="5831DD0E">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本工程增值税计税方法：</w:t>
            </w: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highlight w:val="none"/>
              </w:rPr>
              <w:t>一般计税法；</w:t>
            </w:r>
            <w:r>
              <w:rPr>
                <w:rFonts w:hint="eastAsia" w:cs="Times New Roman"/>
                <w:color w:val="auto"/>
                <w:highlight w:val="none"/>
                <w:lang w:eastAsia="zh-CN"/>
              </w:rPr>
              <w:t>□</w:t>
            </w:r>
            <w:r>
              <w:rPr>
                <w:rFonts w:hint="default" w:ascii="Times New Roman" w:hAnsi="Times New Roman" w:cs="Times New Roman"/>
                <w:color w:val="auto"/>
                <w:highlight w:val="none"/>
              </w:rPr>
              <w:t>简易计税法</w:t>
            </w:r>
          </w:p>
        </w:tc>
      </w:tr>
      <w:tr w14:paraId="2FD28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B9BACE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w:t>
            </w:r>
          </w:p>
        </w:tc>
        <w:tc>
          <w:tcPr>
            <w:tcW w:w="7912" w:type="dxa"/>
            <w:vAlign w:val="center"/>
          </w:tcPr>
          <w:p w14:paraId="15904EE0">
            <w:pPr>
              <w:pStyle w:val="17"/>
              <w:widowControl w:val="0"/>
              <w:tabs>
                <w:tab w:val="clear" w:pos="454"/>
              </w:tabs>
              <w:snapToGrid w:val="0"/>
              <w:spacing w:afterLines="0" w:line="360" w:lineRule="auto"/>
              <w:ind w:left="283" w:hanging="283" w:hangingChars="135"/>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竞标有效期：自首次响应文件提交截止之日起</w:t>
            </w:r>
            <w:r>
              <w:rPr>
                <w:rFonts w:hint="default" w:ascii="Times New Roman" w:hAnsi="Times New Roman" w:cs="Times New Roman"/>
                <w:color w:val="auto"/>
                <w:kern w:val="2"/>
                <w:sz w:val="21"/>
                <w:szCs w:val="21"/>
                <w:highlight w:val="none"/>
                <w:u w:val="single"/>
              </w:rPr>
              <w:t>60</w:t>
            </w:r>
            <w:r>
              <w:rPr>
                <w:rFonts w:hint="default" w:ascii="Times New Roman" w:hAnsi="Times New Roman" w:cs="Times New Roman"/>
                <w:color w:val="auto"/>
                <w:kern w:val="2"/>
                <w:sz w:val="21"/>
                <w:szCs w:val="21"/>
                <w:highlight w:val="none"/>
              </w:rPr>
              <w:t>日。</w:t>
            </w:r>
          </w:p>
        </w:tc>
      </w:tr>
      <w:tr w14:paraId="65F0F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E9E4D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w:t>
            </w:r>
          </w:p>
        </w:tc>
        <w:tc>
          <w:tcPr>
            <w:tcW w:w="7912" w:type="dxa"/>
            <w:vAlign w:val="center"/>
          </w:tcPr>
          <w:p w14:paraId="1CCF6538">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仿宋_GB2312" w:cs="Times New Roman"/>
                <w:color w:val="auto"/>
                <w:szCs w:val="20"/>
                <w:highlight w:val="none"/>
              </w:rPr>
              <w:sym w:font="Wingdings 2" w:char="F052"/>
            </w:r>
            <w:r>
              <w:rPr>
                <w:rFonts w:hint="default" w:ascii="Times New Roman" w:hAnsi="Times New Roman" w:cs="Times New Roman"/>
                <w:color w:val="auto"/>
                <w:szCs w:val="21"/>
                <w:highlight w:val="none"/>
              </w:rPr>
              <w:t>本项目不收取磋商保证金。</w:t>
            </w:r>
          </w:p>
        </w:tc>
      </w:tr>
      <w:tr w14:paraId="752AD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6B615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w:t>
            </w:r>
          </w:p>
        </w:tc>
        <w:tc>
          <w:tcPr>
            <w:tcW w:w="7912" w:type="dxa"/>
            <w:vAlign w:val="center"/>
          </w:tcPr>
          <w:p w14:paraId="16634FB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本项目不接受</w:t>
            </w:r>
            <w:r>
              <w:rPr>
                <w:rFonts w:hint="default" w:ascii="Times New Roman" w:hAnsi="Times New Roman" w:cs="Times New Roman"/>
                <w:color w:val="auto"/>
                <w:highlight w:val="none"/>
              </w:rPr>
              <w:t>电子</w:t>
            </w:r>
            <w:r>
              <w:rPr>
                <w:rFonts w:hint="default" w:ascii="Times New Roman" w:hAnsi="Times New Roman" w:cs="Times New Roman"/>
                <w:color w:val="auto"/>
                <w:szCs w:val="21"/>
                <w:highlight w:val="none"/>
              </w:rPr>
              <w:t>备份响应文件</w:t>
            </w:r>
          </w:p>
        </w:tc>
      </w:tr>
      <w:tr w14:paraId="1A654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98A65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7912" w:type="dxa"/>
            <w:vAlign w:val="center"/>
          </w:tcPr>
          <w:p w14:paraId="15E8BB11">
            <w:pPr>
              <w:spacing w:line="360" w:lineRule="auto"/>
              <w:contextualSpacing/>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响应文件提交截止时间：详见竞争性磋商公告</w:t>
            </w:r>
          </w:p>
          <w:p w14:paraId="5E752C69">
            <w:pPr>
              <w:spacing w:line="360" w:lineRule="auto"/>
              <w:contextualSpacing/>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响应文件提交地点：详见竞争性磋商公告</w:t>
            </w:r>
          </w:p>
        </w:tc>
      </w:tr>
      <w:tr w14:paraId="56F2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A8CBC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7912" w:type="dxa"/>
            <w:vAlign w:val="center"/>
          </w:tcPr>
          <w:p w14:paraId="7D27AA79">
            <w:pPr>
              <w:snapToGrid w:val="0"/>
              <w:spacing w:line="360" w:lineRule="auto"/>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磋商小组的人数：</w:t>
            </w:r>
            <w:r>
              <w:rPr>
                <w:rFonts w:hint="default" w:ascii="Times New Roman" w:hAnsi="Times New Roman" w:cs="Times New Roman"/>
                <w:color w:val="auto"/>
                <w:szCs w:val="21"/>
                <w:highlight w:val="none"/>
                <w:u w:val="single"/>
              </w:rPr>
              <w:t>3</w:t>
            </w:r>
            <w:r>
              <w:rPr>
                <w:rFonts w:hint="default" w:ascii="Times New Roman" w:hAnsi="Times New Roman" w:cs="Times New Roman"/>
                <w:color w:val="auto"/>
                <w:szCs w:val="21"/>
                <w:highlight w:val="none"/>
              </w:rPr>
              <w:t>人。</w:t>
            </w:r>
          </w:p>
        </w:tc>
      </w:tr>
      <w:tr w14:paraId="5595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B179D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w:t>
            </w:r>
          </w:p>
        </w:tc>
        <w:tc>
          <w:tcPr>
            <w:tcW w:w="7912" w:type="dxa"/>
            <w:vAlign w:val="center"/>
          </w:tcPr>
          <w:p w14:paraId="076377A2">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首次响应文件开启时间详见“竞争性磋商公告”</w:t>
            </w:r>
          </w:p>
          <w:p w14:paraId="71996ACB">
            <w:pPr>
              <w:snapToGrid w:val="0"/>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首次响应文件解密时间：</w:t>
            </w:r>
            <w:r>
              <w:rPr>
                <w:rFonts w:hint="default" w:ascii="Times New Roman" w:hAnsi="Times New Roman" w:cs="Times New Roman"/>
                <w:color w:val="auto"/>
                <w:highlight w:val="none"/>
                <w:u w:val="single"/>
              </w:rPr>
              <w:t>30</w:t>
            </w:r>
            <w:r>
              <w:rPr>
                <w:rFonts w:hint="default" w:ascii="Times New Roman" w:hAnsi="Times New Roman" w:cs="Times New Roman"/>
                <w:color w:val="auto"/>
                <w:highlight w:val="none"/>
              </w:rPr>
              <w:t>分钟</w:t>
            </w:r>
          </w:p>
        </w:tc>
      </w:tr>
      <w:tr w14:paraId="701D8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66A9A28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w:t>
            </w:r>
          </w:p>
        </w:tc>
        <w:tc>
          <w:tcPr>
            <w:tcW w:w="7912" w:type="dxa"/>
            <w:vAlign w:val="center"/>
          </w:tcPr>
          <w:p w14:paraId="1975C253">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商务要求评审中允许负偏离的条款数为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p w14:paraId="0ADEBF8C">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技术要求评审中允许负偏离的条款数为</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项。</w:t>
            </w:r>
          </w:p>
        </w:tc>
      </w:tr>
      <w:tr w14:paraId="011C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8662D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w:t>
            </w:r>
          </w:p>
        </w:tc>
        <w:tc>
          <w:tcPr>
            <w:tcW w:w="7912" w:type="dxa"/>
            <w:vAlign w:val="center"/>
          </w:tcPr>
          <w:p w14:paraId="4C3ED245">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eastAsia="MS Mincho" w:cs="Times New Roman"/>
                <w:color w:val="auto"/>
                <w:highlight w:val="none"/>
              </w:rPr>
              <w:t>☑</w:t>
            </w:r>
            <w:r>
              <w:rPr>
                <w:rFonts w:hint="default" w:ascii="Times New Roman" w:hAnsi="Times New Roman" w:cs="Times New Roman"/>
                <w:color w:val="auto"/>
                <w:szCs w:val="21"/>
                <w:highlight w:val="none"/>
              </w:rPr>
              <w:t>本项目不收取履约保证金。</w:t>
            </w:r>
          </w:p>
        </w:tc>
      </w:tr>
      <w:tr w14:paraId="7D56B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386C1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w:t>
            </w:r>
          </w:p>
        </w:tc>
        <w:tc>
          <w:tcPr>
            <w:tcW w:w="7912" w:type="dxa"/>
            <w:vAlign w:val="center"/>
          </w:tcPr>
          <w:p w14:paraId="53D7D5E7">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签订合同携带的证明材料：</w:t>
            </w:r>
          </w:p>
          <w:p w14:paraId="67A2C5E4">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委托代理人负责签订合同的，须携带授权委托书及委托代理人身份证原件等其他资格证件。</w:t>
            </w:r>
          </w:p>
          <w:p w14:paraId="0674D4A4">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法定代表人负责签订合同的，须携带法定代表人身份证明原件及身份证原件等其他证明材料。</w:t>
            </w:r>
          </w:p>
        </w:tc>
      </w:tr>
      <w:tr w14:paraId="5943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1136BF">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31.2</w:t>
            </w:r>
          </w:p>
        </w:tc>
        <w:tc>
          <w:tcPr>
            <w:tcW w:w="7912" w:type="dxa"/>
            <w:vAlign w:val="center"/>
          </w:tcPr>
          <w:p w14:paraId="50522199">
            <w:pPr>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接收质疑函方式：书面形式或者广西政府采购云平台系统在线形式</w:t>
            </w:r>
          </w:p>
          <w:p w14:paraId="2BBCB40F">
            <w:pPr>
              <w:pStyle w:val="4"/>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kern w:val="2"/>
                <w:szCs w:val="21"/>
                <w:highlight w:val="none"/>
              </w:rPr>
              <w:t>质疑联系部门及联系方式：</w:t>
            </w:r>
            <w:r>
              <w:rPr>
                <w:rFonts w:hint="eastAsia" w:ascii="Times New Roman" w:hAnsi="Times New Roman" w:cs="Times New Roman"/>
                <w:color w:val="auto"/>
                <w:kern w:val="2"/>
                <w:szCs w:val="21"/>
                <w:highlight w:val="none"/>
                <w:lang w:eastAsia="zh-CN"/>
              </w:rPr>
              <w:t>广西华进项目管理有限公司</w:t>
            </w:r>
            <w:r>
              <w:rPr>
                <w:rFonts w:hint="default" w:ascii="Times New Roman" w:hAnsi="Times New Roman" w:cs="Times New Roman"/>
                <w:color w:val="auto"/>
                <w:kern w:val="2"/>
                <w:szCs w:val="21"/>
                <w:highlight w:val="none"/>
              </w:rPr>
              <w:t>，联系电话：</w:t>
            </w:r>
            <w:r>
              <w:rPr>
                <w:rFonts w:hint="default" w:ascii="Times New Roman" w:hAnsi="Times New Roman" w:cs="Times New Roman"/>
                <w:color w:val="auto"/>
                <w:kern w:val="2"/>
                <w:szCs w:val="21"/>
                <w:highlight w:val="none"/>
                <w:u w:val="single"/>
              </w:rPr>
              <w:t>0771-7883548</w:t>
            </w:r>
            <w:r>
              <w:rPr>
                <w:rFonts w:hint="default" w:ascii="Times New Roman" w:hAnsi="Times New Roman" w:cs="Times New Roman"/>
                <w:color w:val="auto"/>
                <w:kern w:val="2"/>
                <w:szCs w:val="21"/>
                <w:highlight w:val="none"/>
              </w:rPr>
              <w:t>，通讯地址：</w:t>
            </w:r>
            <w:r>
              <w:rPr>
                <w:rFonts w:hint="default" w:ascii="Times New Roman" w:hAnsi="Times New Roman" w:cs="Times New Roman"/>
                <w:bCs/>
                <w:color w:val="auto"/>
                <w:szCs w:val="21"/>
                <w:highlight w:val="none"/>
                <w:u w:val="single"/>
                <w:lang w:eastAsia="zh-CN"/>
              </w:rPr>
              <w:t>崇左市花山路（嘉苑小区）S组团S-16号</w:t>
            </w:r>
            <w:r>
              <w:rPr>
                <w:rFonts w:hint="default" w:ascii="Times New Roman" w:hAnsi="Times New Roman" w:cs="Times New Roman"/>
                <w:bCs/>
                <w:color w:val="auto"/>
                <w:szCs w:val="21"/>
                <w:highlight w:val="none"/>
              </w:rPr>
              <w:t>。</w:t>
            </w:r>
          </w:p>
          <w:p w14:paraId="2AD92C81">
            <w:pPr>
              <w:autoSpaceDE w:val="0"/>
              <w:autoSpaceDN w:val="0"/>
              <w:snapToGrid w:val="0"/>
              <w:spacing w:line="360" w:lineRule="auto"/>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highlight w:val="none"/>
              </w:rPr>
              <w:t>业务时间：工作日每天上午8时</w:t>
            </w:r>
            <w:r>
              <w:rPr>
                <w:rFonts w:hint="default" w:ascii="Times New Roman" w:hAnsi="Times New Roman" w:cs="Times New Roman"/>
                <w:color w:val="auto"/>
                <w:kern w:val="0"/>
                <w:highlight w:val="none"/>
                <w:lang w:val="en-US" w:eastAsia="zh-CN"/>
              </w:rPr>
              <w:t>3</w:t>
            </w:r>
            <w:r>
              <w:rPr>
                <w:rFonts w:hint="default" w:ascii="Times New Roman" w:hAnsi="Times New Roman" w:cs="Times New Roman"/>
                <w:color w:val="auto"/>
                <w:kern w:val="0"/>
                <w:highlight w:val="none"/>
              </w:rPr>
              <w:t>0分到12时00分，下午3时00分到6时00分。</w:t>
            </w:r>
          </w:p>
        </w:tc>
      </w:tr>
      <w:tr w14:paraId="7A84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91C974">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w:t>
            </w:r>
          </w:p>
        </w:tc>
        <w:tc>
          <w:tcPr>
            <w:tcW w:w="7912" w:type="dxa"/>
            <w:vAlign w:val="center"/>
          </w:tcPr>
          <w:p w14:paraId="4D5BEAD4">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1.采购代理费支付方式：</w:t>
            </w:r>
          </w:p>
          <w:p w14:paraId="22EFA828">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本项目代理服务费由</w:t>
            </w:r>
            <w:r>
              <w:rPr>
                <w:rFonts w:hint="default" w:ascii="Times New Roman" w:hAnsi="Times New Roman" w:cs="Times New Roman"/>
                <w:color w:val="auto"/>
                <w:szCs w:val="21"/>
                <w:highlight w:val="none"/>
                <w:u w:val="single"/>
              </w:rPr>
              <w:t>成交供应商</w:t>
            </w:r>
            <w:r>
              <w:rPr>
                <w:rFonts w:hint="default" w:ascii="Times New Roman" w:hAnsi="Times New Roman" w:cs="Times New Roman"/>
                <w:color w:val="auto"/>
                <w:szCs w:val="21"/>
                <w:highlight w:val="none"/>
              </w:rPr>
              <w:t>在领取成交通知书前，一次性向采购代理机构支付。</w:t>
            </w:r>
          </w:p>
          <w:p w14:paraId="4810AE28">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□采购人支付。</w:t>
            </w:r>
          </w:p>
          <w:p w14:paraId="08876D55">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2.采购代理费收取标准：</w:t>
            </w:r>
          </w:p>
          <w:p w14:paraId="59BE8178">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以分标（</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成交金额/□采购预算/□暂定成交金额/□其他）为计费额，按本须知正文第32.2条规定的（□货物类/□服务类/</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工程类）收费标准采用差额定率累进法计算出收费基准价格，采购代理收费以（</w:t>
            </w:r>
            <w:r>
              <w:rPr>
                <w:rFonts w:hint="default" w:ascii="Times New Roman" w:hAnsi="Times New Roman" w:cs="Times New Roman"/>
                <w:color w:val="auto"/>
                <w:sz w:val="24"/>
                <w:szCs w:val="24"/>
                <w:highlight w:val="none"/>
                <w:lang w:bidi="ar"/>
              </w:rPr>
              <w:t>☑</w:t>
            </w:r>
            <w:r>
              <w:rPr>
                <w:rFonts w:hint="default" w:ascii="Times New Roman" w:hAnsi="Times New Roman" w:cs="Times New Roman"/>
                <w:color w:val="auto"/>
                <w:szCs w:val="21"/>
                <w:highlight w:val="none"/>
              </w:rPr>
              <w:t>收费基准价格/□收费基准价格下浮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/□收费基准价格上浮</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）收取。</w:t>
            </w:r>
          </w:p>
          <w:p w14:paraId="35E0A5F9">
            <w:pPr>
              <w:pStyle w:val="4"/>
              <w:snapToGrid w:val="0"/>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□固定采购代理收费。</w:t>
            </w:r>
          </w:p>
          <w:p w14:paraId="6C432AA7">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采购代理费收取银行账户</w:t>
            </w:r>
          </w:p>
          <w:p w14:paraId="00826256">
            <w:pPr>
              <w:pStyle w:val="4"/>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开户名称：</w:t>
            </w:r>
            <w:r>
              <w:rPr>
                <w:rFonts w:hint="default" w:ascii="Times New Roman" w:hAnsi="Times New Roman" w:cs="Times New Roman"/>
                <w:b/>
                <w:color w:val="auto"/>
                <w:szCs w:val="21"/>
                <w:highlight w:val="none"/>
                <w:lang w:eastAsia="zh-CN"/>
              </w:rPr>
              <w:t>广西华进项目管理有限公司</w:t>
            </w:r>
            <w:r>
              <w:rPr>
                <w:rFonts w:hint="default" w:ascii="Times New Roman" w:hAnsi="Times New Roman" w:cs="Times New Roman"/>
                <w:b/>
                <w:color w:val="auto"/>
                <w:szCs w:val="21"/>
                <w:highlight w:val="none"/>
              </w:rPr>
              <w:t>崇左分公司</w:t>
            </w:r>
          </w:p>
          <w:p w14:paraId="661E7BED">
            <w:pPr>
              <w:pStyle w:val="4"/>
              <w:snapToGrid w:val="0"/>
              <w:spacing w:line="360" w:lineRule="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rPr>
              <w:t>开户银行：</w:t>
            </w:r>
            <w:r>
              <w:rPr>
                <w:rFonts w:hint="default" w:ascii="Times New Roman" w:hAnsi="Times New Roman" w:cs="Times New Roman"/>
                <w:b/>
                <w:color w:val="auto"/>
                <w:szCs w:val="21"/>
                <w:highlight w:val="none"/>
                <w:lang w:val="en-US" w:eastAsia="zh-CN"/>
              </w:rPr>
              <w:t xml:space="preserve">广西崇左农村商业银行股份有限公司城南分理处 </w:t>
            </w:r>
          </w:p>
          <w:p w14:paraId="6764EAB8">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银行账号：</w:t>
            </w:r>
            <w:r>
              <w:rPr>
                <w:rFonts w:hint="default" w:ascii="Times New Roman" w:hAnsi="Times New Roman" w:cs="Times New Roman"/>
                <w:b/>
                <w:color w:val="auto"/>
                <w:szCs w:val="21"/>
                <w:highlight w:val="none"/>
                <w:lang w:val="en-US" w:eastAsia="zh-CN"/>
              </w:rPr>
              <w:t xml:space="preserve">146512010110720259 </w:t>
            </w:r>
          </w:p>
        </w:tc>
      </w:tr>
      <w:tr w14:paraId="5FDB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49001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33.1</w:t>
            </w:r>
          </w:p>
        </w:tc>
        <w:tc>
          <w:tcPr>
            <w:tcW w:w="7912" w:type="dxa"/>
            <w:vAlign w:val="center"/>
          </w:tcPr>
          <w:p w14:paraId="0A527680">
            <w:pPr>
              <w:pStyle w:val="4"/>
              <w:snapToGrid w:val="0"/>
              <w:spacing w:line="360" w:lineRule="auto"/>
              <w:rPr>
                <w:rFonts w:hint="default" w:ascii="Times New Roman" w:hAnsi="Times New Roman" w:cs="Times New Roman"/>
                <w:color w:val="auto"/>
                <w:kern w:val="2"/>
                <w:szCs w:val="21"/>
                <w:highlight w:val="none"/>
              </w:rPr>
            </w:pPr>
            <w:r>
              <w:rPr>
                <w:rFonts w:hint="default" w:ascii="Times New Roman" w:hAnsi="Times New Roman" w:cs="Times New Roman"/>
                <w:color w:val="auto"/>
                <w:szCs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F88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C02C10">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33.2</w:t>
            </w:r>
          </w:p>
        </w:tc>
        <w:tc>
          <w:tcPr>
            <w:tcW w:w="7912" w:type="dxa"/>
            <w:vAlign w:val="center"/>
          </w:tcPr>
          <w:p w14:paraId="5194D699">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承包人。</w:t>
            </w:r>
          </w:p>
        </w:tc>
      </w:tr>
      <w:tr w14:paraId="3EEF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3E1F0A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33.3</w:t>
            </w:r>
          </w:p>
        </w:tc>
        <w:tc>
          <w:tcPr>
            <w:tcW w:w="7912" w:type="dxa"/>
            <w:vAlign w:val="center"/>
          </w:tcPr>
          <w:p w14:paraId="0FCE94CF">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28B6E62">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2.本磋商文件所称的“</w:t>
            </w:r>
            <w:r>
              <w:rPr>
                <w:rFonts w:hint="default" w:ascii="Times New Roman" w:hAnsi="Times New Roman" w:cs="Times New Roman"/>
                <w:color w:val="auto"/>
                <w:szCs w:val="21"/>
                <w:highlight w:val="none"/>
              </w:rPr>
              <w:t>电子签章</w:t>
            </w:r>
            <w:r>
              <w:rPr>
                <w:rFonts w:hint="default" w:ascii="Times New Roman" w:hAnsi="Times New Roman" w:cs="Times New Roman"/>
                <w:bCs/>
                <w:color w:val="auto"/>
                <w:szCs w:val="21"/>
                <w:highlight w:val="none"/>
              </w:rPr>
              <w:t>”、“电子签名”</w:t>
            </w:r>
            <w:r>
              <w:rPr>
                <w:rFonts w:hint="default" w:ascii="Times New Roman" w:hAnsi="Times New Roman" w:cs="Times New Roman"/>
                <w:color w:val="auto"/>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A0F4501">
            <w:pPr>
              <w:pStyle w:val="4"/>
              <w:snapToGrid w:val="0"/>
              <w:spacing w:line="360" w:lineRule="auto"/>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3.供应商为其他组织时，本磋商文件规定的法定代表人指负责人。本磋商文件所称负责人是指参加竞标的其他组织</w:t>
            </w:r>
            <w:r>
              <w:rPr>
                <w:rFonts w:hint="default" w:ascii="Times New Roman" w:hAnsi="Times New Roman" w:cs="Times New Roman"/>
                <w:bCs/>
                <w:color w:val="auto"/>
                <w:szCs w:val="21"/>
                <w:highlight w:val="none"/>
              </w:rPr>
              <w:t>营业执照或者执业许可证等证照上的</w:t>
            </w:r>
            <w:r>
              <w:rPr>
                <w:rFonts w:hint="default" w:ascii="Times New Roman" w:hAnsi="Times New Roman" w:cs="Times New Roman"/>
                <w:color w:val="auto"/>
                <w:szCs w:val="21"/>
                <w:highlight w:val="none"/>
              </w:rPr>
              <w:t>负责人</w:t>
            </w:r>
            <w:r>
              <w:rPr>
                <w:rFonts w:hint="default" w:ascii="Times New Roman" w:hAnsi="Times New Roman" w:cs="Times New Roman"/>
                <w:bCs/>
                <w:color w:val="auto"/>
                <w:szCs w:val="21"/>
                <w:highlight w:val="none"/>
              </w:rPr>
              <w:t>。</w:t>
            </w:r>
          </w:p>
          <w:p w14:paraId="544912B5">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1B9ABBE2">
            <w:pPr>
              <w:pStyle w:val="4"/>
              <w:snapToGrid w:val="0"/>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5.本磋商文件所称的“以上”“以下”“以内”“届满”，包括本数；所称的“不满”“超过”“以外”，不包括本数。</w:t>
            </w:r>
          </w:p>
          <w:p w14:paraId="68DD06F1">
            <w:pPr>
              <w:pStyle w:val="4"/>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w:t>
            </w:r>
            <w:r>
              <w:rPr>
                <w:rFonts w:hint="default" w:ascii="Times New Roman" w:hAnsi="Times New Roman" w:cs="Times New Roman"/>
                <w:b/>
                <w:bCs/>
                <w:color w:val="auto"/>
                <w:highlight w:val="none"/>
              </w:rPr>
              <w:t>温馨提示(非强制要求) :根据《崇左市财政局关于进一步做好线上“政采贷”融资业务工作的通知》(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tc>
      </w:tr>
    </w:tbl>
    <w:p w14:paraId="026322F6">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供应商须知正文</w:t>
      </w:r>
    </w:p>
    <w:p w14:paraId="7BC70452">
      <w:pPr>
        <w:spacing w:line="400" w:lineRule="exact"/>
        <w:jc w:val="center"/>
        <w:rPr>
          <w:rFonts w:hint="default" w:ascii="Times New Roman" w:hAnsi="Times New Roman" w:cs="Times New Roman"/>
          <w:b/>
          <w:color w:val="auto"/>
          <w:sz w:val="32"/>
          <w:szCs w:val="32"/>
          <w:highlight w:val="none"/>
        </w:rPr>
      </w:pPr>
    </w:p>
    <w:p w14:paraId="24EDE6A9">
      <w:pPr>
        <w:spacing w:line="40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一、总则</w:t>
      </w:r>
    </w:p>
    <w:p w14:paraId="7F4C410A">
      <w:pPr>
        <w:spacing w:line="400" w:lineRule="exact"/>
        <w:rPr>
          <w:rFonts w:hint="default" w:ascii="Times New Roman" w:hAnsi="Times New Roman" w:cs="Times New Roman"/>
          <w:color w:val="auto"/>
          <w:szCs w:val="21"/>
          <w:highlight w:val="none"/>
        </w:rPr>
      </w:pPr>
    </w:p>
    <w:p w14:paraId="11F5753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1.适用范围</w:t>
      </w:r>
    </w:p>
    <w:p w14:paraId="72048A1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4ED405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1.2本竞争性磋商文件（以下简称磋商文件）适用于本项目的所有采购程序和环节（法律、法规另有规定的，从其规定）</w:t>
      </w:r>
      <w:r>
        <w:rPr>
          <w:rFonts w:hint="default" w:ascii="Times New Roman" w:hAnsi="Times New Roman" w:cs="Times New Roman"/>
          <w:color w:val="auto"/>
          <w:spacing w:val="-6"/>
          <w:szCs w:val="21"/>
          <w:highlight w:val="none"/>
        </w:rPr>
        <w:t>。</w:t>
      </w:r>
    </w:p>
    <w:p w14:paraId="26852B66">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2.定义</w:t>
      </w:r>
    </w:p>
    <w:p w14:paraId="56BD1AD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2.1“采购人”是指依法进行政府采购的国家机关、事业单位、团体组织。</w:t>
      </w:r>
    </w:p>
    <w:p w14:paraId="07902CDA">
      <w:pPr>
        <w:spacing w:line="360" w:lineRule="auto"/>
        <w:ind w:firstLine="42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2.2“采购代理机构”是指政府采购集中采购机构和集中采购机构以外的采购代理机构。</w:t>
      </w:r>
    </w:p>
    <w:p w14:paraId="1374DFC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2.3“供应商”是指向采购人提供货物、工程或者服务的法人、其他组织或者自然人。</w:t>
      </w:r>
    </w:p>
    <w:p w14:paraId="6DAEACC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2.4“工程”是指建设工程，包括建筑物和构筑物的新建、改建、扩建、装修、拆除、修缮等。</w:t>
      </w:r>
    </w:p>
    <w:p w14:paraId="69DFFDE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2.5“竞标”是指供应商按照本项目竞争性磋商公告或者邀请函规定的方式获取磋商文件、提交响应文件并希望获得标的的行为。</w:t>
      </w:r>
    </w:p>
    <w:p w14:paraId="3685BC09">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2.6“书面形式”是指合同书、信件和数据电文（包括电报、电传、传真、电子数据交换和电子邮件）等可以有形地表现所载内容的形式。</w:t>
      </w:r>
    </w:p>
    <w:p w14:paraId="779A60CD">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2.7“响应文件”是指：供应商根据本磋商文件要求，编制包含资格证明、报价、商务技术等所有内容的文件</w:t>
      </w:r>
      <w:r>
        <w:rPr>
          <w:rFonts w:hint="default" w:ascii="Times New Roman" w:hAnsi="Times New Roman" w:cs="Times New Roman"/>
          <w:color w:val="auto"/>
          <w:spacing w:val="-6"/>
          <w:szCs w:val="21"/>
          <w:highlight w:val="none"/>
        </w:rPr>
        <w:t>。</w:t>
      </w:r>
    </w:p>
    <w:p w14:paraId="00352592">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2.8“实质性要求”是指磋商文件中已经指明不满足则响应文件按无效处理的条款，或者不能负偏离的条款，或者采购需求中带“▲”的条款。</w:t>
      </w:r>
    </w:p>
    <w:p w14:paraId="341F49CD">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2.9“正偏离”，是指响应文件对磋商文件“采购需求”中有关条款作出的响应优于条款要求并有利于采购人的情形。</w:t>
      </w:r>
    </w:p>
    <w:p w14:paraId="1AE1CF50">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2.10“负偏离”，是指响应文件对磋商文件“采购需求”中有关条款作出的响应不满足条款要求，导致采购人要求不能得到满足的情形。</w:t>
      </w:r>
    </w:p>
    <w:p w14:paraId="2CED2714">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2.11“允许负偏离的条款”是指采购需求中的不属于“实质性要求”的条款。</w:t>
      </w:r>
    </w:p>
    <w:p w14:paraId="36CAE417">
      <w:pPr>
        <w:spacing w:line="360" w:lineRule="auto"/>
        <w:ind w:firstLine="420" w:firstLineChars="200"/>
        <w:contextualSpacing/>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2.12“首次报价”是指供应商提交的首次响应文件中的报价。</w:t>
      </w:r>
    </w:p>
    <w:p w14:paraId="0FD4ADF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3.供应商的资格条件</w:t>
      </w:r>
    </w:p>
    <w:p w14:paraId="4B831A4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供应商的资格条件详见“供应商须知前附表”。</w:t>
      </w:r>
    </w:p>
    <w:p w14:paraId="73A5DFC3">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4.竞标费用</w:t>
      </w:r>
    </w:p>
    <w:p w14:paraId="41E66CB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E5F599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5.联合体竞标</w:t>
      </w:r>
    </w:p>
    <w:p w14:paraId="616F6CB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5.1本项目是否接受联合体竞标，详见“供应商须知前附表”。</w:t>
      </w:r>
    </w:p>
    <w:p w14:paraId="4A3E57A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r>
        <w:rPr>
          <w:rFonts w:hint="default" w:ascii="Times New Roman" w:hAnsi="Times New Roman" w:cs="Times New Roman"/>
          <w:color w:val="auto"/>
          <w:highlight w:val="none"/>
        </w:rPr>
        <w:t>如接受联合体竞标，</w:t>
      </w:r>
      <w:r>
        <w:rPr>
          <w:rFonts w:hint="default" w:ascii="Times New Roman" w:hAnsi="Times New Roman" w:cs="Times New Roman"/>
          <w:color w:val="auto"/>
          <w:szCs w:val="21"/>
          <w:highlight w:val="none"/>
        </w:rPr>
        <w:t>联合体竞标要求详见“供应商须知前附表”。</w:t>
      </w:r>
    </w:p>
    <w:p w14:paraId="5FD5E12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w:t>
      </w:r>
      <w:bookmarkStart w:id="60" w:name="_Hlk66782192"/>
      <w:r>
        <w:rPr>
          <w:rFonts w:hint="default" w:ascii="Times New Roman" w:hAnsi="Times New Roman" w:cs="Times New Roman"/>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60"/>
    </w:p>
    <w:p w14:paraId="1F0B224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6.转包与分包</w:t>
      </w:r>
    </w:p>
    <w:p w14:paraId="35FB42BA">
      <w:pPr>
        <w:pStyle w:val="10"/>
        <w:keepNext w:val="0"/>
        <w:keepLines w:val="0"/>
        <w:spacing w:before="0" w:after="0" w:line="360" w:lineRule="auto"/>
        <w:ind w:left="420" w:leftChars="200"/>
        <w:rPr>
          <w:rFonts w:hint="default" w:ascii="Times New Roman" w:hAnsi="Times New Roman" w:cs="Times New Roman"/>
          <w:b w:val="0"/>
          <w:color w:val="auto"/>
          <w:sz w:val="21"/>
          <w:szCs w:val="21"/>
          <w:highlight w:val="none"/>
        </w:rPr>
      </w:pPr>
      <w:bookmarkStart w:id="61" w:name="_Toc254970532"/>
      <w:bookmarkStart w:id="62" w:name="_Toc254970673"/>
      <w:r>
        <w:rPr>
          <w:rFonts w:hint="default" w:ascii="Times New Roman" w:hAnsi="Times New Roman" w:cs="Times New Roman"/>
          <w:b w:val="0"/>
          <w:color w:val="auto"/>
          <w:sz w:val="21"/>
          <w:szCs w:val="21"/>
          <w:highlight w:val="none"/>
        </w:rPr>
        <w:t>6.1本项目不允许转包。</w:t>
      </w:r>
    </w:p>
    <w:p w14:paraId="40EA76CA">
      <w:pPr>
        <w:pStyle w:val="10"/>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76760D74">
      <w:pPr>
        <w:pStyle w:val="10"/>
        <w:keepNext w:val="0"/>
        <w:keepLines w:val="0"/>
        <w:spacing w:before="0" w:after="0" w:line="360" w:lineRule="auto"/>
        <w:ind w:firstLine="315" w:firstLineChars="150"/>
        <w:rPr>
          <w:rFonts w:hint="default" w:ascii="Times New Roman" w:hAnsi="Times New Roman" w:cs="Times New Roman"/>
          <w:b w:val="0"/>
          <w:color w:val="auto"/>
          <w:sz w:val="21"/>
          <w:szCs w:val="21"/>
          <w:highlight w:val="none"/>
        </w:rPr>
      </w:pPr>
      <w:r>
        <w:rPr>
          <w:rFonts w:hint="default" w:ascii="Times New Roman" w:hAnsi="Times New Roman" w:cs="Times New Roman"/>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6D4D852">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7.特别说明</w:t>
      </w:r>
      <w:bookmarkEnd w:id="61"/>
      <w:bookmarkEnd w:id="62"/>
    </w:p>
    <w:p w14:paraId="1D11E888">
      <w:pPr>
        <w:spacing w:line="360" w:lineRule="auto"/>
        <w:ind w:firstLine="420" w:firstLineChars="200"/>
        <w:rPr>
          <w:rFonts w:hint="default" w:ascii="Times New Roman" w:hAnsi="Times New Roman" w:cs="Times New Roman"/>
          <w:color w:val="auto"/>
          <w:szCs w:val="21"/>
          <w:highlight w:val="none"/>
        </w:rPr>
      </w:pPr>
      <w:bookmarkStart w:id="63" w:name="_8.1提供相同品牌产品且通过资格审查、符合性审查的不同投标人参加同一合"/>
      <w:bookmarkEnd w:id="63"/>
      <w:r>
        <w:rPr>
          <w:rFonts w:hint="default" w:ascii="Times New Roman" w:hAnsi="Times New Roman" w:cs="Times New Roman"/>
          <w:color w:val="auto"/>
          <w:szCs w:val="21"/>
          <w:highlight w:val="none"/>
        </w:rPr>
        <w:t>7.1</w:t>
      </w:r>
      <w:bookmarkStart w:id="64" w:name="_Hlk65832145"/>
      <w:r>
        <w:rPr>
          <w:rFonts w:hint="default" w:ascii="Times New Roman" w:hAnsi="Times New Roman" w:cs="Times New Roman"/>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64"/>
    <w:p w14:paraId="56FB0FD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7.2供应商应仔细阅读磋商文件的所有内容，按照磋商文件的要求提交响应文件，并对所提供的全部资料的真实性承担法律责任。</w:t>
      </w:r>
    </w:p>
    <w:p w14:paraId="2CD0B89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7.3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6BEF0A8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7.4在政府采购活动中，采购人员及相关人员与供应商有下列利害关系之一的，应当回避：</w:t>
      </w:r>
    </w:p>
    <w:p w14:paraId="4D78EA5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（1）参加采购活动前3年内与供应商存在劳动关系；</w:t>
      </w:r>
    </w:p>
    <w:p w14:paraId="13A55C19">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（2）参加采购活动前3年内担任供应商的董事、监事；</w:t>
      </w:r>
    </w:p>
    <w:p w14:paraId="111D469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（3）参加采购活动前3年内是供应商的控股股东或者实际控制人；</w:t>
      </w:r>
    </w:p>
    <w:p w14:paraId="3E3FD7A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（4）与供应商的法定代表人或者负责人有夫妻、直系血亲、三代以内旁系血亲或者近姻亲关系；</w:t>
      </w:r>
    </w:p>
    <w:p w14:paraId="36C1B00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（5）与供应商有其他可能影响政府采购活动公平、公正进行的关系。</w:t>
      </w:r>
    </w:p>
    <w:p w14:paraId="2EA2CB6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FC76CC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7.5有下列情形之一的视为供应商相互串通竞标，响应文件将被视为无效：</w:t>
      </w:r>
    </w:p>
    <w:p w14:paraId="615EF80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（1）不同供应商的响应文件由同一单位或者个人编制；</w:t>
      </w:r>
    </w:p>
    <w:p w14:paraId="5DD6FC5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（2）不同供应商委托同一单位或者个人办理竞标事宜；</w:t>
      </w:r>
    </w:p>
    <w:p w14:paraId="509D8D7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（3）不同的供应商的响应文件载明的项目管理员为同一个人；</w:t>
      </w:r>
    </w:p>
    <w:p w14:paraId="2E1884C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（4）不同供应商的响应文件异常一致或者报价呈规律性差异；</w:t>
      </w:r>
    </w:p>
    <w:p w14:paraId="751BDD1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（5）不同供应商的响应文件相互混装；</w:t>
      </w:r>
    </w:p>
    <w:p w14:paraId="02070D92">
      <w:pPr>
        <w:tabs>
          <w:tab w:val="left" w:pos="6931"/>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（6）不同供应商的磋商保证金从同一单位或者个人账户转出。</w:t>
      </w:r>
      <w:r>
        <w:rPr>
          <w:rFonts w:hint="default" w:ascii="Times New Roman" w:hAnsi="Times New Roman" w:cs="Times New Roman"/>
          <w:color w:val="auto"/>
          <w:szCs w:val="21"/>
          <w:highlight w:val="none"/>
        </w:rPr>
        <w:tab/>
      </w:r>
    </w:p>
    <w:p w14:paraId="5C6D2E2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7.6供应商有下列情形之一的，属于恶意串通行为，将报同级监督管理部门：</w:t>
      </w:r>
    </w:p>
    <w:p w14:paraId="53A0B80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（1）供应商直接或者间接从采购人或者采购代理机构处获得其他供应商的相关信息并修改其响应文件；</w:t>
      </w:r>
    </w:p>
    <w:p w14:paraId="7EF0C23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（2）供应商按照采购人或者采购代理机构的授意撤换、修改响应文件；</w:t>
      </w:r>
    </w:p>
    <w:p w14:paraId="288C264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（3）供应商之间协商报价、技术方案等响应文件或者响应文件的实质性内容；</w:t>
      </w:r>
    </w:p>
    <w:p w14:paraId="442FC72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（4）属于同一集团、协会、商会等组织成员的供应商按照该组织要求协同参加政府采购活动；</w:t>
      </w:r>
    </w:p>
    <w:p w14:paraId="75C453F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9F7AA1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（6）供应商之间商定部分供应商放弃参加政府采购活动或者放弃成交；</w:t>
      </w:r>
    </w:p>
    <w:p w14:paraId="4B49019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（7）供应商与采购人或者采购代理机构之间、供应商相互之间，为谋求特定供应商成交或者排斥其他供应商的其他串通行为。</w:t>
      </w:r>
    </w:p>
    <w:p w14:paraId="29A15302">
      <w:pPr>
        <w:spacing w:line="360" w:lineRule="auto"/>
        <w:ind w:firstLine="420" w:firstLineChars="200"/>
        <w:rPr>
          <w:rFonts w:hint="default" w:ascii="Times New Roman" w:hAnsi="Times New Roman" w:cs="Times New Roman"/>
          <w:color w:val="auto"/>
          <w:szCs w:val="21"/>
          <w:highlight w:val="none"/>
        </w:rPr>
      </w:pPr>
    </w:p>
    <w:p w14:paraId="5D697FB0">
      <w:pPr>
        <w:spacing w:line="360" w:lineRule="auto"/>
        <w:ind w:left="1" w:firstLine="417" w:firstLineChars="199"/>
        <w:jc w:val="center"/>
        <w:rPr>
          <w:rFonts w:hint="default" w:ascii="Times New Roman" w:hAnsi="Times New Roman" w:cs="Times New Roman"/>
          <w:color w:val="auto"/>
          <w:highlight w:val="none"/>
        </w:rPr>
      </w:pPr>
      <w:bookmarkStart w:id="65" w:name="_Toc254970534"/>
      <w:bookmarkStart w:id="66" w:name="_Toc254970675"/>
    </w:p>
    <w:p w14:paraId="0ED54195">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二、磋商文件</w:t>
      </w:r>
      <w:bookmarkEnd w:id="65"/>
      <w:bookmarkEnd w:id="66"/>
    </w:p>
    <w:p w14:paraId="7FD9E372">
      <w:pPr>
        <w:spacing w:line="360" w:lineRule="auto"/>
        <w:rPr>
          <w:rFonts w:hint="default" w:ascii="Times New Roman" w:hAnsi="Times New Roman" w:cs="Times New Roman"/>
          <w:color w:val="auto"/>
          <w:szCs w:val="21"/>
          <w:highlight w:val="none"/>
        </w:rPr>
      </w:pPr>
    </w:p>
    <w:p w14:paraId="2D57ADEF">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8.磋商文件的构成</w:t>
      </w:r>
    </w:p>
    <w:p w14:paraId="37B8FE2F">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第一章竞争性磋商公告；</w:t>
      </w:r>
    </w:p>
    <w:p w14:paraId="0A58C27B">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第二章供应商须知；</w:t>
      </w:r>
    </w:p>
    <w:p w14:paraId="29AF12FE">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第三章采购需求；</w:t>
      </w:r>
    </w:p>
    <w:p w14:paraId="433B253A">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第四章评审程序、评审方法和评审标准；</w:t>
      </w:r>
    </w:p>
    <w:p w14:paraId="48DAE688">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第五章工程量清单及图纸；</w:t>
      </w:r>
    </w:p>
    <w:p w14:paraId="72D5F3C2">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第六章响应文件格式；</w:t>
      </w:r>
    </w:p>
    <w:p w14:paraId="134D5783">
      <w:pPr>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第七章合同文本。</w:t>
      </w:r>
    </w:p>
    <w:p w14:paraId="3D09EF88">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9.供应商的询问</w:t>
      </w:r>
    </w:p>
    <w:p w14:paraId="10189EF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78C8868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10.磋商文件的澄清和修改</w:t>
      </w:r>
    </w:p>
    <w:p w14:paraId="723B3FC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3个工作日前，以书面形式通知所有获取磋商文件的供应商，不足3个工作日的，应当顺延提交首次响应文件截止之日。</w:t>
      </w:r>
    </w:p>
    <w:p w14:paraId="12660F6F">
      <w:pPr>
        <w:spacing w:line="360" w:lineRule="auto"/>
        <w:rPr>
          <w:rFonts w:hint="default" w:ascii="Times New Roman" w:hAnsi="Times New Roman" w:cs="Times New Roman"/>
          <w:color w:val="auto"/>
          <w:szCs w:val="21"/>
          <w:highlight w:val="none"/>
        </w:rPr>
      </w:pPr>
    </w:p>
    <w:p w14:paraId="4B865F00">
      <w:pPr>
        <w:spacing w:line="360" w:lineRule="auto"/>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 w:val="32"/>
          <w:szCs w:val="32"/>
          <w:highlight w:val="none"/>
        </w:rPr>
        <w:t>三、响应文件的编制</w:t>
      </w:r>
    </w:p>
    <w:p w14:paraId="4BAF431A">
      <w:pPr>
        <w:spacing w:line="360" w:lineRule="auto"/>
        <w:rPr>
          <w:rFonts w:hint="default" w:ascii="Times New Roman" w:hAnsi="Times New Roman" w:cs="Times New Roman"/>
          <w:color w:val="auto"/>
          <w:szCs w:val="21"/>
          <w:highlight w:val="none"/>
        </w:rPr>
      </w:pPr>
    </w:p>
    <w:p w14:paraId="62F7402D">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11.响应文件的编制原则</w:t>
      </w:r>
    </w:p>
    <w:p w14:paraId="36672BE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供应商必须按照磋商文件的要求编制响应文件，并对其提交的响应文件的真实性、合法性承担法律责任。响应文件必须对磋商文件作出实质性响应。</w:t>
      </w:r>
    </w:p>
    <w:p w14:paraId="4CDF6D8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12.响应文件的组成</w:t>
      </w:r>
    </w:p>
    <w:p w14:paraId="1CE2721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12.1响应文件由资格证明文件、报价文件、商务技术文件三部分组成。</w:t>
      </w:r>
    </w:p>
    <w:p w14:paraId="2B72D999">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12.1.1资格证明文件：详见“供应商须知前附表”</w:t>
      </w:r>
    </w:p>
    <w:p w14:paraId="13411304">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12.1.2报价文件：详见“供应商须知前附表”</w:t>
      </w:r>
    </w:p>
    <w:p w14:paraId="6BE5E6E8">
      <w:pPr>
        <w:spacing w:line="360" w:lineRule="auto"/>
        <w:ind w:left="840" w:leftChars="20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12.1.3商务技术文件：详见“供应商须知前附表”</w:t>
      </w:r>
    </w:p>
    <w:p w14:paraId="4D478E2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13.计量单位</w:t>
      </w:r>
    </w:p>
    <w:p w14:paraId="49F35CA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磋商文件已有明确规定的，使用磋商文件规定的计量单位；磋商文件没有规定的，应采用中华人民共和国法定计量单位，货币种类为人民币，否则视同未响应。</w:t>
      </w:r>
    </w:p>
    <w:p w14:paraId="15FC16F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14.竞标的风险</w:t>
      </w:r>
    </w:p>
    <w:p w14:paraId="12DAB7C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供应商没有按照磋商文件要求提供全部资料，或者供应商没有对磋商文件在各方面作出实质性响应可能导致其响应无效，是供应商应当考虑的风险。</w:t>
      </w:r>
    </w:p>
    <w:p w14:paraId="2796319F">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15.竞标报价</w:t>
      </w:r>
    </w:p>
    <w:p w14:paraId="506912ED">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15.1竞标报价应按磋商文件中“竞标报价表”及“已标价工程量清单”格式填写。</w:t>
      </w:r>
    </w:p>
    <w:p w14:paraId="24F8E416">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15.2竞标报价的内容见“供应商须知前附表”。</w:t>
      </w:r>
    </w:p>
    <w:p w14:paraId="0B19299F">
      <w:pPr>
        <w:tabs>
          <w:tab w:val="left" w:pos="2492"/>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15.3本项目的增值税计税方法见“供应商须知前附表”。</w:t>
      </w:r>
    </w:p>
    <w:p w14:paraId="1F40D8E6">
      <w:pPr>
        <w:spacing w:line="360" w:lineRule="auto"/>
        <w:ind w:left="426" w:leftChars="20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15.4竞标报价要求</w:t>
      </w:r>
    </w:p>
    <w:p w14:paraId="5A74FD9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15.4.1供应商的竞标报价应符合以下要求，否则响应文件按无效处理：</w:t>
      </w:r>
    </w:p>
    <w:p w14:paraId="3F7ADC10">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（1）供应商必须就“采购需求”中所竞标的每个分标的全部内容分别作完整唯一总价报价，</w:t>
      </w:r>
    </w:p>
    <w:p w14:paraId="13C918D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不得存在漏项报价；</w:t>
      </w:r>
    </w:p>
    <w:p w14:paraId="6EEA0C01">
      <w:pPr>
        <w:numPr>
          <w:ilvl w:val="0"/>
          <w:numId w:val="1"/>
        </w:num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供应商必须就所竞标的分标的单项内容作唯一报价。</w:t>
      </w:r>
    </w:p>
    <w:p w14:paraId="39F1D2DC">
      <w:pPr>
        <w:numPr>
          <w:ilvl w:val="0"/>
          <w:numId w:val="1"/>
        </w:num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供应商竞标报价（含总报价和单项报价）如明显低于其他通过符合性审查供应商的报价，有可能不能诚信履约的，磋商小组可</w:t>
      </w:r>
      <w:r>
        <w:rPr>
          <w:rFonts w:hint="default" w:ascii="Times New Roman" w:hAnsi="Times New Roman" w:cs="Times New Roman"/>
          <w:color w:val="auto"/>
          <w:sz w:val="22"/>
          <w:szCs w:val="22"/>
          <w:highlight w:val="none"/>
        </w:rPr>
        <w:t>要求其在评标现场合理的时间内提供书面说明</w:t>
      </w:r>
      <w:r>
        <w:rPr>
          <w:rFonts w:hint="default" w:ascii="Times New Roman" w:hAnsi="Times New Roman" w:cs="Times New Roman"/>
          <w:color w:val="auto"/>
          <w:szCs w:val="21"/>
          <w:highlight w:val="none"/>
        </w:rPr>
        <w:t>。如无法提供说明，或者说明不足以证明合理性的，经磋商小组评定，响应文件按无效处理。</w:t>
      </w:r>
    </w:p>
    <w:p w14:paraId="1A4FD51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15.4.2竞标报价（包含首次报价、最后报价）超过所竞标分标规定的采购预算金额或者最高限价的，其响应文件将按无效处理。</w:t>
      </w:r>
    </w:p>
    <w:p w14:paraId="2417FEC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15.4.3</w:t>
      </w:r>
      <w:bookmarkStart w:id="67" w:name="_Hlk42592874"/>
      <w:r>
        <w:rPr>
          <w:rFonts w:hint="default" w:ascii="Times New Roman" w:hAnsi="Times New Roman" w:cs="Times New Roman"/>
          <w:color w:val="auto"/>
          <w:szCs w:val="21"/>
          <w:highlight w:val="none"/>
        </w:rPr>
        <w:t>竞标报价（包含首次报价、最后报价）超过分项采购预算金额或者最高限价的（如有要求），其响应文件将按无效处理。</w:t>
      </w:r>
    </w:p>
    <w:p w14:paraId="010BC14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15.4.4供应商在提交响应文件截止时间前修改竞标函中的竞标总报价，应同时修改响应文件“已标价工程量清单”中的相应报价。此修改须符合本须知正文第20条、第21条的有关要求。</w:t>
      </w:r>
    </w:p>
    <w:bookmarkEnd w:id="67"/>
    <w:p w14:paraId="5840401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16.竞标有效期</w:t>
      </w:r>
    </w:p>
    <w:p w14:paraId="429DAAF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5D23E9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16.2 竞标有效期应由供应商按“供应商须知前附表”规定的期限作出响应。</w:t>
      </w:r>
    </w:p>
    <w:p w14:paraId="034CBE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16.3供应商的响应文件在竞标有效期内均保持有效。</w:t>
      </w:r>
    </w:p>
    <w:p w14:paraId="5910704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17.磋商保证金</w:t>
      </w:r>
    </w:p>
    <w:p w14:paraId="488722EF">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17.1供应商须按“供应商须知前附表”的规定提交磋商保证金。</w:t>
      </w:r>
    </w:p>
    <w:p w14:paraId="3F843007">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17.2磋商保证金的退还</w:t>
      </w:r>
    </w:p>
    <w:p w14:paraId="7C1F1D2F">
      <w:pPr>
        <w:spacing w:line="360" w:lineRule="auto"/>
        <w:ind w:firstLine="420" w:firstLineChars="200"/>
        <w:rPr>
          <w:rFonts w:hint="default" w:ascii="Times New Roman" w:hAnsi="Times New Roman" w:cs="Times New Roman"/>
          <w:color w:val="auto"/>
          <w:szCs w:val="21"/>
          <w:highlight w:val="none"/>
        </w:rPr>
      </w:pPr>
      <w:bookmarkStart w:id="68" w:name="_Hlk66782243"/>
      <w:r>
        <w:rPr>
          <w:rFonts w:hint="default" w:ascii="Times New Roman" w:hAnsi="Times New Roman" w:cs="Times New Roman"/>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8"/>
    </w:p>
    <w:p w14:paraId="096E3E02">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17.3磋商保证金不计息。</w:t>
      </w:r>
    </w:p>
    <w:p w14:paraId="36FB2846">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17.4供应商有下列情形之一的，磋商保证金将不予退还：</w:t>
      </w:r>
    </w:p>
    <w:p w14:paraId="362661D7">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（1）供应商在提交响应文件截止时间后撤回响应文件的；</w:t>
      </w:r>
    </w:p>
    <w:p w14:paraId="6FA78F68">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（2）未按规定提交履约保证金的；</w:t>
      </w:r>
    </w:p>
    <w:p w14:paraId="21ED6A39">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（3）供应商在响应文件中提供虚假材料的；</w:t>
      </w:r>
    </w:p>
    <w:p w14:paraId="06495C2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（4）除因不可抗力或者磋商文件认可的情形以外，成交供应商不与采购人签订合同的；</w:t>
      </w:r>
    </w:p>
    <w:p w14:paraId="17762AB3">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（5）供应商与采购人、其他供应商或者采购代理机构恶意串通的；</w:t>
      </w:r>
    </w:p>
    <w:p w14:paraId="0C31DE2E">
      <w:pPr>
        <w:spacing w:line="360" w:lineRule="auto"/>
        <w:ind w:left="420" w:left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（6）法律法规规定的其他情形。</w:t>
      </w:r>
    </w:p>
    <w:p w14:paraId="1C1C7CE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18.响应文件编制的要求</w:t>
      </w:r>
    </w:p>
    <w:p w14:paraId="4D31F64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5082D2B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385BBA2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18.3响应文件须由供应商在规定位置签字、盖章（具体以供应商须知前附表或响应文件格式规定为准），否则按无效响应处理。</w:t>
      </w:r>
    </w:p>
    <w:p w14:paraId="676C985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5317693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74B7D0F">
      <w:pPr>
        <w:spacing w:line="360" w:lineRule="auto"/>
        <w:ind w:firstLine="482" w:firstLineChars="200"/>
        <w:rPr>
          <w:rFonts w:hint="default" w:ascii="Times New Roman" w:hAnsi="Times New Roman" w:eastAsia="黑体" w:cs="Times New Roman"/>
          <w:color w:val="auto"/>
          <w:sz w:val="24"/>
          <w:highlight w:val="none"/>
        </w:rPr>
      </w:pPr>
      <w:r>
        <w:rPr>
          <w:rFonts w:hint="default" w:ascii="Times New Roman" w:hAnsi="Times New Roman" w:eastAsia="黑体" w:cs="Times New Roman"/>
          <w:b/>
          <w:bCs/>
          <w:color w:val="auto"/>
          <w:sz w:val="24"/>
          <w:highlight w:val="none"/>
        </w:rPr>
        <w:t>19.电子</w:t>
      </w:r>
      <w:r>
        <w:rPr>
          <w:rFonts w:hint="default" w:ascii="Times New Roman" w:hAnsi="Times New Roman" w:eastAsia="黑体" w:cs="Times New Roman"/>
          <w:b/>
          <w:color w:val="auto"/>
          <w:sz w:val="24"/>
          <w:highlight w:val="none"/>
        </w:rPr>
        <w:t>备份响应文件</w:t>
      </w:r>
    </w:p>
    <w:p w14:paraId="39A24AE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电子备份响应文件是指通过“广西政府采购云平台电子投标客户端”在线编制生成且后缀名为“bfbs”的文件，是否接受电子备份响应文件</w:t>
      </w:r>
      <w:r>
        <w:rPr>
          <w:rFonts w:hint="default" w:ascii="Times New Roman" w:hAnsi="Times New Roman" w:cs="Times New Roman"/>
          <w:bCs/>
          <w:color w:val="auto"/>
          <w:szCs w:val="21"/>
          <w:highlight w:val="none"/>
        </w:rPr>
        <w:t>详见在“供应商须知前附表”。</w:t>
      </w:r>
    </w:p>
    <w:p w14:paraId="7004BBF1">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20.响应文件的提交</w:t>
      </w:r>
    </w:p>
    <w:p w14:paraId="161C8683">
      <w:pPr>
        <w:spacing w:line="360" w:lineRule="auto"/>
        <w:ind w:firstLine="420" w:firstLineChars="200"/>
        <w:rPr>
          <w:rFonts w:hint="default" w:ascii="Times New Roman" w:hAnsi="Times New Roman" w:cs="Times New Roman"/>
          <w:b/>
          <w:color w:val="auto"/>
          <w:highlight w:val="none"/>
        </w:rPr>
      </w:pPr>
      <w:r>
        <w:rPr>
          <w:rFonts w:hint="default" w:ascii="Times New Roman" w:hAnsi="Times New Roman" w:cs="Times New Roman"/>
          <w:bCs/>
          <w:color w:val="auto"/>
          <w:szCs w:val="21"/>
          <w:highlight w:val="none"/>
        </w:rPr>
        <w:t>20.1供应商必须按“供应商须知前附表”规定的</w:t>
      </w:r>
      <w:r>
        <w:rPr>
          <w:rFonts w:hint="default" w:ascii="Times New Roman" w:hAnsi="Times New Roman" w:cs="Times New Roman"/>
          <w:color w:val="auto"/>
          <w:szCs w:val="21"/>
          <w:highlight w:val="none"/>
        </w:rPr>
        <w:t>时间及</w:t>
      </w:r>
      <w:r>
        <w:rPr>
          <w:rFonts w:hint="default" w:ascii="Times New Roman" w:hAnsi="Times New Roman" w:cs="Times New Roman"/>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default" w:ascii="Times New Roman" w:hAnsi="Times New Roman" w:cs="Times New Roman"/>
          <w:color w:val="auto"/>
          <w:szCs w:val="21"/>
          <w:highlight w:val="none"/>
        </w:rPr>
        <w:t>广西政府采购云平台</w:t>
      </w:r>
      <w:r>
        <w:rPr>
          <w:rFonts w:hint="default" w:ascii="Times New Roman" w:hAnsi="Times New Roman" w:cs="Times New Roman"/>
          <w:bCs/>
          <w:color w:val="auto"/>
          <w:szCs w:val="21"/>
          <w:highlight w:val="none"/>
        </w:rPr>
        <w:t>。</w:t>
      </w:r>
    </w:p>
    <w:p w14:paraId="78F80BC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20.2未在规定时间内提交或者未按照磋商文件要求加密的电子响应文件，广西政府采购云平台将拒收。</w:t>
      </w:r>
    </w:p>
    <w:p w14:paraId="513A92B1">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21.首次响应文件的补充、修改与撤回</w:t>
      </w:r>
    </w:p>
    <w:p w14:paraId="0734CD2C">
      <w:pPr>
        <w:spacing w:line="360" w:lineRule="auto"/>
        <w:ind w:firstLine="420" w:firstLineChars="200"/>
        <w:rPr>
          <w:rFonts w:hint="default" w:ascii="Times New Roman" w:hAnsi="Times New Roman" w:cs="Times New Roman"/>
          <w:bCs/>
          <w:color w:val="auto"/>
          <w:szCs w:val="21"/>
          <w:highlight w:val="none"/>
        </w:rPr>
      </w:pPr>
      <w:bookmarkStart w:id="69" w:name="_Toc254970684"/>
      <w:bookmarkStart w:id="70" w:name="_Toc254970543"/>
      <w:r>
        <w:rPr>
          <w:rFonts w:hint="default" w:ascii="Times New Roman" w:hAnsi="Times New Roman" w:cs="Times New Roman"/>
          <w:bCs/>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电子投标文件制作与投送教程”）</w:t>
      </w:r>
    </w:p>
    <w:bookmarkEnd w:id="69"/>
    <w:bookmarkEnd w:id="70"/>
    <w:p w14:paraId="0F952AFF">
      <w:pPr>
        <w:pStyle w:val="166"/>
        <w:spacing w:before="0"/>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21.2在提交响应文件截止时间前，除供应商补充、修改或者撤回响应文件外，任何单位和个人不得解密或提取响应文件。</w:t>
      </w:r>
    </w:p>
    <w:p w14:paraId="21A17995">
      <w:pPr>
        <w:spacing w:line="360" w:lineRule="auto"/>
        <w:ind w:firstLine="482" w:firstLineChars="200"/>
        <w:rPr>
          <w:rFonts w:hint="default" w:ascii="Times New Roman" w:hAnsi="Times New Roman" w:eastAsia="黑体" w:cs="Times New Roman"/>
          <w:b/>
          <w:bCs/>
          <w:color w:val="auto"/>
          <w:sz w:val="24"/>
          <w:highlight w:val="none"/>
        </w:rPr>
      </w:pPr>
      <w:bookmarkStart w:id="71" w:name="_Hlk45702405"/>
      <w:r>
        <w:rPr>
          <w:rFonts w:hint="default" w:ascii="Times New Roman" w:hAnsi="Times New Roman" w:eastAsia="黑体" w:cs="Times New Roman"/>
          <w:b/>
          <w:bCs/>
          <w:color w:val="auto"/>
          <w:sz w:val="24"/>
          <w:highlight w:val="none"/>
        </w:rPr>
        <w:t>22.响应文件的退回</w:t>
      </w:r>
    </w:p>
    <w:p w14:paraId="14BC6B7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采购人和采购代理机构对已提交的响应文件概不退回。</w:t>
      </w:r>
    </w:p>
    <w:p w14:paraId="72B2E70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23.截止时间后的撤回</w:t>
      </w:r>
    </w:p>
    <w:p w14:paraId="30FE14E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供应商在响应文件提交截止时间后向采购人、采购代理机构书面申请撤回响应文件的，将根据本须知正文第17.4条的规定不予退还其磋商保证金。</w:t>
      </w:r>
    </w:p>
    <w:bookmarkEnd w:id="71"/>
    <w:p w14:paraId="3741E30C">
      <w:pPr>
        <w:spacing w:line="360" w:lineRule="auto"/>
        <w:rPr>
          <w:rFonts w:hint="default" w:ascii="Times New Roman" w:hAnsi="Times New Roman" w:cs="Times New Roman"/>
          <w:color w:val="auto"/>
          <w:szCs w:val="21"/>
          <w:highlight w:val="none"/>
        </w:rPr>
      </w:pPr>
    </w:p>
    <w:p w14:paraId="0C3C58FA">
      <w:pPr>
        <w:spacing w:line="360" w:lineRule="auto"/>
        <w:ind w:left="420" w:firstLine="420"/>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四、评审及磋商</w:t>
      </w:r>
    </w:p>
    <w:p w14:paraId="3C7BEC9D">
      <w:pPr>
        <w:spacing w:line="360" w:lineRule="auto"/>
        <w:ind w:left="420" w:firstLine="420"/>
        <w:rPr>
          <w:rFonts w:hint="default" w:ascii="Times New Roman" w:hAnsi="Times New Roman" w:cs="Times New Roman"/>
          <w:color w:val="auto"/>
          <w:szCs w:val="21"/>
          <w:highlight w:val="none"/>
        </w:rPr>
      </w:pPr>
    </w:p>
    <w:p w14:paraId="5B88554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24.磋商小组成立</w:t>
      </w:r>
    </w:p>
    <w:p w14:paraId="3AA2704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9CCC12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77A437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w:t>
      </w:r>
      <w:r>
        <w:rPr>
          <w:rFonts w:hint="default" w:ascii="Times New Roman" w:hAnsi="Times New Roman" w:cs="Times New Roman"/>
          <w:bCs/>
          <w:color w:val="auto"/>
          <w:szCs w:val="21"/>
          <w:highlight w:val="none"/>
        </w:rPr>
        <w:t>采购代理机构</w:t>
      </w:r>
      <w:r>
        <w:rPr>
          <w:rFonts w:hint="default" w:ascii="Times New Roman" w:hAnsi="Times New Roman" w:cs="Times New Roman"/>
          <w:bCs/>
          <w:color w:val="auto"/>
          <w:highlight w:val="none"/>
        </w:rPr>
        <w:t>应当</w:t>
      </w:r>
      <w:r>
        <w:rPr>
          <w:rFonts w:hint="default" w:ascii="Times New Roman" w:hAnsi="Times New Roman" w:cs="Times New Roman"/>
          <w:bCs/>
          <w:color w:val="auto"/>
          <w:szCs w:val="21"/>
          <w:highlight w:val="none"/>
        </w:rPr>
        <w:t>基于广西政府采购云平台</w:t>
      </w:r>
      <w:r>
        <w:rPr>
          <w:rFonts w:hint="default" w:ascii="Times New Roman" w:hAnsi="Times New Roman" w:cs="Times New Roman"/>
          <w:bCs/>
          <w:color w:val="auto"/>
          <w:highlight w:val="none"/>
        </w:rPr>
        <w:t>抽（选）取</w:t>
      </w:r>
      <w:r>
        <w:rPr>
          <w:rFonts w:hint="default" w:ascii="Times New Roman" w:hAnsi="Times New Roman" w:cs="Times New Roman"/>
          <w:bCs/>
          <w:color w:val="auto"/>
          <w:szCs w:val="21"/>
          <w:highlight w:val="none"/>
        </w:rPr>
        <w:t>评审专家。</w:t>
      </w:r>
    </w:p>
    <w:p w14:paraId="5FFE8496">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25.首次响应文件的开启和解密</w:t>
      </w:r>
    </w:p>
    <w:p w14:paraId="2188205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highlight w:val="none"/>
        </w:rPr>
        <w:t>采购代理机构将在“供应商须知前附表”规定的时</w:t>
      </w:r>
      <w:r>
        <w:rPr>
          <w:rFonts w:hint="default" w:ascii="Times New Roman" w:hAnsi="Times New Roman" w:cs="Times New Roman"/>
          <w:color w:val="auto"/>
          <w:highlight w:val="none"/>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Pr>
          <w:rFonts w:hint="default" w:ascii="Times New Roman" w:hAnsi="Times New Roman" w:cs="Times New Roman"/>
          <w:bCs/>
          <w:color w:val="auto"/>
          <w:szCs w:val="21"/>
          <w:highlight w:val="none"/>
        </w:rPr>
        <w:t>“供应商须知前附表”</w:t>
      </w:r>
      <w:r>
        <w:rPr>
          <w:rFonts w:hint="default" w:ascii="Times New Roman" w:hAnsi="Times New Roman" w:cs="Times New Roman"/>
          <w:color w:val="auto"/>
          <w:highlight w:val="none"/>
        </w:rPr>
        <w:t>规定的时间内自行进行响应文件解密。</w:t>
      </w:r>
      <w:r>
        <w:rPr>
          <w:rFonts w:hint="default" w:ascii="Times New Roman" w:hAnsi="Times New Roman" w:cs="Times New Roman"/>
          <w:b/>
          <w:color w:val="auto"/>
          <w:highlight w:val="none"/>
        </w:rPr>
        <w:t>供应商未在规定的时间内解密响应文件或者解密失败的，供应商</w:t>
      </w:r>
      <w:r>
        <w:rPr>
          <w:rFonts w:hint="default" w:ascii="Times New Roman" w:hAnsi="Times New Roman" w:cs="Times New Roman"/>
          <w:b/>
          <w:color w:val="auto"/>
          <w:szCs w:val="21"/>
          <w:highlight w:val="none"/>
        </w:rPr>
        <w:t>的响应文件按无效处理</w:t>
      </w:r>
      <w:r>
        <w:rPr>
          <w:rFonts w:hint="default" w:ascii="Times New Roman" w:hAnsi="Times New Roman" w:cs="Times New Roman"/>
          <w:b/>
          <w:color w:val="auto"/>
          <w:highlight w:val="none"/>
        </w:rPr>
        <w:t>。</w:t>
      </w:r>
    </w:p>
    <w:p w14:paraId="37869AF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26.评审程序、评审方法和评审标准</w:t>
      </w:r>
    </w:p>
    <w:p w14:paraId="081C07A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26.1本项目的评审方法为综合评分法。</w:t>
      </w:r>
    </w:p>
    <w:p w14:paraId="45EC02D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26.2磋商小组按照“第四章评审程序、评审方法和评审标准”规定的方法、评审因素、标准和程序对响应文件进行评审并推荐成交候选供应商。</w:t>
      </w:r>
    </w:p>
    <w:p w14:paraId="4EE35BD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26.3 商务/技术要求允许负偏离的条款数详见“供应商须知前附表”。</w:t>
      </w:r>
    </w:p>
    <w:p w14:paraId="1671609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01A7B7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26.5电子交易活动的中止。采购过程中出现以下情形，导致电子交易平台无法正常运行，或者无法保证电子交易的公平、公正和安全时，采购机构可中止电子交易活动：</w:t>
      </w:r>
    </w:p>
    <w:p w14:paraId="702A1BF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（1）电子交易平台发生故障而无法登录访问的；</w:t>
      </w:r>
    </w:p>
    <w:p w14:paraId="2928432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（2）电子交易平台应用或数据库出现错误，不能进行正常操作的；</w:t>
      </w:r>
    </w:p>
    <w:p w14:paraId="5E9826A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（3）电子交易平台发现严重安全漏洞，有潜在泄密危险的；</w:t>
      </w:r>
    </w:p>
    <w:p w14:paraId="11214D1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（4）病毒发作导致不能进行正常操作的；</w:t>
      </w:r>
    </w:p>
    <w:p w14:paraId="12E5D30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（5）其他无法保证电子交易的公平、公正和安全的情况。</w:t>
      </w:r>
    </w:p>
    <w:p w14:paraId="181FBA5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91FC426">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27.确定成交供应商及结果公告</w:t>
      </w:r>
    </w:p>
    <w:p w14:paraId="0781A9D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0304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27.2采购代理机构应当在</w:t>
      </w:r>
      <w:r>
        <w:rPr>
          <w:rFonts w:hint="default" w:ascii="Times New Roman" w:hAnsi="Times New Roman" w:cs="Times New Roman"/>
          <w:color w:val="auto"/>
          <w:kern w:val="0"/>
          <w:szCs w:val="21"/>
          <w:highlight w:val="none"/>
        </w:rPr>
        <w:t>成交</w:t>
      </w:r>
      <w:r>
        <w:rPr>
          <w:rFonts w:hint="default" w:ascii="Times New Roman" w:hAnsi="Times New Roman" w:cs="Times New Roman"/>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2" w:name="_Hlk66782294"/>
      <w:r>
        <w:rPr>
          <w:rFonts w:hint="default" w:ascii="Times New Roman" w:hAnsi="Times New Roman" w:cs="Times New Roman"/>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72"/>
    </w:p>
    <w:p w14:paraId="53278CE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27.3出现下列情形之一的，采购人或者采购代理机构应当终止竞争性磋商采购活动，发布项目终止公告并说明原因，重新开展采购活动：</w:t>
      </w:r>
    </w:p>
    <w:p w14:paraId="45FBE68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（1）因情况变化，不再符合规定的竞争性磋商采购方式适用情形的；</w:t>
      </w:r>
    </w:p>
    <w:p w14:paraId="7FB22B2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（2）出现影响采购公正的违法、违规行为的；</w:t>
      </w:r>
    </w:p>
    <w:p w14:paraId="1090EA8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（3）除“第四章评审程序、评审方法和评审标准”第4.3条规定的情形外，在采购过程中符合要求的供应商或者报价未超过采购预算的供应商不足3家的。</w:t>
      </w:r>
    </w:p>
    <w:p w14:paraId="230379B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FAC157F">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28.履约保证金</w:t>
      </w:r>
    </w:p>
    <w:p w14:paraId="231006EC">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28.1履约保证金的金额、提交方式、退付的时间和条件详见“供应商须知前附表”。成交供应商未按规定提交履约保证金的，视为拒绝</w:t>
      </w:r>
      <w:r>
        <w:rPr>
          <w:rFonts w:hint="default" w:ascii="Times New Roman" w:hAnsi="Times New Roman" w:cs="Times New Roman"/>
          <w:color w:val="auto"/>
          <w:highlight w:val="none"/>
        </w:rPr>
        <w:t>与采购人</w:t>
      </w:r>
      <w:r>
        <w:rPr>
          <w:rFonts w:hint="default" w:ascii="Times New Roman" w:hAnsi="Times New Roman" w:cs="Times New Roman"/>
          <w:color w:val="auto"/>
          <w:szCs w:val="21"/>
          <w:highlight w:val="none"/>
        </w:rPr>
        <w:t>签订合同。</w:t>
      </w:r>
    </w:p>
    <w:p w14:paraId="4C141755">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28.2在履约保证金退还日期前，若成交供应商的开户名称、开户银行、账号有变动的，请以书面形式通知履约保证金收取单位，否则由此产生的后果由成交供应商自行承担。</w:t>
      </w:r>
    </w:p>
    <w:p w14:paraId="173E50E1">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29.签订合同</w:t>
      </w:r>
    </w:p>
    <w:p w14:paraId="5B06A56E">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29.1签订电子采购合同：成交供应商领取电子成交通知书后，在</w:t>
      </w:r>
      <w:r>
        <w:rPr>
          <w:rFonts w:hint="default" w:ascii="Times New Roman" w:hAnsi="Times New Roman" w:cs="Times New Roman"/>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353F388">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线下签订纸质合同：供应商领取成交通知书后，按“供应商须知前附表”规定向采购人出示相关证明材料，经采购人核验合格后方可签订合同。</w:t>
      </w:r>
    </w:p>
    <w:p w14:paraId="4B8DFDA9">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29.2签订合同时间：按成交通知书规定的时间与采购人签订合同。</w:t>
      </w:r>
    </w:p>
    <w:p w14:paraId="7C6E6FBA">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DA67987">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F60FE6">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5104E3D">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29.6如签订合同并生效后，供应商无故拒绝或延期，除按照合同条款处理外，将承担相应的法律责任。</w:t>
      </w:r>
    </w:p>
    <w:p w14:paraId="1B208CD7">
      <w:pPr>
        <w:spacing w:line="360" w:lineRule="auto"/>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952FADC">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30.政府采购合同公告</w:t>
      </w:r>
    </w:p>
    <w:p w14:paraId="7D49E95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3F490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31. 询问、质疑和投诉</w:t>
      </w:r>
    </w:p>
    <w:p w14:paraId="0D277FAE">
      <w:pPr>
        <w:pStyle w:val="11"/>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31.1供应商对政府采购活动事项有疑问的，可以向采购人、采购代理机构提出询问，采购人或者采购代理机构应当在3个工作日内对供应商依法提出的询问作出答复，</w:t>
      </w:r>
      <w:r>
        <w:rPr>
          <w:rFonts w:hint="default" w:ascii="Times New Roman" w:hAnsi="Times New Roman" w:cs="Times New Roman"/>
          <w:color w:val="auto"/>
          <w:szCs w:val="21"/>
          <w:highlight w:val="none"/>
        </w:rPr>
        <w:t>但答复的内容不得涉及商业秘密</w:t>
      </w:r>
      <w:r>
        <w:rPr>
          <w:rFonts w:hint="default" w:ascii="Times New Roman" w:hAnsi="Times New Roman" w:cs="Times New Roman"/>
          <w:color w:val="auto"/>
          <w:highlight w:val="none"/>
        </w:rPr>
        <w:t>。</w:t>
      </w:r>
    </w:p>
    <w:p w14:paraId="432F581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default" w:ascii="Times New Roman" w:hAnsi="Times New Roman" w:cs="Times New Roman"/>
          <w:color w:val="auto"/>
          <w:highlight w:val="none"/>
          <w:shd w:val="clear" w:color="auto" w:fill="FFFFFF"/>
        </w:rPr>
        <w:t>接收质疑函的方式、联系部门、联系电话和通讯地址等信息详见</w:t>
      </w:r>
      <w:r>
        <w:rPr>
          <w:rFonts w:hint="default" w:ascii="Times New Roman" w:hAnsi="Times New Roman" w:cs="Times New Roman"/>
          <w:color w:val="auto"/>
          <w:szCs w:val="21"/>
          <w:highlight w:val="none"/>
        </w:rPr>
        <w:t>“供应商须知前附表”</w:t>
      </w:r>
      <w:r>
        <w:rPr>
          <w:rFonts w:hint="default" w:ascii="Times New Roman" w:hAnsi="Times New Roman" w:cs="Times New Roman"/>
          <w:color w:val="auto"/>
          <w:highlight w:val="none"/>
        </w:rPr>
        <w:t>。具体质疑起算时间如下：</w:t>
      </w:r>
    </w:p>
    <w:p w14:paraId="6315370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（1）对可以质疑的磋商文件提出质疑的，为获取磋商文件之日或者竞争性磋商公告期限届满之日；</w:t>
      </w:r>
    </w:p>
    <w:p w14:paraId="03CC849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（2）对采购过程提出质疑的，为各采购程序环节结束之日；</w:t>
      </w:r>
    </w:p>
    <w:p w14:paraId="683FE24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（3）对成交结果提出质疑的，为成交结果公告期限届满之日。</w:t>
      </w:r>
    </w:p>
    <w:p w14:paraId="20FC045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57328F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31.4 供应商提出质疑应当提交质疑函和必要的证明材料，针对同一采购程序环节的质疑必须在法定质疑期内一次性提出。质疑函应当包括下列内容</w:t>
      </w:r>
      <w:r>
        <w:rPr>
          <w:rFonts w:hint="default" w:ascii="Times New Roman" w:hAnsi="Times New Roman" w:cs="Times New Roman"/>
          <w:bCs/>
          <w:color w:val="auto"/>
          <w:highlight w:val="none"/>
        </w:rPr>
        <w:t>（质疑函格式后附）</w:t>
      </w:r>
      <w:r>
        <w:rPr>
          <w:rFonts w:hint="default" w:ascii="Times New Roman" w:hAnsi="Times New Roman" w:cs="Times New Roman"/>
          <w:color w:val="auto"/>
          <w:highlight w:val="none"/>
        </w:rPr>
        <w:t>：</w:t>
      </w:r>
    </w:p>
    <w:p w14:paraId="6056B11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（1）供应商的姓名或者名称、地址、邮编、联系人及联系电话；</w:t>
      </w:r>
    </w:p>
    <w:p w14:paraId="12DFEF3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（2）质疑项目的名称、编号；</w:t>
      </w:r>
    </w:p>
    <w:p w14:paraId="3817B6C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（3）具体、明确的质疑事项和与质疑事项相关的请求；</w:t>
      </w:r>
    </w:p>
    <w:p w14:paraId="0F97C27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（4）事实依据；</w:t>
      </w:r>
    </w:p>
    <w:p w14:paraId="0D09BE4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（5）必要的法律依据；</w:t>
      </w:r>
    </w:p>
    <w:p w14:paraId="3A7203CA">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（6）提出质疑的日期。</w:t>
      </w:r>
    </w:p>
    <w:p w14:paraId="6345D27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供应商为自然人的，应当由本人签字；供应商为法人或者其他组织的，应当由法定代表人、主要负责人，或者其委托代理人签字或者盖章，并加盖公章。</w:t>
      </w:r>
    </w:p>
    <w:p w14:paraId="19666D5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1191FBED">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（一）对采购文件提出的质疑，依法通过澄清或者修改可以继续开展采购活动的，澄清或者修改采购文件后继续开展采购活动；否则应当修改采购文件后重新开展采购活动。</w:t>
      </w:r>
    </w:p>
    <w:p w14:paraId="1BCE39C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724A38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质疑答复导致成交结果改变的，采购人或者采购代理机构应当将有关情况书面报告本级财政部门。</w:t>
      </w:r>
    </w:p>
    <w:p w14:paraId="6C48D3A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B7B5AD5">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32.其他内容</w:t>
      </w:r>
    </w:p>
    <w:p w14:paraId="1B9EDB9D">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32.1代理服务收取标准及缴费账户详见“供应商须知前附表”，供应商为联合体的，可以由联合体中的一方或者多方共同交纳代理服务费。</w:t>
      </w:r>
    </w:p>
    <w:p w14:paraId="3011A86F">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32.2代理服务费收费计算标准：</w:t>
      </w: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352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A4CF81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费率</w:t>
            </w:r>
          </w:p>
          <w:p w14:paraId="2EC7468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金额</w:t>
            </w:r>
          </w:p>
        </w:tc>
        <w:tc>
          <w:tcPr>
            <w:tcW w:w="1659" w:type="dxa"/>
            <w:vAlign w:val="center"/>
          </w:tcPr>
          <w:p w14:paraId="6F1EF492">
            <w:pPr>
              <w:spacing w:line="360" w:lineRule="auto"/>
              <w:ind w:firstLine="105" w:firstLineChars="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货物类</w:t>
            </w:r>
          </w:p>
        </w:tc>
        <w:tc>
          <w:tcPr>
            <w:tcW w:w="1532" w:type="dxa"/>
            <w:vAlign w:val="center"/>
          </w:tcPr>
          <w:p w14:paraId="1BA2C35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服务类</w:t>
            </w:r>
          </w:p>
        </w:tc>
        <w:tc>
          <w:tcPr>
            <w:tcW w:w="1546" w:type="dxa"/>
            <w:vAlign w:val="center"/>
          </w:tcPr>
          <w:p w14:paraId="3AD942C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工程类</w:t>
            </w:r>
          </w:p>
        </w:tc>
      </w:tr>
      <w:tr w14:paraId="7FE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FFC03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100万元以下</w:t>
            </w:r>
          </w:p>
        </w:tc>
        <w:tc>
          <w:tcPr>
            <w:tcW w:w="1659" w:type="dxa"/>
          </w:tcPr>
          <w:p w14:paraId="50C869E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1.5%                </w:t>
            </w:r>
          </w:p>
        </w:tc>
        <w:tc>
          <w:tcPr>
            <w:tcW w:w="1532" w:type="dxa"/>
          </w:tcPr>
          <w:p w14:paraId="26D0C52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1.5%</w:t>
            </w:r>
          </w:p>
        </w:tc>
        <w:tc>
          <w:tcPr>
            <w:tcW w:w="1546" w:type="dxa"/>
          </w:tcPr>
          <w:p w14:paraId="28A303C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1.0% </w:t>
            </w:r>
          </w:p>
        </w:tc>
      </w:tr>
      <w:tr w14:paraId="00BE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D74235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100～500万元</w:t>
            </w:r>
          </w:p>
        </w:tc>
        <w:tc>
          <w:tcPr>
            <w:tcW w:w="1659" w:type="dxa"/>
          </w:tcPr>
          <w:p w14:paraId="0E9666CF">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1.1%                 </w:t>
            </w:r>
          </w:p>
        </w:tc>
        <w:tc>
          <w:tcPr>
            <w:tcW w:w="1532" w:type="dxa"/>
          </w:tcPr>
          <w:p w14:paraId="5C67305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0.8%</w:t>
            </w:r>
          </w:p>
        </w:tc>
        <w:tc>
          <w:tcPr>
            <w:tcW w:w="1546" w:type="dxa"/>
          </w:tcPr>
          <w:p w14:paraId="2EF3F19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0.7% </w:t>
            </w:r>
          </w:p>
        </w:tc>
      </w:tr>
      <w:tr w14:paraId="3F9D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1292E6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500～1000万元</w:t>
            </w:r>
          </w:p>
        </w:tc>
        <w:tc>
          <w:tcPr>
            <w:tcW w:w="1659" w:type="dxa"/>
          </w:tcPr>
          <w:p w14:paraId="044D547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0.8%                </w:t>
            </w:r>
          </w:p>
        </w:tc>
        <w:tc>
          <w:tcPr>
            <w:tcW w:w="1532" w:type="dxa"/>
          </w:tcPr>
          <w:p w14:paraId="76D42365">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0.45%</w:t>
            </w:r>
          </w:p>
        </w:tc>
        <w:tc>
          <w:tcPr>
            <w:tcW w:w="1546" w:type="dxa"/>
          </w:tcPr>
          <w:p w14:paraId="68D1BDB6">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0.55%</w:t>
            </w:r>
          </w:p>
        </w:tc>
      </w:tr>
      <w:tr w14:paraId="0417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1DC998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1000～5000万元</w:t>
            </w:r>
          </w:p>
        </w:tc>
        <w:tc>
          <w:tcPr>
            <w:tcW w:w="1659" w:type="dxa"/>
          </w:tcPr>
          <w:p w14:paraId="50ACDF5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0.5%                </w:t>
            </w:r>
          </w:p>
        </w:tc>
        <w:tc>
          <w:tcPr>
            <w:tcW w:w="1532" w:type="dxa"/>
          </w:tcPr>
          <w:p w14:paraId="19CADFEA">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0.25%</w:t>
            </w:r>
          </w:p>
        </w:tc>
        <w:tc>
          <w:tcPr>
            <w:tcW w:w="1546" w:type="dxa"/>
          </w:tcPr>
          <w:p w14:paraId="0856866E">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0.35% </w:t>
            </w:r>
          </w:p>
        </w:tc>
      </w:tr>
      <w:tr w14:paraId="4473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6327BE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5000万元～1亿元</w:t>
            </w:r>
          </w:p>
        </w:tc>
        <w:tc>
          <w:tcPr>
            <w:tcW w:w="1659" w:type="dxa"/>
          </w:tcPr>
          <w:p w14:paraId="52170AD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0.25%                 </w:t>
            </w:r>
          </w:p>
        </w:tc>
        <w:tc>
          <w:tcPr>
            <w:tcW w:w="1532" w:type="dxa"/>
          </w:tcPr>
          <w:p w14:paraId="4E328A1C">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0.1%</w:t>
            </w:r>
          </w:p>
        </w:tc>
        <w:tc>
          <w:tcPr>
            <w:tcW w:w="1546" w:type="dxa"/>
          </w:tcPr>
          <w:p w14:paraId="69E53588">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0.2%</w:t>
            </w:r>
          </w:p>
        </w:tc>
      </w:tr>
      <w:tr w14:paraId="3A31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744F2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1～5亿元</w:t>
            </w:r>
          </w:p>
        </w:tc>
        <w:tc>
          <w:tcPr>
            <w:tcW w:w="1659" w:type="dxa"/>
          </w:tcPr>
          <w:p w14:paraId="3352D832">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0.05%</w:t>
            </w:r>
          </w:p>
        </w:tc>
        <w:tc>
          <w:tcPr>
            <w:tcW w:w="1532" w:type="dxa"/>
          </w:tcPr>
          <w:p w14:paraId="50A3CDA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c>
          <w:tcPr>
            <w:tcW w:w="1546" w:type="dxa"/>
          </w:tcPr>
          <w:p w14:paraId="7588D995">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0.05%</w:t>
            </w:r>
          </w:p>
        </w:tc>
      </w:tr>
      <w:tr w14:paraId="545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BA782D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5～10亿元</w:t>
            </w:r>
          </w:p>
        </w:tc>
        <w:tc>
          <w:tcPr>
            <w:tcW w:w="1659" w:type="dxa"/>
          </w:tcPr>
          <w:p w14:paraId="0B518B84">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c>
          <w:tcPr>
            <w:tcW w:w="1532" w:type="dxa"/>
          </w:tcPr>
          <w:p w14:paraId="1A16398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0.035%</w:t>
            </w:r>
          </w:p>
        </w:tc>
        <w:tc>
          <w:tcPr>
            <w:tcW w:w="1546" w:type="dxa"/>
          </w:tcPr>
          <w:p w14:paraId="6AF52B86">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0.035%</w:t>
            </w:r>
          </w:p>
        </w:tc>
      </w:tr>
      <w:tr w14:paraId="755C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849DA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10～50亿元</w:t>
            </w:r>
          </w:p>
        </w:tc>
        <w:tc>
          <w:tcPr>
            <w:tcW w:w="1659" w:type="dxa"/>
          </w:tcPr>
          <w:p w14:paraId="57F3B41A">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32" w:type="dxa"/>
          </w:tcPr>
          <w:p w14:paraId="2B13B973">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c>
          <w:tcPr>
            <w:tcW w:w="1546" w:type="dxa"/>
          </w:tcPr>
          <w:p w14:paraId="4C2D0AFB">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0.008%</w:t>
            </w:r>
          </w:p>
        </w:tc>
      </w:tr>
      <w:tr w14:paraId="32B0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F35CB8">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50～100亿元</w:t>
            </w:r>
          </w:p>
        </w:tc>
        <w:tc>
          <w:tcPr>
            <w:tcW w:w="1659" w:type="dxa"/>
          </w:tcPr>
          <w:p w14:paraId="3368DA1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0.006%</w:t>
            </w:r>
          </w:p>
        </w:tc>
        <w:tc>
          <w:tcPr>
            <w:tcW w:w="1532" w:type="dxa"/>
          </w:tcPr>
          <w:p w14:paraId="79CF9385">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c>
          <w:tcPr>
            <w:tcW w:w="1546" w:type="dxa"/>
          </w:tcPr>
          <w:p w14:paraId="58410DC4">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0.006%</w:t>
            </w:r>
          </w:p>
        </w:tc>
      </w:tr>
      <w:tr w14:paraId="115E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FB21B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100亿以上</w:t>
            </w:r>
          </w:p>
        </w:tc>
        <w:tc>
          <w:tcPr>
            <w:tcW w:w="1659" w:type="dxa"/>
          </w:tcPr>
          <w:p w14:paraId="199B70D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0.004%</w:t>
            </w:r>
          </w:p>
        </w:tc>
        <w:tc>
          <w:tcPr>
            <w:tcW w:w="1532" w:type="dxa"/>
          </w:tcPr>
          <w:p w14:paraId="4C1D148B">
            <w:pPr>
              <w:spacing w:line="360" w:lineRule="auto"/>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c>
          <w:tcPr>
            <w:tcW w:w="1546" w:type="dxa"/>
          </w:tcPr>
          <w:p w14:paraId="79081721">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0.004%</w:t>
            </w:r>
          </w:p>
        </w:tc>
      </w:tr>
    </w:tbl>
    <w:p w14:paraId="6316CCA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注：</w:t>
      </w:r>
    </w:p>
    <w:p w14:paraId="30CA8EE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（1）按本表费率计算的收费为采购代理的收费基准价格；</w:t>
      </w:r>
    </w:p>
    <w:p w14:paraId="3E7FC15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（2）采购代理收费按差额定率累进法计算。</w:t>
      </w:r>
    </w:p>
    <w:p w14:paraId="11277E6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例如：某工程项目采购代理业务成交金额为150万元，计算采购代理收费额如下：</w:t>
      </w:r>
    </w:p>
    <w:p w14:paraId="5972D0A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100 万元×l.0 %＝ 1.0万元</w:t>
      </w:r>
    </w:p>
    <w:p w14:paraId="2AB4DE9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150-100 ）万元×0.7%＝ 0.35万元</w:t>
      </w:r>
    </w:p>
    <w:p w14:paraId="651E5A7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合计收费＝ 1.0 + 0.35 ＝ 1.35 万元</w:t>
      </w:r>
    </w:p>
    <w:p w14:paraId="1ECB5B9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33.需要补充的其他内容</w:t>
      </w:r>
    </w:p>
    <w:p w14:paraId="795B7989">
      <w:pPr>
        <w:pStyle w:val="4"/>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33.1本磋商文件解释规则详见“供应商须知前附表”。</w:t>
      </w:r>
    </w:p>
    <w:p w14:paraId="0C505E13">
      <w:pPr>
        <w:pStyle w:val="4"/>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33.2农民工工资保证金见“供应商须知前附表”。</w:t>
      </w:r>
    </w:p>
    <w:p w14:paraId="0C002A9E">
      <w:pPr>
        <w:pStyle w:val="4"/>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33.3 其他事项详见“供应商须知前附表”。</w:t>
      </w:r>
    </w:p>
    <w:p w14:paraId="039E5F68">
      <w:pPr>
        <w:pStyle w:val="4"/>
        <w:spacing w:line="360" w:lineRule="auto"/>
        <w:ind w:firstLine="420" w:firstLineChars="200"/>
        <w:textAlignment w:val="center"/>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E7C78C9">
      <w:pPr>
        <w:pStyle w:val="4"/>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（1）在货物采购项目中，货物由中小企业制造，即货物由中小企业生产且使用该中小企业商号或者注册商标，不对其中涉及的工程承建商和服务的承接商作出要求；</w:t>
      </w:r>
    </w:p>
    <w:p w14:paraId="5D09170F">
      <w:pPr>
        <w:pStyle w:val="4"/>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（2）在工程采购项目中，工程由中小企业承建，即工程施工单位为中小企业，不对其中涉及的货物的制造商和服务的承接商作出要求；</w:t>
      </w:r>
    </w:p>
    <w:p w14:paraId="254B713B">
      <w:pPr>
        <w:pStyle w:val="4"/>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67DE408">
      <w:pPr>
        <w:pStyle w:val="4"/>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kern w:val="2"/>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default" w:ascii="Times New Roman" w:hAnsi="Times New Roman" w:cs="Times New Roman"/>
          <w:color w:val="auto"/>
          <w:highlight w:val="none"/>
        </w:rPr>
        <w:t>中小企业的，联合体视同中小企业。其中，联合体各方均为小微企业的，联合体视同小微企业。</w:t>
      </w:r>
    </w:p>
    <w:p w14:paraId="378FF058">
      <w:pPr>
        <w:pStyle w:val="4"/>
        <w:spacing w:line="360" w:lineRule="auto"/>
        <w:ind w:firstLine="420" w:firstLineChars="200"/>
        <w:contextualSpacing/>
        <w:rPr>
          <w:rFonts w:hint="default" w:ascii="Times New Roman" w:hAnsi="Times New Roman" w:cs="Times New Roman"/>
          <w:color w:val="auto"/>
          <w:highlight w:val="none"/>
        </w:rPr>
      </w:pPr>
      <w:r>
        <w:rPr>
          <w:rFonts w:hint="default" w:ascii="Times New Roman" w:hAnsi="Times New Roman" w:cs="Times New Roman"/>
          <w:color w:val="auto"/>
          <w:highlight w:val="none"/>
        </w:rPr>
        <w:t>依据本磋商文件规定享受扶持政策获得政府采购合同的，小微企业不得将合同分包给大中型企业，中型企业不得将合同分包给大型企业。</w:t>
      </w:r>
    </w:p>
    <w:p w14:paraId="7FF0AE6F">
      <w:pPr>
        <w:pStyle w:val="4"/>
        <w:spacing w:before="340" w:after="340" w:line="360" w:lineRule="auto"/>
        <w:ind w:firstLine="422" w:firstLineChars="200"/>
        <w:jc w:val="center"/>
        <w:textAlignment w:val="center"/>
        <w:outlineLvl w:val="0"/>
        <w:rPr>
          <w:rFonts w:hint="default" w:ascii="Times New Roman" w:hAnsi="Times New Roman" w:cs="Times New Roman"/>
          <w:b/>
          <w:color w:val="auto"/>
          <w:sz w:val="44"/>
          <w:szCs w:val="44"/>
          <w:highlight w:val="none"/>
        </w:rPr>
      </w:pPr>
      <w:r>
        <w:rPr>
          <w:rFonts w:hint="default" w:ascii="Times New Roman" w:hAnsi="Times New Roman" w:cs="Times New Roman"/>
          <w:b/>
          <w:color w:val="auto"/>
          <w:highlight w:val="none"/>
        </w:rPr>
        <w:br w:type="page"/>
      </w:r>
      <w:bookmarkStart w:id="73" w:name="_Toc74323458"/>
      <w:r>
        <w:rPr>
          <w:rFonts w:hint="default" w:ascii="Times New Roman" w:hAnsi="Times New Roman" w:cs="Times New Roman"/>
          <w:b/>
          <w:color w:val="auto"/>
          <w:sz w:val="44"/>
          <w:szCs w:val="44"/>
          <w:highlight w:val="none"/>
        </w:rPr>
        <w:t>第三章采购需求</w:t>
      </w:r>
      <w:bookmarkEnd w:id="73"/>
    </w:p>
    <w:p w14:paraId="2934A3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说明：</w:t>
      </w:r>
    </w:p>
    <w:p w14:paraId="50C8AEF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1. 为落实政府采购政策需满足的要求</w:t>
      </w:r>
      <w:r>
        <w:rPr>
          <w:rFonts w:hint="default" w:ascii="Times New Roman" w:hAnsi="Times New Roman" w:cs="Times New Roman"/>
          <w:color w:val="auto"/>
          <w:szCs w:val="21"/>
          <w:highlight w:val="none"/>
        </w:rPr>
        <w:t>：</w:t>
      </w:r>
    </w:p>
    <w:p w14:paraId="5E8EFB8A">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（1）政府采购促进中小企业发展。</w:t>
      </w:r>
    </w:p>
    <w:p w14:paraId="764EC9DE">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（2）政府采购支持采用本国产品的政策。</w:t>
      </w:r>
    </w:p>
    <w:p w14:paraId="6A920A85">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（3）强制采购节能产品；优先采购节能产品、环境标志产品。</w:t>
      </w:r>
    </w:p>
    <w:p w14:paraId="6F3808ED">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（4）政府采购促进残疾人就业政策。</w:t>
      </w:r>
    </w:p>
    <w:p w14:paraId="43CF7DB4">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（5）政府采购支持监狱企业发展。</w:t>
      </w:r>
    </w:p>
    <w:p w14:paraId="18802CE2">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“实质性要求”是指采购需求中带“▲”的条款或者不能负偏离的条款或者已经指明不满足按响应文件按无效处理的条款。</w:t>
      </w:r>
    </w:p>
    <w:p w14:paraId="62B04961">
      <w:pPr>
        <w:keepNext w:val="0"/>
        <w:keepLines w:val="0"/>
        <w:pageBreakBefore w:val="0"/>
        <w:widowControl w:val="0"/>
        <w:kinsoku/>
        <w:wordWrap/>
        <w:overflowPunct/>
        <w:topLinePunct w:val="0"/>
        <w:autoSpaceDE/>
        <w:autoSpaceDN/>
        <w:bidi w:val="0"/>
        <w:adjustRightInd/>
        <w:snapToGrid/>
        <w:spacing w:line="400" w:lineRule="exact"/>
        <w:ind w:firstLine="424" w:firstLineChars="202"/>
        <w:jc w:val="left"/>
        <w:textAlignment w:val="auto"/>
        <w:rPr>
          <w:rFonts w:hint="default" w:ascii="Times New Roman" w:hAnsi="Times New Roman" w:cs="Times New Roman"/>
          <w:bCs/>
          <w:color w:val="auto"/>
          <w:szCs w:val="21"/>
          <w:highlight w:val="none"/>
          <w:u w:val="single"/>
        </w:rPr>
      </w:pPr>
      <w:r>
        <w:rPr>
          <w:rFonts w:hint="default" w:ascii="Times New Roman" w:hAnsi="Times New Roman" w:cs="Times New Roman"/>
          <w:color w:val="auto"/>
          <w:szCs w:val="21"/>
          <w:highlight w:val="none"/>
        </w:rPr>
        <w:t>3.</w:t>
      </w:r>
      <w:r>
        <w:rPr>
          <w:rFonts w:hint="default" w:ascii="Times New Roman" w:hAnsi="Times New Roman" w:cs="Times New Roman"/>
          <w:color w:val="auto"/>
          <w:highlight w:val="none"/>
        </w:rPr>
        <w:t>供应商必须自行为其竞标产品侵犯他人的知识产权或者专利成果的行为承担相应法律责任。</w:t>
      </w:r>
    </w:p>
    <w:p w14:paraId="1DE7A926">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default" w:ascii="Times New Roman" w:hAnsi="Times New Roman" w:eastAsia="宋体" w:cs="Times New Roman"/>
          <w:bCs/>
          <w:color w:val="auto"/>
          <w:szCs w:val="21"/>
          <w:highlight w:val="none"/>
          <w:u w:val="single"/>
          <w:lang w:val="en-US" w:eastAsia="zh-CN"/>
        </w:rPr>
      </w:pPr>
      <w:r>
        <w:rPr>
          <w:rFonts w:hint="default" w:ascii="Times New Roman" w:hAnsi="Times New Roman" w:cs="Times New Roman"/>
          <w:b/>
          <w:color w:val="auto"/>
          <w:szCs w:val="21"/>
          <w:highlight w:val="none"/>
        </w:rPr>
        <w:t>采购预算：</w:t>
      </w:r>
      <w:r>
        <w:rPr>
          <w:rFonts w:hint="eastAsia" w:cs="Times New Roman"/>
          <w:b/>
          <w:color w:val="auto"/>
          <w:szCs w:val="21"/>
          <w:highlight w:val="none"/>
          <w:lang w:val="en-US" w:eastAsia="zh-CN"/>
        </w:rPr>
        <w:t>925283.34</w:t>
      </w:r>
      <w:r>
        <w:rPr>
          <w:rFonts w:hint="default" w:ascii="Times New Roman" w:hAnsi="Times New Roman" w:cs="Times New Roman"/>
          <w:bCs/>
          <w:color w:val="auto"/>
          <w:szCs w:val="21"/>
          <w:highlight w:val="none"/>
        </w:rPr>
        <w:t>元</w:t>
      </w:r>
      <w:r>
        <w:rPr>
          <w:rFonts w:hint="default" w:ascii="Times New Roman" w:hAnsi="Times New Roman" w:cs="Times New Roman"/>
          <w:bCs/>
          <w:color w:val="auto"/>
          <w:szCs w:val="21"/>
          <w:highlight w:val="none"/>
          <w:lang w:val="en-US" w:eastAsia="zh-CN"/>
        </w:rPr>
        <w:t xml:space="preserve"> </w:t>
      </w:r>
    </w:p>
    <w:p w14:paraId="339A179C">
      <w:pPr>
        <w:keepNext w:val="0"/>
        <w:keepLines w:val="0"/>
        <w:pageBreakBefore w:val="0"/>
        <w:widowControl w:val="0"/>
        <w:kinsoku/>
        <w:wordWrap/>
        <w:overflowPunct/>
        <w:topLinePunct w:val="0"/>
        <w:autoSpaceDE/>
        <w:autoSpaceDN/>
        <w:bidi w:val="0"/>
        <w:adjustRightInd/>
        <w:snapToGrid/>
        <w:spacing w:line="400" w:lineRule="exact"/>
        <w:ind w:firstLine="310" w:firstLineChars="147"/>
        <w:jc w:val="left"/>
        <w:textAlignment w:val="auto"/>
        <w:rPr>
          <w:rFonts w:hint="default" w:ascii="Times New Roman" w:hAnsi="Times New Roman" w:cs="Times New Roman"/>
          <w:bCs/>
          <w:color w:val="auto"/>
          <w:szCs w:val="21"/>
          <w:highlight w:val="none"/>
          <w:u w:val="single"/>
        </w:rPr>
      </w:pPr>
      <w:r>
        <w:rPr>
          <w:rFonts w:hint="default" w:ascii="Times New Roman" w:hAnsi="Times New Roman" w:cs="Times New Roman"/>
          <w:b/>
          <w:bCs/>
          <w:color w:val="auto"/>
          <w:szCs w:val="21"/>
          <w:highlight w:val="none"/>
        </w:rPr>
        <w:t>最高限价</w:t>
      </w:r>
      <w:r>
        <w:rPr>
          <w:rFonts w:hint="default" w:ascii="Times New Roman" w:hAnsi="Times New Roman" w:cs="Times New Roman"/>
          <w:bCs/>
          <w:color w:val="auto"/>
          <w:szCs w:val="21"/>
          <w:highlight w:val="none"/>
        </w:rPr>
        <w:t>：</w:t>
      </w:r>
      <w:r>
        <w:rPr>
          <w:rFonts w:hint="eastAsia" w:cs="Times New Roman"/>
          <w:b/>
          <w:color w:val="auto"/>
          <w:szCs w:val="21"/>
          <w:highlight w:val="none"/>
          <w:lang w:val="en-US" w:eastAsia="zh-CN"/>
        </w:rPr>
        <w:t>925283.34</w:t>
      </w:r>
      <w:r>
        <w:rPr>
          <w:rFonts w:hint="default" w:ascii="Times New Roman" w:hAnsi="Times New Roman" w:cs="Times New Roman"/>
          <w:bCs/>
          <w:color w:val="auto"/>
          <w:szCs w:val="21"/>
          <w:highlight w:val="none"/>
        </w:rPr>
        <w:t>元</w:t>
      </w:r>
    </w:p>
    <w:tbl>
      <w:tblPr>
        <w:tblStyle w:val="4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92"/>
        <w:gridCol w:w="709"/>
        <w:gridCol w:w="4721"/>
      </w:tblGrid>
      <w:tr w14:paraId="43D2A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55" w:type="dxa"/>
            <w:vAlign w:val="center"/>
          </w:tcPr>
          <w:p w14:paraId="2423C7DB">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728" w:type="dxa"/>
            <w:gridSpan w:val="2"/>
            <w:vAlign w:val="center"/>
          </w:tcPr>
          <w:p w14:paraId="555B146F">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标的的名称</w:t>
            </w:r>
          </w:p>
        </w:tc>
        <w:tc>
          <w:tcPr>
            <w:tcW w:w="992" w:type="dxa"/>
            <w:vAlign w:val="center"/>
          </w:tcPr>
          <w:p w14:paraId="2CB186C0">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数量及单位</w:t>
            </w:r>
          </w:p>
        </w:tc>
        <w:tc>
          <w:tcPr>
            <w:tcW w:w="709" w:type="dxa"/>
            <w:vAlign w:val="center"/>
          </w:tcPr>
          <w:p w14:paraId="71584415">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所属行业</w:t>
            </w:r>
          </w:p>
        </w:tc>
        <w:tc>
          <w:tcPr>
            <w:tcW w:w="4721" w:type="dxa"/>
            <w:vAlign w:val="center"/>
          </w:tcPr>
          <w:p w14:paraId="2CEC1ABD">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▲技术要求</w:t>
            </w:r>
          </w:p>
        </w:tc>
      </w:tr>
      <w:tr w14:paraId="227D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655" w:type="dxa"/>
            <w:vAlign w:val="center"/>
          </w:tcPr>
          <w:p w14:paraId="55FDA3B5">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728" w:type="dxa"/>
            <w:gridSpan w:val="2"/>
            <w:vAlign w:val="center"/>
          </w:tcPr>
          <w:p w14:paraId="052FF82D">
            <w:pPr>
              <w:tabs>
                <w:tab w:val="left" w:pos="180"/>
                <w:tab w:val="left" w:pos="1620"/>
              </w:tabs>
              <w:spacing w:line="360" w:lineRule="auto"/>
              <w:jc w:val="center"/>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大新县下雷镇“五个共同”主题边境地区人居环境整治项目</w:t>
            </w:r>
          </w:p>
        </w:tc>
        <w:tc>
          <w:tcPr>
            <w:tcW w:w="992" w:type="dxa"/>
            <w:vAlign w:val="center"/>
          </w:tcPr>
          <w:p w14:paraId="27FDF3E7">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w:t>
            </w:r>
          </w:p>
        </w:tc>
        <w:tc>
          <w:tcPr>
            <w:tcW w:w="709" w:type="dxa"/>
            <w:vAlign w:val="center"/>
          </w:tcPr>
          <w:p w14:paraId="38C8425D">
            <w:pPr>
              <w:tabs>
                <w:tab w:val="left" w:pos="180"/>
                <w:tab w:val="left" w:pos="1620"/>
              </w:tabs>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建筑业</w:t>
            </w:r>
          </w:p>
        </w:tc>
        <w:tc>
          <w:tcPr>
            <w:tcW w:w="4721" w:type="dxa"/>
            <w:vAlign w:val="center"/>
          </w:tcPr>
          <w:p w14:paraId="1A4ABC4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1.项目概况：</w:t>
            </w:r>
            <w:r>
              <w:rPr>
                <w:rFonts w:hint="eastAsia" w:cs="Times New Roman"/>
                <w:color w:val="auto"/>
                <w:szCs w:val="21"/>
                <w:highlight w:val="none"/>
                <w:lang w:eastAsia="zh-CN"/>
              </w:rPr>
              <w:t>大新县下雷镇“五个共同”主题边境地区人居环境整治项目</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具体内容详见工程量清单及图纸</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highlight w:val="none"/>
              </w:rPr>
              <w:t>。</w:t>
            </w:r>
          </w:p>
          <w:p w14:paraId="59F0F205">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2.技术标准和要求：符合国家现行的工程建设标准、技术规范及强制性标准条文、以及施工图纸载明的其他有关规范标准。</w:t>
            </w:r>
          </w:p>
          <w:p w14:paraId="0E176868">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3.质量标准：合格。</w:t>
            </w:r>
          </w:p>
          <w:p w14:paraId="13AA98EA">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4.报价方式：工程量清单报价。</w:t>
            </w:r>
          </w:p>
          <w:p w14:paraId="642E5DE0">
            <w:pPr>
              <w:pStyle w:val="20"/>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5.承包方式：固定综合单价。</w:t>
            </w:r>
          </w:p>
          <w:p w14:paraId="22579EA8">
            <w:pPr>
              <w:pStyle w:val="20"/>
              <w:spacing w:line="360" w:lineRule="auto"/>
              <w:rPr>
                <w:rFonts w:hint="default" w:ascii="Times New Roman" w:hAnsi="Times New Roman" w:cs="Times New Roman"/>
                <w:color w:val="auto"/>
                <w:sz w:val="21"/>
                <w:szCs w:val="24"/>
                <w:highlight w:val="none"/>
              </w:rPr>
            </w:pPr>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4"/>
                <w:highlight w:val="none"/>
              </w:rPr>
              <w:t>开工日期：以签订合同后采购人通知为准。</w:t>
            </w:r>
          </w:p>
        </w:tc>
      </w:tr>
      <w:tr w14:paraId="520C1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bottom w:val="single" w:color="auto" w:sz="4" w:space="0"/>
            </w:tcBorders>
          </w:tcPr>
          <w:p w14:paraId="46F4DBA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rPr>
              <w:t>商务要求</w:t>
            </w:r>
          </w:p>
        </w:tc>
      </w:tr>
      <w:tr w14:paraId="57E30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66C98E0">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p>
        </w:tc>
        <w:tc>
          <w:tcPr>
            <w:tcW w:w="6705" w:type="dxa"/>
            <w:gridSpan w:val="4"/>
            <w:tcBorders>
              <w:top w:val="single" w:color="auto" w:sz="4" w:space="0"/>
              <w:left w:val="single" w:color="auto" w:sz="4" w:space="0"/>
              <w:bottom w:val="single" w:color="auto" w:sz="4" w:space="0"/>
            </w:tcBorders>
            <w:vAlign w:val="center"/>
          </w:tcPr>
          <w:p w14:paraId="76F3E8AC">
            <w:pP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计划工期：</w:t>
            </w:r>
            <w:r>
              <w:rPr>
                <w:rFonts w:hint="eastAsia" w:cs="Times New Roman"/>
                <w:color w:val="auto"/>
                <w:szCs w:val="21"/>
                <w:highlight w:val="none"/>
                <w:lang w:val="en-US" w:eastAsia="zh-CN"/>
              </w:rPr>
              <w:t>120</w:t>
            </w:r>
            <w:r>
              <w:rPr>
                <w:rFonts w:hint="default" w:ascii="Times New Roman" w:hAnsi="Times New Roman" w:cs="Times New Roman"/>
                <w:color w:val="auto"/>
                <w:szCs w:val="21"/>
                <w:highlight w:val="none"/>
              </w:rPr>
              <w:t>日历天</w:t>
            </w:r>
          </w:p>
        </w:tc>
      </w:tr>
      <w:tr w14:paraId="316C8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76A50C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6705" w:type="dxa"/>
            <w:gridSpan w:val="4"/>
            <w:tcBorders>
              <w:top w:val="single" w:color="auto" w:sz="4" w:space="0"/>
              <w:left w:val="single" w:color="auto" w:sz="4" w:space="0"/>
              <w:bottom w:val="single" w:color="auto" w:sz="4" w:space="0"/>
            </w:tcBorders>
            <w:vAlign w:val="center"/>
          </w:tcPr>
          <w:p w14:paraId="2572A6E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采购人指定地点。</w:t>
            </w:r>
          </w:p>
        </w:tc>
      </w:tr>
      <w:tr w14:paraId="10D57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5B201B1C">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合同签订时间</w:t>
            </w:r>
          </w:p>
        </w:tc>
        <w:tc>
          <w:tcPr>
            <w:tcW w:w="6705" w:type="dxa"/>
            <w:gridSpan w:val="4"/>
            <w:tcBorders>
              <w:top w:val="single" w:color="auto" w:sz="4" w:space="0"/>
              <w:left w:val="single" w:color="auto" w:sz="4" w:space="0"/>
              <w:bottom w:val="single" w:color="auto" w:sz="4" w:space="0"/>
            </w:tcBorders>
            <w:vAlign w:val="center"/>
          </w:tcPr>
          <w:p w14:paraId="4FBB7CB5">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自成交通知书发出之日起15日内，因不可抗力原因延迟签订合同的，自不可抗力事由消除之日起5个工作日内完成合同签订事宜。</w:t>
            </w:r>
          </w:p>
        </w:tc>
      </w:tr>
    </w:tbl>
    <w:p w14:paraId="18BF4C6D">
      <w:pPr>
        <w:pStyle w:val="4"/>
        <w:spacing w:before="340" w:after="340" w:line="360" w:lineRule="auto"/>
        <w:ind w:firstLine="422" w:firstLineChars="200"/>
        <w:jc w:val="center"/>
        <w:textAlignment w:val="center"/>
        <w:outlineLvl w:val="0"/>
        <w:rPr>
          <w:rFonts w:hint="default" w:ascii="Times New Roman" w:hAnsi="Times New Roman" w:cs="Times New Roman"/>
          <w:color w:val="auto"/>
          <w:highlight w:val="none"/>
        </w:rPr>
      </w:pPr>
      <w:r>
        <w:rPr>
          <w:rFonts w:hint="default" w:ascii="Times New Roman" w:hAnsi="Times New Roman" w:cs="Times New Roman"/>
          <w:b/>
          <w:bCs/>
          <w:color w:val="auto"/>
          <w:highlight w:val="none"/>
        </w:rPr>
        <w:br w:type="page"/>
      </w:r>
      <w:bookmarkStart w:id="74" w:name="_Toc74323459"/>
      <w:r>
        <w:rPr>
          <w:rFonts w:hint="default" w:ascii="Times New Roman" w:hAnsi="Times New Roman" w:cs="Times New Roman"/>
          <w:b/>
          <w:color w:val="auto"/>
          <w:sz w:val="44"/>
          <w:szCs w:val="44"/>
          <w:highlight w:val="none"/>
        </w:rPr>
        <w:t>第四章评审程序、评审方法和评审标准</w:t>
      </w:r>
      <w:bookmarkEnd w:id="74"/>
    </w:p>
    <w:p w14:paraId="7782AD10">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一、评审程序和评审方法</w:t>
      </w:r>
    </w:p>
    <w:p w14:paraId="7DE33216">
      <w:pPr>
        <w:spacing w:line="360" w:lineRule="auto"/>
        <w:ind w:firstLine="354" w:firstLineChars="147"/>
        <w:jc w:val="left"/>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1.资格审查</w:t>
      </w:r>
    </w:p>
    <w:p w14:paraId="482891E8">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1.1响应文件开启后，磋商小组依法对供应商的资格证明文件进行审查。</w:t>
      </w:r>
    </w:p>
    <w:p w14:paraId="1967E84D">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w:t>
      </w:r>
      <w:r>
        <w:rPr>
          <w:rFonts w:hint="default" w:ascii="Times New Roman" w:hAnsi="Times New Roman" w:cs="Times New Roman"/>
          <w:color w:val="auto"/>
          <w:highlight w:val="none"/>
        </w:rPr>
        <w:t>磋商小组</w:t>
      </w:r>
      <w:r>
        <w:rPr>
          <w:rFonts w:hint="default" w:ascii="Times New Roman" w:hAnsi="Times New Roman" w:cs="Times New Roman"/>
          <w:color w:val="auto"/>
          <w:szCs w:val="21"/>
          <w:highlight w:val="none"/>
        </w:rPr>
        <w:t>在资格审查结束前，对供应商进行信用查询。</w:t>
      </w:r>
    </w:p>
    <w:p w14:paraId="1ED85498">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（1）查询渠道：广西政府采购云平台“信用中国”网站（www.creditchina.gov.cn）、中国政府采购网（www.ccgp.gov.cn）链接入口。</w:t>
      </w:r>
    </w:p>
    <w:p w14:paraId="75A48208">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（2）信用查询截止时点：资格审查结束前。</w:t>
      </w:r>
    </w:p>
    <w:p w14:paraId="3C086BB0">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（3）查询记录和证据留存方式：在查询网站中直接查询，截图另存为电子文档作为评审资料保存。</w:t>
      </w:r>
    </w:p>
    <w:p w14:paraId="5C7732D6">
      <w:pPr>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277699B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1.2资格审查标准为本磋商文件中载明对供应商资格要求的条件。资格审查采用合格制，凡符合磋商文件规定的供应商资格要求的响应文件均通过资格审查。</w:t>
      </w:r>
    </w:p>
    <w:p w14:paraId="2D2347F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1.3供应商有下列情形之一的，资格审查不通过，其响应文件按无效处理：</w:t>
      </w:r>
    </w:p>
    <w:p w14:paraId="76E2484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（1）不具备磋商文件中规定的资格要求的；</w:t>
      </w:r>
    </w:p>
    <w:p w14:paraId="417DE28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（2）未按磋商文件规定的方式获取本磋商文件的供应商；</w:t>
      </w:r>
    </w:p>
    <w:p w14:paraId="3F0CB59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（3）响应文件的资格证明文件缺少任一项“供应商须知前附表”资格证明文件规定的“必须提供”的文件资料的；</w:t>
      </w:r>
    </w:p>
    <w:p w14:paraId="46B86DF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（4）响应文件中的资格证明文件出现任一项不符合“供应商须知前附表”资格证明文件规定的“必须提供”的文件资料要求或者无效的；</w:t>
      </w:r>
    </w:p>
    <w:p w14:paraId="243C6AE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5842DF7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1.4通过资格审查的合格供应商不足3家的，不得进入符合性审查环节，应当重新开展采购活动。</w:t>
      </w:r>
    </w:p>
    <w:p w14:paraId="6B0FAB49">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2.符合性审查</w:t>
      </w:r>
    </w:p>
    <w:p w14:paraId="30C46B27">
      <w:pPr>
        <w:spacing w:line="360" w:lineRule="auto"/>
        <w:ind w:firstLine="420" w:firstLineChars="200"/>
        <w:rPr>
          <w:rFonts w:hint="default" w:ascii="Times New Roman" w:hAnsi="Times New Roman" w:cs="Times New Roman"/>
          <w:color w:val="auto"/>
          <w:szCs w:val="21"/>
          <w:highlight w:val="none"/>
        </w:rPr>
      </w:pPr>
      <w:bookmarkStart w:id="75" w:name="_Hlk42528882"/>
      <w:r>
        <w:rPr>
          <w:rFonts w:hint="default" w:ascii="Times New Roman" w:hAnsi="Times New Roman" w:cs="Times New Roman"/>
          <w:color w:val="auto"/>
          <w:szCs w:val="21"/>
          <w:highlight w:val="none"/>
        </w:rPr>
        <w:t>2.1磋商小组对通过资格审查的合格供应商的响应文件的竞标报价、商务、技术等实质性要求进行符合性审查，以确定其是否满足磋商文件的实质性要求。</w:t>
      </w:r>
    </w:p>
    <w:bookmarkEnd w:id="75"/>
    <w:p w14:paraId="29DDB7C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E31CA">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default" w:ascii="Times New Roman" w:hAnsi="Times New Roman" w:cs="Times New Roman"/>
          <w:color w:val="auto"/>
          <w:highlight w:val="none"/>
        </w:rPr>
        <w:t>签章</w:t>
      </w:r>
      <w:r>
        <w:rPr>
          <w:rFonts w:hint="default" w:ascii="Times New Roman" w:hAnsi="Times New Roman" w:cs="Times New Roman"/>
          <w:color w:val="auto"/>
          <w:spacing w:val="-6"/>
          <w:szCs w:val="21"/>
          <w:highlight w:val="none"/>
        </w:rPr>
        <w:t>。</w:t>
      </w:r>
    </w:p>
    <w:p w14:paraId="404CD696">
      <w:pPr>
        <w:spacing w:line="360" w:lineRule="auto"/>
        <w:ind w:firstLine="420"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46EBFC2">
      <w:pPr>
        <w:spacing w:line="360" w:lineRule="auto"/>
        <w:ind w:firstLine="396" w:firstLineChars="200"/>
        <w:rPr>
          <w:rFonts w:hint="default" w:ascii="Times New Roman" w:hAnsi="Times New Roman" w:cs="Times New Roman"/>
          <w:color w:val="auto"/>
          <w:szCs w:val="21"/>
          <w:highlight w:val="none"/>
        </w:rPr>
      </w:pPr>
      <w:r>
        <w:rPr>
          <w:rFonts w:hint="default" w:ascii="Times New Roman" w:hAnsi="Times New Roman" w:cs="Times New Roman"/>
          <w:color w:val="auto"/>
          <w:spacing w:val="-6"/>
          <w:szCs w:val="21"/>
          <w:highlight w:val="none"/>
        </w:rPr>
        <w:t>2.4</w:t>
      </w:r>
      <w:r>
        <w:rPr>
          <w:rFonts w:hint="default" w:ascii="Times New Roman" w:hAnsi="Times New Roman" w:cs="Times New Roman"/>
          <w:color w:val="auto"/>
          <w:szCs w:val="21"/>
          <w:highlight w:val="none"/>
        </w:rPr>
        <w:t>首次响应文件报价出现前后不一致的，按照下列规定修正：</w:t>
      </w:r>
    </w:p>
    <w:p w14:paraId="6C63B1B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（1）响应文件中报价表内容与响应文件中相应内容不一致的，以报价表为准；</w:t>
      </w:r>
    </w:p>
    <w:p w14:paraId="1E2EBDC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（2）大写金额和小写金额不一致的，以大写金额为准；</w:t>
      </w:r>
    </w:p>
    <w:p w14:paraId="3747A32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（3）单价金额小数点或者百分比有明显错位的，以报价表的总价为准，并修改单价；</w:t>
      </w:r>
    </w:p>
    <w:p w14:paraId="6311578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（4）总价金额与按单价汇总金额不一致的，以单价金额计算结果为准。</w:t>
      </w:r>
    </w:p>
    <w:p w14:paraId="297D5F7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同时出现两种以上不一致的，按照以上（1）-（4）规定的顺序逐条进行修正。修正后的报价经供应商确认后产生约束力，供应商不确认的，其响应文件按无效处理。</w:t>
      </w:r>
    </w:p>
    <w:p w14:paraId="7F02932D">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2.5商务技术报价评审</w:t>
      </w:r>
    </w:p>
    <w:p w14:paraId="7CA14DD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在评审时，如发现下列情形之一的，将被视为响应文件无效处理：</w:t>
      </w:r>
    </w:p>
    <w:p w14:paraId="1306B8E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（1）商务技术评审</w:t>
      </w:r>
    </w:p>
    <w:p w14:paraId="079C4F9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1）响应文件未按磋商文件要求签署、盖章的；</w:t>
      </w:r>
    </w:p>
    <w:p w14:paraId="46B58352">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2）委托代理人未能出具有效身份证或者出具的身份证与授权委托书中的信息不符的；</w:t>
      </w:r>
    </w:p>
    <w:p w14:paraId="37491A2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3）提交的磋商保证金无效的或者未按照磋商文件的规定提交磋商保证金的；</w:t>
      </w:r>
    </w:p>
    <w:p w14:paraId="1F03AD3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5182534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5）商务要求允许负偏离的条款数超过“供应商须知前附表”规定项数的；</w:t>
      </w:r>
    </w:p>
    <w:p w14:paraId="096AD6F0">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6）未对竞标有效期作出响应或者响应文件承诺的竞标有效期不满足磋商文件要求的；</w:t>
      </w:r>
    </w:p>
    <w:p w14:paraId="6B55423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7）响应文件的实质性内容未使用中文表述、使用计量单位不符合磋商文件要求的；</w:t>
      </w:r>
    </w:p>
    <w:p w14:paraId="21EB38EA">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8）响应文件中的文件资料因填写不齐全或者内容虚假或者出现其他情形而导致被磋商小组认定无效的；</w:t>
      </w:r>
    </w:p>
    <w:p w14:paraId="64B66D0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9）响应文件含有采购人不能接受的附加条件的；</w:t>
      </w:r>
    </w:p>
    <w:p w14:paraId="4E9B348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10）属于“供应商须知正文”第7.5条供应商相互串通竞标情形的；</w:t>
      </w:r>
    </w:p>
    <w:p w14:paraId="776F051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11）技术要求允许负偏离的条款数超过“供应商须知前附表”规定项数的；</w:t>
      </w:r>
    </w:p>
    <w:p w14:paraId="54065CE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12）虚假竞标，或者出现其他情形而导致被磋商小组认定无效的；</w:t>
      </w:r>
    </w:p>
    <w:p w14:paraId="16662ABE">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w:t>
      </w:r>
      <w:bookmarkStart w:id="76" w:name="_Hlk71704147"/>
      <w:r>
        <w:rPr>
          <w:rFonts w:hint="default" w:ascii="Times New Roman" w:hAnsi="Times New Roman" w:cs="Times New Roman"/>
          <w:b/>
          <w:color w:val="auto"/>
          <w:szCs w:val="21"/>
          <w:highlight w:val="none"/>
        </w:rPr>
        <w:t>磋商文件未载明允许提供备选（替代）竞标方案或明确不允许提供备选（替代）竞标方案时，供应商提供了备选（替代）竞标方案的；</w:t>
      </w:r>
      <w:bookmarkEnd w:id="76"/>
    </w:p>
    <w:p w14:paraId="6F54BF5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14）响应文件标注的项目名称或者项目编号与磋商文件标注的项目名称或者项目编号不一致的；</w:t>
      </w:r>
    </w:p>
    <w:p w14:paraId="61BB9584">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15）竞争性磋商文件明确不允许分包，响应文件拟分包的；</w:t>
      </w:r>
    </w:p>
    <w:p w14:paraId="370354B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16）未响应磋商文件实质性要求的；</w:t>
      </w:r>
    </w:p>
    <w:p w14:paraId="227B712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17）法律、法规和磋商文件规定的其他无效情形。</w:t>
      </w:r>
    </w:p>
    <w:p w14:paraId="11ED52A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（2）报价评审</w:t>
      </w:r>
    </w:p>
    <w:p w14:paraId="46F068B5">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1）响应文件未提供“供应商须知前附表”报价文件中规定的“竞标报价表”的；</w:t>
      </w:r>
    </w:p>
    <w:p w14:paraId="3552BD33">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2）未采用人民币报价或者未按照磋商文件标明的币种报价的；</w:t>
      </w:r>
    </w:p>
    <w:p w14:paraId="588099A4">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2CD6419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4）竞标报价（包含首次报价、最后报价）超过所竞标分标规定的采购预算金额或者最高限价的（如本项目公布了最高限价）；</w:t>
      </w:r>
      <w:bookmarkStart w:id="77" w:name="_Hlk42596405"/>
      <w:r>
        <w:rPr>
          <w:rFonts w:hint="default" w:ascii="Times New Roman" w:hAnsi="Times New Roman" w:cs="Times New Roman"/>
          <w:b/>
          <w:color w:val="auto"/>
          <w:szCs w:val="21"/>
          <w:highlight w:val="none"/>
        </w:rPr>
        <w:t>竞标报价（包含首次报价、最后报价）</w:t>
      </w:r>
      <w:bookmarkEnd w:id="77"/>
      <w:bookmarkStart w:id="78" w:name="_Hlk42596276"/>
      <w:r>
        <w:rPr>
          <w:rFonts w:hint="default" w:ascii="Times New Roman" w:hAnsi="Times New Roman" w:cs="Times New Roman"/>
          <w:b/>
          <w:color w:val="auto"/>
          <w:szCs w:val="21"/>
          <w:highlight w:val="none"/>
        </w:rPr>
        <w:t>超过磋商文件分项采购预算金额或者最高限价的</w:t>
      </w:r>
      <w:bookmarkEnd w:id="78"/>
      <w:r>
        <w:rPr>
          <w:rFonts w:hint="default" w:ascii="Times New Roman" w:hAnsi="Times New Roman" w:cs="Times New Roman"/>
          <w:b/>
          <w:color w:val="auto"/>
          <w:szCs w:val="21"/>
          <w:highlight w:val="none"/>
        </w:rPr>
        <w:t>（如本项目有要求并公布了分项采购预算金额或者最高限价）；</w:t>
      </w:r>
    </w:p>
    <w:p w14:paraId="3D8F7D09">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1DE3075B">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6）在单价合同工程中供应商采用总价优惠或以总价百分比优惠的方式进行竞标报价的；</w:t>
      </w:r>
    </w:p>
    <w:p w14:paraId="0048F717">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7）竞标总报价与已标价工程量清单汇总表不一致的；</w:t>
      </w:r>
    </w:p>
    <w:p w14:paraId="2369353D">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8）安全文明施工费和规费、增值税不按广西区费用定额及造价管理相关文件规定报价的（园林绿化及仿古建筑工程除外）；（适用于房屋建筑和市政工程项目）</w:t>
      </w:r>
    </w:p>
    <w:p w14:paraId="4801B996">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9）供应商已标价工程量清单的项目编码（12位）、计量单位、工程量任何一处与工程量清单不一致的；</w:t>
      </w:r>
    </w:p>
    <w:p w14:paraId="390A0393">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14:paraId="604093C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11）设有暂估价、暂列金额的，竞标时未按工程量清单给出的暂估价总价、暂列金额总价计入竞标总报价中的；</w:t>
      </w:r>
    </w:p>
    <w:p w14:paraId="40A193E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12）供应商对工程量清单内容进行增减或对竞标范围进行调整的；</w:t>
      </w:r>
    </w:p>
    <w:p w14:paraId="43A1D91F">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13）响应文件响应的标的数量及单位与竞争性磋商采购文件要求实质性不一致的；</w:t>
      </w:r>
    </w:p>
    <w:p w14:paraId="3B1AF118">
      <w:pPr>
        <w:spacing w:line="360" w:lineRule="auto"/>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14）未响应磋商文件实质性要求的。</w:t>
      </w:r>
    </w:p>
    <w:p w14:paraId="6E002B9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2.6磋商小组对响应文件进行评审，未实质性响应磋商文件的响应文件按无效处理，磋商小组应当将资格和符合性不通过的情况告知有关供应商。</w:t>
      </w:r>
    </w:p>
    <w:p w14:paraId="05D9CC1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2.7通过符合性审查的合格供应商不足3家的，不得进入磋商环节，应当重新开展采购活动。</w:t>
      </w:r>
    </w:p>
    <w:p w14:paraId="3FEC877A">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3.磋商程序</w:t>
      </w:r>
    </w:p>
    <w:p w14:paraId="3C96C15B">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3.1磋商小组</w:t>
      </w:r>
      <w:r>
        <w:rPr>
          <w:rFonts w:hint="default" w:ascii="Times New Roman" w:hAnsi="Times New Roman" w:cs="Times New Roman"/>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241D45B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0497A4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3.3对磋商文件作出的实质性变动是磋商文件的有效组成部分，由磋商小组及时以电子澄清函形式同时通知所有参加磋商的供应商。</w:t>
      </w:r>
    </w:p>
    <w:p w14:paraId="0FB8C0E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9ADF7E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3.5磋商中，磋商的任何一方不得透露与磋商有关的其他供应商的技术资料、价格和其他信息</w:t>
      </w:r>
      <w:r>
        <w:rPr>
          <w:rFonts w:hint="default" w:ascii="Times New Roman" w:hAnsi="Times New Roman" w:cs="Times New Roman"/>
          <w:color w:val="auto"/>
          <w:spacing w:val="-6"/>
          <w:szCs w:val="21"/>
          <w:highlight w:val="none"/>
        </w:rPr>
        <w:t>。</w:t>
      </w:r>
    </w:p>
    <w:p w14:paraId="3F17E0F0">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3.6采购代理机构对磋商过程和磋商内容进行记录。</w:t>
      </w:r>
    </w:p>
    <w:p w14:paraId="4F404482">
      <w:pPr>
        <w:widowControl/>
        <w:tabs>
          <w:tab w:val="left" w:pos="540"/>
        </w:tabs>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default" w:ascii="Times New Roman" w:hAnsi="Times New Roman" w:cs="Times New Roman"/>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A37C8F6">
      <w:pPr>
        <w:tabs>
          <w:tab w:val="left" w:pos="2835"/>
        </w:tabs>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3.8除</w:t>
      </w:r>
      <w:r>
        <w:rPr>
          <w:rFonts w:hint="default" w:ascii="Times New Roman" w:hAnsi="Times New Roman" w:cs="Times New Roman"/>
          <w:color w:val="auto"/>
          <w:highlight w:val="none"/>
        </w:rPr>
        <w:t>本章第3.7条规定的情形外，</w:t>
      </w:r>
      <w:r>
        <w:rPr>
          <w:rFonts w:hint="default" w:ascii="Times New Roman" w:hAnsi="Times New Roman" w:cs="Times New Roman"/>
          <w:color w:val="auto"/>
          <w:szCs w:val="21"/>
          <w:highlight w:val="none"/>
        </w:rPr>
        <w:t>对磋商过程提交的响应文件进行有效性、完整性和响应程度审查，通过审查的合格供应商不足3家的，应当重新开展采购活动。</w:t>
      </w:r>
    </w:p>
    <w:p w14:paraId="6924765F">
      <w:pPr>
        <w:spacing w:line="360" w:lineRule="auto"/>
        <w:ind w:firstLine="482" w:firstLineChars="200"/>
        <w:rPr>
          <w:rFonts w:hint="default" w:ascii="Times New Roman" w:hAnsi="Times New Roman" w:cs="Times New Roman"/>
          <w:color w:val="auto"/>
          <w:szCs w:val="21"/>
          <w:highlight w:val="none"/>
        </w:rPr>
      </w:pPr>
      <w:r>
        <w:rPr>
          <w:rFonts w:hint="default" w:ascii="Times New Roman" w:hAnsi="Times New Roman" w:eastAsia="黑体" w:cs="Times New Roman"/>
          <w:b/>
          <w:bCs/>
          <w:color w:val="auto"/>
          <w:sz w:val="24"/>
          <w:highlight w:val="none"/>
        </w:rPr>
        <w:t>4. 最后报价</w:t>
      </w:r>
    </w:p>
    <w:p w14:paraId="7A38E16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4.3条规定的情形外，提交最后报价的供应商不得少于3家，否则应当重新开展采购活动。</w:t>
      </w:r>
    </w:p>
    <w:p w14:paraId="171CB38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default" w:ascii="Times New Roman" w:hAnsi="Times New Roman" w:cs="Times New Roman"/>
          <w:b/>
          <w:color w:val="auto"/>
          <w:szCs w:val="21"/>
          <w:highlight w:val="none"/>
        </w:rPr>
        <w:t>如果供应商的最后报价与首次报价不一致的，不能只报竞标总报价，必须同时提供“已标价工程量清单”，否则做无效响应处理。</w:t>
      </w:r>
    </w:p>
    <w:p w14:paraId="2AD0E7C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4.3 最后报价是供应商响应文件的有效组成部分。</w:t>
      </w:r>
    </w:p>
    <w:p w14:paraId="2A5ABC1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符合《政府采购竞争性磋商采购方式管理暂行办法》（财库〔2014〕214号）第三条第四项“市场竞争不充分的科研项目，以及需要扶持的科技成果转化项目”和</w:t>
      </w:r>
      <w:r>
        <w:rPr>
          <w:rFonts w:hint="default" w:ascii="Times New Roman" w:hAnsi="Times New Roman" w:cs="Times New Roman"/>
          <w:color w:val="auto"/>
          <w:highlight w:val="none"/>
        </w:rPr>
        <w:t>本章第3.7条</w:t>
      </w:r>
      <w:r>
        <w:rPr>
          <w:rFonts w:hint="default" w:ascii="Times New Roman" w:hAnsi="Times New Roman" w:cs="Times New Roman"/>
          <w:color w:val="auto"/>
          <w:szCs w:val="21"/>
          <w:highlight w:val="none"/>
        </w:rPr>
        <w:t>规定</w:t>
      </w:r>
      <w:r>
        <w:rPr>
          <w:rFonts w:hint="default" w:ascii="Times New Roman" w:hAnsi="Times New Roman" w:cs="Times New Roman"/>
          <w:color w:val="auto"/>
          <w:highlight w:val="none"/>
        </w:rPr>
        <w:t>情形的，</w:t>
      </w:r>
      <w:r>
        <w:rPr>
          <w:rFonts w:hint="default" w:ascii="Times New Roman" w:hAnsi="Times New Roman" w:cs="Times New Roman"/>
          <w:color w:val="auto"/>
          <w:szCs w:val="21"/>
          <w:highlight w:val="none"/>
        </w:rPr>
        <w:t>提交最后报价的供应商可以为2家。</w:t>
      </w:r>
    </w:p>
    <w:p w14:paraId="3D2E51E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6D271AA2">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4.5供应商未在规定时间内提交最后报价的，视同退出磋商，其响应文件按无效处理。</w:t>
      </w:r>
    </w:p>
    <w:p w14:paraId="783BB5E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4.6最后报价统一开启后，磋商小组对最后报价进行有效性、完整性和响应程度的审查。</w:t>
      </w:r>
    </w:p>
    <w:p w14:paraId="5585D7E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4.7最后报价出现前后不一致的，按照本章第2.4条的规定修正。</w:t>
      </w:r>
    </w:p>
    <w:p w14:paraId="0A46A57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4.8修正后的报价出现下列情形的，按无效响应处理：</w:t>
      </w:r>
    </w:p>
    <w:p w14:paraId="0E651007">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（1）供应商不确认的（全流程电子化评标采取在线确认）；</w:t>
      </w:r>
    </w:p>
    <w:p w14:paraId="2D4ABB9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（2）经供应商确认修正后的竞标报价（包含首次报价、最后报价）超过所竞标分标规定的采购预算金额或者最高限价的（如本项目公布了最高限价）；</w:t>
      </w:r>
    </w:p>
    <w:p w14:paraId="03B0FC0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（3）经供应商确认修正后的竞标报价（包含首次报价、最后报价）超过分项采购预算金额或者最高限价的（如本项目公布了最高限价）。</w:t>
      </w:r>
    </w:p>
    <w:p w14:paraId="6F29A81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4.9经供应商确认修正后的最后报价作为评审及签订合同的依据。</w:t>
      </w:r>
    </w:p>
    <w:p w14:paraId="1084296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4.10供应商出现最后报价按无效响应处理或者响应文件按无效处理时</w:t>
      </w:r>
      <w:r>
        <w:rPr>
          <w:rFonts w:hint="default" w:ascii="Times New Roman" w:hAnsi="Times New Roman" w:cs="Times New Roman"/>
          <w:color w:val="auto"/>
          <w:sz w:val="22"/>
          <w:szCs w:val="22"/>
          <w:highlight w:val="none"/>
        </w:rPr>
        <w:t>，磋商小组应当告知有关供应商</w:t>
      </w:r>
      <w:r>
        <w:rPr>
          <w:rFonts w:hint="default" w:ascii="Times New Roman" w:hAnsi="Times New Roman" w:cs="Times New Roman"/>
          <w:color w:val="auto"/>
          <w:szCs w:val="21"/>
          <w:highlight w:val="none"/>
        </w:rPr>
        <w:t>。</w:t>
      </w:r>
    </w:p>
    <w:p w14:paraId="2449E0F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4.11最后报价结束后，磋商小组不得再与供应商进行任何形式的商谈。</w:t>
      </w:r>
    </w:p>
    <w:p w14:paraId="1449B44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5.比较与评价</w:t>
      </w:r>
    </w:p>
    <w:p w14:paraId="109A6FA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5.1评审方法：综合评分法。</w:t>
      </w:r>
    </w:p>
    <w:p w14:paraId="5383656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5.2经磋商确定最终采购需求和提交最后报价的供应商后，由磋商小组采用综合评分法对提交最后报价的供应商的响应文件和最后报价进行综合评分。</w:t>
      </w:r>
    </w:p>
    <w:p w14:paraId="7BDCCA1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5.3评审时，磋商小组各成员应当独立对每个有效响应的文件进行评价、打分，然后汇总每个供应商每项评分因素的得分。</w:t>
      </w:r>
    </w:p>
    <w:p w14:paraId="7FD72A1E">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（1）磋商小组按照磋商文件中规定的评审标准计算各供应商的报价得分。项目评审过程中，不得去掉最后报价中的最高报价和最低报价。</w:t>
      </w:r>
    </w:p>
    <w:p w14:paraId="440FBAD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（2）各供应商的得分为磋商小组所有成员的有效评分的算术平均数。</w:t>
      </w:r>
    </w:p>
    <w:p w14:paraId="57229AF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D4FC377">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6. 成交供应商荐原则</w:t>
      </w:r>
    </w:p>
    <w:p w14:paraId="00449A92">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6.1</w:t>
      </w:r>
      <w:r>
        <w:rPr>
          <w:rFonts w:hint="default" w:ascii="Times New Roman" w:hAnsi="Times New Roman" w:cs="Times New Roman"/>
          <w:bCs/>
          <w:color w:val="auto"/>
          <w:szCs w:val="21"/>
          <w:highlight w:val="none"/>
        </w:rPr>
        <w:t>由磋商小组根据综合评分情况，按照评审得分由高到低顺序推荐3名以上成交候选供应商，并编写评审报告，</w:t>
      </w:r>
      <w:r>
        <w:rPr>
          <w:rFonts w:hint="default" w:ascii="Times New Roman" w:hAnsi="Times New Roman" w:cs="Times New Roman"/>
          <w:color w:val="auto"/>
          <w:highlight w:val="none"/>
        </w:rPr>
        <w:t>评审报告通过电子交易平台向采购人、采购代理机构提交。</w:t>
      </w:r>
      <w:r>
        <w:rPr>
          <w:rFonts w:hint="default" w:ascii="Times New Roman" w:hAnsi="Times New Roman" w:cs="Times New Roman"/>
          <w:bCs/>
          <w:color w:val="auto"/>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default" w:ascii="Times New Roman" w:hAnsi="Times New Roman" w:cs="Times New Roman"/>
          <w:color w:val="auto"/>
          <w:kern w:val="0"/>
          <w:szCs w:val="21"/>
          <w:highlight w:val="none"/>
        </w:rPr>
        <w:t>。</w:t>
      </w:r>
    </w:p>
    <w:p w14:paraId="6549624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BAE383">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269B3A24">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二、评审标准</w:t>
      </w:r>
    </w:p>
    <w:p w14:paraId="7D15150B">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7.评审依据：磋商小组以磋商文件为评审依据，对供应商的报价、技术、商务等方面内容按百分制打分。（计分方法按四舍五入取至百分位）</w:t>
      </w:r>
    </w:p>
    <w:tbl>
      <w:tblPr>
        <w:tblStyle w:val="4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14:paraId="3A53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498DA44E">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1418" w:type="dxa"/>
            <w:gridSpan w:val="2"/>
            <w:vAlign w:val="center"/>
          </w:tcPr>
          <w:p w14:paraId="5D3AE814">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6286" w:type="dxa"/>
            <w:vAlign w:val="center"/>
          </w:tcPr>
          <w:p w14:paraId="4FACC01A">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评审标准</w:t>
            </w:r>
          </w:p>
        </w:tc>
        <w:tc>
          <w:tcPr>
            <w:tcW w:w="853" w:type="dxa"/>
            <w:vAlign w:val="center"/>
          </w:tcPr>
          <w:p w14:paraId="033B8577">
            <w:pPr>
              <w:widowControl/>
              <w:spacing w:line="360" w:lineRule="auto"/>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分值</w:t>
            </w:r>
          </w:p>
        </w:tc>
      </w:tr>
      <w:tr w14:paraId="51E4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A1BC983">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418" w:type="dxa"/>
            <w:gridSpan w:val="2"/>
            <w:vAlign w:val="center"/>
          </w:tcPr>
          <w:p w14:paraId="0BA950A6">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价格分</w:t>
            </w:r>
          </w:p>
        </w:tc>
        <w:tc>
          <w:tcPr>
            <w:tcW w:w="6286" w:type="dxa"/>
          </w:tcPr>
          <w:p w14:paraId="4FF8E3AF">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color w:val="auto"/>
                <w:szCs w:val="21"/>
                <w:highlight w:val="none"/>
              </w:rPr>
              <w:t>评审价为供应商的最后报价，最终成交供应商的成交金额等于最后报价（如有修正，以确认修正后的最后报价为准）。</w:t>
            </w:r>
          </w:p>
          <w:p w14:paraId="049AEA91">
            <w:pPr>
              <w:spacing w:line="360" w:lineRule="auto"/>
              <w:ind w:firstLine="420" w:firstLineChars="200"/>
              <w:rPr>
                <w:rFonts w:hint="default" w:ascii="Times New Roman" w:hAnsi="Times New Roman" w:cs="Times New Roman"/>
                <w:bCs/>
                <w:color w:val="auto"/>
                <w:szCs w:val="21"/>
                <w:highlight w:val="none"/>
              </w:rPr>
            </w:pPr>
            <w:r>
              <w:rPr>
                <w:rFonts w:hint="default" w:ascii="Times New Roman" w:hAnsi="Times New Roman" w:cs="Times New Roman"/>
                <w:bCs/>
                <w:color w:val="auto"/>
                <w:highlight w:val="none"/>
              </w:rPr>
              <w:t>（2）</w:t>
            </w:r>
            <w:r>
              <w:rPr>
                <w:rFonts w:hint="default" w:ascii="Times New Roman" w:hAnsi="Times New Roman" w:cs="Times New Roman"/>
                <w:color w:val="auto"/>
                <w:highlight w:val="none"/>
              </w:rPr>
              <w:t>本项目为专门面向小</w:t>
            </w:r>
            <w:r>
              <w:rPr>
                <w:rFonts w:hint="default" w:ascii="Times New Roman" w:hAnsi="Times New Roman" w:cs="Times New Roman"/>
                <w:color w:val="auto"/>
                <w:highlight w:val="none"/>
                <w:lang w:val="en-US" w:eastAsia="zh-CN"/>
              </w:rPr>
              <w:t>微</w:t>
            </w:r>
            <w:r>
              <w:rPr>
                <w:rFonts w:hint="default" w:ascii="Times New Roman" w:hAnsi="Times New Roman" w:cs="Times New Roman"/>
                <w:color w:val="auto"/>
                <w:highlight w:val="none"/>
              </w:rPr>
              <w:t>企业采购的项目，参加本项目磋商的供应商必须为小微企业，或监狱企业，或残疾人福利性单位，否则竞标无效。价格评审时，参加本次项目竞标的供应商不重复享受政策，其评审价=竞标报价。</w:t>
            </w:r>
          </w:p>
          <w:p w14:paraId="2DEB869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default" w:ascii="Times New Roman" w:hAnsi="Times New Roman" w:cs="Times New Roman"/>
                <w:bCs/>
                <w:color w:val="auto"/>
                <w:szCs w:val="21"/>
                <w:highlight w:val="none"/>
              </w:rPr>
              <w:t>监狱企业属于小型、微型企业的，</w:t>
            </w:r>
            <w:r>
              <w:rPr>
                <w:rFonts w:hint="default" w:ascii="Times New Roman" w:hAnsi="Times New Roman" w:cs="Times New Roman"/>
                <w:color w:val="auto"/>
                <w:szCs w:val="21"/>
                <w:highlight w:val="none"/>
              </w:rPr>
              <w:t>不重复享受政策。</w:t>
            </w:r>
          </w:p>
          <w:p w14:paraId="2252F7CB">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2F8536A">
            <w:pPr>
              <w:pStyle w:val="4"/>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（5）以进入比较与评价环节的最低的评审价为基准价，基准价得分为</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p w14:paraId="1984CA39">
            <w:pPr>
              <w:pStyle w:val="4"/>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（6）价格分计算公式：</w:t>
            </w:r>
          </w:p>
          <w:p w14:paraId="266E4B68">
            <w:pPr>
              <w:pStyle w:val="4"/>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报价得分=（基准价/最后报价）×</w:t>
            </w:r>
            <w:r>
              <w:rPr>
                <w:rFonts w:hint="default" w:ascii="Times New Roman" w:hAnsi="Times New Roman" w:cs="Times New Roman"/>
                <w:bCs/>
                <w:color w:val="auto"/>
                <w:kern w:val="2"/>
                <w:szCs w:val="21"/>
                <w:highlight w:val="none"/>
                <w:u w:val="single"/>
              </w:rPr>
              <w:t>30</w:t>
            </w:r>
            <w:r>
              <w:rPr>
                <w:rFonts w:hint="default" w:ascii="Times New Roman" w:hAnsi="Times New Roman" w:cs="Times New Roman"/>
                <w:bCs/>
                <w:color w:val="auto"/>
                <w:kern w:val="2"/>
                <w:szCs w:val="21"/>
                <w:highlight w:val="none"/>
              </w:rPr>
              <w:t>分</w:t>
            </w:r>
          </w:p>
        </w:tc>
        <w:tc>
          <w:tcPr>
            <w:tcW w:w="853" w:type="dxa"/>
            <w:vAlign w:val="center"/>
          </w:tcPr>
          <w:p w14:paraId="181CC57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30分</w:t>
            </w:r>
          </w:p>
        </w:tc>
      </w:tr>
      <w:tr w14:paraId="0232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3BA42333">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2</w:t>
            </w:r>
          </w:p>
        </w:tc>
        <w:tc>
          <w:tcPr>
            <w:tcW w:w="1418" w:type="dxa"/>
            <w:gridSpan w:val="2"/>
            <w:vAlign w:val="center"/>
          </w:tcPr>
          <w:p w14:paraId="30BE36B1">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技术分</w:t>
            </w:r>
          </w:p>
        </w:tc>
        <w:tc>
          <w:tcPr>
            <w:tcW w:w="6286" w:type="dxa"/>
            <w:vAlign w:val="center"/>
          </w:tcPr>
          <w:p w14:paraId="29F1CF7E">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highlight w:val="none"/>
              </w:rPr>
              <w:t>评审标准</w:t>
            </w:r>
          </w:p>
        </w:tc>
        <w:tc>
          <w:tcPr>
            <w:tcW w:w="853" w:type="dxa"/>
            <w:vAlign w:val="center"/>
          </w:tcPr>
          <w:p w14:paraId="56F50F8E">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64分</w:t>
            </w:r>
          </w:p>
        </w:tc>
      </w:tr>
      <w:tr w14:paraId="238B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637B22A3">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2.1</w:t>
            </w:r>
          </w:p>
        </w:tc>
        <w:tc>
          <w:tcPr>
            <w:tcW w:w="480" w:type="dxa"/>
            <w:vMerge w:val="restart"/>
            <w:vAlign w:val="center"/>
          </w:tcPr>
          <w:p w14:paraId="009AD87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项目管理机构</w:t>
            </w:r>
          </w:p>
        </w:tc>
        <w:tc>
          <w:tcPr>
            <w:tcW w:w="938" w:type="dxa"/>
            <w:vAlign w:val="center"/>
          </w:tcPr>
          <w:p w14:paraId="32D1340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项目经理情况（5.00分）</w:t>
            </w:r>
          </w:p>
        </w:tc>
        <w:tc>
          <w:tcPr>
            <w:tcW w:w="6286" w:type="dxa"/>
            <w:vAlign w:val="center"/>
          </w:tcPr>
          <w:p w14:paraId="3268420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项目经理具备</w:t>
            </w:r>
            <w:r>
              <w:rPr>
                <w:rFonts w:hint="eastAsia" w:cs="Times New Roman"/>
                <w:color w:val="auto"/>
                <w:highlight w:val="none"/>
                <w:lang w:val="en-US" w:eastAsia="zh-CN"/>
              </w:rPr>
              <w:t>市政公用</w:t>
            </w:r>
            <w:r>
              <w:rPr>
                <w:rFonts w:hint="default" w:ascii="Times New Roman" w:hAnsi="Times New Roman" w:cs="Times New Roman"/>
                <w:color w:val="auto"/>
                <w:highlight w:val="none"/>
              </w:rPr>
              <w:t>工程类专业中级工程师或以上职称得5分。满分5分。</w:t>
            </w:r>
          </w:p>
        </w:tc>
        <w:tc>
          <w:tcPr>
            <w:tcW w:w="853" w:type="dxa"/>
            <w:vAlign w:val="center"/>
          </w:tcPr>
          <w:p w14:paraId="1644B7A8">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5F90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301B4D0D">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045AAD1">
            <w:pPr>
              <w:spacing w:line="360" w:lineRule="auto"/>
              <w:jc w:val="left"/>
              <w:rPr>
                <w:rFonts w:hint="default" w:ascii="Times New Roman" w:hAnsi="Times New Roman" w:cs="Times New Roman"/>
                <w:color w:val="auto"/>
                <w:highlight w:val="none"/>
              </w:rPr>
            </w:pPr>
          </w:p>
        </w:tc>
        <w:tc>
          <w:tcPr>
            <w:tcW w:w="938" w:type="dxa"/>
            <w:vAlign w:val="center"/>
          </w:tcPr>
          <w:p w14:paraId="310CCC7F">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情况（5.00分）</w:t>
            </w:r>
          </w:p>
        </w:tc>
        <w:tc>
          <w:tcPr>
            <w:tcW w:w="6286" w:type="dxa"/>
            <w:vAlign w:val="center"/>
          </w:tcPr>
          <w:p w14:paraId="437299D2">
            <w:pPr>
              <w:spacing w:line="360" w:lineRule="auto"/>
              <w:jc w:val="left"/>
              <w:rPr>
                <w:rFonts w:hint="default" w:ascii="Times New Roman" w:hAnsi="Times New Roman" w:cs="Times New Roman"/>
                <w:color w:val="auto"/>
                <w:highlight w:val="none"/>
              </w:rPr>
            </w:pPr>
            <w:r>
              <w:rPr>
                <w:rFonts w:hint="eastAsia" w:cs="Times New Roman"/>
                <w:color w:val="auto"/>
                <w:highlight w:val="none"/>
                <w:lang w:val="en-US" w:eastAsia="zh-CN"/>
              </w:rPr>
              <w:t>技术负责人</w:t>
            </w:r>
            <w:r>
              <w:rPr>
                <w:rFonts w:hint="default" w:ascii="Times New Roman" w:hAnsi="Times New Roman" w:cs="Times New Roman"/>
                <w:color w:val="auto"/>
                <w:highlight w:val="none"/>
              </w:rPr>
              <w:t>具备</w:t>
            </w:r>
            <w:r>
              <w:rPr>
                <w:rFonts w:hint="eastAsia" w:cs="Times New Roman"/>
                <w:color w:val="auto"/>
                <w:highlight w:val="none"/>
                <w:lang w:val="en-US" w:eastAsia="zh-CN"/>
              </w:rPr>
              <w:t>市政公用</w:t>
            </w:r>
            <w:r>
              <w:rPr>
                <w:rFonts w:hint="default" w:ascii="Times New Roman" w:hAnsi="Times New Roman" w:cs="Times New Roman"/>
                <w:color w:val="auto"/>
                <w:highlight w:val="none"/>
              </w:rPr>
              <w:t>工程类专业中级工程师或以上职称的得5分。满分5分。</w:t>
            </w:r>
          </w:p>
        </w:tc>
        <w:tc>
          <w:tcPr>
            <w:tcW w:w="853" w:type="dxa"/>
            <w:vAlign w:val="center"/>
          </w:tcPr>
          <w:p w14:paraId="2B1E9CC0">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76C1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1BDE2F7">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AA90A49">
            <w:pPr>
              <w:spacing w:line="360" w:lineRule="auto"/>
              <w:jc w:val="left"/>
              <w:rPr>
                <w:rFonts w:hint="default" w:ascii="Times New Roman" w:hAnsi="Times New Roman" w:cs="Times New Roman"/>
                <w:color w:val="auto"/>
                <w:highlight w:val="none"/>
              </w:rPr>
            </w:pPr>
          </w:p>
        </w:tc>
        <w:tc>
          <w:tcPr>
            <w:tcW w:w="938" w:type="dxa"/>
            <w:vAlign w:val="center"/>
          </w:tcPr>
          <w:p w14:paraId="39BE6FB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拟投入本工程管理人员情况（5.00分）</w:t>
            </w:r>
          </w:p>
        </w:tc>
        <w:tc>
          <w:tcPr>
            <w:tcW w:w="6286" w:type="dxa"/>
            <w:vAlign w:val="center"/>
          </w:tcPr>
          <w:p w14:paraId="7508C04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拟投入本工程施工员、质量员、安全员、材料员配备齐全且全部持证上岗的，按以下标准计分：</w:t>
            </w:r>
          </w:p>
          <w:p w14:paraId="67BF730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优（5分）：完全满足施工需要，管理人员配备齐全且具有丰富地同类经验。</w:t>
            </w:r>
          </w:p>
          <w:p w14:paraId="0388293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良（4分）：满足施工需要，管理人员配备齐全且有一定的同类项目经验。</w:t>
            </w:r>
          </w:p>
          <w:p w14:paraId="6154DAF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中（3分）：基本满足施工需要，管理人员配备齐全。</w:t>
            </w:r>
          </w:p>
          <w:p w14:paraId="1192D5C2">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w:t>
            </w:r>
            <w:r>
              <w:rPr>
                <w:rFonts w:hint="eastAsia" w:cs="Times New Roman"/>
                <w:color w:val="auto"/>
                <w:highlight w:val="none"/>
                <w:lang w:eastAsia="zh-CN"/>
              </w:rPr>
              <w:t>：</w:t>
            </w:r>
            <w:r>
              <w:rPr>
                <w:rFonts w:hint="default" w:ascii="Times New Roman" w:hAnsi="Times New Roman" w:cs="Times New Roman"/>
                <w:color w:val="auto"/>
                <w:highlight w:val="none"/>
              </w:rPr>
              <w:t>不满足施工需要，管理人员配备不齐全。</w:t>
            </w:r>
          </w:p>
        </w:tc>
        <w:tc>
          <w:tcPr>
            <w:tcW w:w="853" w:type="dxa"/>
            <w:vAlign w:val="center"/>
          </w:tcPr>
          <w:p w14:paraId="763FF800">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7576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337D620C">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w:t>
            </w:r>
          </w:p>
        </w:tc>
        <w:tc>
          <w:tcPr>
            <w:tcW w:w="480" w:type="dxa"/>
            <w:vMerge w:val="restart"/>
            <w:vAlign w:val="center"/>
          </w:tcPr>
          <w:p w14:paraId="1EB1F307">
            <w:pPr>
              <w:adjustRightInd w:val="0"/>
              <w:spacing w:line="360" w:lineRule="auto"/>
              <w:jc w:val="center"/>
              <w:textAlignment w:val="baseline"/>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施工组织设计</w:t>
            </w:r>
          </w:p>
        </w:tc>
        <w:tc>
          <w:tcPr>
            <w:tcW w:w="938" w:type="dxa"/>
            <w:vAlign w:val="center"/>
          </w:tcPr>
          <w:p w14:paraId="0D66FE6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主要施工方法（9.00分）</w:t>
            </w:r>
          </w:p>
        </w:tc>
        <w:tc>
          <w:tcPr>
            <w:tcW w:w="6286" w:type="dxa"/>
            <w:vAlign w:val="center"/>
          </w:tcPr>
          <w:p w14:paraId="4DD3D0D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优（9分）：各主要分部施工方法符合项目实际，须有详尽的施工技术方案，工艺先进、方法科学合理、可行，能指导具体施工并确保安全。</w:t>
            </w:r>
          </w:p>
          <w:p w14:paraId="78A184E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良（7分）：各主要分部施工方法符合项目实际，须有详尽的施工技术方案，工艺一般、方法可行，能指导具体施工并确保安全。</w:t>
            </w:r>
          </w:p>
          <w:p w14:paraId="4067D3B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中（4分）：各主要分部施工方法符合项目基本实际，须有详尽的施工技术方案，工艺一般、方法基本可行，能指导具体施工并确保安全。</w:t>
            </w:r>
          </w:p>
          <w:p w14:paraId="09616AA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差（1分）：各主要分部施工方法不符合项目实际，无详尽的施工技术方案，不能指导具体施工并确保安全。</w:t>
            </w:r>
          </w:p>
        </w:tc>
        <w:tc>
          <w:tcPr>
            <w:tcW w:w="853" w:type="dxa"/>
            <w:vAlign w:val="center"/>
          </w:tcPr>
          <w:p w14:paraId="72E758C5">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9分</w:t>
            </w:r>
          </w:p>
        </w:tc>
      </w:tr>
      <w:tr w14:paraId="45F9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7FD8FC8">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0FB15F60">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42C6E12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拟投入的主要物资计划（5.00分）</w:t>
            </w:r>
          </w:p>
        </w:tc>
        <w:tc>
          <w:tcPr>
            <w:tcW w:w="6286" w:type="dxa"/>
            <w:vAlign w:val="center"/>
          </w:tcPr>
          <w:p w14:paraId="28232BB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优（5分）：投入的施工材料有详细的组织计划且计划完整周密，数量、选型配置、进场时间安排科学合理，满足施工需要。</w:t>
            </w:r>
          </w:p>
          <w:p w14:paraId="1E847B8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良（4分）：投入的施工材料有组织计划且计划周密，数量、选型配置、进场时间安排合理，满足施工需要。</w:t>
            </w:r>
          </w:p>
          <w:p w14:paraId="51236FD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中（3分）：投入的施工材料有组织计划且计划一般，数量、选型配置、进场时间安排基本合理，基本满足施工需要。</w:t>
            </w:r>
          </w:p>
          <w:p w14:paraId="10E7AE3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差（1分）：投入的施工材料无详细的组织计划，数量、选型配置、进场时间安排不合理，不能满足施工需要。</w:t>
            </w:r>
          </w:p>
        </w:tc>
        <w:tc>
          <w:tcPr>
            <w:tcW w:w="853" w:type="dxa"/>
          </w:tcPr>
          <w:p w14:paraId="75725F9D">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79D2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EA2F891">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DA8A3CE">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72FC117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拟投入的主要施工机械、设备计划（5.00分）</w:t>
            </w:r>
          </w:p>
        </w:tc>
        <w:tc>
          <w:tcPr>
            <w:tcW w:w="6286" w:type="dxa"/>
            <w:vAlign w:val="center"/>
          </w:tcPr>
          <w:p w14:paraId="0ED03BA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优（5分）：投入的施工机械、设备、机具有详细的组织计划且计划周密，设备数量、选型配置、进场时间安排合理，满足施工需要。</w:t>
            </w:r>
          </w:p>
          <w:p w14:paraId="3ECA5E9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良（4分）：投入的施工机械、设备、机具有组织计划且计划一般，设备数量、选型配置、进场时间安排合理，基本满足施工需要。</w:t>
            </w:r>
          </w:p>
          <w:p w14:paraId="75A5E5D4">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中（3分）投入的施工机械、设备、机具有基本的组织计划且计划较差，设备数量、选型配置、进场时间安排基本合理，基本满足施工需要。</w:t>
            </w:r>
          </w:p>
          <w:p w14:paraId="05066C6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差（1分）：投入的施工机械、设备、机具无详细的组织计划，设备数量、选型配置、进场时间安排不合理，不能满足施工需要。</w:t>
            </w:r>
          </w:p>
        </w:tc>
        <w:tc>
          <w:tcPr>
            <w:tcW w:w="853" w:type="dxa"/>
          </w:tcPr>
          <w:p w14:paraId="4D07FA9C">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45A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75B83C3">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3C1DDCDA">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24F96E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劳动力安排计划（5.00分）</w:t>
            </w:r>
          </w:p>
        </w:tc>
        <w:tc>
          <w:tcPr>
            <w:tcW w:w="6286" w:type="dxa"/>
            <w:vAlign w:val="center"/>
          </w:tcPr>
          <w:p w14:paraId="6AF5937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优（5分）：各主要施工工序有非常详细周密的劳动力安排计划，有非常详细周密的各工种劳动力安排计划，劳动力投入科学合理，完全满足施工需要。</w:t>
            </w:r>
          </w:p>
          <w:p w14:paraId="64688449">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良（4分）：各主要施工工序有较详细周密劳动力安排计划，有较详细周密的各工种劳动力安排计划，劳动力投入合理，基本满足施工需要。</w:t>
            </w:r>
          </w:p>
          <w:p w14:paraId="121619A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中（3分）：各主要施工工序有劳动力安排计划，有各工种劳动力安排计划，劳动力投入基本合理，基本满足施工需要。</w:t>
            </w:r>
          </w:p>
          <w:p w14:paraId="415D8B4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差（1分）：各主要施工工序无劳动力安排计划，无各工种劳动力安排计划，劳动力投入不合理，不能满足施工需要。</w:t>
            </w:r>
          </w:p>
        </w:tc>
        <w:tc>
          <w:tcPr>
            <w:tcW w:w="853" w:type="dxa"/>
            <w:vAlign w:val="center"/>
          </w:tcPr>
          <w:p w14:paraId="26024B78">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7619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31DDAC15">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530B1F34">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1C9C7F0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确保工程质量的技术组织措施（5.00分）</w:t>
            </w:r>
          </w:p>
        </w:tc>
        <w:tc>
          <w:tcPr>
            <w:tcW w:w="6286" w:type="dxa"/>
            <w:vAlign w:val="center"/>
          </w:tcPr>
          <w:p w14:paraId="7AE5646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优（5分）：有专门且专业的质量技术管理班子和制度，且人员配备科学合理，制度科学合理健全。主要工序质量技术保证措施和手段科学合理，自控体系完整，能有效保证技术质量，达到承诺的质量标准。</w:t>
            </w:r>
          </w:p>
          <w:p w14:paraId="525A2DC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良（4分）：有专门的质量技术管理班子和制度，且人员配备合理，制度合理健全。主要工序的质量技术保证措施和手段合理，自控体系完整，保证技术质量，达到承诺的质量标准。</w:t>
            </w:r>
          </w:p>
          <w:p w14:paraId="512851A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中（3分）有专门的质量技术管理班子和制度，且人员配备合理，制度健全。主要工序的质量技术保证措施和手段一般，自控体系一般，基本保证技术质量，达到承诺的质量标准。</w:t>
            </w:r>
          </w:p>
          <w:p w14:paraId="13AA30B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差（1分）：有专门的质量技术管理班子和制度，人员配备不合理，制度不健全。主要工序无质量技术保证措施和手段，自控体系不完整，不能有效保证技术质量，达不到承诺的质量标准。</w:t>
            </w:r>
          </w:p>
        </w:tc>
        <w:tc>
          <w:tcPr>
            <w:tcW w:w="853" w:type="dxa"/>
          </w:tcPr>
          <w:p w14:paraId="723A7FFC">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175D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249B567">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0FD0504F">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266E4E6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确保安全生产的技术组织措施（5.00分）</w:t>
            </w:r>
          </w:p>
        </w:tc>
        <w:tc>
          <w:tcPr>
            <w:tcW w:w="6286" w:type="dxa"/>
            <w:vAlign w:val="center"/>
          </w:tcPr>
          <w:p w14:paraId="677C16AE">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241F04E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6D4B60F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4625ED2A">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差（1分）：有专门的安全管理人员和制度，人员配备不合理，制度不健全，各道工序安全技术措施针无对性，不满足有关安全技术标准要求。现场防火、应急救援、社会治安安全措施不得力。</w:t>
            </w:r>
          </w:p>
        </w:tc>
        <w:tc>
          <w:tcPr>
            <w:tcW w:w="853" w:type="dxa"/>
          </w:tcPr>
          <w:p w14:paraId="564AC66A">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40B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62A1A81">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C250397">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38A3CB8F">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确保工期的技术组织措施（5.00分）</w:t>
            </w:r>
          </w:p>
        </w:tc>
        <w:tc>
          <w:tcPr>
            <w:tcW w:w="6286" w:type="dxa"/>
            <w:vAlign w:val="center"/>
          </w:tcPr>
          <w:p w14:paraId="009B442E">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7F1B399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6487C28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11C78F6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差（1分）：在施工工艺、施工方法、材料选用、劳动力安排、技术等方面有保证工期的措施但措施差。无控制工期的施工进度计划。无施工总进度表或施工网络图，不符合本项目施工实际要求。</w:t>
            </w:r>
          </w:p>
        </w:tc>
        <w:tc>
          <w:tcPr>
            <w:tcW w:w="853" w:type="dxa"/>
          </w:tcPr>
          <w:p w14:paraId="60B86CCB">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6246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42EE850">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12E91F21">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74E0A0B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确保文明施工的技术组织措施（5.00分）</w:t>
            </w:r>
          </w:p>
        </w:tc>
        <w:tc>
          <w:tcPr>
            <w:tcW w:w="6286" w:type="dxa"/>
            <w:vAlign w:val="center"/>
          </w:tcPr>
          <w:p w14:paraId="3451204D">
            <w:pPr>
              <w:spacing w:line="360" w:lineRule="auto"/>
              <w:jc w:val="left"/>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优（5分）：针对本工程项目特点，有现场文明施工、环境保护措施，且措施内容</w:t>
            </w:r>
            <w:r>
              <w:rPr>
                <w:rFonts w:hint="eastAsia"/>
                <w:color w:val="000000" w:themeColor="text1"/>
                <w14:textFill>
                  <w14:solidFill>
                    <w14:schemeClr w14:val="tx1"/>
                  </w14:solidFill>
                </w14:textFill>
              </w:rPr>
              <w:t>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各项措施周全、具体、有效。</w:t>
            </w:r>
          </w:p>
          <w:p w14:paraId="7985997C">
            <w:pPr>
              <w:spacing w:line="360" w:lineRule="auto"/>
              <w:jc w:val="both"/>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良（</w:t>
            </w:r>
            <w:r>
              <w:rPr>
                <w:rFonts w:hint="eastAsia" w:cs="Times New Roman"/>
                <w:color w:val="auto"/>
                <w:highlight w:val="none"/>
                <w:lang w:val="en-US" w:eastAsia="zh-CN"/>
              </w:rPr>
              <w:t>3</w:t>
            </w:r>
            <w:r>
              <w:rPr>
                <w:rFonts w:hint="default" w:ascii="Times New Roman" w:hAnsi="Times New Roman" w:cs="Times New Roman"/>
                <w:color w:val="auto"/>
                <w:highlight w:val="none"/>
              </w:rPr>
              <w:t>分）：有现场文明施工、环境保护措施，</w:t>
            </w:r>
            <w:r>
              <w:rPr>
                <w:rFonts w:hint="eastAsia"/>
                <w:color w:val="000000" w:themeColor="text1"/>
                <w14:textFill>
                  <w14:solidFill>
                    <w14:schemeClr w14:val="tx1"/>
                  </w14:solidFill>
                </w14:textFill>
              </w:rPr>
              <w:t>且措施内容达到合格标准</w:t>
            </w:r>
            <w:r>
              <w:rPr>
                <w:rFonts w:hint="default" w:ascii="Times New Roman" w:hAnsi="Times New Roman" w:cs="Times New Roman"/>
                <w:color w:val="auto"/>
                <w:highlight w:val="none"/>
              </w:rPr>
              <w:t>。有具体实现现场文明施工目标的承诺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w:t>
            </w:r>
            <w:r>
              <w:rPr>
                <w:rFonts w:hint="eastAsia" w:ascii="Times New Roman" w:hAnsi="Times New Roman" w:cs="Times New Roman"/>
                <w:color w:val="auto"/>
                <w:highlight w:val="none"/>
                <w:lang w:eastAsia="zh-CN"/>
              </w:rPr>
              <w:t xml:space="preserve">切合实际，可行，具有可操作性，但缺乏针对性措施。 </w:t>
            </w:r>
          </w:p>
          <w:p w14:paraId="6F295F2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w:t>
            </w:r>
            <w:r>
              <w:rPr>
                <w:rFonts w:hint="eastAsia" w:cs="Times New Roman"/>
                <w:color w:val="auto"/>
                <w:highlight w:val="none"/>
                <w:lang w:val="en-US" w:eastAsia="zh-CN"/>
              </w:rPr>
              <w:t>2</w:t>
            </w:r>
            <w:r>
              <w:rPr>
                <w:rFonts w:hint="default" w:ascii="Times New Roman" w:hAnsi="Times New Roman" w:cs="Times New Roman"/>
                <w:color w:val="auto"/>
                <w:highlight w:val="none"/>
              </w:rPr>
              <w:t>分）：有现场文明施工、环境保护措施，且措施内容</w:t>
            </w:r>
            <w:r>
              <w:rPr>
                <w:rFonts w:hint="eastAsia"/>
                <w:color w:val="000000" w:themeColor="text1"/>
                <w14:textFill>
                  <w14:solidFill>
                    <w14:schemeClr w14:val="tx1"/>
                  </w14:solidFill>
                </w14:textFill>
              </w:rPr>
              <w:t>达到合格标准</w:t>
            </w:r>
            <w:r>
              <w:rPr>
                <w:rFonts w:hint="default" w:ascii="Times New Roman" w:hAnsi="Times New Roman" w:cs="Times New Roman"/>
                <w:color w:val="auto"/>
                <w:highlight w:val="none"/>
              </w:rPr>
              <w:t>。有具体实现现场文明施工目标的承诺，而且各项措施基本全面、具体、有效的。</w:t>
            </w:r>
          </w:p>
          <w:p w14:paraId="380A9FB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差（1分）：无具体实现现场文明施工目标的承诺</w:t>
            </w:r>
            <w:r>
              <w:rPr>
                <w:rFonts w:hint="eastAsia" w:cs="Times New Roman"/>
                <w:color w:val="auto"/>
                <w:highlight w:val="none"/>
                <w:lang w:eastAsia="zh-CN"/>
              </w:rPr>
              <w:t>，</w:t>
            </w:r>
            <w:r>
              <w:rPr>
                <w:rFonts w:hint="default" w:ascii="Times New Roman" w:hAnsi="Times New Roman" w:cs="Times New Roman"/>
                <w:color w:val="auto"/>
                <w:highlight w:val="none"/>
              </w:rPr>
              <w:t>各项措施不合理。</w:t>
            </w:r>
          </w:p>
        </w:tc>
        <w:tc>
          <w:tcPr>
            <w:tcW w:w="853" w:type="dxa"/>
          </w:tcPr>
          <w:p w14:paraId="0A2F8B77">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5分</w:t>
            </w:r>
          </w:p>
        </w:tc>
      </w:tr>
      <w:tr w14:paraId="22AB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52F5875">
            <w:pPr>
              <w:adjustRightInd w:val="0"/>
              <w:spacing w:line="360" w:lineRule="auto"/>
              <w:ind w:left="-105" w:leftChars="-50" w:right="-105" w:rightChars="-50"/>
              <w:jc w:val="center"/>
              <w:textAlignment w:val="baseline"/>
              <w:rPr>
                <w:rFonts w:hint="default" w:ascii="Times New Roman" w:hAnsi="Times New Roman" w:cs="Times New Roman"/>
                <w:bCs/>
                <w:color w:val="auto"/>
                <w:kern w:val="0"/>
                <w:szCs w:val="21"/>
                <w:highlight w:val="none"/>
              </w:rPr>
            </w:pPr>
          </w:p>
        </w:tc>
        <w:tc>
          <w:tcPr>
            <w:tcW w:w="480" w:type="dxa"/>
            <w:vMerge w:val="continue"/>
            <w:vAlign w:val="center"/>
          </w:tcPr>
          <w:p w14:paraId="55B3763E">
            <w:pPr>
              <w:adjustRightInd w:val="0"/>
              <w:spacing w:line="360" w:lineRule="auto"/>
              <w:jc w:val="center"/>
              <w:textAlignment w:val="baseline"/>
              <w:rPr>
                <w:rFonts w:hint="default" w:ascii="Times New Roman" w:hAnsi="Times New Roman" w:cs="Times New Roman"/>
                <w:bCs/>
                <w:color w:val="auto"/>
                <w:kern w:val="0"/>
                <w:szCs w:val="21"/>
                <w:highlight w:val="none"/>
              </w:rPr>
            </w:pPr>
          </w:p>
        </w:tc>
        <w:tc>
          <w:tcPr>
            <w:tcW w:w="938" w:type="dxa"/>
            <w:vAlign w:val="center"/>
          </w:tcPr>
          <w:p w14:paraId="5328FE0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工程施工的重点和难点及保证措施（5.00分）</w:t>
            </w:r>
          </w:p>
        </w:tc>
        <w:tc>
          <w:tcPr>
            <w:tcW w:w="6286" w:type="dxa"/>
            <w:vAlign w:val="center"/>
          </w:tcPr>
          <w:p w14:paraId="3F2A025E">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优（5分）：针对本工程的特点，阐述本工程的重点和难点，解决重点和难点问题的方法科学合理且全面。</w:t>
            </w:r>
          </w:p>
          <w:p w14:paraId="2E1124C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良（4分）：针对本工程的特点，阐述本工程的重点和难点，解决重点和难点问题的方法合理。</w:t>
            </w:r>
          </w:p>
          <w:p w14:paraId="57D63AB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中（3分）：针对本工程的特点，阐述本工程的重点和难点，解决重点和难点问题的方法基本合理。</w:t>
            </w:r>
          </w:p>
          <w:p w14:paraId="53BC5A8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差（1分）：针对本工程的特点，阐述本工程的重点和难点，解决重点和难点问题的方法不合理。</w:t>
            </w:r>
          </w:p>
        </w:tc>
        <w:tc>
          <w:tcPr>
            <w:tcW w:w="853" w:type="dxa"/>
            <w:vAlign w:val="center"/>
          </w:tcPr>
          <w:p w14:paraId="5C48EA74">
            <w:pPr>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5分</w:t>
            </w:r>
          </w:p>
        </w:tc>
      </w:tr>
      <w:tr w14:paraId="4AA0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27DBE75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1418" w:type="dxa"/>
            <w:gridSpan w:val="2"/>
            <w:vAlign w:val="center"/>
          </w:tcPr>
          <w:p w14:paraId="5CC630E7">
            <w:pPr>
              <w:widowControl/>
              <w:spacing w:line="360" w:lineRule="auto"/>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商务分</w:t>
            </w:r>
          </w:p>
        </w:tc>
        <w:tc>
          <w:tcPr>
            <w:tcW w:w="6286" w:type="dxa"/>
            <w:vAlign w:val="center"/>
          </w:tcPr>
          <w:p w14:paraId="4334B82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评审标准</w:t>
            </w:r>
          </w:p>
        </w:tc>
        <w:tc>
          <w:tcPr>
            <w:tcW w:w="853" w:type="dxa"/>
            <w:vAlign w:val="center"/>
          </w:tcPr>
          <w:p w14:paraId="2EBAC19C">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2004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0EC319B5">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w:t>
            </w:r>
          </w:p>
        </w:tc>
        <w:tc>
          <w:tcPr>
            <w:tcW w:w="1418" w:type="dxa"/>
            <w:gridSpan w:val="2"/>
            <w:vAlign w:val="center"/>
          </w:tcPr>
          <w:p w14:paraId="5EC612E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业绩分（6分）</w:t>
            </w:r>
          </w:p>
        </w:tc>
        <w:tc>
          <w:tcPr>
            <w:tcW w:w="6286" w:type="dxa"/>
            <w:vAlign w:val="center"/>
          </w:tcPr>
          <w:p w14:paraId="684F090A">
            <w:pPr>
              <w:autoSpaceDE w:val="0"/>
              <w:autoSpaceDN w:val="0"/>
              <w:adjustRightInd w:val="0"/>
              <w:spacing w:line="360" w:lineRule="auto"/>
              <w:ind w:firstLine="306" w:firstLineChars="146"/>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供应商自202</w:t>
            </w:r>
            <w:r>
              <w:rPr>
                <w:rFonts w:hint="eastAsia"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年1月1日以来完成过同类</w:t>
            </w:r>
            <w:r>
              <w:rPr>
                <w:rFonts w:hint="default" w:ascii="Times New Roman" w:hAnsi="Times New Roman" w:cs="Times New Roman"/>
                <w:color w:val="auto"/>
                <w:highlight w:val="none"/>
              </w:rPr>
              <w:t>工程</w:t>
            </w:r>
            <w:r>
              <w:rPr>
                <w:rFonts w:hint="default" w:ascii="Times New Roman" w:hAnsi="Times New Roman" w:cs="Times New Roman"/>
                <w:color w:val="auto"/>
                <w:kern w:val="0"/>
                <w:szCs w:val="21"/>
                <w:highlight w:val="none"/>
              </w:rPr>
              <w:t>项目，每提供1个项目业绩计3分；此项满分6分。</w:t>
            </w:r>
            <w:bookmarkStart w:id="213" w:name="_GoBack"/>
            <w:bookmarkEnd w:id="213"/>
          </w:p>
          <w:p w14:paraId="326E8A43">
            <w:pPr>
              <w:autoSpaceDE w:val="0"/>
              <w:autoSpaceDN w:val="0"/>
              <w:adjustRightInd w:val="0"/>
              <w:spacing w:line="360" w:lineRule="auto"/>
              <w:ind w:firstLine="306" w:firstLineChars="146"/>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注：以上业绩均须在响应文件中提供合同书扫描件，否则不予认可。</w:t>
            </w:r>
          </w:p>
        </w:tc>
        <w:tc>
          <w:tcPr>
            <w:tcW w:w="853" w:type="dxa"/>
            <w:vAlign w:val="center"/>
          </w:tcPr>
          <w:p w14:paraId="26AB1073">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6分</w:t>
            </w:r>
          </w:p>
        </w:tc>
      </w:tr>
      <w:tr w14:paraId="0353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tcPr>
          <w:p w14:paraId="16A3F963">
            <w:pPr>
              <w:pStyle w:val="4"/>
              <w:spacing w:line="360" w:lineRule="auto"/>
              <w:ind w:firstLine="420" w:firstLineChars="200"/>
              <w:rPr>
                <w:rFonts w:hint="default" w:ascii="Times New Roman" w:hAnsi="Times New Roman" w:cs="Times New Roman"/>
                <w:bCs/>
                <w:color w:val="auto"/>
                <w:kern w:val="2"/>
                <w:szCs w:val="21"/>
                <w:highlight w:val="none"/>
              </w:rPr>
            </w:pPr>
            <w:r>
              <w:rPr>
                <w:rFonts w:hint="default" w:ascii="Times New Roman" w:hAnsi="Times New Roman" w:cs="Times New Roman"/>
                <w:bCs/>
                <w:color w:val="auto"/>
                <w:kern w:val="2"/>
                <w:szCs w:val="21"/>
                <w:highlight w:val="none"/>
              </w:rPr>
              <w:t>总得分＝1＋2＋3</w:t>
            </w:r>
          </w:p>
        </w:tc>
        <w:tc>
          <w:tcPr>
            <w:tcW w:w="853" w:type="dxa"/>
            <w:vAlign w:val="center"/>
          </w:tcPr>
          <w:p w14:paraId="6E4FE55E">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100分</w:t>
            </w:r>
          </w:p>
        </w:tc>
      </w:tr>
      <w:tr w14:paraId="686F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tcPr>
          <w:p w14:paraId="24634D20">
            <w:pPr>
              <w:widowControl/>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rPr>
              <w:t>本项目为施工项目，不涉及政策功能的节能，环保分加分。</w:t>
            </w:r>
          </w:p>
        </w:tc>
      </w:tr>
    </w:tbl>
    <w:p w14:paraId="1CFCAE17">
      <w:pPr>
        <w:pStyle w:val="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第五章工程量清单及图纸</w:t>
      </w:r>
    </w:p>
    <w:p w14:paraId="69A4EC61">
      <w:pPr>
        <w:pStyle w:val="7"/>
        <w:jc w:val="center"/>
        <w:rPr>
          <w:rFonts w:hint="default" w:ascii="Times New Roman" w:hAnsi="Times New Roman" w:cs="Times New Roman"/>
          <w:color w:val="auto"/>
          <w:highlight w:val="none"/>
        </w:rPr>
      </w:pPr>
    </w:p>
    <w:p w14:paraId="19CEE3CA">
      <w:pPr>
        <w:pStyle w:val="7"/>
        <w:spacing w:before="0" w:after="0" w:line="360" w:lineRule="auto"/>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highlight w:val="none"/>
        </w:rPr>
        <w:br w:type="page"/>
      </w:r>
    </w:p>
    <w:p w14:paraId="0AA7EFE4">
      <w:pPr>
        <w:pStyle w:val="8"/>
        <w:spacing w:before="0" w:after="0" w:line="360" w:lineRule="auto"/>
        <w:rPr>
          <w:color w:val="auto"/>
          <w:kern w:val="44"/>
        </w:rPr>
      </w:pPr>
      <w:bookmarkStart w:id="79" w:name="_Toc10741"/>
      <w:bookmarkStart w:id="80" w:name="_Toc78449869"/>
      <w:bookmarkStart w:id="81" w:name="_Toc1386396751"/>
      <w:bookmarkStart w:id="82" w:name="_Toc1392571603"/>
      <w:bookmarkStart w:id="83" w:name="_Toc407135284"/>
      <w:r>
        <w:rPr>
          <w:color w:val="auto"/>
        </w:rPr>
        <w:t>1.</w:t>
      </w:r>
      <w:r>
        <w:rPr>
          <w:rFonts w:hint="eastAsia" w:cs="黑体"/>
          <w:color w:val="auto"/>
        </w:rPr>
        <w:t>工程量清单编制说明</w:t>
      </w:r>
      <w:bookmarkEnd w:id="79"/>
      <w:bookmarkEnd w:id="80"/>
      <w:bookmarkEnd w:id="81"/>
      <w:bookmarkEnd w:id="82"/>
      <w:bookmarkEnd w:id="83"/>
    </w:p>
    <w:p w14:paraId="15AB8681">
      <w:pPr>
        <w:spacing w:line="360" w:lineRule="auto"/>
        <w:ind w:firstLine="420" w:firstLineChars="200"/>
        <w:rPr>
          <w:color w:val="auto"/>
        </w:rPr>
      </w:pPr>
      <w:r>
        <w:rPr>
          <w:color w:val="auto"/>
        </w:rPr>
        <w:t>1.1</w:t>
      </w:r>
      <w:r>
        <w:rPr>
          <w:rFonts w:hint="eastAsia" w:hAnsi="宋体" w:cs="宋体"/>
          <w:color w:val="auto"/>
        </w:rPr>
        <w:t>本工程量清单依据《建设工程工程量清单计价规范</w:t>
      </w:r>
      <w:r>
        <w:rPr>
          <w:rFonts w:hint="eastAsia" w:cs="宋体"/>
          <w:color w:val="auto"/>
        </w:rPr>
        <w:t>（</w:t>
      </w:r>
      <w:r>
        <w:rPr>
          <w:color w:val="auto"/>
        </w:rPr>
        <w:t>GB50500-2013</w:t>
      </w:r>
      <w:r>
        <w:rPr>
          <w:rFonts w:hint="eastAsia" w:cs="宋体"/>
          <w:color w:val="auto"/>
        </w:rPr>
        <w:t>）</w:t>
      </w:r>
      <w:r>
        <w:rPr>
          <w:rFonts w:hint="eastAsia" w:hAnsi="宋体" w:cs="宋体"/>
          <w:color w:val="auto"/>
        </w:rPr>
        <w:t>广西实施细则》（以下简称</w:t>
      </w:r>
      <w:r>
        <w:rPr>
          <w:color w:val="auto"/>
        </w:rPr>
        <w:t>“</w:t>
      </w:r>
      <w:r>
        <w:rPr>
          <w:rFonts w:hint="eastAsia" w:hAnsi="宋体" w:cs="宋体"/>
          <w:color w:val="auto"/>
        </w:rPr>
        <w:t>《计价规范》</w:t>
      </w:r>
      <w:r>
        <w:rPr>
          <w:color w:val="auto"/>
        </w:rPr>
        <w:t>”</w:t>
      </w:r>
      <w:r>
        <w:rPr>
          <w:rFonts w:hint="eastAsia" w:cs="宋体"/>
          <w:color w:val="auto"/>
        </w:rPr>
        <w:t>）</w:t>
      </w:r>
      <w:r>
        <w:rPr>
          <w:rFonts w:hint="eastAsia" w:hAnsi="宋体" w:cs="宋体"/>
          <w:color w:val="auto"/>
        </w:rPr>
        <w:t>、《工程量清单计算规范（</w:t>
      </w:r>
      <w:r>
        <w:rPr>
          <w:color w:val="auto"/>
        </w:rPr>
        <w:t>GB50854~50862-2013</w:t>
      </w:r>
      <w:r>
        <w:rPr>
          <w:rFonts w:hint="eastAsia" w:hAnsi="宋体" w:cs="宋体"/>
          <w:color w:val="auto"/>
        </w:rPr>
        <w:t>）》及广西实施细则（修订本）（以下简称</w:t>
      </w:r>
      <w:r>
        <w:rPr>
          <w:color w:val="auto"/>
        </w:rPr>
        <w:t>“</w:t>
      </w:r>
      <w:r>
        <w:rPr>
          <w:rFonts w:hint="eastAsia" w:hAnsi="宋体" w:cs="宋体"/>
          <w:color w:val="auto"/>
        </w:rPr>
        <w:t>《计算规范》</w:t>
      </w:r>
      <w:r>
        <w:rPr>
          <w:color w:val="auto"/>
        </w:rPr>
        <w:t>”</w:t>
      </w:r>
      <w:r>
        <w:rPr>
          <w:rFonts w:hint="eastAsia" w:hAnsi="宋体" w:cs="宋体"/>
          <w:color w:val="auto"/>
        </w:rPr>
        <w:t>）、</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2013年《广西壮族自治区建筑装饰装修工程消耗量定额》、2015年《广西壮族自治区安装工程消耗量定额》、2021年、《广西壮族自治区园林绿化及仿古建筑工程消耗量定额》、2022年《广西壮族自治区市政工程消耗量定额》；《关于调整除税价计算适用增值税税率的通知》（桂造价[2019]10号）、及现行有关配套费率、人工和机械台班费用调整规定</w:t>
      </w:r>
      <w:r>
        <w:rPr>
          <w:rFonts w:hint="eastAsia" w:hAnsi="宋体" w:cs="宋体"/>
          <w:color w:val="auto"/>
          <w:kern w:val="0"/>
          <w:lang w:eastAsia="zh-CN"/>
        </w:rPr>
        <w:t>、</w:t>
      </w:r>
      <w:r>
        <w:rPr>
          <w:rFonts w:hint="eastAsia" w:hAnsi="宋体" w:cs="宋体"/>
          <w:color w:val="auto"/>
          <w:kern w:val="0"/>
        </w:rPr>
        <w:t>磋商文件</w:t>
      </w:r>
      <w:r>
        <w:rPr>
          <w:rFonts w:hint="eastAsia" w:hAnsi="宋体" w:cs="宋体"/>
          <w:color w:val="auto"/>
        </w:rPr>
        <w:t>、施工图等编制。计算规范中没有的清单项目，应在本章第</w:t>
      </w:r>
      <w:r>
        <w:rPr>
          <w:color w:val="auto"/>
        </w:rPr>
        <w:t>1.4</w:t>
      </w:r>
      <w:r>
        <w:rPr>
          <w:rFonts w:hint="eastAsia" w:hAnsi="宋体" w:cs="宋体"/>
          <w:color w:val="auto"/>
        </w:rPr>
        <w:t>款约定。</w:t>
      </w:r>
    </w:p>
    <w:p w14:paraId="30BDF3B2">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2E4E73F0">
      <w:pPr>
        <w:spacing w:line="360" w:lineRule="auto"/>
        <w:ind w:firstLine="420" w:firstLineChars="200"/>
        <w:rPr>
          <w:color w:val="auto"/>
        </w:rPr>
      </w:pPr>
      <w:r>
        <w:rPr>
          <w:color w:val="auto"/>
        </w:rPr>
        <w:t xml:space="preserve">1.3 </w:t>
      </w:r>
      <w:r>
        <w:rPr>
          <w:rFonts w:hint="eastAsia" w:cs="宋体"/>
          <w:color w:val="auto"/>
        </w:rPr>
        <w:t>工程量清单是磋商文件的组成部分，是工程量清单计价的基础，作为编制招标控制价、竞标报价、计算或调整工程量、索赔等的依据之一。</w:t>
      </w:r>
    </w:p>
    <w:p w14:paraId="08A06BA8">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r>
        <w:rPr>
          <w:rFonts w:hint="eastAsia"/>
          <w:color w:val="auto"/>
        </w:rPr>
        <w:t>无</w:t>
      </w:r>
      <w:r>
        <w:rPr>
          <w:rFonts w:hint="eastAsia" w:hAnsi="宋体" w:cs="宋体"/>
          <w:color w:val="auto"/>
        </w:rPr>
        <w:t>。</w:t>
      </w:r>
    </w:p>
    <w:p w14:paraId="590BC771">
      <w:pPr>
        <w:pStyle w:val="4"/>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06D21E07">
      <w:pPr>
        <w:pStyle w:val="4"/>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3C51D94A">
      <w:pPr>
        <w:pStyle w:val="4"/>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5479B230">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006399F4">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2A9A4909">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号的清单项目作为主要清单项目，需要供应商提供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3C90BEE9">
      <w:pPr>
        <w:spacing w:line="360" w:lineRule="auto"/>
        <w:ind w:firstLine="420" w:firstLineChars="200"/>
        <w:rPr>
          <w:color w:val="auto"/>
        </w:rPr>
      </w:pPr>
      <w:r>
        <w:rPr>
          <w:color w:val="auto"/>
        </w:rPr>
        <w:t xml:space="preserve">1.11 </w:t>
      </w:r>
      <w:r>
        <w:rPr>
          <w:rFonts w:hint="eastAsia" w:cs="宋体"/>
          <w:color w:val="auto"/>
        </w:rPr>
        <w:t>其它需要说明的问题：</w:t>
      </w:r>
      <w:r>
        <w:rPr>
          <w:rFonts w:hint="eastAsia"/>
          <w:color w:val="auto"/>
          <w:u w:val="single"/>
        </w:rPr>
        <w:t>无</w:t>
      </w:r>
      <w:r>
        <w:rPr>
          <w:rFonts w:hint="eastAsia" w:cs="宋体"/>
          <w:color w:val="auto"/>
        </w:rPr>
        <w:t>。</w:t>
      </w:r>
    </w:p>
    <w:p w14:paraId="519FF5CB">
      <w:pPr>
        <w:spacing w:line="360" w:lineRule="auto"/>
        <w:ind w:firstLine="420" w:firstLineChars="200"/>
        <w:rPr>
          <w:rFonts w:hint="eastAsia" w:eastAsia="宋体"/>
          <w:color w:val="auto"/>
          <w:lang w:eastAsia="zh-CN"/>
        </w:rPr>
      </w:pPr>
      <w:r>
        <w:rPr>
          <w:color w:val="auto"/>
        </w:rPr>
        <w:t xml:space="preserve">1.12 </w:t>
      </w:r>
      <w:r>
        <w:rPr>
          <w:rFonts w:hint="eastAsia" w:cs="宋体"/>
          <w:color w:val="auto"/>
        </w:rPr>
        <w:t>工程量清单与磋商文件同时发布。一般计税法建设工程的工程量清单表格按</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w:t>
      </w:r>
      <w:r>
        <w:rPr>
          <w:rFonts w:hint="eastAsia" w:ascii="宋体" w:hAnsi="宋体" w:cs="宋体"/>
          <w:color w:val="auto"/>
        </w:rPr>
        <w:t>附件“增值税一般计税方法工程计价表”要求提供；简易计税法建设工程按照《计价规范》要求的</w:t>
      </w:r>
      <w:r>
        <w:rPr>
          <w:rFonts w:hint="eastAsia" w:cs="宋体"/>
          <w:color w:val="auto"/>
        </w:rPr>
        <w:t>表格提供，但规费和税费要按照《关于建筑业实施营业税改征增值税后广西壮族自治区建设工程计价依据调整的通知》（桂建标〔</w:t>
      </w:r>
      <w:r>
        <w:rPr>
          <w:color w:val="auto"/>
        </w:rPr>
        <w:t>2016</w:t>
      </w:r>
      <w:r>
        <w:rPr>
          <w:rFonts w:hint="eastAsia" w:cs="宋体"/>
          <w:color w:val="auto"/>
        </w:rPr>
        <w:t>〕</w:t>
      </w:r>
      <w:r>
        <w:rPr>
          <w:color w:val="auto"/>
        </w:rPr>
        <w:t>17</w:t>
      </w:r>
      <w:r>
        <w:rPr>
          <w:rFonts w:hint="eastAsia" w:cs="宋体"/>
          <w:color w:val="auto"/>
        </w:rPr>
        <w:t>号）</w:t>
      </w:r>
      <w:r>
        <w:rPr>
          <w:rFonts w:hint="eastAsia" w:ascii="宋体" w:hAnsi="宋体" w:cs="宋体"/>
          <w:color w:val="auto"/>
        </w:rPr>
        <w:t>要求调整</w:t>
      </w:r>
      <w:r>
        <w:rPr>
          <w:rFonts w:hint="eastAsia" w:ascii="宋体" w:hAnsi="宋体" w:cs="宋体"/>
          <w:color w:val="auto"/>
          <w:lang w:eastAsia="zh-CN"/>
        </w:rPr>
        <w:t>。</w:t>
      </w:r>
    </w:p>
    <w:p w14:paraId="2043D595">
      <w:pPr>
        <w:pStyle w:val="8"/>
        <w:spacing w:before="0" w:after="0" w:line="360" w:lineRule="auto"/>
        <w:rPr>
          <w:color w:val="auto"/>
        </w:rPr>
      </w:pPr>
      <w:bookmarkStart w:id="84" w:name="_Toc407135285"/>
      <w:bookmarkStart w:id="85" w:name="_Toc7584"/>
      <w:bookmarkStart w:id="86" w:name="_Toc78449870"/>
      <w:bookmarkStart w:id="87" w:name="_Toc347872619"/>
      <w:bookmarkStart w:id="88" w:name="_Toc990933621"/>
      <w:r>
        <w:rPr>
          <w:color w:val="auto"/>
        </w:rPr>
        <w:t>2.</w:t>
      </w:r>
      <w:r>
        <w:rPr>
          <w:rFonts w:hint="eastAsia" w:cs="黑体"/>
          <w:color w:val="auto"/>
        </w:rPr>
        <w:t>招标控制价编制说明</w:t>
      </w:r>
      <w:bookmarkEnd w:id="84"/>
      <w:bookmarkEnd w:id="85"/>
      <w:bookmarkEnd w:id="86"/>
      <w:bookmarkEnd w:id="87"/>
      <w:bookmarkEnd w:id="88"/>
    </w:p>
    <w:p w14:paraId="1E5AC8C8">
      <w:pPr>
        <w:spacing w:line="360" w:lineRule="auto"/>
        <w:ind w:firstLine="420" w:firstLineChars="200"/>
        <w:rPr>
          <w:color w:val="auto"/>
        </w:rPr>
      </w:pPr>
      <w:r>
        <w:rPr>
          <w:color w:val="auto"/>
        </w:rPr>
        <w:t xml:space="preserve">2.1 </w:t>
      </w:r>
      <w:r>
        <w:rPr>
          <w:rFonts w:hint="eastAsia" w:hAnsi="宋体" w:cs="宋体"/>
          <w:color w:val="auto"/>
        </w:rPr>
        <w:t>招标控制价编制依据：</w:t>
      </w:r>
    </w:p>
    <w:p w14:paraId="4D024527">
      <w:pPr>
        <w:spacing w:line="360" w:lineRule="auto"/>
        <w:ind w:firstLine="420" w:firstLineChars="200"/>
        <w:rPr>
          <w:rFonts w:hAnsi="宋体"/>
          <w:color w:val="auto"/>
        </w:rPr>
      </w:pPr>
      <w:r>
        <w:rPr>
          <w:rFonts w:hint="eastAsia" w:cs="宋体"/>
          <w:color w:val="auto"/>
        </w:rPr>
        <w:t>（</w:t>
      </w:r>
      <w:r>
        <w:rPr>
          <w:color w:val="auto"/>
        </w:rPr>
        <w:t>1</w:t>
      </w:r>
      <w:r>
        <w:rPr>
          <w:rFonts w:hint="eastAsia" w:cs="宋体"/>
          <w:color w:val="auto"/>
        </w:rPr>
        <w:t>）</w:t>
      </w:r>
      <w:r>
        <w:rPr>
          <w:rFonts w:hint="eastAsia" w:hAnsi="宋体" w:cs="宋体"/>
          <w:color w:val="auto"/>
        </w:rPr>
        <w:t>《计价规范》及《计算规范》、</w:t>
      </w:r>
      <w:r>
        <w:rPr>
          <w:rFonts w:hint="eastAsia" w:hAnsi="宋体" w:cs="宋体"/>
          <w:color w:val="auto"/>
          <w:kern w:val="0"/>
        </w:rPr>
        <w:t>《关于建筑业实施营业税改征增值税后广西壮族自治区建设工程计价依据调整的通知》（桂建标〔</w:t>
      </w:r>
      <w:r>
        <w:rPr>
          <w:rFonts w:hAnsi="宋体"/>
          <w:color w:val="auto"/>
          <w:kern w:val="0"/>
        </w:rPr>
        <w:t>2016</w:t>
      </w:r>
      <w:r>
        <w:rPr>
          <w:rFonts w:hint="eastAsia" w:hAnsi="宋体" w:cs="宋体"/>
          <w:color w:val="auto"/>
          <w:kern w:val="0"/>
        </w:rPr>
        <w:t>〕</w:t>
      </w:r>
      <w:r>
        <w:rPr>
          <w:rFonts w:hAnsi="宋体"/>
          <w:color w:val="auto"/>
          <w:kern w:val="0"/>
        </w:rPr>
        <w:t>17</w:t>
      </w:r>
      <w:r>
        <w:rPr>
          <w:rFonts w:hint="eastAsia" w:hAnsi="宋体" w:cs="宋体"/>
          <w:color w:val="auto"/>
          <w:kern w:val="0"/>
        </w:rPr>
        <w:t>号）等</w:t>
      </w:r>
      <w:r>
        <w:rPr>
          <w:rFonts w:hint="eastAsia" w:hAnsi="宋体" w:cs="宋体"/>
          <w:color w:val="auto"/>
        </w:rPr>
        <w:t>；</w:t>
      </w:r>
    </w:p>
    <w:p w14:paraId="65647F3A">
      <w:pPr>
        <w:spacing w:line="360" w:lineRule="auto"/>
        <w:ind w:firstLine="420" w:firstLineChars="200"/>
        <w:rPr>
          <w:rFonts w:cs="宋体"/>
          <w:color w:val="auto"/>
        </w:rPr>
      </w:pPr>
      <w:r>
        <w:rPr>
          <w:rFonts w:hint="eastAsia" w:cs="宋体"/>
          <w:color w:val="auto"/>
        </w:rPr>
        <w:t>（</w:t>
      </w:r>
      <w:r>
        <w:rPr>
          <w:color w:val="auto"/>
        </w:rPr>
        <w:t>2</w:t>
      </w:r>
      <w:r>
        <w:rPr>
          <w:rFonts w:hint="eastAsia" w:cs="宋体"/>
          <w:color w:val="auto"/>
        </w:rPr>
        <w:t>）自治区住房城乡建设行政主管部门颁发的计价定额及有关规定：</w:t>
      </w:r>
    </w:p>
    <w:p w14:paraId="488E2BD0">
      <w:pPr>
        <w:spacing w:line="360" w:lineRule="auto"/>
        <w:ind w:firstLine="1050" w:firstLineChars="500"/>
        <w:rPr>
          <w:rFonts w:hint="eastAsia" w:cs="宋体"/>
          <w:color w:val="auto"/>
        </w:rPr>
      </w:pPr>
      <w:r>
        <w:rPr>
          <w:rFonts w:cs="宋体"/>
          <w:color w:val="auto"/>
        </w:rPr>
        <w:t>1</w:t>
      </w:r>
      <w:r>
        <w:rPr>
          <w:rFonts w:hint="eastAsia" w:cs="宋体"/>
          <w:color w:val="auto"/>
        </w:rPr>
        <w:t>）2015年《广西壮族自治区安装工程消耗量定额》、</w:t>
      </w:r>
    </w:p>
    <w:p w14:paraId="64B7F02D">
      <w:pPr>
        <w:spacing w:line="360" w:lineRule="auto"/>
        <w:ind w:firstLine="1050" w:firstLineChars="500"/>
        <w:rPr>
          <w:rFonts w:hint="eastAsia" w:cs="宋体"/>
          <w:color w:val="auto"/>
        </w:rPr>
      </w:pPr>
      <w:r>
        <w:rPr>
          <w:rFonts w:hint="eastAsia" w:cs="宋体"/>
          <w:color w:val="auto"/>
          <w:lang w:val="en-US" w:eastAsia="zh-CN"/>
        </w:rPr>
        <w:t>2）</w:t>
      </w:r>
      <w:r>
        <w:rPr>
          <w:rFonts w:hint="eastAsia" w:cs="宋体"/>
          <w:color w:val="auto"/>
        </w:rPr>
        <w:t>2021年《广西壮族自治区园林绿化及仿古建筑工程消耗量定额》、</w:t>
      </w:r>
    </w:p>
    <w:p w14:paraId="49D3B399">
      <w:pPr>
        <w:spacing w:line="360" w:lineRule="auto"/>
        <w:ind w:firstLine="1050" w:firstLineChars="500"/>
        <w:rPr>
          <w:rFonts w:cs="宋体"/>
          <w:color w:val="auto"/>
        </w:rPr>
      </w:pPr>
      <w:r>
        <w:rPr>
          <w:rFonts w:hint="eastAsia" w:cs="宋体"/>
          <w:color w:val="auto"/>
          <w:lang w:val="en-US" w:eastAsia="zh-CN"/>
        </w:rPr>
        <w:t>3）</w:t>
      </w:r>
      <w:r>
        <w:rPr>
          <w:rFonts w:hint="eastAsia" w:cs="宋体"/>
          <w:color w:val="auto"/>
        </w:rPr>
        <w:t>2022年《广西壮族自治区市政工程消耗量定额》；；</w:t>
      </w:r>
    </w:p>
    <w:p w14:paraId="435C59B7">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4</w:t>
      </w:r>
      <w:r>
        <w:rPr>
          <w:rFonts w:hint="eastAsia" w:cs="宋体"/>
          <w:color w:val="auto"/>
        </w:rPr>
        <w:t>）《建设工程工程量清单计价规范》</w:t>
      </w:r>
      <w:r>
        <w:rPr>
          <w:rFonts w:cs="宋体"/>
          <w:color w:val="auto"/>
        </w:rPr>
        <w:t xml:space="preserve"> (GB50500-2013)</w:t>
      </w:r>
      <w:r>
        <w:rPr>
          <w:rFonts w:hint="eastAsia" w:cs="宋体"/>
          <w:color w:val="auto"/>
        </w:rPr>
        <w:t>；</w:t>
      </w:r>
    </w:p>
    <w:p w14:paraId="475FAD00">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5</w:t>
      </w:r>
      <w:r>
        <w:rPr>
          <w:rFonts w:hint="eastAsia" w:cs="宋体"/>
          <w:color w:val="auto"/>
        </w:rPr>
        <w:t>）《建设工程工程量清单计算规范</w:t>
      </w:r>
      <w:r>
        <w:rPr>
          <w:rFonts w:cs="宋体"/>
          <w:color w:val="auto"/>
        </w:rPr>
        <w:t>(GB50854</w:t>
      </w:r>
      <w:r>
        <w:rPr>
          <w:rFonts w:hint="eastAsia" w:cs="宋体"/>
          <w:color w:val="auto"/>
        </w:rPr>
        <w:t>～</w:t>
      </w:r>
      <w:r>
        <w:rPr>
          <w:rFonts w:cs="宋体"/>
          <w:color w:val="auto"/>
        </w:rPr>
        <w:t>50862-2013)</w:t>
      </w:r>
      <w:r>
        <w:rPr>
          <w:rFonts w:hint="eastAsia" w:cs="宋体"/>
          <w:color w:val="auto"/>
        </w:rPr>
        <w:t>广西壮族自治区实施细则》</w:t>
      </w:r>
      <w:r>
        <w:rPr>
          <w:rFonts w:cs="宋体"/>
          <w:color w:val="auto"/>
        </w:rPr>
        <w:t xml:space="preserve"> (</w:t>
      </w:r>
      <w:r>
        <w:rPr>
          <w:rFonts w:hint="eastAsia" w:cs="宋体"/>
          <w:color w:val="auto"/>
        </w:rPr>
        <w:t>桂建标〔</w:t>
      </w:r>
      <w:r>
        <w:rPr>
          <w:rFonts w:cs="宋体"/>
          <w:color w:val="auto"/>
        </w:rPr>
        <w:t>2013</w:t>
      </w:r>
      <w:r>
        <w:rPr>
          <w:rFonts w:hint="eastAsia" w:cs="宋体"/>
          <w:color w:val="auto"/>
        </w:rPr>
        <w:t>〕</w:t>
      </w:r>
      <w:r>
        <w:rPr>
          <w:rFonts w:cs="宋体"/>
          <w:color w:val="auto"/>
        </w:rPr>
        <w:t>42</w:t>
      </w:r>
      <w:r>
        <w:rPr>
          <w:rFonts w:hint="eastAsia" w:cs="宋体"/>
          <w:color w:val="auto"/>
        </w:rPr>
        <w:t>号</w:t>
      </w:r>
      <w:r>
        <w:rPr>
          <w:rFonts w:cs="宋体"/>
          <w:color w:val="auto"/>
        </w:rPr>
        <w:t>)</w:t>
      </w:r>
      <w:r>
        <w:rPr>
          <w:rFonts w:hint="eastAsia" w:cs="宋体"/>
          <w:color w:val="auto"/>
        </w:rPr>
        <w:t>；</w:t>
      </w:r>
    </w:p>
    <w:p w14:paraId="42990F18">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6</w:t>
      </w:r>
      <w:r>
        <w:rPr>
          <w:rFonts w:hint="eastAsia" w:cs="宋体"/>
          <w:color w:val="auto"/>
        </w:rPr>
        <w:t>）自治区住房城乡建设厅关于颁布</w:t>
      </w:r>
      <w:r>
        <w:rPr>
          <w:rFonts w:cs="宋体"/>
          <w:color w:val="auto"/>
        </w:rPr>
        <w:t>2016</w:t>
      </w:r>
      <w:r>
        <w:rPr>
          <w:rFonts w:hint="eastAsia" w:cs="宋体"/>
          <w:color w:val="auto"/>
        </w:rPr>
        <w:t>年《广西壮族自治区建设工程费用定额》的通知</w:t>
      </w:r>
      <w:r>
        <w:rPr>
          <w:rFonts w:cs="宋体"/>
          <w:color w:val="auto"/>
        </w:rPr>
        <w:t>(</w:t>
      </w:r>
      <w:r>
        <w:rPr>
          <w:rFonts w:hint="eastAsia" w:cs="宋体"/>
          <w:color w:val="auto"/>
        </w:rPr>
        <w:t>桂建标〔</w:t>
      </w:r>
      <w:r>
        <w:rPr>
          <w:rFonts w:cs="宋体"/>
          <w:color w:val="auto"/>
        </w:rPr>
        <w:t>2016</w:t>
      </w:r>
      <w:r>
        <w:rPr>
          <w:rFonts w:hint="eastAsia" w:cs="宋体"/>
          <w:color w:val="auto"/>
        </w:rPr>
        <w:t>〕</w:t>
      </w:r>
      <w:r>
        <w:rPr>
          <w:rFonts w:cs="宋体"/>
          <w:color w:val="auto"/>
        </w:rPr>
        <w:t>16</w:t>
      </w:r>
      <w:r>
        <w:rPr>
          <w:rFonts w:hint="eastAsia" w:cs="宋体"/>
          <w:color w:val="auto"/>
        </w:rPr>
        <w:t>号</w:t>
      </w:r>
      <w:r>
        <w:rPr>
          <w:rFonts w:cs="宋体"/>
          <w:color w:val="auto"/>
        </w:rPr>
        <w:t>)</w:t>
      </w:r>
      <w:r>
        <w:rPr>
          <w:rFonts w:hint="eastAsia" w:cs="宋体"/>
          <w:color w:val="auto"/>
        </w:rPr>
        <w:t>；</w:t>
      </w:r>
    </w:p>
    <w:p w14:paraId="590B81F4">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7</w:t>
      </w:r>
      <w:r>
        <w:rPr>
          <w:rFonts w:hint="eastAsia" w:cs="宋体"/>
          <w:color w:val="auto"/>
        </w:rPr>
        <w:t>）《自治区住房城乡建设厅关于建筑业实施营业税改征增值税后广西壮族自治区建设工程计价依据调整的通知》</w:t>
      </w:r>
      <w:r>
        <w:rPr>
          <w:rFonts w:cs="宋体"/>
          <w:color w:val="auto"/>
        </w:rPr>
        <w:t>(</w:t>
      </w:r>
      <w:r>
        <w:rPr>
          <w:rFonts w:hint="eastAsia" w:cs="宋体"/>
          <w:color w:val="auto"/>
        </w:rPr>
        <w:t>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cs="宋体"/>
          <w:color w:val="auto"/>
        </w:rPr>
        <w:t>)</w:t>
      </w:r>
      <w:r>
        <w:rPr>
          <w:rFonts w:hint="eastAsia" w:cs="宋体"/>
          <w:color w:val="auto"/>
        </w:rPr>
        <w:t>；</w:t>
      </w:r>
    </w:p>
    <w:p w14:paraId="11BF2B1B">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8</w:t>
      </w:r>
      <w:r>
        <w:rPr>
          <w:rFonts w:hint="eastAsia" w:cs="宋体"/>
          <w:color w:val="auto"/>
        </w:rPr>
        <w:t>）《广西壮族自治区建设工程费用定额》</w:t>
      </w:r>
      <w:r>
        <w:rPr>
          <w:rFonts w:cs="宋体"/>
          <w:color w:val="auto"/>
        </w:rPr>
        <w:t>(2016</w:t>
      </w:r>
      <w:r>
        <w:rPr>
          <w:rFonts w:hint="eastAsia" w:cs="宋体"/>
          <w:color w:val="auto"/>
        </w:rPr>
        <w:t>年版</w:t>
      </w:r>
      <w:r>
        <w:rPr>
          <w:rFonts w:cs="宋体"/>
          <w:color w:val="auto"/>
        </w:rPr>
        <w:t>)</w:t>
      </w:r>
      <w:r>
        <w:rPr>
          <w:rFonts w:hint="eastAsia" w:cs="宋体"/>
          <w:color w:val="auto"/>
        </w:rPr>
        <w:t>；</w:t>
      </w:r>
    </w:p>
    <w:p w14:paraId="4428596D">
      <w:pPr>
        <w:spacing w:line="360" w:lineRule="auto"/>
        <w:ind w:firstLine="420" w:firstLineChars="200"/>
        <w:rPr>
          <w:rFonts w:cs="宋体"/>
          <w:color w:val="auto"/>
        </w:rPr>
      </w:pPr>
      <w:r>
        <w:rPr>
          <w:rFonts w:cs="宋体"/>
          <w:color w:val="auto"/>
        </w:rPr>
        <w:t xml:space="preserve">    </w:t>
      </w:r>
      <w:r>
        <w:rPr>
          <w:rFonts w:hint="eastAsia" w:cs="宋体"/>
          <w:color w:val="auto"/>
          <w:lang w:val="en-US" w:eastAsia="zh-CN"/>
        </w:rPr>
        <w:t>9</w:t>
      </w:r>
      <w:r>
        <w:rPr>
          <w:rFonts w:hint="eastAsia" w:cs="宋体"/>
          <w:color w:val="auto"/>
        </w:rPr>
        <w:t>）《自治区住房城乡建设厅关于调整建设工程定额人工费及有关费率的通知》</w:t>
      </w:r>
      <w:r>
        <w:rPr>
          <w:rFonts w:cs="宋体"/>
          <w:color w:val="auto"/>
        </w:rPr>
        <w:t>(</w:t>
      </w:r>
      <w:r>
        <w:rPr>
          <w:rFonts w:hint="eastAsia" w:cs="宋体"/>
          <w:color w:val="auto"/>
        </w:rPr>
        <w:t>桂建标〔</w:t>
      </w:r>
      <w:r>
        <w:rPr>
          <w:rFonts w:cs="宋体"/>
          <w:color w:val="auto"/>
        </w:rPr>
        <w:t>2018</w:t>
      </w:r>
      <w:r>
        <w:rPr>
          <w:rFonts w:hint="eastAsia" w:cs="宋体"/>
          <w:color w:val="auto"/>
        </w:rPr>
        <w:t>〕</w:t>
      </w:r>
      <w:r>
        <w:rPr>
          <w:rFonts w:cs="宋体"/>
          <w:color w:val="auto"/>
        </w:rPr>
        <w:t>19</w:t>
      </w:r>
      <w:r>
        <w:rPr>
          <w:rFonts w:hint="eastAsia" w:cs="宋体"/>
          <w:color w:val="auto"/>
        </w:rPr>
        <w:t>号</w:t>
      </w:r>
      <w:r>
        <w:rPr>
          <w:rFonts w:cs="宋体"/>
          <w:color w:val="auto"/>
        </w:rPr>
        <w:t>)</w:t>
      </w:r>
      <w:r>
        <w:rPr>
          <w:rFonts w:hint="eastAsia" w:cs="宋体"/>
          <w:color w:val="auto"/>
        </w:rPr>
        <w:t>；</w:t>
      </w:r>
    </w:p>
    <w:p w14:paraId="4E2FF542">
      <w:pPr>
        <w:spacing w:line="360" w:lineRule="auto"/>
        <w:ind w:firstLine="420" w:firstLineChars="200"/>
        <w:rPr>
          <w:color w:val="auto"/>
          <w:u w:val="single"/>
        </w:rPr>
      </w:pPr>
      <w:r>
        <w:rPr>
          <w:rFonts w:hint="eastAsia" w:cs="宋体"/>
          <w:color w:val="auto"/>
        </w:rPr>
        <w:t>（</w:t>
      </w:r>
      <w:r>
        <w:rPr>
          <w:color w:val="auto"/>
        </w:rPr>
        <w:t>3</w:t>
      </w:r>
      <w:r>
        <w:rPr>
          <w:rFonts w:hint="eastAsia" w:cs="宋体"/>
          <w:color w:val="auto"/>
        </w:rPr>
        <w:t>）建设工程设计文件及相关资料：</w:t>
      </w:r>
      <w:r>
        <w:rPr>
          <w:rFonts w:hint="eastAsia"/>
          <w:color w:val="auto"/>
          <w:u w:val="single"/>
        </w:rPr>
        <w:t>详见施工图纸</w:t>
      </w:r>
      <w:r>
        <w:rPr>
          <w:rFonts w:hint="eastAsia" w:cs="宋体"/>
          <w:color w:val="auto"/>
        </w:rPr>
        <w:t>。</w:t>
      </w:r>
    </w:p>
    <w:p w14:paraId="0B16326F">
      <w:pPr>
        <w:spacing w:line="360" w:lineRule="auto"/>
        <w:ind w:firstLine="420" w:firstLineChars="200"/>
        <w:rPr>
          <w:color w:val="auto"/>
        </w:rPr>
      </w:pPr>
      <w:r>
        <w:rPr>
          <w:rFonts w:hint="eastAsia" w:cs="宋体"/>
          <w:color w:val="auto"/>
        </w:rPr>
        <w:t>（</w:t>
      </w:r>
      <w:r>
        <w:rPr>
          <w:color w:val="auto"/>
        </w:rPr>
        <w:t>4</w:t>
      </w:r>
      <w:r>
        <w:rPr>
          <w:rFonts w:hint="eastAsia" w:cs="宋体"/>
          <w:color w:val="auto"/>
        </w:rPr>
        <w:t>）本工程磋商文件及工程量清单；</w:t>
      </w:r>
    </w:p>
    <w:p w14:paraId="55813081">
      <w:pPr>
        <w:spacing w:line="360" w:lineRule="auto"/>
        <w:ind w:firstLine="420" w:firstLineChars="200"/>
        <w:rPr>
          <w:color w:val="auto"/>
        </w:rPr>
      </w:pPr>
      <w:r>
        <w:rPr>
          <w:rFonts w:hint="eastAsia" w:cs="宋体"/>
          <w:color w:val="auto"/>
        </w:rPr>
        <w:t>（</w:t>
      </w:r>
      <w:r>
        <w:rPr>
          <w:color w:val="auto"/>
        </w:rPr>
        <w:t>5</w:t>
      </w:r>
      <w:r>
        <w:rPr>
          <w:rFonts w:hint="eastAsia" w:cs="宋体"/>
          <w:color w:val="auto"/>
        </w:rPr>
        <w:t>）与建设项目相关的标准、规范、技术资料；</w:t>
      </w:r>
    </w:p>
    <w:p w14:paraId="0B30629C">
      <w:pPr>
        <w:spacing w:line="360" w:lineRule="auto"/>
        <w:ind w:firstLine="420" w:firstLineChars="200"/>
        <w:rPr>
          <w:color w:val="auto"/>
        </w:rPr>
      </w:pPr>
      <w:r>
        <w:rPr>
          <w:rFonts w:hint="eastAsia" w:cs="宋体"/>
          <w:color w:val="auto"/>
        </w:rPr>
        <w:t>（</w:t>
      </w:r>
      <w:r>
        <w:rPr>
          <w:color w:val="auto"/>
        </w:rPr>
        <w:t>6</w:t>
      </w:r>
      <w:r>
        <w:rPr>
          <w:rFonts w:hint="eastAsia" w:cs="宋体"/>
          <w:color w:val="auto"/>
        </w:rPr>
        <w:t>）施工现场情况、工程特点及常规施工方案；</w:t>
      </w:r>
    </w:p>
    <w:p w14:paraId="332FCDA5">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：材料价格主要按照</w:t>
      </w:r>
      <w:r>
        <w:rPr>
          <w:rFonts w:hint="eastAsia"/>
          <w:color w:val="auto"/>
          <w:u w:val="single"/>
        </w:rPr>
        <w:t>崇左</w:t>
      </w:r>
      <w:r>
        <w:rPr>
          <w:rFonts w:hint="eastAsia" w:cs="宋体"/>
          <w:color w:val="auto"/>
        </w:rPr>
        <w:t>市建设工程造价管理机构发布的工程造价信息价</w:t>
      </w:r>
      <w:r>
        <w:rPr>
          <w:color w:val="auto"/>
          <w:u w:val="single"/>
        </w:rPr>
        <w:t>202</w:t>
      </w:r>
      <w:r>
        <w:rPr>
          <w:rFonts w:hint="eastAsia"/>
          <w:color w:val="auto"/>
          <w:u w:val="single"/>
          <w:lang w:val="en-US" w:eastAsia="zh-CN"/>
        </w:rPr>
        <w:t>5</w:t>
      </w:r>
      <w:r>
        <w:rPr>
          <w:rFonts w:hint="eastAsia" w:cs="宋体"/>
          <w:color w:val="auto"/>
          <w:u w:val="single"/>
        </w:rPr>
        <w:t>年第</w:t>
      </w:r>
      <w:r>
        <w:rPr>
          <w:rFonts w:hint="eastAsia"/>
          <w:color w:val="auto"/>
          <w:u w:val="single"/>
          <w:lang w:val="en-US" w:eastAsia="zh-CN"/>
        </w:rPr>
        <w:t xml:space="preserve">   </w:t>
      </w:r>
      <w:r>
        <w:rPr>
          <w:rFonts w:hint="eastAsia" w:cs="宋体"/>
          <w:color w:val="auto"/>
          <w:u w:val="single"/>
        </w:rPr>
        <w:t>期</w:t>
      </w:r>
      <w:r>
        <w:rPr>
          <w:rFonts w:hint="eastAsia" w:cs="宋体"/>
          <w:color w:val="auto"/>
          <w:u w:val="single"/>
          <w:lang w:val="en-US" w:eastAsia="zh-CN"/>
        </w:rPr>
        <w:t>大新县</w:t>
      </w:r>
      <w:r>
        <w:rPr>
          <w:rFonts w:hint="eastAsia" w:cs="宋体"/>
          <w:color w:val="auto"/>
          <w:u w:val="single"/>
        </w:rPr>
        <w:t>部分</w:t>
      </w:r>
      <w:r>
        <w:rPr>
          <w:rFonts w:hint="eastAsia" w:cs="宋体"/>
          <w:color w:val="auto"/>
        </w:rPr>
        <w:t>，不足部分参考市场定价</w:t>
      </w:r>
      <w:r>
        <w:rPr>
          <w:rFonts w:hint="eastAsia" w:hAnsi="宋体" w:cs="宋体"/>
          <w:color w:val="auto"/>
        </w:rPr>
        <w:t>。</w:t>
      </w:r>
    </w:p>
    <w:p w14:paraId="63CD5D38">
      <w:pPr>
        <w:spacing w:line="360" w:lineRule="auto"/>
        <w:ind w:firstLine="420" w:firstLineChars="200"/>
        <w:rPr>
          <w:color w:val="auto"/>
        </w:rPr>
      </w:pPr>
      <w:r>
        <w:rPr>
          <w:color w:val="auto"/>
        </w:rPr>
        <w:t xml:space="preserve">2.2 </w:t>
      </w:r>
      <w:r>
        <w:rPr>
          <w:rFonts w:hint="eastAsia" w:hAnsi="宋体" w:cs="宋体"/>
          <w:color w:val="auto"/>
        </w:rPr>
        <w:t>分部分项及单价措施项目综合单价应包括磋商文件中采购人要求供应商所承担的风险内容及其范围（幅度）产生的风险费用。</w:t>
      </w:r>
    </w:p>
    <w:p w14:paraId="46CFDC6D">
      <w:pPr>
        <w:spacing w:line="360" w:lineRule="auto"/>
        <w:ind w:firstLine="420"/>
        <w:rPr>
          <w:color w:val="auto"/>
        </w:rPr>
      </w:pPr>
      <w:r>
        <w:rPr>
          <w:color w:val="auto"/>
        </w:rPr>
        <w:t xml:space="preserve">2.3 </w:t>
      </w:r>
      <w:r>
        <w:rPr>
          <w:rFonts w:hint="eastAsia" w:hAnsi="宋体" w:cs="宋体"/>
          <w:color w:val="auto"/>
        </w:rPr>
        <w:t>总价措施项目应根据拟定的磋商文件和常规施工方案按《计价规范》和《计算规范》规定编制。</w:t>
      </w:r>
    </w:p>
    <w:p w14:paraId="321BC770">
      <w:pPr>
        <w:spacing w:line="360" w:lineRule="auto"/>
        <w:ind w:firstLine="420" w:firstLineChars="200"/>
        <w:rPr>
          <w:color w:val="auto"/>
        </w:rPr>
      </w:pPr>
      <w:r>
        <w:rPr>
          <w:color w:val="auto"/>
        </w:rPr>
        <w:t xml:space="preserve">2.4 </w:t>
      </w:r>
      <w:r>
        <w:rPr>
          <w:rFonts w:hint="eastAsia" w:cs="宋体"/>
          <w:color w:val="auto"/>
        </w:rPr>
        <w:t>其他项目费应按下列规定报价：</w:t>
      </w:r>
    </w:p>
    <w:p w14:paraId="0C713F97">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）暂列金额应按工程量清单中列出的金额填写；</w:t>
      </w:r>
    </w:p>
    <w:p w14:paraId="2C257C94">
      <w:pPr>
        <w:pStyle w:val="197"/>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）材料、工程设备暂估价应按工程量清单中列出的单价计入综合单价；</w:t>
      </w:r>
    </w:p>
    <w:p w14:paraId="5B330506">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104E44F7">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）计日工应按工程量清单中列出的项目和数量，根据工程特点和有关计价依据确定的综合单价计算；</w:t>
      </w:r>
    </w:p>
    <w:p w14:paraId="484A75B8">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）总承包服务费应根据工程量清单列出的内容</w:t>
      </w:r>
      <w:r>
        <w:rPr>
          <w:rFonts w:hint="eastAsia" w:hAnsi="宋体" w:cs="宋体"/>
          <w:color w:val="auto"/>
        </w:rPr>
        <w:t>和要求，按自治区住房城乡建设行政主管部门颁发的计价定额及有关规定计算</w:t>
      </w:r>
      <w:r>
        <w:rPr>
          <w:rFonts w:hint="eastAsia" w:cs="宋体"/>
          <w:color w:val="auto"/>
        </w:rPr>
        <w:t>。</w:t>
      </w:r>
    </w:p>
    <w:p w14:paraId="4F8BF330">
      <w:pPr>
        <w:spacing w:line="360" w:lineRule="auto"/>
        <w:ind w:firstLine="420" w:firstLineChars="200"/>
        <w:rPr>
          <w:color w:val="auto"/>
        </w:rPr>
      </w:pPr>
      <w:r>
        <w:rPr>
          <w:rFonts w:hint="eastAsia"/>
          <w:color w:val="auto"/>
        </w:rPr>
        <w:t>（</w:t>
      </w:r>
      <w:r>
        <w:rPr>
          <w:color w:val="auto"/>
        </w:rPr>
        <w:t>6</w:t>
      </w:r>
      <w:r>
        <w:rPr>
          <w:rFonts w:hint="eastAsia"/>
          <w:color w:val="auto"/>
        </w:rPr>
        <w:t>）对建设单位创建优质工程的，鼓励在招标控制价和预算中按广西区工程建设定额规定计列工程优质费，并明确工程优质费不可竞争。</w:t>
      </w:r>
    </w:p>
    <w:p w14:paraId="1BDA6629">
      <w:pPr>
        <w:spacing w:line="360" w:lineRule="auto"/>
        <w:ind w:firstLine="420" w:firstLineChars="200"/>
        <w:rPr>
          <w:color w:val="auto"/>
        </w:rPr>
      </w:pPr>
      <w:r>
        <w:rPr>
          <w:color w:val="auto"/>
        </w:rPr>
        <w:t xml:space="preserve">2.5 </w:t>
      </w:r>
      <w:r>
        <w:rPr>
          <w:rFonts w:hint="eastAsia" w:cs="宋体"/>
          <w:color w:val="auto"/>
        </w:rPr>
        <w:t>规费和增值税应按规定确定，作为不可竞争费用。</w:t>
      </w:r>
    </w:p>
    <w:p w14:paraId="153B5E57">
      <w:pPr>
        <w:spacing w:line="360" w:lineRule="auto"/>
        <w:ind w:firstLine="420"/>
        <w:rPr>
          <w:rFonts w:hAnsi="宋体"/>
          <w:color w:val="auto"/>
        </w:rPr>
      </w:pPr>
      <w:r>
        <w:rPr>
          <w:color w:val="auto"/>
        </w:rPr>
        <w:t xml:space="preserve">2.6 </w:t>
      </w:r>
      <w:r>
        <w:rPr>
          <w:rFonts w:hint="eastAsia" w:hAnsi="宋体" w:cs="宋体"/>
          <w:color w:val="auto"/>
        </w:rPr>
        <w:t>其它需要说明的问题：</w:t>
      </w:r>
      <w:r>
        <w:rPr>
          <w:rFonts w:hint="eastAsia"/>
          <w:color w:val="auto"/>
          <w:u w:val="single"/>
        </w:rPr>
        <w:t>无</w:t>
      </w:r>
      <w:r>
        <w:rPr>
          <w:rFonts w:hint="eastAsia" w:hAnsi="宋体" w:cs="宋体"/>
          <w:color w:val="auto"/>
        </w:rPr>
        <w:t>。</w:t>
      </w:r>
    </w:p>
    <w:p w14:paraId="45DDE6BC">
      <w:pPr>
        <w:pStyle w:val="8"/>
        <w:spacing w:before="0" w:after="0" w:line="360" w:lineRule="auto"/>
        <w:rPr>
          <w:color w:val="auto"/>
        </w:rPr>
      </w:pPr>
      <w:bookmarkStart w:id="89" w:name="_Toc879821176"/>
      <w:bookmarkStart w:id="90" w:name="_Toc407135286"/>
      <w:bookmarkStart w:id="91" w:name="_Toc78449871"/>
      <w:bookmarkStart w:id="92" w:name="_Toc378483916"/>
      <w:bookmarkStart w:id="93" w:name="_Toc14108"/>
      <w:r>
        <w:rPr>
          <w:color w:val="auto"/>
        </w:rPr>
        <w:t>3.</w:t>
      </w:r>
      <w:r>
        <w:rPr>
          <w:rFonts w:hint="eastAsia" w:cs="黑体"/>
          <w:color w:val="auto"/>
        </w:rPr>
        <w:t>竞标报价（已标价工程量清单）编制说明</w:t>
      </w:r>
      <w:bookmarkEnd w:id="89"/>
      <w:bookmarkEnd w:id="90"/>
      <w:bookmarkEnd w:id="91"/>
      <w:bookmarkEnd w:id="92"/>
      <w:bookmarkEnd w:id="93"/>
    </w:p>
    <w:p w14:paraId="28164281">
      <w:pPr>
        <w:spacing w:line="360" w:lineRule="auto"/>
        <w:ind w:firstLine="420" w:firstLineChars="200"/>
        <w:rPr>
          <w:color w:val="auto"/>
        </w:rPr>
      </w:pPr>
      <w:r>
        <w:rPr>
          <w:color w:val="auto"/>
        </w:rPr>
        <w:t xml:space="preserve">3.1 </w:t>
      </w:r>
      <w:r>
        <w:rPr>
          <w:rFonts w:hint="eastAsia" w:cs="宋体"/>
          <w:color w:val="auto"/>
        </w:rPr>
        <w:t>供应商应依据磋商文件、工程量清单以及《计价规范》、《计算规范》自主报价，自主报价</w:t>
      </w:r>
      <w:r>
        <w:rPr>
          <w:rFonts w:hint="eastAsia" w:hAnsi="宋体" w:cs="宋体"/>
          <w:color w:val="auto"/>
        </w:rPr>
        <w:t>不得违反计价规范强制性条文规定。</w:t>
      </w:r>
      <w:r>
        <w:rPr>
          <w:rFonts w:hint="eastAsia" w:cs="宋体"/>
          <w:color w:val="auto"/>
        </w:rPr>
        <w:t>供应商不得采用总价让利或以百分比让利等形式进行报价，任何优惠（或降价、让利）均应反映在相应清单项目的综合单价中。同时，不得出现任意一项单价重大让利，</w:t>
      </w:r>
      <w:r>
        <w:rPr>
          <w:rFonts w:hint="eastAsia" w:hAnsi="宋体" w:cs="宋体"/>
          <w:color w:val="auto"/>
        </w:rPr>
        <w:t>不得以自有机械闲置、自有材料等不计成本为由</w:t>
      </w:r>
      <w:r>
        <w:rPr>
          <w:rFonts w:hint="eastAsia" w:cs="宋体"/>
          <w:color w:val="auto"/>
        </w:rPr>
        <w:t>低于工程成本报价。</w:t>
      </w:r>
    </w:p>
    <w:p w14:paraId="03C73C4F">
      <w:pPr>
        <w:spacing w:line="360" w:lineRule="auto"/>
        <w:ind w:firstLine="420" w:firstLineChars="200"/>
        <w:rPr>
          <w:rFonts w:hAnsi="宋体"/>
          <w:color w:val="auto"/>
        </w:rPr>
      </w:pPr>
      <w:r>
        <w:rPr>
          <w:color w:val="auto"/>
        </w:rPr>
        <w:t xml:space="preserve">3.2 </w:t>
      </w:r>
      <w:r>
        <w:rPr>
          <w:rFonts w:hint="eastAsia" w:cs="宋体"/>
          <w:color w:val="auto"/>
        </w:rPr>
        <w:t>供应商应按工程量清单填报价格。项目编码、项目名称、项目特征、计量单位、工程量必须与工程量清单一致，</w:t>
      </w:r>
      <w:r>
        <w:rPr>
          <w:rFonts w:hint="eastAsia" w:hAnsi="宋体" w:cs="宋体"/>
          <w:color w:val="auto"/>
        </w:rPr>
        <w:t>供应商不得对工程量清单项目进行增减调整。</w:t>
      </w:r>
    </w:p>
    <w:p w14:paraId="58FBEA38">
      <w:pPr>
        <w:spacing w:line="360" w:lineRule="auto"/>
        <w:ind w:firstLine="420" w:firstLineChars="200"/>
        <w:rPr>
          <w:color w:val="auto"/>
        </w:rPr>
      </w:pPr>
      <w:r>
        <w:rPr>
          <w:color w:val="auto"/>
        </w:rPr>
        <w:t xml:space="preserve">3.3 </w:t>
      </w:r>
      <w:r>
        <w:rPr>
          <w:rFonts w:hint="eastAsia" w:cs="宋体"/>
          <w:color w:val="auto"/>
        </w:rPr>
        <w:t>综合单价中应包含磋商文件中划分的应由供应商承担的风险范围及其费用。</w:t>
      </w:r>
    </w:p>
    <w:p w14:paraId="4A04CF3E">
      <w:pPr>
        <w:spacing w:line="360" w:lineRule="auto"/>
        <w:ind w:firstLine="420" w:firstLineChars="200"/>
        <w:rPr>
          <w:rFonts w:hAnsi="宋体"/>
          <w:color w:val="auto"/>
        </w:rPr>
      </w:pPr>
      <w:r>
        <w:rPr>
          <w:color w:val="auto"/>
        </w:rPr>
        <w:t xml:space="preserve">3.4 </w:t>
      </w:r>
      <w:r>
        <w:rPr>
          <w:rFonts w:hint="eastAsia" w:hAnsi="宋体" w:cs="宋体"/>
          <w:color w:val="auto"/>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72B6D6FC">
      <w:pPr>
        <w:spacing w:line="360" w:lineRule="auto"/>
        <w:ind w:firstLine="420" w:firstLineChars="200"/>
        <w:rPr>
          <w:color w:val="auto"/>
        </w:rPr>
      </w:pPr>
      <w:r>
        <w:rPr>
          <w:color w:val="auto"/>
        </w:rPr>
        <w:t xml:space="preserve">3.5 </w:t>
      </w:r>
      <w:r>
        <w:rPr>
          <w:rFonts w:hint="eastAsia" w:hAnsi="宋体" w:cs="宋体"/>
          <w:color w:val="auto"/>
        </w:rPr>
        <w:t>总价措施项目的金额应根据磋商文件及竞标时拟定的施工组织设计或施工方案，按计价规范的规定自主确定。但</w:t>
      </w:r>
      <w:r>
        <w:rPr>
          <w:rFonts w:hint="eastAsia" w:cs="宋体"/>
          <w:color w:val="auto"/>
        </w:rPr>
        <w:t>安全文明施工费按国家、省级或行业建设主管部门的有关规定执行，作为不竞争费用单列。</w:t>
      </w:r>
    </w:p>
    <w:p w14:paraId="3A983CA9">
      <w:pPr>
        <w:spacing w:line="360" w:lineRule="auto"/>
        <w:ind w:firstLine="420" w:firstLineChars="200"/>
        <w:rPr>
          <w:color w:val="auto"/>
        </w:rPr>
      </w:pPr>
      <w:r>
        <w:rPr>
          <w:color w:val="auto"/>
        </w:rPr>
        <w:t xml:space="preserve">3.6 </w:t>
      </w:r>
      <w:r>
        <w:rPr>
          <w:rFonts w:hint="eastAsia" w:cs="宋体"/>
          <w:color w:val="auto"/>
        </w:rPr>
        <w:t>其他项目费应按下列规定报价：</w:t>
      </w:r>
    </w:p>
    <w:p w14:paraId="6D97EEC2">
      <w:pPr>
        <w:spacing w:line="360" w:lineRule="auto"/>
        <w:ind w:firstLine="420" w:firstLineChars="200"/>
        <w:rPr>
          <w:color w:val="auto"/>
        </w:rPr>
      </w:pPr>
      <w:r>
        <w:rPr>
          <w:rFonts w:hint="eastAsia" w:cs="宋体"/>
          <w:color w:val="auto"/>
        </w:rPr>
        <w:t>（</w:t>
      </w:r>
      <w:r>
        <w:rPr>
          <w:color w:val="auto"/>
        </w:rPr>
        <w:t>1</w:t>
      </w:r>
      <w:r>
        <w:rPr>
          <w:rFonts w:hint="eastAsia" w:cs="宋体"/>
          <w:color w:val="auto"/>
        </w:rPr>
        <w:t>）暂列金额应按工程量清单中列出的金额填写；</w:t>
      </w:r>
    </w:p>
    <w:p w14:paraId="5EF2313A">
      <w:pPr>
        <w:pStyle w:val="197"/>
        <w:spacing w:line="360" w:lineRule="auto"/>
        <w:ind w:firstLine="420" w:firstLineChars="200"/>
        <w:rPr>
          <w:color w:val="auto"/>
        </w:rPr>
      </w:pPr>
      <w:r>
        <w:rPr>
          <w:rFonts w:hint="eastAsia" w:cs="宋体"/>
          <w:color w:val="auto"/>
        </w:rPr>
        <w:t>（</w:t>
      </w:r>
      <w:r>
        <w:rPr>
          <w:color w:val="auto"/>
        </w:rPr>
        <w:t>2</w:t>
      </w:r>
      <w:r>
        <w:rPr>
          <w:rFonts w:hint="eastAsia" w:cs="宋体"/>
          <w:color w:val="auto"/>
        </w:rPr>
        <w:t>）材料、工程设备暂估价应按工程量清单中列出的单价计入综合单价；</w:t>
      </w:r>
    </w:p>
    <w:p w14:paraId="39F649F2">
      <w:pPr>
        <w:spacing w:line="360" w:lineRule="auto"/>
        <w:ind w:firstLine="420" w:firstLineChars="200"/>
        <w:rPr>
          <w:color w:val="auto"/>
        </w:rPr>
      </w:pPr>
      <w:r>
        <w:rPr>
          <w:rFonts w:hint="eastAsia" w:cs="宋体"/>
          <w:color w:val="auto"/>
        </w:rPr>
        <w:t>（</w:t>
      </w:r>
      <w:r>
        <w:rPr>
          <w:color w:val="auto"/>
        </w:rPr>
        <w:t>3</w:t>
      </w:r>
      <w:r>
        <w:rPr>
          <w:rFonts w:hint="eastAsia" w:cs="宋体"/>
          <w:color w:val="auto"/>
        </w:rPr>
        <w:t>）专业工程暂估价应按工程量清单中列出的金额填写；</w:t>
      </w:r>
    </w:p>
    <w:p w14:paraId="6DC9DB6B">
      <w:pPr>
        <w:spacing w:line="360" w:lineRule="auto"/>
        <w:ind w:firstLine="420" w:firstLineChars="200"/>
        <w:rPr>
          <w:color w:val="auto"/>
        </w:rPr>
      </w:pPr>
      <w:r>
        <w:rPr>
          <w:rFonts w:hint="eastAsia" w:cs="宋体"/>
          <w:color w:val="auto"/>
        </w:rPr>
        <w:t>（</w:t>
      </w:r>
      <w:r>
        <w:rPr>
          <w:color w:val="auto"/>
        </w:rPr>
        <w:t>4</w:t>
      </w:r>
      <w:r>
        <w:rPr>
          <w:rFonts w:hint="eastAsia" w:cs="宋体"/>
          <w:color w:val="auto"/>
        </w:rPr>
        <w:t>）计日工应按工程量清单中列出的项目和估算数量，自主确定综合单价并计算计日工总额；计日工单价均不含规费和税金；</w:t>
      </w:r>
    </w:p>
    <w:p w14:paraId="7BA17BEC">
      <w:pPr>
        <w:spacing w:line="360" w:lineRule="auto"/>
        <w:ind w:firstLine="420" w:firstLineChars="200"/>
        <w:rPr>
          <w:rFonts w:cs="宋体"/>
          <w:color w:val="auto"/>
        </w:rPr>
      </w:pPr>
      <w:r>
        <w:rPr>
          <w:rFonts w:hint="eastAsia" w:cs="宋体"/>
          <w:color w:val="auto"/>
        </w:rPr>
        <w:t>（</w:t>
      </w:r>
      <w:r>
        <w:rPr>
          <w:color w:val="auto"/>
        </w:rPr>
        <w:t>5</w:t>
      </w:r>
      <w:r>
        <w:rPr>
          <w:rFonts w:hint="eastAsia" w:cs="宋体"/>
          <w:color w:val="auto"/>
        </w:rPr>
        <w:t>）总承包服务费应根据工程量清单中列出的内容</w:t>
      </w:r>
      <w:r>
        <w:rPr>
          <w:rFonts w:hint="eastAsia" w:hAnsi="宋体" w:cs="宋体"/>
          <w:color w:val="auto"/>
        </w:rPr>
        <w:t>和供应材料、设备情况，按照采购人提出的协调、配合与服务要求和施工现场管理需要</w:t>
      </w:r>
      <w:r>
        <w:rPr>
          <w:rFonts w:hint="eastAsia" w:cs="宋体"/>
          <w:color w:val="auto"/>
        </w:rPr>
        <w:t>自主确定。</w:t>
      </w:r>
    </w:p>
    <w:p w14:paraId="4AE69923">
      <w:pPr>
        <w:spacing w:line="360" w:lineRule="auto"/>
        <w:ind w:firstLine="420" w:firstLineChars="200"/>
        <w:rPr>
          <w:color w:val="auto"/>
        </w:rPr>
      </w:pPr>
      <w:r>
        <w:rPr>
          <w:rFonts w:hint="eastAsia"/>
          <w:color w:val="auto"/>
        </w:rPr>
        <w:t>（</w:t>
      </w:r>
      <w:r>
        <w:rPr>
          <w:color w:val="auto"/>
        </w:rPr>
        <w:t>6</w:t>
      </w:r>
      <w:r>
        <w:rPr>
          <w:rFonts w:hint="eastAsia"/>
          <w:color w:val="auto"/>
        </w:rPr>
        <w:t>）对建设单位创建优质工程的，鼓励在招标控制价和预算中按我区工程建设定额规定计列工程优质费，并明确工程优质费不可竞争。</w:t>
      </w:r>
    </w:p>
    <w:p w14:paraId="4178EAB8">
      <w:pPr>
        <w:spacing w:line="360" w:lineRule="auto"/>
        <w:ind w:firstLine="420" w:firstLineChars="200"/>
        <w:rPr>
          <w:color w:val="auto"/>
        </w:rPr>
      </w:pPr>
      <w:r>
        <w:rPr>
          <w:color w:val="auto"/>
        </w:rPr>
        <w:t xml:space="preserve">3.7 </w:t>
      </w:r>
      <w:r>
        <w:rPr>
          <w:rFonts w:hint="eastAsia" w:cs="宋体"/>
          <w:color w:val="auto"/>
        </w:rPr>
        <w:t>规费和增值税应按规定确定，作为不可竞争费用。</w:t>
      </w:r>
    </w:p>
    <w:p w14:paraId="1F84A22A">
      <w:pPr>
        <w:spacing w:line="360" w:lineRule="auto"/>
        <w:ind w:firstLine="420" w:firstLineChars="200"/>
        <w:rPr>
          <w:color w:val="auto"/>
        </w:rPr>
      </w:pPr>
      <w:r>
        <w:rPr>
          <w:color w:val="auto"/>
        </w:rPr>
        <w:t xml:space="preserve">3.8 </w:t>
      </w:r>
      <w:r>
        <w:rPr>
          <w:rFonts w:hint="eastAsia" w:cs="宋体"/>
          <w:color w:val="auto"/>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09237503">
      <w:pPr>
        <w:spacing w:line="360" w:lineRule="auto"/>
        <w:ind w:firstLine="420" w:firstLineChars="200"/>
        <w:rPr>
          <w:color w:val="auto"/>
        </w:rPr>
      </w:pPr>
      <w:r>
        <w:rPr>
          <w:color w:val="auto"/>
        </w:rPr>
        <w:t xml:space="preserve">3.9 </w:t>
      </w:r>
      <w:r>
        <w:rPr>
          <w:rFonts w:hint="eastAsia" w:cs="宋体"/>
          <w:color w:val="auto"/>
        </w:rPr>
        <w:t>投标总价应当与分部分项工程费、措施项目费、其他项目费和规费、增值税的合计金额一致。</w:t>
      </w:r>
    </w:p>
    <w:p w14:paraId="2CDBF85C">
      <w:pPr>
        <w:spacing w:line="360" w:lineRule="auto"/>
        <w:ind w:firstLine="420" w:firstLineChars="200"/>
        <w:rPr>
          <w:color w:val="auto"/>
        </w:rPr>
      </w:pPr>
      <w:r>
        <w:rPr>
          <w:color w:val="auto"/>
        </w:rPr>
        <w:t>3.10</w:t>
      </w:r>
      <w:r>
        <w:rPr>
          <w:rFonts w:hint="eastAsia" w:cs="宋体"/>
          <w:color w:val="auto"/>
        </w:rPr>
        <w:t>供应商应按《允许调整主要材料和工程设备一览表》的内容填报，不得擅自调整材料和设备名称型号规格、单位、风险系数、基准单价。</w:t>
      </w:r>
    </w:p>
    <w:p w14:paraId="0256B4DA">
      <w:pPr>
        <w:spacing w:line="360" w:lineRule="auto"/>
        <w:ind w:firstLine="420" w:firstLineChars="200"/>
        <w:rPr>
          <w:rFonts w:hAnsi="宋体"/>
          <w:color w:val="auto"/>
        </w:rPr>
      </w:pPr>
      <w:r>
        <w:rPr>
          <w:color w:val="auto"/>
        </w:rPr>
        <w:t>3.11</w:t>
      </w:r>
      <w:r>
        <w:rPr>
          <w:rFonts w:hint="eastAsia" w:hAnsi="宋体" w:cs="宋体"/>
          <w:color w:val="auto"/>
        </w:rPr>
        <w:t>竞标报价</w:t>
      </w:r>
      <w:r>
        <w:rPr>
          <w:rFonts w:hint="eastAsia" w:cs="宋体"/>
          <w:color w:val="auto"/>
        </w:rPr>
        <w:t>表格按本工程工程量清单表格要求填写，并</w:t>
      </w:r>
      <w:r>
        <w:rPr>
          <w:rFonts w:hint="eastAsia" w:hAnsi="宋体" w:cs="宋体"/>
          <w:color w:val="auto"/>
        </w:rPr>
        <w:t>应按磋商文件的要求，附上《工程量清单综合单价分析表》（表</w:t>
      </w:r>
      <w:r>
        <w:rPr>
          <w:color w:val="auto"/>
        </w:rPr>
        <w:t>-09</w:t>
      </w:r>
      <w:r>
        <w:rPr>
          <w:rFonts w:hint="eastAsia" w:hAnsi="宋体" w:cs="宋体"/>
          <w:color w:val="auto"/>
        </w:rPr>
        <w:t>）和《主要清单项目工料机分析表》（表</w:t>
      </w:r>
      <w:r>
        <w:rPr>
          <w:color w:val="auto"/>
        </w:rPr>
        <w:t>-10</w:t>
      </w:r>
      <w:r>
        <w:rPr>
          <w:rFonts w:hint="eastAsia" w:hAnsi="宋体" w:cs="宋体"/>
          <w:color w:val="auto"/>
        </w:rPr>
        <w:t>）。</w:t>
      </w:r>
    </w:p>
    <w:p w14:paraId="2563346A">
      <w:pPr>
        <w:spacing w:line="360" w:lineRule="auto"/>
        <w:ind w:firstLine="420" w:firstLineChars="200"/>
        <w:rPr>
          <w:color w:val="auto"/>
          <w:u w:val="single"/>
        </w:rPr>
      </w:pPr>
      <w:r>
        <w:rPr>
          <w:rFonts w:hint="eastAsia" w:cs="宋体"/>
          <w:color w:val="auto"/>
        </w:rPr>
        <w:t>未尽事宜详见本工程工程量清单、招标控制价编制说明以及现行《计价规范》等有关规定执行。</w:t>
      </w:r>
    </w:p>
    <w:p w14:paraId="0CB2CF9E">
      <w:pPr>
        <w:spacing w:line="360" w:lineRule="auto"/>
        <w:ind w:firstLine="420" w:firstLineChars="200"/>
        <w:rPr>
          <w:rFonts w:cs="宋体"/>
          <w:color w:val="auto"/>
        </w:rPr>
      </w:pPr>
      <w:r>
        <w:rPr>
          <w:rFonts w:hint="eastAsia" w:cs="宋体"/>
          <w:color w:val="auto"/>
        </w:rPr>
        <w:t>注：因</w:t>
      </w:r>
      <w:r>
        <w:rPr>
          <w:rFonts w:cs="宋体"/>
          <w:color w:val="auto"/>
        </w:rPr>
        <w:t>2021</w:t>
      </w:r>
      <w:r>
        <w:rPr>
          <w:rFonts w:hint="eastAsia" w:cs="宋体"/>
          <w:color w:val="auto"/>
        </w:rPr>
        <w:t>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w:t>
      </w:r>
      <w:r>
        <w:rPr>
          <w:rFonts w:cs="宋体"/>
          <w:color w:val="auto"/>
        </w:rPr>
        <w:t>2021</w:t>
      </w:r>
      <w:r>
        <w:rPr>
          <w:rFonts w:hint="eastAsia" w:cs="宋体"/>
          <w:color w:val="auto"/>
        </w:rPr>
        <w:t>〕</w:t>
      </w:r>
      <w:r>
        <w:rPr>
          <w:rFonts w:cs="宋体"/>
          <w:color w:val="auto"/>
        </w:rPr>
        <w:t>6</w:t>
      </w:r>
      <w:r>
        <w:rPr>
          <w:rFonts w:hint="eastAsia" w:cs="宋体"/>
          <w:color w:val="auto"/>
        </w:rPr>
        <w:t>号）中附件</w:t>
      </w:r>
      <w:r>
        <w:rPr>
          <w:rFonts w:cs="宋体"/>
          <w:color w:val="auto"/>
        </w:rPr>
        <w:t>1</w:t>
      </w:r>
      <w:r>
        <w:rPr>
          <w:rFonts w:hint="eastAsia" w:cs="宋体"/>
          <w:color w:val="auto"/>
        </w:rPr>
        <w:t>《建设工程工程量清单计价规范（</w:t>
      </w:r>
      <w:r>
        <w:rPr>
          <w:rFonts w:cs="宋体"/>
          <w:color w:val="auto"/>
        </w:rPr>
        <w:t>GB50500-2013</w:t>
      </w:r>
      <w:r>
        <w:rPr>
          <w:rFonts w:hint="eastAsia" w:cs="宋体"/>
          <w:color w:val="auto"/>
        </w:rPr>
        <w:t>）广西壮族自治区实施细则》（适用于工程造价改革试点项目）相关表格，具体以采购人另册发放的工程量清单及相关说明为准。</w:t>
      </w:r>
    </w:p>
    <w:p w14:paraId="02DC02F0">
      <w:pPr>
        <w:pStyle w:val="8"/>
        <w:spacing w:before="0" w:after="0" w:line="360" w:lineRule="auto"/>
        <w:rPr>
          <w:rFonts w:cs="黑体"/>
          <w:color w:val="auto"/>
        </w:rPr>
      </w:pPr>
      <w:bookmarkStart w:id="94" w:name="_Toc10659"/>
      <w:r>
        <w:rPr>
          <w:rFonts w:cs="黑体"/>
          <w:color w:val="auto"/>
        </w:rPr>
        <w:t>4.</w:t>
      </w:r>
      <w:r>
        <w:rPr>
          <w:rFonts w:hint="eastAsia" w:cs="黑体"/>
          <w:color w:val="auto"/>
        </w:rPr>
        <w:t>工程量清单和图纸（另册）</w:t>
      </w:r>
      <w:bookmarkEnd w:id="94"/>
    </w:p>
    <w:p w14:paraId="14CD1789">
      <w:pPr>
        <w:pStyle w:val="8"/>
        <w:spacing w:before="0" w:after="0"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3CA95B05">
      <w:pPr>
        <w:pStyle w:val="9"/>
        <w:spacing w:before="0" w:after="0" w:line="360" w:lineRule="auto"/>
        <w:rPr>
          <w:rFonts w:hint="default" w:ascii="Times New Roman" w:hAnsi="Times New Roman" w:cs="Times New Roman"/>
          <w:color w:val="auto"/>
          <w:highlight w:val="none"/>
        </w:rPr>
      </w:pPr>
    </w:p>
    <w:p w14:paraId="3AAAF939">
      <w:pPr>
        <w:rPr>
          <w:rFonts w:hint="default" w:ascii="Times New Roman" w:hAnsi="Times New Roman" w:cs="Times New Roman"/>
          <w:color w:val="auto"/>
          <w:highlight w:val="none"/>
        </w:rPr>
      </w:pPr>
    </w:p>
    <w:p w14:paraId="36099E00">
      <w:pPr>
        <w:rPr>
          <w:rFonts w:hint="default" w:ascii="Times New Roman" w:hAnsi="Times New Roman" w:cs="Times New Roman"/>
          <w:color w:val="auto"/>
          <w:highlight w:val="none"/>
        </w:rPr>
      </w:pPr>
    </w:p>
    <w:p w14:paraId="153711DF">
      <w:pPr>
        <w:rPr>
          <w:rFonts w:hint="default" w:ascii="Times New Roman" w:hAnsi="Times New Roman" w:cs="Times New Roman"/>
          <w:color w:val="auto"/>
          <w:highlight w:val="none"/>
        </w:rPr>
      </w:pPr>
    </w:p>
    <w:p w14:paraId="64F3450C">
      <w:pPr>
        <w:rPr>
          <w:rFonts w:hint="default" w:ascii="Times New Roman" w:hAnsi="Times New Roman" w:cs="Times New Roman"/>
          <w:color w:val="auto"/>
          <w:highlight w:val="none"/>
        </w:rPr>
      </w:pPr>
    </w:p>
    <w:p w14:paraId="6381CECB">
      <w:pPr>
        <w:rPr>
          <w:rFonts w:hint="default" w:ascii="Times New Roman" w:hAnsi="Times New Roman" w:cs="Times New Roman"/>
          <w:color w:val="auto"/>
          <w:highlight w:val="none"/>
        </w:rPr>
      </w:pPr>
    </w:p>
    <w:p w14:paraId="784A1615">
      <w:pPr>
        <w:rPr>
          <w:rFonts w:hint="default" w:ascii="Times New Roman" w:hAnsi="Times New Roman" w:cs="Times New Roman"/>
          <w:color w:val="auto"/>
          <w:highlight w:val="none"/>
        </w:rPr>
      </w:pPr>
    </w:p>
    <w:p w14:paraId="49076CDA">
      <w:pPr>
        <w:rPr>
          <w:rFonts w:hint="default" w:ascii="Times New Roman" w:hAnsi="Times New Roman" w:cs="Times New Roman"/>
          <w:color w:val="auto"/>
          <w:highlight w:val="none"/>
        </w:rPr>
      </w:pPr>
    </w:p>
    <w:p w14:paraId="430C6F72">
      <w:pPr>
        <w:pStyle w:val="63"/>
        <w:ind w:firstLine="480"/>
        <w:rPr>
          <w:rFonts w:hint="default" w:ascii="Times New Roman" w:hAnsi="Times New Roman" w:cs="Times New Roman"/>
          <w:color w:val="auto"/>
          <w:highlight w:val="none"/>
          <w:lang w:eastAsia="zh-CN"/>
        </w:rPr>
      </w:pPr>
    </w:p>
    <w:p w14:paraId="31BAC0FB">
      <w:pPr>
        <w:rPr>
          <w:rFonts w:hint="default" w:ascii="Times New Roman" w:hAnsi="Times New Roman" w:cs="Times New Roman"/>
          <w:color w:val="auto"/>
          <w:highlight w:val="none"/>
        </w:rPr>
      </w:pPr>
    </w:p>
    <w:p w14:paraId="2F118220">
      <w:pPr>
        <w:rPr>
          <w:rFonts w:hint="default" w:ascii="Times New Roman" w:hAnsi="Times New Roman" w:cs="Times New Roman"/>
          <w:color w:val="auto"/>
          <w:highlight w:val="none"/>
        </w:rPr>
      </w:pPr>
    </w:p>
    <w:p w14:paraId="73B023DC">
      <w:pPr>
        <w:rPr>
          <w:rFonts w:hint="default" w:ascii="Times New Roman" w:hAnsi="Times New Roman" w:cs="Times New Roman"/>
          <w:color w:val="auto"/>
          <w:highlight w:val="none"/>
        </w:rPr>
      </w:pPr>
    </w:p>
    <w:p w14:paraId="69E98040">
      <w:pPr>
        <w:rPr>
          <w:rFonts w:hint="default" w:ascii="Times New Roman" w:hAnsi="Times New Roman" w:cs="Times New Roman"/>
          <w:color w:val="auto"/>
          <w:highlight w:val="none"/>
        </w:rPr>
      </w:pPr>
    </w:p>
    <w:p w14:paraId="14661457">
      <w:pPr>
        <w:rPr>
          <w:rFonts w:hint="default" w:ascii="Times New Roman" w:hAnsi="Times New Roman" w:cs="Times New Roman"/>
          <w:color w:val="auto"/>
          <w:highlight w:val="none"/>
        </w:rPr>
      </w:pPr>
    </w:p>
    <w:p w14:paraId="163029D8">
      <w:pPr>
        <w:rPr>
          <w:rFonts w:hint="default" w:ascii="Times New Roman" w:hAnsi="Times New Roman" w:cs="Times New Roman"/>
          <w:color w:val="auto"/>
          <w:highlight w:val="none"/>
        </w:rPr>
      </w:pPr>
    </w:p>
    <w:p w14:paraId="4C80F922">
      <w:pPr>
        <w:pStyle w:val="7"/>
        <w:jc w:val="center"/>
        <w:rPr>
          <w:rFonts w:hint="default" w:ascii="Times New Roman" w:hAnsi="Times New Roman" w:cs="Times New Roman"/>
          <w:color w:val="auto"/>
          <w:highlight w:val="none"/>
        </w:rPr>
      </w:pPr>
      <w:bookmarkStart w:id="95" w:name="_Toc74323460"/>
      <w:r>
        <w:rPr>
          <w:rFonts w:hint="default" w:ascii="Times New Roman" w:hAnsi="Times New Roman" w:cs="Times New Roman"/>
          <w:color w:val="auto"/>
          <w:highlight w:val="none"/>
        </w:rPr>
        <w:t>第六章响应文件格式</w:t>
      </w:r>
      <w:bookmarkEnd w:id="95"/>
    </w:p>
    <w:p w14:paraId="63FA21A2">
      <w:pPr>
        <w:spacing w:line="240" w:lineRule="atLeast"/>
        <w:rPr>
          <w:rFonts w:hint="default" w:ascii="Times New Roman" w:hAnsi="Times New Roman" w:cs="Times New Roman"/>
          <w:b/>
          <w:color w:val="auto"/>
          <w:sz w:val="32"/>
          <w:szCs w:val="32"/>
          <w:highlight w:val="none"/>
        </w:rPr>
      </w:pPr>
    </w:p>
    <w:p w14:paraId="2EDCEC1E">
      <w:pPr>
        <w:spacing w:line="240" w:lineRule="atLeast"/>
        <w:rPr>
          <w:rFonts w:hint="default" w:ascii="Times New Roman" w:hAnsi="Times New Roman" w:cs="Times New Roman"/>
          <w:b/>
          <w:color w:val="auto"/>
          <w:sz w:val="32"/>
          <w:szCs w:val="32"/>
          <w:highlight w:val="none"/>
        </w:rPr>
      </w:pPr>
    </w:p>
    <w:p w14:paraId="273F6B55">
      <w:pPr>
        <w:spacing w:line="240" w:lineRule="atLeast"/>
        <w:rPr>
          <w:rFonts w:hint="default" w:ascii="Times New Roman" w:hAnsi="Times New Roman" w:cs="Times New Roman"/>
          <w:b/>
          <w:color w:val="auto"/>
          <w:sz w:val="32"/>
          <w:szCs w:val="32"/>
          <w:highlight w:val="none"/>
        </w:rPr>
      </w:pPr>
    </w:p>
    <w:p w14:paraId="47FA0BCC">
      <w:pPr>
        <w:spacing w:line="240" w:lineRule="atLeast"/>
        <w:rPr>
          <w:rFonts w:hint="default" w:ascii="Times New Roman" w:hAnsi="Times New Roman" w:cs="Times New Roman"/>
          <w:b/>
          <w:color w:val="auto"/>
          <w:sz w:val="32"/>
          <w:szCs w:val="32"/>
          <w:highlight w:val="none"/>
        </w:rPr>
      </w:pPr>
    </w:p>
    <w:p w14:paraId="67361A4C">
      <w:pPr>
        <w:spacing w:line="240" w:lineRule="atLeast"/>
        <w:rPr>
          <w:rFonts w:hint="default" w:ascii="Times New Roman" w:hAnsi="Times New Roman" w:cs="Times New Roman"/>
          <w:b/>
          <w:color w:val="auto"/>
          <w:sz w:val="32"/>
          <w:szCs w:val="32"/>
          <w:highlight w:val="none"/>
        </w:rPr>
      </w:pPr>
    </w:p>
    <w:p w14:paraId="0832F905">
      <w:pPr>
        <w:spacing w:line="240" w:lineRule="atLeast"/>
        <w:rPr>
          <w:rFonts w:hint="default" w:ascii="Times New Roman" w:hAnsi="Times New Roman" w:cs="Times New Roman"/>
          <w:b/>
          <w:color w:val="auto"/>
          <w:sz w:val="32"/>
          <w:szCs w:val="32"/>
          <w:highlight w:val="none"/>
        </w:rPr>
      </w:pPr>
    </w:p>
    <w:p w14:paraId="439DA430">
      <w:pPr>
        <w:spacing w:line="240" w:lineRule="atLeast"/>
        <w:rPr>
          <w:rFonts w:hint="default" w:ascii="Times New Roman" w:hAnsi="Times New Roman" w:cs="Times New Roman"/>
          <w:b/>
          <w:color w:val="auto"/>
          <w:sz w:val="32"/>
          <w:szCs w:val="32"/>
          <w:highlight w:val="none"/>
        </w:rPr>
      </w:pPr>
    </w:p>
    <w:p w14:paraId="10E60C06">
      <w:pPr>
        <w:spacing w:line="240" w:lineRule="atLeast"/>
        <w:rPr>
          <w:rFonts w:hint="default" w:ascii="Times New Roman" w:hAnsi="Times New Roman" w:cs="Times New Roman"/>
          <w:b/>
          <w:color w:val="auto"/>
          <w:sz w:val="32"/>
          <w:szCs w:val="32"/>
          <w:highlight w:val="none"/>
        </w:rPr>
      </w:pPr>
    </w:p>
    <w:p w14:paraId="4FDC9E87">
      <w:pPr>
        <w:spacing w:line="240" w:lineRule="atLeast"/>
        <w:rPr>
          <w:rFonts w:hint="default" w:ascii="Times New Roman" w:hAnsi="Times New Roman" w:cs="Times New Roman"/>
          <w:b/>
          <w:color w:val="auto"/>
          <w:sz w:val="32"/>
          <w:szCs w:val="32"/>
          <w:highlight w:val="none"/>
        </w:rPr>
      </w:pPr>
    </w:p>
    <w:p w14:paraId="068D5DA0">
      <w:pPr>
        <w:spacing w:line="240" w:lineRule="atLeast"/>
        <w:rPr>
          <w:rFonts w:hint="default" w:ascii="Times New Roman" w:hAnsi="Times New Roman" w:cs="Times New Roman"/>
          <w:b/>
          <w:color w:val="auto"/>
          <w:sz w:val="32"/>
          <w:szCs w:val="32"/>
          <w:highlight w:val="none"/>
        </w:rPr>
      </w:pPr>
    </w:p>
    <w:p w14:paraId="704F72F6">
      <w:pPr>
        <w:spacing w:line="240" w:lineRule="atLeast"/>
        <w:rPr>
          <w:rFonts w:hint="default" w:ascii="Times New Roman" w:hAnsi="Times New Roman" w:cs="Times New Roman"/>
          <w:b/>
          <w:color w:val="auto"/>
          <w:sz w:val="32"/>
          <w:szCs w:val="32"/>
          <w:highlight w:val="none"/>
        </w:rPr>
      </w:pPr>
    </w:p>
    <w:p w14:paraId="1AEAFBE9">
      <w:pPr>
        <w:snapToGrid w:val="0"/>
        <w:spacing w:before="50" w:after="50"/>
        <w:outlineLvl w:val="1"/>
        <w:rPr>
          <w:rFonts w:hint="default" w:ascii="Times New Roman" w:hAnsi="Times New Roman" w:cs="Times New Roman"/>
          <w:b/>
          <w:bCs/>
          <w:color w:val="auto"/>
          <w:sz w:val="24"/>
          <w:highlight w:val="none"/>
        </w:rPr>
      </w:pPr>
    </w:p>
    <w:p w14:paraId="7CCBD05C">
      <w:pPr>
        <w:snapToGrid w:val="0"/>
        <w:spacing w:before="120" w:beforeLines="50" w:after="50"/>
        <w:jc w:val="center"/>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br w:type="page"/>
      </w:r>
    </w:p>
    <w:p w14:paraId="3A0E46EE">
      <w:pPr>
        <w:rPr>
          <w:rFonts w:hint="default" w:ascii="Times New Roman" w:hAnsi="Times New Roman" w:cs="Times New Roman"/>
          <w:b/>
          <w:color w:val="auto"/>
          <w:sz w:val="32"/>
          <w:szCs w:val="32"/>
          <w:highlight w:val="none"/>
        </w:rPr>
      </w:pPr>
      <w:bookmarkStart w:id="96" w:name="_Toc31723070"/>
      <w:bookmarkStart w:id="97" w:name="_Toc35611516"/>
      <w:bookmarkStart w:id="98" w:name="_Toc31728084"/>
      <w:bookmarkStart w:id="99" w:name="_Toc35611438"/>
      <w:bookmarkStart w:id="100" w:name="_Toc44229899"/>
      <w:bookmarkStart w:id="101" w:name="_Toc71366186"/>
      <w:r>
        <w:rPr>
          <w:rFonts w:hint="default" w:ascii="Times New Roman" w:hAnsi="Times New Roman" w:cs="Times New Roman"/>
          <w:b/>
          <w:color w:val="auto"/>
          <w:sz w:val="32"/>
          <w:szCs w:val="32"/>
          <w:highlight w:val="none"/>
        </w:rPr>
        <w:t>一、资格证明文件格式</w:t>
      </w:r>
      <w:bookmarkEnd w:id="96"/>
      <w:bookmarkEnd w:id="97"/>
      <w:bookmarkEnd w:id="98"/>
      <w:bookmarkEnd w:id="99"/>
      <w:bookmarkEnd w:id="100"/>
      <w:bookmarkEnd w:id="101"/>
    </w:p>
    <w:p w14:paraId="77AD27FF">
      <w:pPr>
        <w:snapToGrid w:val="0"/>
        <w:spacing w:before="120" w:beforeLines="50" w:after="50"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32"/>
          <w:szCs w:val="32"/>
          <w:highlight w:val="none"/>
        </w:rPr>
        <w:t>1.资格证明文件封面格式：</w:t>
      </w:r>
    </w:p>
    <w:p w14:paraId="59D4A348">
      <w:pPr>
        <w:snapToGrid w:val="0"/>
        <w:spacing w:before="120" w:beforeLines="50" w:after="50"/>
        <w:jc w:val="center"/>
        <w:rPr>
          <w:rFonts w:hint="default" w:ascii="Times New Roman" w:hAnsi="Times New Roman" w:cs="Times New Roman"/>
          <w:color w:val="auto"/>
          <w:sz w:val="44"/>
          <w:szCs w:val="44"/>
          <w:highlight w:val="none"/>
        </w:rPr>
      </w:pPr>
    </w:p>
    <w:p w14:paraId="4FC43459">
      <w:pPr>
        <w:snapToGrid w:val="0"/>
        <w:spacing w:before="120" w:beforeLines="50" w:after="50"/>
        <w:jc w:val="center"/>
        <w:rPr>
          <w:rFonts w:hint="default" w:ascii="Times New Roman" w:hAnsi="Times New Roman" w:cs="Times New Roman"/>
          <w:color w:val="auto"/>
          <w:sz w:val="44"/>
          <w:szCs w:val="44"/>
          <w:highlight w:val="none"/>
        </w:rPr>
      </w:pPr>
      <w:r>
        <w:rPr>
          <w:rFonts w:hint="default" w:ascii="Times New Roman" w:hAnsi="Times New Roman" w:cs="Times New Roman"/>
          <w:color w:val="auto"/>
          <w:sz w:val="44"/>
          <w:szCs w:val="44"/>
          <w:highlight w:val="none"/>
        </w:rPr>
        <w:t>电子响应文件</w:t>
      </w:r>
    </w:p>
    <w:p w14:paraId="5F18C3A7">
      <w:pPr>
        <w:snapToGrid w:val="0"/>
        <w:spacing w:before="120" w:beforeLines="50" w:after="50"/>
        <w:rPr>
          <w:rFonts w:hint="default" w:ascii="Times New Roman" w:hAnsi="Times New Roman" w:cs="Times New Roman"/>
          <w:color w:val="auto"/>
          <w:sz w:val="24"/>
          <w:szCs w:val="20"/>
          <w:highlight w:val="none"/>
        </w:rPr>
      </w:pPr>
    </w:p>
    <w:p w14:paraId="4178F64C">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资格证明文件</w:t>
      </w:r>
    </w:p>
    <w:p w14:paraId="46888C15">
      <w:pPr>
        <w:snapToGrid w:val="0"/>
        <w:spacing w:before="120" w:beforeLines="50" w:after="50"/>
        <w:rPr>
          <w:rFonts w:hint="default" w:ascii="Times New Roman" w:hAnsi="Times New Roman" w:cs="Times New Roman"/>
          <w:bCs/>
          <w:color w:val="auto"/>
          <w:sz w:val="24"/>
          <w:szCs w:val="20"/>
          <w:highlight w:val="none"/>
        </w:rPr>
      </w:pPr>
    </w:p>
    <w:p w14:paraId="12392308">
      <w:pPr>
        <w:snapToGrid w:val="0"/>
        <w:spacing w:before="120" w:beforeLines="50" w:after="50"/>
        <w:rPr>
          <w:rFonts w:hint="default" w:ascii="Times New Roman" w:hAnsi="Times New Roman" w:cs="Times New Roman"/>
          <w:bCs/>
          <w:color w:val="auto"/>
          <w:sz w:val="24"/>
          <w:szCs w:val="20"/>
          <w:highlight w:val="none"/>
        </w:rPr>
      </w:pPr>
    </w:p>
    <w:p w14:paraId="5ABE4753">
      <w:pPr>
        <w:snapToGrid w:val="0"/>
        <w:spacing w:before="120" w:beforeLines="50" w:after="50"/>
        <w:rPr>
          <w:rFonts w:hint="default" w:ascii="Times New Roman" w:hAnsi="Times New Roman" w:cs="Times New Roman"/>
          <w:bCs/>
          <w:color w:val="auto"/>
          <w:sz w:val="24"/>
          <w:szCs w:val="20"/>
          <w:highlight w:val="none"/>
        </w:rPr>
      </w:pPr>
    </w:p>
    <w:p w14:paraId="48AA8A43">
      <w:pPr>
        <w:snapToGrid w:val="0"/>
        <w:spacing w:before="120" w:beforeLines="50" w:after="50"/>
        <w:rPr>
          <w:rFonts w:hint="default" w:ascii="Times New Roman" w:hAnsi="Times New Roman" w:cs="Times New Roman"/>
          <w:bCs/>
          <w:color w:val="auto"/>
          <w:sz w:val="24"/>
          <w:szCs w:val="20"/>
          <w:highlight w:val="none"/>
        </w:rPr>
      </w:pPr>
    </w:p>
    <w:p w14:paraId="068CD85C">
      <w:pPr>
        <w:snapToGrid w:val="0"/>
        <w:spacing w:before="120" w:beforeLines="50" w:after="50"/>
        <w:rPr>
          <w:rFonts w:hint="default" w:ascii="Times New Roman" w:hAnsi="Times New Roman" w:cs="Times New Roman"/>
          <w:bCs/>
          <w:color w:val="auto"/>
          <w:sz w:val="24"/>
          <w:szCs w:val="20"/>
          <w:highlight w:val="none"/>
        </w:rPr>
      </w:pPr>
    </w:p>
    <w:p w14:paraId="69161FAB">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51307474">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53D34171">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398BB2C5">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FCB2A44">
      <w:pPr>
        <w:snapToGrid w:val="0"/>
        <w:spacing w:before="120" w:beforeLines="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5DB7721C">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FF0BF81">
      <w:pPr>
        <w:pStyle w:val="11"/>
        <w:snapToGrid w:val="0"/>
        <w:spacing w:before="50" w:after="50"/>
        <w:ind w:firstLine="720" w:firstLineChars="225"/>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1FBD505E">
      <w:pPr>
        <w:snapToGrid w:val="0"/>
        <w:spacing w:before="120" w:beforeLines="50" w:after="50"/>
        <w:ind w:firstLine="640" w:firstLineChars="200"/>
        <w:rPr>
          <w:rFonts w:hint="default" w:ascii="Times New Roman" w:hAnsi="Times New Roman" w:cs="Times New Roman"/>
          <w:bCs/>
          <w:color w:val="auto"/>
          <w:sz w:val="32"/>
          <w:szCs w:val="32"/>
          <w:highlight w:val="none"/>
        </w:rPr>
      </w:pPr>
    </w:p>
    <w:p w14:paraId="11B7EDDC">
      <w:pPr>
        <w:pStyle w:val="11"/>
        <w:snapToGrid w:val="0"/>
        <w:spacing w:before="50" w:after="50"/>
        <w:ind w:firstLine="720" w:firstLineChars="225"/>
        <w:rPr>
          <w:rFonts w:hint="default" w:ascii="Times New Roman" w:hAnsi="Times New Roman" w:cs="Times New Roman"/>
          <w:bCs/>
          <w:color w:val="auto"/>
          <w:sz w:val="32"/>
          <w:szCs w:val="32"/>
          <w:highlight w:val="none"/>
        </w:rPr>
      </w:pPr>
    </w:p>
    <w:p w14:paraId="0E3BFF70">
      <w:pPr>
        <w:pStyle w:val="11"/>
        <w:snapToGrid w:val="0"/>
        <w:spacing w:before="50" w:after="50"/>
        <w:ind w:firstLine="720" w:firstLineChars="225"/>
        <w:rPr>
          <w:rFonts w:hint="default" w:ascii="Times New Roman" w:hAnsi="Times New Roman" w:cs="Times New Roman"/>
          <w:bCs/>
          <w:color w:val="auto"/>
          <w:sz w:val="32"/>
          <w:szCs w:val="32"/>
          <w:highlight w:val="none"/>
        </w:rPr>
      </w:pPr>
    </w:p>
    <w:p w14:paraId="0AC209A5">
      <w:pPr>
        <w:pStyle w:val="11"/>
        <w:snapToGrid w:val="0"/>
        <w:spacing w:before="50" w:after="50"/>
        <w:ind w:firstLine="1280" w:firstLineChars="400"/>
        <w:rPr>
          <w:rFonts w:hint="default" w:ascii="Times New Roman" w:hAnsi="Times New Roman" w:cs="Times New Roman"/>
          <w:bCs/>
          <w:color w:val="auto"/>
          <w:sz w:val="32"/>
          <w:szCs w:val="32"/>
          <w:highlight w:val="none"/>
        </w:rPr>
      </w:pPr>
    </w:p>
    <w:p w14:paraId="135CEE60">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5B6358F3">
      <w:pPr>
        <w:snapToGrid w:val="0"/>
        <w:spacing w:before="120" w:beforeLines="50" w:after="50" w:line="360" w:lineRule="auto"/>
        <w:ind w:left="142"/>
        <w:jc w:val="left"/>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2.资格证明文件目录</w:t>
      </w:r>
    </w:p>
    <w:p w14:paraId="13CC19F5">
      <w:pPr>
        <w:snapToGrid w:val="0"/>
        <w:spacing w:before="120" w:beforeLines="50" w:after="50" w:line="360" w:lineRule="auto"/>
        <w:ind w:firstLine="645"/>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4BD0DBC7">
      <w:pPr>
        <w:snapToGrid w:val="0"/>
        <w:spacing w:before="120" w:beforeLines="50" w:after="50"/>
        <w:rPr>
          <w:rFonts w:hint="default" w:ascii="Times New Roman" w:hAnsi="Times New Roman" w:cs="Times New Roman"/>
          <w:color w:val="auto"/>
          <w:sz w:val="24"/>
          <w:szCs w:val="20"/>
          <w:highlight w:val="none"/>
        </w:rPr>
      </w:pPr>
    </w:p>
    <w:p w14:paraId="3A14A33B">
      <w:pPr>
        <w:spacing w:line="300" w:lineRule="auto"/>
        <w:rPr>
          <w:rFonts w:hint="default" w:ascii="Times New Roman" w:hAnsi="Times New Roman" w:cs="Times New Roman"/>
          <w:color w:val="auto"/>
          <w:szCs w:val="21"/>
          <w:highlight w:val="none"/>
        </w:rPr>
      </w:pPr>
    </w:p>
    <w:p w14:paraId="5EEAF6D7">
      <w:pPr>
        <w:spacing w:line="300" w:lineRule="auto"/>
        <w:rPr>
          <w:rFonts w:hint="default" w:ascii="Times New Roman" w:hAnsi="Times New Roman" w:cs="Times New Roman"/>
          <w:color w:val="auto"/>
          <w:szCs w:val="21"/>
          <w:highlight w:val="none"/>
        </w:rPr>
      </w:pPr>
    </w:p>
    <w:p w14:paraId="792FE697">
      <w:pPr>
        <w:spacing w:line="300" w:lineRule="auto"/>
        <w:rPr>
          <w:rFonts w:hint="default" w:ascii="Times New Roman" w:hAnsi="Times New Roman" w:cs="Times New Roman"/>
          <w:color w:val="auto"/>
          <w:szCs w:val="21"/>
          <w:highlight w:val="none"/>
        </w:rPr>
      </w:pPr>
    </w:p>
    <w:p w14:paraId="490F5A96">
      <w:pPr>
        <w:spacing w:line="300" w:lineRule="auto"/>
        <w:rPr>
          <w:rFonts w:hint="default" w:ascii="Times New Roman" w:hAnsi="Times New Roman" w:cs="Times New Roman"/>
          <w:color w:val="auto"/>
          <w:szCs w:val="21"/>
          <w:highlight w:val="none"/>
        </w:rPr>
      </w:pPr>
    </w:p>
    <w:p w14:paraId="62143D74">
      <w:pPr>
        <w:spacing w:line="300" w:lineRule="auto"/>
        <w:rPr>
          <w:rFonts w:hint="default" w:ascii="Times New Roman" w:hAnsi="Times New Roman" w:cs="Times New Roman"/>
          <w:color w:val="auto"/>
          <w:szCs w:val="21"/>
          <w:highlight w:val="none"/>
        </w:rPr>
      </w:pPr>
    </w:p>
    <w:p w14:paraId="2EA27F85">
      <w:pPr>
        <w:spacing w:line="300" w:lineRule="auto"/>
        <w:rPr>
          <w:rFonts w:hint="default" w:ascii="Times New Roman" w:hAnsi="Times New Roman" w:cs="Times New Roman"/>
          <w:color w:val="auto"/>
          <w:szCs w:val="21"/>
          <w:highlight w:val="none"/>
        </w:rPr>
      </w:pPr>
    </w:p>
    <w:p w14:paraId="093175F7">
      <w:pPr>
        <w:spacing w:line="300" w:lineRule="auto"/>
        <w:rPr>
          <w:rFonts w:hint="default" w:ascii="Times New Roman" w:hAnsi="Times New Roman" w:cs="Times New Roman"/>
          <w:color w:val="auto"/>
          <w:szCs w:val="21"/>
          <w:highlight w:val="none"/>
        </w:rPr>
      </w:pPr>
    </w:p>
    <w:p w14:paraId="0AB49F5B">
      <w:pPr>
        <w:spacing w:line="300" w:lineRule="auto"/>
        <w:rPr>
          <w:rFonts w:hint="default" w:ascii="Times New Roman" w:hAnsi="Times New Roman" w:cs="Times New Roman"/>
          <w:color w:val="auto"/>
          <w:szCs w:val="21"/>
          <w:highlight w:val="none"/>
        </w:rPr>
      </w:pPr>
    </w:p>
    <w:p w14:paraId="26B52A2E">
      <w:pPr>
        <w:spacing w:line="300" w:lineRule="auto"/>
        <w:rPr>
          <w:rFonts w:hint="default" w:ascii="Times New Roman" w:hAnsi="Times New Roman" w:cs="Times New Roman"/>
          <w:color w:val="auto"/>
          <w:szCs w:val="21"/>
          <w:highlight w:val="none"/>
        </w:rPr>
      </w:pPr>
    </w:p>
    <w:p w14:paraId="4D3CB840">
      <w:pPr>
        <w:spacing w:line="300" w:lineRule="auto"/>
        <w:rPr>
          <w:rFonts w:hint="default" w:ascii="Times New Roman" w:hAnsi="Times New Roman" w:cs="Times New Roman"/>
          <w:color w:val="auto"/>
          <w:szCs w:val="21"/>
          <w:highlight w:val="none"/>
        </w:rPr>
      </w:pPr>
    </w:p>
    <w:p w14:paraId="2CE41625">
      <w:pPr>
        <w:spacing w:line="300" w:lineRule="auto"/>
        <w:rPr>
          <w:rFonts w:hint="default" w:ascii="Times New Roman" w:hAnsi="Times New Roman" w:cs="Times New Roman"/>
          <w:color w:val="auto"/>
          <w:szCs w:val="21"/>
          <w:highlight w:val="none"/>
        </w:rPr>
      </w:pPr>
    </w:p>
    <w:p w14:paraId="4AE6ACE7">
      <w:pPr>
        <w:spacing w:line="300" w:lineRule="auto"/>
        <w:rPr>
          <w:rFonts w:hint="default" w:ascii="Times New Roman" w:hAnsi="Times New Roman" w:cs="Times New Roman"/>
          <w:color w:val="auto"/>
          <w:szCs w:val="21"/>
          <w:highlight w:val="none"/>
        </w:rPr>
      </w:pPr>
    </w:p>
    <w:p w14:paraId="61454E0A">
      <w:pPr>
        <w:spacing w:line="300" w:lineRule="auto"/>
        <w:rPr>
          <w:rFonts w:hint="default" w:ascii="Times New Roman" w:hAnsi="Times New Roman" w:cs="Times New Roman"/>
          <w:color w:val="auto"/>
          <w:szCs w:val="21"/>
          <w:highlight w:val="none"/>
        </w:rPr>
      </w:pPr>
    </w:p>
    <w:p w14:paraId="37188E29">
      <w:pPr>
        <w:spacing w:line="300" w:lineRule="auto"/>
        <w:rPr>
          <w:rFonts w:hint="default" w:ascii="Times New Roman" w:hAnsi="Times New Roman" w:cs="Times New Roman"/>
          <w:color w:val="auto"/>
          <w:szCs w:val="21"/>
          <w:highlight w:val="none"/>
        </w:rPr>
      </w:pPr>
    </w:p>
    <w:p w14:paraId="2E7C7F87">
      <w:pPr>
        <w:spacing w:line="300" w:lineRule="auto"/>
        <w:rPr>
          <w:rFonts w:hint="default" w:ascii="Times New Roman" w:hAnsi="Times New Roman" w:cs="Times New Roman"/>
          <w:color w:val="auto"/>
          <w:szCs w:val="21"/>
          <w:highlight w:val="none"/>
        </w:rPr>
      </w:pPr>
    </w:p>
    <w:p w14:paraId="6E24DC6E">
      <w:pPr>
        <w:spacing w:line="32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2B636065">
      <w:pPr>
        <w:spacing w:line="320" w:lineRule="exact"/>
        <w:rPr>
          <w:rFonts w:hint="default" w:ascii="Times New Roman" w:hAnsi="Times New Roman" w:cs="Times New Roman"/>
          <w:color w:val="auto"/>
          <w:szCs w:val="21"/>
          <w:highlight w:val="none"/>
        </w:rPr>
      </w:pPr>
    </w:p>
    <w:p w14:paraId="094809E3">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崇左市政府采购供应商信用承诺函（格式）</w:t>
      </w:r>
    </w:p>
    <w:p w14:paraId="4977ECC3">
      <w:pPr>
        <w:spacing w:after="120"/>
        <w:ind w:firstLine="210" w:firstLineChars="100"/>
        <w:rPr>
          <w:rFonts w:hint="default" w:ascii="Times New Roman" w:hAnsi="Times New Roman" w:cs="Times New Roman"/>
          <w:color w:val="auto"/>
          <w:highlight w:val="none"/>
        </w:rPr>
      </w:pPr>
    </w:p>
    <w:p w14:paraId="5315DAF4">
      <w:pPr>
        <w:widowControl/>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kern w:val="0"/>
          <w:sz w:val="24"/>
          <w:highlight w:val="none"/>
          <w:lang w:bidi="ar"/>
        </w:rPr>
        <w:t>致</w:t>
      </w:r>
      <w:r>
        <w:rPr>
          <w:rFonts w:hint="default" w:ascii="Times New Roman" w:hAnsi="Times New Roman" w:cs="Times New Roman"/>
          <w:color w:val="auto"/>
          <w:kern w:val="0"/>
          <w:sz w:val="24"/>
          <w:highlight w:val="none"/>
          <w:u w:val="single"/>
          <w:lang w:bidi="ar"/>
        </w:rPr>
        <w:t>（采购代理机构名称）</w:t>
      </w:r>
      <w:r>
        <w:rPr>
          <w:rFonts w:hint="default" w:ascii="Times New Roman" w:hAnsi="Times New Roman" w:cs="Times New Roman"/>
          <w:color w:val="auto"/>
          <w:kern w:val="0"/>
          <w:sz w:val="24"/>
          <w:highlight w:val="none"/>
          <w:lang w:bidi="ar"/>
        </w:rPr>
        <w:t>:</w:t>
      </w:r>
    </w:p>
    <w:p w14:paraId="5B11EE33">
      <w:pPr>
        <w:widowControl/>
        <w:spacing w:line="360" w:lineRule="auto"/>
        <w:ind w:firstLine="480"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kern w:val="0"/>
          <w:sz w:val="24"/>
          <w:highlight w:val="none"/>
          <w:lang w:bidi="ar"/>
        </w:rPr>
        <w:t>我方自愿参加</w:t>
      </w:r>
      <w:r>
        <w:rPr>
          <w:rFonts w:hint="default" w:ascii="Times New Roman" w:hAnsi="Times New Roman" w:cs="Times New Roman"/>
          <w:color w:val="auto"/>
          <w:kern w:val="0"/>
          <w:sz w:val="24"/>
          <w:highlight w:val="none"/>
          <w:u w:val="single"/>
          <w:lang w:bidi="ar"/>
        </w:rPr>
        <w:t xml:space="preserve"> （项目名称） </w:t>
      </w:r>
      <w:r>
        <w:rPr>
          <w:rFonts w:hint="default" w:ascii="Times New Roman" w:hAnsi="Times New Roman" w:cs="Times New Roman"/>
          <w:color w:val="auto"/>
          <w:kern w:val="0"/>
          <w:sz w:val="24"/>
          <w:highlight w:val="none"/>
          <w:lang w:bidi="ar"/>
        </w:rPr>
        <w:t>项目</w:t>
      </w:r>
      <w:r>
        <w:rPr>
          <w:rFonts w:hint="default" w:ascii="Times New Roman" w:hAnsi="Times New Roman" w:cs="Times New Roman"/>
          <w:color w:val="auto"/>
          <w:spacing w:val="6"/>
          <w:sz w:val="24"/>
          <w:highlight w:val="none"/>
        </w:rPr>
        <w:t>（项目编号：</w:t>
      </w:r>
      <w:r>
        <w:rPr>
          <w:rFonts w:hint="default" w:ascii="Times New Roman" w:hAnsi="Times New Roman" w:cs="Times New Roman"/>
          <w:color w:val="auto"/>
          <w:spacing w:val="6"/>
          <w:sz w:val="24"/>
          <w:highlight w:val="none"/>
          <w:u w:val="single"/>
        </w:rPr>
        <w:t xml:space="preserve">         </w:t>
      </w:r>
      <w:r>
        <w:rPr>
          <w:rFonts w:hint="default" w:ascii="Times New Roman" w:hAnsi="Times New Roman" w:cs="Times New Roman"/>
          <w:color w:val="auto"/>
          <w:spacing w:val="6"/>
          <w:sz w:val="24"/>
          <w:highlight w:val="none"/>
        </w:rPr>
        <w:t>）</w:t>
      </w:r>
      <w:r>
        <w:rPr>
          <w:rFonts w:hint="default" w:ascii="Times New Roman" w:hAnsi="Times New Roman" w:cs="Times New Roman"/>
          <w:color w:val="auto"/>
          <w:kern w:val="0"/>
          <w:sz w:val="24"/>
          <w:highlight w:val="none"/>
          <w:lang w:bidi="ar"/>
        </w:rPr>
        <w:t>的政府采购活动，严格遵守《中华人民共和国政府采购法》及相关法律法规，依法诚信经营，无条件遵守本次政府采购活动的各项规定，并郑重承诺</w:t>
      </w:r>
      <w:r>
        <w:rPr>
          <w:rFonts w:hint="default" w:ascii="Times New Roman" w:hAnsi="Times New Roman" w:cs="Times New Roman"/>
          <w:color w:val="auto"/>
          <w:spacing w:val="-6"/>
          <w:kern w:val="0"/>
          <w:sz w:val="24"/>
          <w:highlight w:val="none"/>
          <w:lang w:bidi="ar"/>
        </w:rPr>
        <w:t xml:space="preserve">： </w:t>
      </w:r>
    </w:p>
    <w:p w14:paraId="4D8F8AB0">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1.我方</w:t>
      </w:r>
      <w:r>
        <w:rPr>
          <w:rFonts w:hint="default" w:ascii="Times New Roman" w:hAnsi="Times New Roman" w:cs="Times New Roman"/>
          <w:color w:val="auto"/>
          <w:spacing w:val="6"/>
          <w:sz w:val="24"/>
          <w:highlight w:val="none"/>
        </w:rPr>
        <w:t>具有独立承担民事责任的能力或我方属于银行、保险、石油石化、电力、电信等有行业特殊情况的法人的分支机构在参加本次政府采购活动前已取得总公司的授权。</w:t>
      </w:r>
    </w:p>
    <w:p w14:paraId="7E01EB1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2.我方具有符合采购文件资格要求的财务状况报告。 </w:t>
      </w:r>
    </w:p>
    <w:p w14:paraId="5B740D1B">
      <w:pPr>
        <w:widowControl/>
        <w:spacing w:line="360" w:lineRule="auto"/>
        <w:ind w:firstLine="456" w:firstLineChars="200"/>
        <w:rPr>
          <w:rFonts w:hint="default" w:ascii="Times New Roman" w:hAnsi="Times New Roman" w:cs="Times New Roman"/>
          <w:color w:val="auto"/>
          <w:spacing w:val="-17"/>
          <w:sz w:val="24"/>
          <w:highlight w:val="none"/>
        </w:rPr>
      </w:pPr>
      <w:r>
        <w:rPr>
          <w:rFonts w:hint="default" w:ascii="Times New Roman" w:hAnsi="Times New Roman" w:cs="Times New Roman"/>
          <w:color w:val="auto"/>
          <w:spacing w:val="-6"/>
          <w:kern w:val="0"/>
          <w:sz w:val="24"/>
          <w:highlight w:val="none"/>
          <w:lang w:bidi="ar"/>
        </w:rPr>
        <w:t>3.我方具有符合采购文件资格要求的依法缴纳税收和社会保障资金的良好记录。</w:t>
      </w:r>
      <w:r>
        <w:rPr>
          <w:rFonts w:hint="default" w:ascii="Times New Roman" w:hAnsi="Times New Roman" w:cs="Times New Roman"/>
          <w:color w:val="auto"/>
          <w:spacing w:val="-17"/>
          <w:kern w:val="0"/>
          <w:sz w:val="24"/>
          <w:highlight w:val="none"/>
          <w:lang w:bidi="ar"/>
        </w:rPr>
        <w:t xml:space="preserve"> </w:t>
      </w:r>
    </w:p>
    <w:p w14:paraId="173031B4">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4.我方具有符合采购文件资格要求履行合同所必需的设备和专业技术能力。 </w:t>
      </w:r>
    </w:p>
    <w:p w14:paraId="51152A97">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5.我方参加政府采购活动前3年内在经营活动中没有重大违法记录。 </w:t>
      </w:r>
    </w:p>
    <w:p w14:paraId="567642F8">
      <w:pPr>
        <w:widowControl/>
        <w:spacing w:line="360" w:lineRule="auto"/>
        <w:ind w:firstLine="480" w:firstLineChars="200"/>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我方对以上承诺内容的真实性负责。如有虚假，将依法承担相应责任。</w:t>
      </w:r>
    </w:p>
    <w:p w14:paraId="212C5F16">
      <w:pPr>
        <w:widowControl/>
        <w:spacing w:line="360" w:lineRule="auto"/>
        <w:ind w:firstLine="480" w:firstLineChars="200"/>
        <w:rPr>
          <w:rFonts w:hint="default" w:ascii="Times New Roman" w:hAnsi="Times New Roman" w:cs="Times New Roman"/>
          <w:color w:val="auto"/>
          <w:kern w:val="0"/>
          <w:sz w:val="24"/>
          <w:highlight w:val="none"/>
          <w:lang w:bidi="ar"/>
        </w:rPr>
      </w:pPr>
    </w:p>
    <w:p w14:paraId="56F3F726">
      <w:pPr>
        <w:widowControl/>
        <w:spacing w:line="360" w:lineRule="auto"/>
        <w:ind w:firstLine="480" w:firstLineChars="200"/>
        <w:rPr>
          <w:rFonts w:hint="default" w:ascii="Times New Roman" w:hAnsi="Times New Roman" w:cs="Times New Roman"/>
          <w:color w:val="auto"/>
          <w:kern w:val="0"/>
          <w:sz w:val="24"/>
          <w:highlight w:val="none"/>
          <w:lang w:bidi="ar"/>
        </w:rPr>
      </w:pPr>
    </w:p>
    <w:p w14:paraId="55D03257">
      <w:pPr>
        <w:widowControl/>
        <w:spacing w:line="360" w:lineRule="auto"/>
        <w:ind w:firstLine="3600" w:firstLineChars="15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 xml:space="preserve">供应商名称（盖章）： </w:t>
      </w:r>
    </w:p>
    <w:p w14:paraId="67CDF43B">
      <w:pPr>
        <w:tabs>
          <w:tab w:val="left" w:pos="7560"/>
        </w:tabs>
        <w:spacing w:line="360" w:lineRule="auto"/>
        <w:ind w:firstLine="3600" w:firstLineChars="15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日期：</w:t>
      </w:r>
    </w:p>
    <w:p w14:paraId="090AB924">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14:paraId="4A78C32C">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2.第1点所指的行业特殊情况使用了“等”字表示列举未尽，即行业特殊情况包含但不限于银行、保险、石油石化、电力、电信。</w:t>
      </w:r>
    </w:p>
    <w:p w14:paraId="25A0400B">
      <w:pPr>
        <w:wordWrap w:val="0"/>
        <w:spacing w:before="120" w:beforeLines="50" w:after="50" w:line="320" w:lineRule="exact"/>
        <w:ind w:right="482" w:firstLine="240" w:firstLineChars="100"/>
        <w:contextualSpacing/>
        <w:jc w:val="center"/>
        <w:rPr>
          <w:rFonts w:hint="default" w:ascii="Times New Roman" w:hAnsi="Times New Roman" w:cs="Times New Roman"/>
          <w:color w:val="auto"/>
          <w:kern w:val="0"/>
          <w:sz w:val="24"/>
          <w:highlight w:val="none"/>
        </w:rPr>
      </w:pPr>
    </w:p>
    <w:p w14:paraId="3EAAA1BA">
      <w:pPr>
        <w:pStyle w:val="63"/>
        <w:ind w:firstLine="480"/>
        <w:rPr>
          <w:rFonts w:hint="default" w:ascii="Times New Roman" w:hAnsi="Times New Roman" w:cs="Times New Roman"/>
          <w:color w:val="auto"/>
          <w:highlight w:val="none"/>
          <w:lang w:eastAsia="zh-CN"/>
        </w:rPr>
      </w:pPr>
    </w:p>
    <w:p w14:paraId="7CAF865E">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0AB683A5">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供应商直接控股、管理关系信息表</w:t>
      </w:r>
    </w:p>
    <w:p w14:paraId="4CFE9EA5">
      <w:pPr>
        <w:snapToGrid w:val="0"/>
        <w:spacing w:before="120" w:beforeLines="50" w:after="50" w:line="360" w:lineRule="auto"/>
        <w:jc w:val="center"/>
        <w:rPr>
          <w:rFonts w:hint="default" w:ascii="Times New Roman" w:hAnsi="Times New Roman" w:cs="Times New Roman"/>
          <w:b/>
          <w:color w:val="auto"/>
          <w:sz w:val="24"/>
          <w:highlight w:val="none"/>
        </w:rPr>
      </w:pPr>
    </w:p>
    <w:p w14:paraId="22903695">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供应商直接控股股东信息表</w:t>
      </w:r>
    </w:p>
    <w:p w14:paraId="424824D1">
      <w:pPr>
        <w:spacing w:line="360" w:lineRule="auto"/>
        <w:contextualSpacing/>
        <w:jc w:val="center"/>
        <w:rPr>
          <w:rFonts w:hint="default" w:ascii="Times New Roman" w:hAnsi="Times New Roman" w:cs="Times New Roman"/>
          <w:b/>
          <w:color w:val="auto"/>
          <w:sz w:val="24"/>
          <w:highlight w:val="none"/>
        </w:rPr>
      </w:pPr>
    </w:p>
    <w:tbl>
      <w:tblPr>
        <w:tblStyle w:val="45"/>
        <w:tblW w:w="0" w:type="auto"/>
        <w:jc w:val="center"/>
        <w:tblLayout w:type="fixed"/>
        <w:tblCellMar>
          <w:top w:w="0" w:type="dxa"/>
          <w:left w:w="0" w:type="dxa"/>
          <w:bottom w:w="0" w:type="dxa"/>
          <w:right w:w="0" w:type="dxa"/>
        </w:tblCellMar>
      </w:tblPr>
      <w:tblGrid>
        <w:gridCol w:w="880"/>
        <w:gridCol w:w="2655"/>
        <w:gridCol w:w="1455"/>
        <w:gridCol w:w="4287"/>
        <w:gridCol w:w="870"/>
      </w:tblGrid>
      <w:tr w14:paraId="3B05D7BE">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504AD0">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89185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A78A7C">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3CC3B6">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D048B3">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备注</w:t>
            </w:r>
          </w:p>
        </w:tc>
      </w:tr>
      <w:tr w14:paraId="56E0B2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AFFE41">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72D4A8">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CD649C">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A37378">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5EF136">
            <w:pPr>
              <w:widowControl/>
              <w:spacing w:line="360" w:lineRule="auto"/>
              <w:contextualSpacing/>
              <w:jc w:val="center"/>
              <w:rPr>
                <w:rFonts w:hint="default" w:ascii="Times New Roman" w:hAnsi="Times New Roman" w:cs="Times New Roman"/>
                <w:color w:val="auto"/>
                <w:kern w:val="0"/>
                <w:sz w:val="24"/>
                <w:highlight w:val="none"/>
              </w:rPr>
            </w:pPr>
          </w:p>
        </w:tc>
      </w:tr>
      <w:tr w14:paraId="55C920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F4FCD0">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4E70EB">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83C6B7">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C18D0F">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08C0CD">
            <w:pPr>
              <w:widowControl/>
              <w:spacing w:line="360" w:lineRule="auto"/>
              <w:contextualSpacing/>
              <w:jc w:val="center"/>
              <w:rPr>
                <w:rFonts w:hint="default" w:ascii="Times New Roman" w:hAnsi="Times New Roman" w:cs="Times New Roman"/>
                <w:color w:val="auto"/>
                <w:kern w:val="0"/>
                <w:sz w:val="24"/>
                <w:highlight w:val="none"/>
              </w:rPr>
            </w:pPr>
          </w:p>
        </w:tc>
      </w:tr>
      <w:tr w14:paraId="7E438DE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BD5461">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826D41">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514DFE">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EE0965">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DEA27E">
            <w:pPr>
              <w:widowControl/>
              <w:spacing w:line="360" w:lineRule="auto"/>
              <w:contextualSpacing/>
              <w:jc w:val="center"/>
              <w:rPr>
                <w:rFonts w:hint="default" w:ascii="Times New Roman" w:hAnsi="Times New Roman" w:cs="Times New Roman"/>
                <w:color w:val="auto"/>
                <w:kern w:val="0"/>
                <w:sz w:val="24"/>
                <w:highlight w:val="none"/>
              </w:rPr>
            </w:pPr>
          </w:p>
        </w:tc>
      </w:tr>
      <w:tr w14:paraId="01CD272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C3389A">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06AEFC">
            <w:pPr>
              <w:widowControl/>
              <w:spacing w:line="360" w:lineRule="auto"/>
              <w:contextualSpacing/>
              <w:jc w:val="center"/>
              <w:rPr>
                <w:rFonts w:hint="default" w:ascii="Times New Roman" w:hAnsi="Times New Roman" w:cs="Times New Roman"/>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3E67F3">
            <w:pPr>
              <w:widowControl/>
              <w:spacing w:line="360" w:lineRule="auto"/>
              <w:contextualSpacing/>
              <w:jc w:val="center"/>
              <w:rPr>
                <w:rFonts w:hint="default" w:ascii="Times New Roman" w:hAnsi="Times New Roman" w:cs="Times New Roman"/>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0C4CC">
            <w:pPr>
              <w:widowControl/>
              <w:spacing w:line="360" w:lineRule="auto"/>
              <w:contextualSpacing/>
              <w:jc w:val="center"/>
              <w:rPr>
                <w:rFonts w:hint="default" w:ascii="Times New Roman" w:hAnsi="Times New Roman" w:cs="Times New Roman"/>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7292DB">
            <w:pPr>
              <w:widowControl/>
              <w:spacing w:line="360" w:lineRule="auto"/>
              <w:contextualSpacing/>
              <w:jc w:val="center"/>
              <w:rPr>
                <w:rFonts w:hint="default" w:ascii="Times New Roman" w:hAnsi="Times New Roman" w:cs="Times New Roman"/>
                <w:color w:val="auto"/>
                <w:kern w:val="0"/>
                <w:sz w:val="24"/>
                <w:highlight w:val="none"/>
              </w:rPr>
            </w:pPr>
          </w:p>
        </w:tc>
      </w:tr>
    </w:tbl>
    <w:p w14:paraId="1E48BD77">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2D0C25DB">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4906C68">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2.本表所指的控股关系仅限于直接控股关系，不包括间接的控股关系。公司实际控制人与公司之间的关系不属于本表所指的直接控股关系。</w:t>
      </w:r>
    </w:p>
    <w:p w14:paraId="20F90CB0">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3.供应商不存在直接控股股东的，则在“直接控股股东名称”填“无”。</w:t>
      </w:r>
    </w:p>
    <w:p w14:paraId="5B11188E">
      <w:pPr>
        <w:spacing w:line="360" w:lineRule="auto"/>
        <w:ind w:firstLine="420" w:firstLineChars="200"/>
        <w:contextualSpacing/>
        <w:jc w:val="left"/>
        <w:rPr>
          <w:rFonts w:hint="default" w:ascii="Times New Roman" w:hAnsi="Times New Roman" w:cs="Times New Roman"/>
          <w:color w:val="auto"/>
          <w:szCs w:val="21"/>
          <w:highlight w:val="none"/>
        </w:rPr>
      </w:pPr>
    </w:p>
    <w:p w14:paraId="61788FA0">
      <w:pPr>
        <w:spacing w:line="360" w:lineRule="auto"/>
        <w:ind w:firstLine="560" w:firstLineChars="200"/>
        <w:contextualSpacing/>
        <w:jc w:val="left"/>
        <w:rPr>
          <w:rFonts w:hint="default" w:ascii="Times New Roman" w:hAnsi="Times New Roman" w:cs="Times New Roman"/>
          <w:color w:val="auto"/>
          <w:sz w:val="28"/>
          <w:szCs w:val="28"/>
          <w:highlight w:val="none"/>
        </w:rPr>
      </w:pPr>
    </w:p>
    <w:p w14:paraId="3B34E00B">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1291EFBF">
      <w:pPr>
        <w:spacing w:line="360" w:lineRule="auto"/>
        <w:ind w:right="480" w:firstLine="3000" w:firstLineChars="125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供应商（电子签章）：</w:t>
      </w:r>
    </w:p>
    <w:p w14:paraId="1AC09459">
      <w:pPr>
        <w:spacing w:line="360" w:lineRule="auto"/>
        <w:ind w:firstLine="480" w:firstLineChars="200"/>
        <w:contextualSpacing/>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3FE8066F">
      <w:pPr>
        <w:snapToGrid w:val="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14:paraId="7BEE08F5">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供应商直接管理关系信息表</w:t>
      </w:r>
    </w:p>
    <w:p w14:paraId="319D1244">
      <w:pPr>
        <w:snapToGrid w:val="0"/>
        <w:spacing w:line="360" w:lineRule="auto"/>
        <w:jc w:val="center"/>
        <w:rPr>
          <w:rFonts w:hint="default" w:ascii="Times New Roman" w:hAnsi="Times New Roman" w:cs="Times New Roman"/>
          <w:b/>
          <w:color w:val="auto"/>
          <w:sz w:val="24"/>
          <w:highlight w:val="none"/>
        </w:rPr>
      </w:pPr>
    </w:p>
    <w:tbl>
      <w:tblPr>
        <w:tblStyle w:val="45"/>
        <w:tblW w:w="0" w:type="auto"/>
        <w:jc w:val="center"/>
        <w:tblLayout w:type="fixed"/>
        <w:tblCellMar>
          <w:top w:w="0" w:type="dxa"/>
          <w:left w:w="0" w:type="dxa"/>
          <w:bottom w:w="0" w:type="dxa"/>
          <w:right w:w="0" w:type="dxa"/>
        </w:tblCellMar>
      </w:tblPr>
      <w:tblGrid>
        <w:gridCol w:w="808"/>
        <w:gridCol w:w="3600"/>
        <w:gridCol w:w="3555"/>
        <w:gridCol w:w="1689"/>
      </w:tblGrid>
      <w:tr w14:paraId="457E011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6A2513">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F0A4EA">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F9CD11">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0777A2">
            <w:pPr>
              <w:widowControl/>
              <w:spacing w:line="360" w:lineRule="auto"/>
              <w:contextualSpacing/>
              <w:jc w:val="center"/>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相互关系</w:t>
            </w:r>
          </w:p>
        </w:tc>
      </w:tr>
      <w:tr w14:paraId="191C4CC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F9EA7B">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758702">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CB513A">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50C827">
            <w:pPr>
              <w:widowControl/>
              <w:spacing w:line="360" w:lineRule="auto"/>
              <w:contextualSpacing/>
              <w:jc w:val="center"/>
              <w:rPr>
                <w:rFonts w:hint="default" w:ascii="Times New Roman" w:hAnsi="Times New Roman" w:cs="Times New Roman"/>
                <w:color w:val="auto"/>
                <w:kern w:val="0"/>
                <w:sz w:val="24"/>
                <w:highlight w:val="none"/>
              </w:rPr>
            </w:pPr>
          </w:p>
        </w:tc>
      </w:tr>
      <w:tr w14:paraId="7447612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1BADE0">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B40B88">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2B68E5">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42781E">
            <w:pPr>
              <w:widowControl/>
              <w:spacing w:line="360" w:lineRule="auto"/>
              <w:contextualSpacing/>
              <w:jc w:val="center"/>
              <w:rPr>
                <w:rFonts w:hint="default" w:ascii="Times New Roman" w:hAnsi="Times New Roman" w:cs="Times New Roman"/>
                <w:color w:val="auto"/>
                <w:kern w:val="0"/>
                <w:sz w:val="24"/>
                <w:highlight w:val="none"/>
              </w:rPr>
            </w:pPr>
          </w:p>
        </w:tc>
      </w:tr>
      <w:tr w14:paraId="6353671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9D5B7A">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0195D1">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B6331F">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025C59">
            <w:pPr>
              <w:widowControl/>
              <w:spacing w:line="360" w:lineRule="auto"/>
              <w:contextualSpacing/>
              <w:jc w:val="center"/>
              <w:rPr>
                <w:rFonts w:hint="default" w:ascii="Times New Roman" w:hAnsi="Times New Roman" w:cs="Times New Roman"/>
                <w:color w:val="auto"/>
                <w:kern w:val="0"/>
                <w:sz w:val="24"/>
                <w:highlight w:val="none"/>
              </w:rPr>
            </w:pPr>
          </w:p>
        </w:tc>
      </w:tr>
      <w:tr w14:paraId="24C4544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147261">
            <w:pPr>
              <w:widowControl/>
              <w:spacing w:line="360" w:lineRule="auto"/>
              <w:contextualSpacing/>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788858">
            <w:pPr>
              <w:widowControl/>
              <w:spacing w:line="360" w:lineRule="auto"/>
              <w:contextualSpacing/>
              <w:jc w:val="center"/>
              <w:rPr>
                <w:rFonts w:hint="default" w:ascii="Times New Roman" w:hAnsi="Times New Roman" w:cs="Times New Roman"/>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3C4720">
            <w:pPr>
              <w:widowControl/>
              <w:spacing w:line="360" w:lineRule="auto"/>
              <w:contextualSpacing/>
              <w:jc w:val="center"/>
              <w:rPr>
                <w:rFonts w:hint="default" w:ascii="Times New Roman" w:hAnsi="Times New Roman" w:cs="Times New Roman"/>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35258F">
            <w:pPr>
              <w:widowControl/>
              <w:spacing w:line="360" w:lineRule="auto"/>
              <w:contextualSpacing/>
              <w:jc w:val="center"/>
              <w:rPr>
                <w:rFonts w:hint="default" w:ascii="Times New Roman" w:hAnsi="Times New Roman" w:cs="Times New Roman"/>
                <w:color w:val="auto"/>
                <w:kern w:val="0"/>
                <w:sz w:val="24"/>
                <w:highlight w:val="none"/>
              </w:rPr>
            </w:pPr>
          </w:p>
        </w:tc>
      </w:tr>
    </w:tbl>
    <w:p w14:paraId="4713F9DA">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w:t>
      </w:r>
    </w:p>
    <w:p w14:paraId="5C5E8D79">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1.管理关系：是指不具有出资持股关系的其他单位之间存在的管理与被管理关系，如一些上下级关系的事业单位和团体组织。</w:t>
      </w:r>
    </w:p>
    <w:p w14:paraId="2AC23D46">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pacing w:val="-6"/>
          <w:sz w:val="24"/>
          <w:highlight w:val="none"/>
        </w:rPr>
        <w:t>本表所指的管理关系仅限于直接管理关系，不包括间接的管理关系。</w:t>
      </w:r>
    </w:p>
    <w:p w14:paraId="0738F873">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3.供应商不存在直接管理关系的，则在“直接管理关系单位名称”填“无”。</w:t>
      </w:r>
    </w:p>
    <w:p w14:paraId="3B759CE6">
      <w:pPr>
        <w:spacing w:line="360" w:lineRule="auto"/>
        <w:contextualSpacing/>
        <w:jc w:val="left"/>
        <w:rPr>
          <w:rFonts w:hint="default" w:ascii="Times New Roman" w:hAnsi="Times New Roman" w:cs="Times New Roman"/>
          <w:color w:val="auto"/>
          <w:sz w:val="28"/>
          <w:szCs w:val="28"/>
          <w:highlight w:val="none"/>
        </w:rPr>
      </w:pPr>
    </w:p>
    <w:p w14:paraId="031D6469">
      <w:pPr>
        <w:spacing w:line="360" w:lineRule="auto"/>
        <w:contextualSpacing/>
        <w:jc w:val="left"/>
        <w:rPr>
          <w:rFonts w:hint="default" w:ascii="Times New Roman" w:hAnsi="Times New Roman" w:cs="Times New Roman"/>
          <w:color w:val="auto"/>
          <w:sz w:val="28"/>
          <w:szCs w:val="28"/>
          <w:highlight w:val="none"/>
        </w:rPr>
      </w:pPr>
    </w:p>
    <w:p w14:paraId="47EAF82A">
      <w:pPr>
        <w:spacing w:line="360" w:lineRule="auto"/>
        <w:contextualSpacing/>
        <w:jc w:val="left"/>
        <w:rPr>
          <w:rFonts w:hint="default" w:ascii="Times New Roman" w:hAnsi="Times New Roman" w:cs="Times New Roman"/>
          <w:color w:val="auto"/>
          <w:sz w:val="28"/>
          <w:szCs w:val="28"/>
          <w:highlight w:val="none"/>
        </w:rPr>
      </w:pPr>
    </w:p>
    <w:p w14:paraId="6D167676">
      <w:pPr>
        <w:spacing w:line="360" w:lineRule="auto"/>
        <w:contextualSpacing/>
        <w:jc w:val="left"/>
        <w:rPr>
          <w:rFonts w:hint="default" w:ascii="Times New Roman" w:hAnsi="Times New Roman" w:cs="Times New Roman"/>
          <w:color w:val="auto"/>
          <w:sz w:val="28"/>
          <w:szCs w:val="28"/>
          <w:highlight w:val="none"/>
        </w:rPr>
      </w:pPr>
    </w:p>
    <w:p w14:paraId="0A1A6CCC">
      <w:pPr>
        <w:spacing w:line="360" w:lineRule="auto"/>
        <w:contextualSpacing/>
        <w:jc w:val="left"/>
        <w:rPr>
          <w:rFonts w:hint="default" w:ascii="Times New Roman" w:hAnsi="Times New Roman" w:cs="Times New Roman"/>
          <w:color w:val="auto"/>
          <w:sz w:val="28"/>
          <w:szCs w:val="28"/>
          <w:highlight w:val="none"/>
        </w:rPr>
      </w:pPr>
    </w:p>
    <w:p w14:paraId="11407E26">
      <w:pPr>
        <w:spacing w:line="360" w:lineRule="auto"/>
        <w:contextualSpacing/>
        <w:jc w:val="left"/>
        <w:rPr>
          <w:rFonts w:hint="default" w:ascii="Times New Roman" w:hAnsi="Times New Roman" w:cs="Times New Roman"/>
          <w:color w:val="auto"/>
          <w:sz w:val="28"/>
          <w:szCs w:val="28"/>
          <w:highlight w:val="none"/>
        </w:rPr>
      </w:pPr>
    </w:p>
    <w:p w14:paraId="2BF8BDB8">
      <w:pPr>
        <w:spacing w:line="360" w:lineRule="auto"/>
        <w:ind w:right="480"/>
        <w:contextualSpacing/>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法定代表人或者委托代理人（签字或者电子签名）：</w:t>
      </w:r>
    </w:p>
    <w:p w14:paraId="6936E81E">
      <w:pPr>
        <w:spacing w:line="360" w:lineRule="auto"/>
        <w:ind w:right="480" w:firstLine="3360" w:firstLineChars="14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675BFF22">
      <w:pPr>
        <w:spacing w:line="360" w:lineRule="auto"/>
        <w:ind w:firstLine="480" w:firstLineChars="200"/>
        <w:contextualSpacing/>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highlight w:val="none"/>
        </w:rPr>
        <w:t>年月日</w:t>
      </w:r>
    </w:p>
    <w:p w14:paraId="1E8A12C4">
      <w:pPr>
        <w:spacing w:line="320" w:lineRule="exact"/>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8"/>
          <w:szCs w:val="28"/>
          <w:highlight w:val="none"/>
        </w:rPr>
        <w:br w:type="page"/>
      </w:r>
      <w:r>
        <w:rPr>
          <w:rFonts w:hint="default" w:ascii="Times New Roman" w:hAnsi="Times New Roman" w:cs="Times New Roman"/>
          <w:b/>
          <w:color w:val="auto"/>
          <w:sz w:val="32"/>
          <w:szCs w:val="32"/>
          <w:highlight w:val="none"/>
        </w:rPr>
        <w:t>竞标声明</w:t>
      </w:r>
    </w:p>
    <w:p w14:paraId="0E43EEC9">
      <w:pPr>
        <w:spacing w:line="320" w:lineRule="exact"/>
        <w:jc w:val="center"/>
        <w:rPr>
          <w:rFonts w:hint="default" w:ascii="Times New Roman" w:hAnsi="Times New Roman" w:cs="Times New Roman"/>
          <w:color w:val="auto"/>
          <w:sz w:val="24"/>
          <w:szCs w:val="20"/>
          <w:highlight w:val="none"/>
        </w:rPr>
      </w:pPr>
    </w:p>
    <w:p w14:paraId="52C58721">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1971ABA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系中华人民共和国合法供应商，经营地址。</w:t>
      </w:r>
    </w:p>
    <w:p w14:paraId="44B86E3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我方愿意参加贵方组织的</w:t>
      </w:r>
      <w:r>
        <w:rPr>
          <w:rFonts w:hint="default" w:ascii="Times New Roman" w:hAnsi="Times New Roman" w:cs="Times New Roman"/>
          <w:color w:val="auto"/>
          <w:sz w:val="24"/>
          <w:highlight w:val="none"/>
          <w:u w:val="single"/>
        </w:rPr>
        <w:t>（项目名称）（项目编号）</w:t>
      </w:r>
      <w:r>
        <w:rPr>
          <w:rFonts w:hint="default" w:ascii="Times New Roman" w:hAnsi="Times New Roman" w:cs="Times New Roman"/>
          <w:color w:val="auto"/>
          <w:sz w:val="24"/>
          <w:highlight w:val="none"/>
        </w:rPr>
        <w:t>项目的竞标，为便于贵方公正、择优地确定成交供应商及其服务，我方就本次竞标有关事项郑重声明如下：</w:t>
      </w:r>
    </w:p>
    <w:p w14:paraId="3DCE0EA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1.我方向贵方提交的所有响应文件、资料都是准确的和真实的。</w:t>
      </w:r>
    </w:p>
    <w:p w14:paraId="72AFAD2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2.我方不是为本次采购项目提供整体设计、规范编制或者项目管理、监理、检测等服务的供应商。</w:t>
      </w:r>
    </w:p>
    <w:p w14:paraId="57E9FCB1">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3.在此，我方宣布同意如下：</w:t>
      </w:r>
    </w:p>
    <w:p w14:paraId="3142B1E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（1）将按磋商文件的约定履行合同责任和义务；</w:t>
      </w:r>
    </w:p>
    <w:p w14:paraId="4ED6480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（2）已详细审查全部磋商文件，包括澄清或者更正公告（如有）；</w:t>
      </w:r>
    </w:p>
    <w:p w14:paraId="385A9EB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（3）同意提供按照贵方可能要求的与磋商有关的一切数据或者资料；</w:t>
      </w:r>
    </w:p>
    <w:p w14:paraId="0CEDBCC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（4）响应磋商文件规定的竞标有效期。</w:t>
      </w:r>
    </w:p>
    <w:p w14:paraId="2D296073">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4.我方承诺符合《中华人民共和国政府采购法》第二十二条规定：</w:t>
      </w:r>
    </w:p>
    <w:p w14:paraId="5F3C6AA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（1）具有独立承担民事责任的能力；</w:t>
      </w:r>
    </w:p>
    <w:p w14:paraId="6C30139D">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14:paraId="434D534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（3）具有履行合同所必需的设备和专业技术能力；</w:t>
      </w:r>
    </w:p>
    <w:p w14:paraId="675270E0">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（4）有依法缴纳税收和社会保障资金的良好记录；</w:t>
      </w:r>
    </w:p>
    <w:p w14:paraId="60652150">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（5）参加政府采购活动前三年内，在经营活动中没有重大违法记录；</w:t>
      </w:r>
    </w:p>
    <w:p w14:paraId="7DE5693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（6）法律、行政法规规定的其他条件。</w:t>
      </w:r>
    </w:p>
    <w:p w14:paraId="6DC0AFB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3FD275C">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497698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内容中</w:t>
      </w:r>
      <w:r>
        <w:rPr>
          <w:rFonts w:hint="default" w:ascii="Times New Roman" w:hAnsi="Times New Roman" w:cs="Times New Roman"/>
          <w:color w:val="auto"/>
          <w:sz w:val="24"/>
          <w:highlight w:val="none"/>
        </w:rPr>
        <w:t>未</w:t>
      </w:r>
      <w:r>
        <w:rPr>
          <w:rFonts w:hint="default" w:ascii="Times New Roman" w:hAnsi="Times New Roman" w:cs="Times New Roman"/>
          <w:color w:val="auto"/>
          <w:kern w:val="0"/>
          <w:sz w:val="24"/>
          <w:highlight w:val="none"/>
        </w:rPr>
        <w:t>涉及商业秘密；</w:t>
      </w:r>
    </w:p>
    <w:p w14:paraId="2B92A653">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□我方本次响应文件</w:t>
      </w:r>
      <w:r>
        <w:rPr>
          <w:rFonts w:hint="default" w:ascii="Times New Roman" w:hAnsi="Times New Roman" w:cs="Times New Roman"/>
          <w:color w:val="auto"/>
          <w:kern w:val="0"/>
          <w:sz w:val="24"/>
          <w:highlight w:val="none"/>
        </w:rPr>
        <w:t>涉及商业秘密的内容有：；</w:t>
      </w:r>
    </w:p>
    <w:p w14:paraId="06DD379D">
      <w:pPr>
        <w:pStyle w:val="4"/>
        <w:spacing w:line="360" w:lineRule="auto"/>
        <w:ind w:firstLine="480" w:firstLineChars="2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7.与本磋商有关的一切正式往来信函请寄：邮政编号：</w:t>
      </w:r>
    </w:p>
    <w:p w14:paraId="52CF2780">
      <w:pPr>
        <w:pStyle w:val="4"/>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电话/传真：电子邮箱：</w:t>
      </w:r>
    </w:p>
    <w:p w14:paraId="0C6CC911">
      <w:pPr>
        <w:pStyle w:val="22"/>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开户银行：账号：</w:t>
      </w:r>
    </w:p>
    <w:p w14:paraId="00B7E6B3">
      <w:pPr>
        <w:pStyle w:val="22"/>
        <w:tabs>
          <w:tab w:val="left" w:pos="939"/>
        </w:tabs>
        <w:spacing w:line="360" w:lineRule="auto"/>
        <w:ind w:left="0" w:leftChars="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8.以上事项如有虚假或者隐瞒，我方愿意承担一切后果，并不再寻求任何旨在减轻或者免除法律责任的辩解。</w:t>
      </w:r>
    </w:p>
    <w:p w14:paraId="6ACAC107">
      <w:pPr>
        <w:pStyle w:val="22"/>
        <w:tabs>
          <w:tab w:val="left" w:pos="939"/>
        </w:tabs>
        <w:spacing w:line="360" w:lineRule="auto"/>
        <w:ind w:left="141" w:leftChars="67"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特此承诺。</w:t>
      </w:r>
    </w:p>
    <w:p w14:paraId="1FD67840">
      <w:pPr>
        <w:spacing w:line="360" w:lineRule="auto"/>
        <w:ind w:firstLine="482"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注：如为联合体竞标，盖章处须加盖联合体牵头人电子签章并由联合体牵头人法定代表人分别签字或者盖章或者电子签名，否则响应文件按无效处理。</w:t>
      </w:r>
    </w:p>
    <w:p w14:paraId="7045D276">
      <w:pPr>
        <w:spacing w:line="360" w:lineRule="auto"/>
        <w:contextualSpacing/>
        <w:jc w:val="left"/>
        <w:rPr>
          <w:rFonts w:hint="default" w:ascii="Times New Roman" w:hAnsi="Times New Roman" w:cs="Times New Roman"/>
          <w:color w:val="auto"/>
          <w:szCs w:val="21"/>
          <w:highlight w:val="none"/>
        </w:rPr>
      </w:pPr>
    </w:p>
    <w:p w14:paraId="39E54421">
      <w:pPr>
        <w:spacing w:line="360" w:lineRule="auto"/>
        <w:ind w:firstLine="1800" w:firstLineChars="75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法定代表人（签字或者盖章或者电子签名）：</w:t>
      </w:r>
    </w:p>
    <w:p w14:paraId="09BDAC1D">
      <w:pPr>
        <w:spacing w:line="360" w:lineRule="auto"/>
        <w:ind w:firstLine="4320" w:firstLineChars="1800"/>
        <w:contextualSpacing/>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供应商（电子签章）：</w:t>
      </w:r>
    </w:p>
    <w:p w14:paraId="3B619A11">
      <w:pPr>
        <w:pStyle w:val="22"/>
        <w:tabs>
          <w:tab w:val="left" w:pos="939"/>
        </w:tabs>
        <w:spacing w:line="360" w:lineRule="auto"/>
        <w:ind w:left="0" w:leftChars="0" w:firstLine="5520" w:firstLineChars="2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年月日</w:t>
      </w:r>
    </w:p>
    <w:p w14:paraId="1901DD5D">
      <w:pPr>
        <w:pStyle w:val="11"/>
        <w:overflowPunct w:val="0"/>
        <w:spacing w:line="520" w:lineRule="exact"/>
        <w:ind w:firstLine="0"/>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联合体竞标协议书</w:t>
      </w:r>
    </w:p>
    <w:p w14:paraId="28B33C4B">
      <w:pPr>
        <w:pStyle w:val="11"/>
        <w:overflowPunct w:val="0"/>
        <w:spacing w:line="360" w:lineRule="auto"/>
        <w:ind w:firstLine="0"/>
        <w:rPr>
          <w:rFonts w:hint="default" w:ascii="Times New Roman" w:hAnsi="Times New Roman" w:cs="Times New Roman"/>
          <w:color w:val="auto"/>
          <w:sz w:val="24"/>
          <w:szCs w:val="24"/>
          <w:highlight w:val="none"/>
        </w:rPr>
      </w:pPr>
    </w:p>
    <w:p w14:paraId="27A43784">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（所有成员单位名称）</w:t>
      </w:r>
      <w:r>
        <w:rPr>
          <w:rFonts w:hint="default" w:ascii="Times New Roman" w:hAnsi="Times New Roman" w:cs="Times New Roman"/>
          <w:color w:val="auto"/>
          <w:sz w:val="24"/>
          <w:szCs w:val="24"/>
          <w:highlight w:val="none"/>
        </w:rPr>
        <w:t>自愿组成</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联合体，共同参加</w:t>
      </w:r>
      <w:r>
        <w:rPr>
          <w:rFonts w:hint="default" w:ascii="Times New Roman" w:hAnsi="Times New Roman" w:cs="Times New Roman"/>
          <w:color w:val="auto"/>
          <w:sz w:val="24"/>
          <w:szCs w:val="24"/>
          <w:highlight w:val="none"/>
          <w:u w:val="single"/>
        </w:rPr>
        <w:t>（项目名称）</w:t>
      </w:r>
      <w:r>
        <w:rPr>
          <w:rFonts w:hint="default" w:ascii="Times New Roman" w:hAnsi="Times New Roman" w:cs="Times New Roman"/>
          <w:color w:val="auto"/>
          <w:sz w:val="24"/>
          <w:highlight w:val="none"/>
          <w:u w:val="single"/>
        </w:rPr>
        <w:t>（项目编号）</w:t>
      </w:r>
      <w:r>
        <w:rPr>
          <w:rFonts w:hint="default" w:ascii="Times New Roman" w:hAnsi="Times New Roman" w:cs="Times New Roman"/>
          <w:color w:val="auto"/>
          <w:sz w:val="24"/>
          <w:szCs w:val="24"/>
          <w:highlight w:val="none"/>
        </w:rPr>
        <w:t>采购项目竞标。现就联合体竞标事宜订立如下协议。</w:t>
      </w:r>
    </w:p>
    <w:p w14:paraId="62D32982">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u w:val="single"/>
        </w:rPr>
        <w:t>（某成员单位名称）</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u w:val="single"/>
        </w:rPr>
        <w:t>（联合体名称）</w:t>
      </w:r>
      <w:r>
        <w:rPr>
          <w:rFonts w:hint="default" w:ascii="Times New Roman" w:hAnsi="Times New Roman" w:cs="Times New Roman"/>
          <w:color w:val="auto"/>
          <w:sz w:val="24"/>
          <w:szCs w:val="24"/>
          <w:highlight w:val="none"/>
        </w:rPr>
        <w:t>牵头人。</w:t>
      </w:r>
    </w:p>
    <w:p w14:paraId="561985D6">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575D489B">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CB727C1">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4.联合体各成员单位内部的职责分工如下：。</w:t>
      </w:r>
    </w:p>
    <w:p w14:paraId="7F842777">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5.本</w:t>
      </w:r>
      <w:r>
        <w:rPr>
          <w:rFonts w:hint="default" w:ascii="Times New Roman" w:hAnsi="Times New Roman" w:cs="Times New Roman"/>
          <w:color w:val="auto"/>
          <w:spacing w:val="-6"/>
          <w:sz w:val="24"/>
          <w:szCs w:val="24"/>
          <w:highlight w:val="none"/>
        </w:rPr>
        <w:t>协议书自所有成员单位法定代表人或者其委托代理人签字或者盖单位章之日起生效，合同履行完毕后自动失效。</w:t>
      </w:r>
    </w:p>
    <w:p w14:paraId="42A3E3F3">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6.本协议书一式</w:t>
      </w:r>
      <w:r>
        <w:rPr>
          <w:rFonts w:hint="default" w:ascii="Times New Roman" w:hAnsi="Times New Roman" w:cs="Times New Roman"/>
          <w:color w:val="auto"/>
          <w:sz w:val="24"/>
          <w:szCs w:val="24"/>
          <w:highlight w:val="none"/>
          <w:u w:val="single"/>
        </w:rPr>
        <w:tab/>
      </w:r>
      <w:r>
        <w:rPr>
          <w:rFonts w:hint="default" w:ascii="Times New Roman" w:hAnsi="Times New Roman" w:cs="Times New Roman"/>
          <w:color w:val="auto"/>
          <w:sz w:val="24"/>
          <w:szCs w:val="24"/>
          <w:highlight w:val="none"/>
        </w:rPr>
        <w:t>份，联合体成员和采购人各执一份。</w:t>
      </w:r>
    </w:p>
    <w:p w14:paraId="0B07A374">
      <w:pPr>
        <w:pStyle w:val="11"/>
        <w:overflowPunct w:val="0"/>
        <w:spacing w:line="360" w:lineRule="auto"/>
        <w:ind w:firstLine="480" w:firstLineChars="20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注：本协议书应附法定代表人身份证明书；有委托代理的，应附权委托书（格式自拟）。</w:t>
      </w:r>
    </w:p>
    <w:p w14:paraId="656A12B4">
      <w:pPr>
        <w:pStyle w:val="11"/>
        <w:overflowPunct w:val="0"/>
        <w:spacing w:line="360" w:lineRule="auto"/>
        <w:ind w:firstLineChars="175"/>
        <w:contextualSpacing/>
        <w:rPr>
          <w:rFonts w:hint="default" w:ascii="Times New Roman" w:hAnsi="Times New Roman" w:cs="Times New Roman"/>
          <w:color w:val="auto"/>
          <w:sz w:val="24"/>
          <w:szCs w:val="24"/>
          <w:highlight w:val="none"/>
        </w:rPr>
      </w:pPr>
    </w:p>
    <w:p w14:paraId="06087282">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联合体牵头人名称（电子签章）：</w:t>
      </w:r>
    </w:p>
    <w:p w14:paraId="7BCE0982">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6ECF085C">
      <w:pPr>
        <w:pStyle w:val="11"/>
        <w:overflowPunct w:val="0"/>
        <w:spacing w:line="360" w:lineRule="auto"/>
        <w:ind w:firstLine="0"/>
        <w:contextualSpacing/>
        <w:rPr>
          <w:rFonts w:hint="default" w:ascii="Times New Roman" w:hAnsi="Times New Roman" w:cs="Times New Roman"/>
          <w:color w:val="auto"/>
          <w:sz w:val="24"/>
          <w:szCs w:val="24"/>
          <w:highlight w:val="none"/>
        </w:rPr>
      </w:pPr>
    </w:p>
    <w:p w14:paraId="57D8146F">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115AF568">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631C33BA">
      <w:pPr>
        <w:pStyle w:val="11"/>
        <w:overflowPunct w:val="0"/>
        <w:spacing w:line="360" w:lineRule="auto"/>
        <w:ind w:firstLine="0"/>
        <w:contextualSpacing/>
        <w:rPr>
          <w:rFonts w:hint="default" w:ascii="Times New Roman" w:hAnsi="Times New Roman" w:cs="Times New Roman"/>
          <w:color w:val="auto"/>
          <w:sz w:val="24"/>
          <w:szCs w:val="24"/>
          <w:highlight w:val="none"/>
        </w:rPr>
      </w:pPr>
    </w:p>
    <w:p w14:paraId="6D9A36C9">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联合体成员名称（盖公章或者电子签章）：</w:t>
      </w:r>
    </w:p>
    <w:p w14:paraId="2266FAEB">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法定代表人或者其委托代理人（签字或者电子签名）：</w:t>
      </w:r>
    </w:p>
    <w:p w14:paraId="4A7EC9CC">
      <w:pPr>
        <w:pStyle w:val="11"/>
        <w:overflowPunct w:val="0"/>
        <w:spacing w:line="360" w:lineRule="auto"/>
        <w:ind w:firstLine="0"/>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62123F68">
      <w:pPr>
        <w:spacing w:line="360" w:lineRule="auto"/>
        <w:ind w:right="480" w:firstLine="240" w:firstLineChars="100"/>
        <w:contextualSpacing/>
        <w:jc w:val="center"/>
        <w:rPr>
          <w:rFonts w:hint="default" w:ascii="Times New Roman" w:hAnsi="Times New Roman" w:cs="Times New Roman"/>
          <w:color w:val="auto"/>
          <w:sz w:val="24"/>
          <w:highlight w:val="none"/>
        </w:rPr>
      </w:pPr>
    </w:p>
    <w:p w14:paraId="4BC1AE30">
      <w:pPr>
        <w:spacing w:line="360" w:lineRule="auto"/>
        <w:ind w:firstLine="240" w:firstLineChars="1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w:t>
      </w:r>
      <w:r>
        <w:rPr>
          <w:rFonts w:hint="default" w:ascii="Times New Roman" w:hAnsi="Times New Roman" w:cs="Times New Roman"/>
          <w:b/>
          <w:color w:val="auto"/>
          <w:sz w:val="32"/>
          <w:szCs w:val="32"/>
          <w:highlight w:val="none"/>
        </w:rPr>
        <w:t>报价文件格式</w:t>
      </w:r>
    </w:p>
    <w:p w14:paraId="609A7208">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1.报价文件封面格式</w:t>
      </w:r>
    </w:p>
    <w:p w14:paraId="33351A34">
      <w:pPr>
        <w:snapToGrid w:val="0"/>
        <w:spacing w:before="120" w:beforeLines="50" w:after="50"/>
        <w:rPr>
          <w:rFonts w:hint="default" w:ascii="Times New Roman" w:hAnsi="Times New Roman" w:cs="Times New Roman"/>
          <w:bCs/>
          <w:color w:val="auto"/>
          <w:sz w:val="32"/>
          <w:szCs w:val="20"/>
          <w:highlight w:val="none"/>
        </w:rPr>
      </w:pPr>
    </w:p>
    <w:p w14:paraId="3EB9A397">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5991CA11">
      <w:pPr>
        <w:snapToGrid w:val="0"/>
        <w:spacing w:before="120" w:beforeLines="50" w:after="50"/>
        <w:rPr>
          <w:rFonts w:hint="default" w:ascii="Times New Roman" w:hAnsi="Times New Roman" w:cs="Times New Roman"/>
          <w:color w:val="auto"/>
          <w:sz w:val="24"/>
          <w:szCs w:val="20"/>
          <w:highlight w:val="none"/>
        </w:rPr>
      </w:pPr>
    </w:p>
    <w:p w14:paraId="15A635BB">
      <w:pPr>
        <w:snapToGrid w:val="0"/>
        <w:spacing w:before="120" w:beforeLines="50" w:after="50"/>
        <w:rPr>
          <w:rFonts w:hint="default" w:ascii="Times New Roman" w:hAnsi="Times New Roman" w:cs="Times New Roman"/>
          <w:color w:val="auto"/>
          <w:sz w:val="24"/>
          <w:szCs w:val="20"/>
          <w:highlight w:val="none"/>
        </w:rPr>
      </w:pPr>
    </w:p>
    <w:p w14:paraId="7FB4F8D2">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报价文件</w:t>
      </w:r>
    </w:p>
    <w:p w14:paraId="5346E627">
      <w:pPr>
        <w:snapToGrid w:val="0"/>
        <w:spacing w:before="120" w:beforeLines="50" w:after="50"/>
        <w:rPr>
          <w:rFonts w:hint="default" w:ascii="Times New Roman" w:hAnsi="Times New Roman" w:cs="Times New Roman"/>
          <w:bCs/>
          <w:color w:val="auto"/>
          <w:sz w:val="24"/>
          <w:szCs w:val="20"/>
          <w:highlight w:val="none"/>
        </w:rPr>
      </w:pPr>
    </w:p>
    <w:p w14:paraId="78F0120B">
      <w:pPr>
        <w:snapToGrid w:val="0"/>
        <w:spacing w:before="120" w:beforeLines="50" w:after="50"/>
        <w:rPr>
          <w:rFonts w:hint="default" w:ascii="Times New Roman" w:hAnsi="Times New Roman" w:cs="Times New Roman"/>
          <w:bCs/>
          <w:color w:val="auto"/>
          <w:sz w:val="24"/>
          <w:szCs w:val="20"/>
          <w:highlight w:val="none"/>
        </w:rPr>
      </w:pPr>
    </w:p>
    <w:p w14:paraId="1D127AB5">
      <w:pPr>
        <w:snapToGrid w:val="0"/>
        <w:spacing w:before="120" w:beforeLines="50" w:after="50"/>
        <w:rPr>
          <w:rFonts w:hint="default" w:ascii="Times New Roman" w:hAnsi="Times New Roman" w:cs="Times New Roman"/>
          <w:bCs/>
          <w:color w:val="auto"/>
          <w:sz w:val="24"/>
          <w:szCs w:val="20"/>
          <w:highlight w:val="none"/>
        </w:rPr>
      </w:pPr>
    </w:p>
    <w:p w14:paraId="1706EF62">
      <w:pPr>
        <w:snapToGrid w:val="0"/>
        <w:spacing w:before="120" w:beforeLines="50" w:after="50"/>
        <w:rPr>
          <w:rFonts w:hint="default" w:ascii="Times New Roman" w:hAnsi="Times New Roman" w:cs="Times New Roman"/>
          <w:bCs/>
          <w:color w:val="auto"/>
          <w:sz w:val="24"/>
          <w:szCs w:val="20"/>
          <w:highlight w:val="none"/>
        </w:rPr>
      </w:pPr>
    </w:p>
    <w:p w14:paraId="50F8E047">
      <w:pPr>
        <w:snapToGrid w:val="0"/>
        <w:spacing w:before="120" w:beforeLines="50" w:after="50"/>
        <w:rPr>
          <w:rFonts w:hint="default" w:ascii="Times New Roman" w:hAnsi="Times New Roman" w:cs="Times New Roman"/>
          <w:bCs/>
          <w:color w:val="auto"/>
          <w:sz w:val="24"/>
          <w:szCs w:val="20"/>
          <w:highlight w:val="none"/>
        </w:rPr>
      </w:pPr>
    </w:p>
    <w:p w14:paraId="006B53B9">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2A23F37F">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7F408AC6">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58A4254C">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43083B7B">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0E6059F9">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4C855636">
      <w:pPr>
        <w:pStyle w:val="11"/>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55911FA2">
      <w:pPr>
        <w:pStyle w:val="11"/>
        <w:snapToGrid w:val="0"/>
        <w:spacing w:before="50" w:after="50"/>
        <w:ind w:firstLine="640" w:firstLineChars="200"/>
        <w:rPr>
          <w:rFonts w:hint="default" w:ascii="Times New Roman" w:hAnsi="Times New Roman" w:cs="Times New Roman"/>
          <w:bCs/>
          <w:color w:val="auto"/>
          <w:sz w:val="32"/>
          <w:szCs w:val="32"/>
          <w:highlight w:val="none"/>
        </w:rPr>
      </w:pPr>
    </w:p>
    <w:p w14:paraId="1B0DEB7C">
      <w:pPr>
        <w:pStyle w:val="11"/>
        <w:snapToGrid w:val="0"/>
        <w:spacing w:before="50" w:after="50"/>
        <w:ind w:firstLine="720" w:firstLineChars="225"/>
        <w:rPr>
          <w:rFonts w:hint="default" w:ascii="Times New Roman" w:hAnsi="Times New Roman" w:cs="Times New Roman"/>
          <w:bCs/>
          <w:color w:val="auto"/>
          <w:sz w:val="32"/>
          <w:szCs w:val="32"/>
          <w:highlight w:val="none"/>
        </w:rPr>
      </w:pPr>
    </w:p>
    <w:p w14:paraId="72B2C5BC">
      <w:pPr>
        <w:pStyle w:val="11"/>
        <w:snapToGrid w:val="0"/>
        <w:spacing w:before="50" w:after="50"/>
        <w:ind w:firstLine="0"/>
        <w:rPr>
          <w:rFonts w:hint="default" w:ascii="Times New Roman" w:hAnsi="Times New Roman" w:cs="Times New Roman"/>
          <w:bCs/>
          <w:color w:val="auto"/>
          <w:sz w:val="32"/>
          <w:szCs w:val="32"/>
          <w:highlight w:val="none"/>
        </w:rPr>
      </w:pPr>
    </w:p>
    <w:p w14:paraId="2BB0A765">
      <w:pPr>
        <w:pStyle w:val="11"/>
        <w:snapToGrid w:val="0"/>
        <w:spacing w:before="50" w:after="50"/>
        <w:ind w:firstLine="1280" w:firstLineChars="400"/>
        <w:rPr>
          <w:rFonts w:hint="default" w:ascii="Times New Roman" w:hAnsi="Times New Roman" w:cs="Times New Roman"/>
          <w:bCs/>
          <w:color w:val="auto"/>
          <w:sz w:val="32"/>
          <w:szCs w:val="32"/>
          <w:highlight w:val="none"/>
        </w:rPr>
      </w:pPr>
    </w:p>
    <w:p w14:paraId="2C3A608B">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7DBBF61E">
      <w:pPr>
        <w:snapToGrid w:val="0"/>
        <w:spacing w:before="120" w:beforeLines="50" w:after="50" w:line="360" w:lineRule="auto"/>
        <w:ind w:left="142"/>
        <w:jc w:val="left"/>
        <w:rPr>
          <w:rFonts w:hint="default" w:ascii="Times New Roman" w:hAnsi="Times New Roman" w:cs="Times New Roman"/>
          <w:b/>
          <w:bCs/>
          <w:color w:val="auto"/>
          <w:sz w:val="24"/>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color w:val="auto"/>
          <w:sz w:val="32"/>
          <w:szCs w:val="32"/>
          <w:highlight w:val="none"/>
        </w:rPr>
        <w:t>2.报价文件目录</w:t>
      </w:r>
    </w:p>
    <w:p w14:paraId="6AFF5C86">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竞标函及竞标函附录</w:t>
      </w:r>
    </w:p>
    <w:p w14:paraId="6F9E9498">
      <w:pPr>
        <w:spacing w:line="520" w:lineRule="exact"/>
        <w:jc w:val="center"/>
        <w:rPr>
          <w:rFonts w:hint="default" w:ascii="Times New Roman" w:hAnsi="Times New Roman" w:cs="Times New Roman"/>
          <w:b/>
          <w:bCs/>
          <w:color w:val="auto"/>
          <w:sz w:val="32"/>
          <w:szCs w:val="32"/>
          <w:highlight w:val="none"/>
        </w:rPr>
      </w:pPr>
    </w:p>
    <w:p w14:paraId="0FE55675">
      <w:pPr>
        <w:spacing w:line="52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（一）竞标函</w:t>
      </w:r>
    </w:p>
    <w:p w14:paraId="09B6696D">
      <w:pPr>
        <w:spacing w:line="520" w:lineRule="exact"/>
        <w:jc w:val="center"/>
        <w:rPr>
          <w:rFonts w:hint="default" w:ascii="Times New Roman" w:hAnsi="Times New Roman" w:cs="Times New Roman"/>
          <w:b/>
          <w:bCs/>
          <w:color w:val="auto"/>
          <w:sz w:val="32"/>
          <w:szCs w:val="32"/>
          <w:highlight w:val="none"/>
        </w:rPr>
      </w:pPr>
    </w:p>
    <w:p w14:paraId="6AF2FEA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zh-CN"/>
        </w:rPr>
        <w:t>采购人名称</w:t>
      </w:r>
      <w:r>
        <w:rPr>
          <w:rFonts w:hint="default" w:ascii="Times New Roman" w:hAnsi="Times New Roman" w:cs="Times New Roman"/>
          <w:color w:val="auto"/>
          <w:szCs w:val="21"/>
          <w:highlight w:val="none"/>
        </w:rPr>
        <w:t>）：</w:t>
      </w:r>
    </w:p>
    <w:p w14:paraId="1C166D4E">
      <w:pPr>
        <w:pStyle w:val="112"/>
        <w:numPr>
          <w:ilvl w:val="0"/>
          <w:numId w:val="2"/>
        </w:numPr>
        <w:tabs>
          <w:tab w:val="left" w:pos="762"/>
          <w:tab w:val="left" w:pos="2074"/>
          <w:tab w:val="left" w:pos="3430"/>
          <w:tab w:val="left" w:pos="4687"/>
          <w:tab w:val="left" w:pos="7898"/>
        </w:tabs>
        <w:ind w:firstLine="440"/>
        <w:rPr>
          <w:rFonts w:hint="default" w:ascii="Times New Roman" w:hAnsi="Times New Roman" w:cs="Times New Roman"/>
          <w:color w:val="auto"/>
          <w:szCs w:val="21"/>
          <w:highlight w:val="none"/>
        </w:rPr>
      </w:pPr>
      <w:bookmarkStart w:id="102" w:name="bookmark2065"/>
      <w:bookmarkEnd w:id="102"/>
      <w:r>
        <w:rPr>
          <w:rFonts w:hint="default" w:ascii="Times New Roman" w:hAnsi="Times New Roman" w:cs="Times New Roman"/>
          <w:color w:val="auto"/>
          <w:szCs w:val="21"/>
          <w:highlight w:val="none"/>
        </w:rPr>
        <w:t>我方已仔细研究了</w:t>
      </w:r>
      <w:r>
        <w:rPr>
          <w:rFonts w:hint="default" w:ascii="Times New Roman" w:hAnsi="Times New Roman" w:cs="Times New Roman"/>
          <w:color w:val="auto"/>
          <w:szCs w:val="21"/>
          <w:highlight w:val="none"/>
          <w:u w:val="single"/>
        </w:rPr>
        <w:t>（项目名称、项目编号）</w:t>
      </w:r>
      <w:r>
        <w:rPr>
          <w:rFonts w:hint="default" w:ascii="Times New Roman" w:hAnsi="Times New Roman" w:cs="Times New Roman"/>
          <w:color w:val="auto"/>
          <w:szCs w:val="21"/>
          <w:highlight w:val="none"/>
        </w:rPr>
        <w:t>磋商文件的全部内容，愿意以人民币（大写）</w:t>
      </w:r>
    </w:p>
    <w:p w14:paraId="1B5EB1B9">
      <w:pPr>
        <w:pStyle w:val="112"/>
        <w:tabs>
          <w:tab w:val="left" w:pos="762"/>
          <w:tab w:val="left" w:pos="2074"/>
          <w:tab w:val="left" w:pos="3430"/>
          <w:tab w:val="left" w:pos="4687"/>
          <w:tab w:val="left" w:pos="7898"/>
        </w:tabs>
        <w:ind w:firstLine="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元（¥）的竞标总报价，工期日历天，按合同约定实施和完成承包工程，修补工程中的任何缺陷，工程质量达到</w:t>
      </w:r>
      <w:r>
        <w:rPr>
          <w:rFonts w:hint="default" w:ascii="Times New Roman" w:hAnsi="Times New Roman" w:cs="Times New Roman"/>
          <w:color w:val="auto"/>
          <w:szCs w:val="21"/>
          <w:highlight w:val="none"/>
          <w:lang w:val="en-US"/>
        </w:rPr>
        <w:t>。</w:t>
      </w:r>
    </w:p>
    <w:p w14:paraId="28F745FB">
      <w:pPr>
        <w:pStyle w:val="112"/>
        <w:numPr>
          <w:ilvl w:val="0"/>
          <w:numId w:val="2"/>
        </w:numPr>
        <w:tabs>
          <w:tab w:val="left" w:pos="762"/>
        </w:tabs>
        <w:ind w:firstLine="420"/>
        <w:rPr>
          <w:rFonts w:hint="default" w:ascii="Times New Roman" w:hAnsi="Times New Roman" w:cs="Times New Roman"/>
          <w:color w:val="auto"/>
          <w:szCs w:val="21"/>
          <w:highlight w:val="none"/>
        </w:rPr>
      </w:pPr>
      <w:bookmarkStart w:id="103" w:name="bookmark2067"/>
      <w:bookmarkEnd w:id="103"/>
      <w:bookmarkStart w:id="104" w:name="bookmark2066"/>
      <w:bookmarkEnd w:id="104"/>
      <w:bookmarkStart w:id="105" w:name="bookmark2068"/>
      <w:bookmarkEnd w:id="105"/>
      <w:r>
        <w:rPr>
          <w:rFonts w:hint="default" w:ascii="Times New Roman" w:hAnsi="Times New Roman" w:cs="Times New Roman"/>
          <w:color w:val="auto"/>
          <w:highlight w:val="none"/>
        </w:rPr>
        <w:t>我方承认竞标函附录是我方竞标函的组成部分。</w:t>
      </w:r>
    </w:p>
    <w:p w14:paraId="0658DB41">
      <w:pPr>
        <w:pStyle w:val="112"/>
        <w:numPr>
          <w:ilvl w:val="0"/>
          <w:numId w:val="2"/>
        </w:numPr>
        <w:tabs>
          <w:tab w:val="left" w:pos="762"/>
        </w:tabs>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如我方成交：</w:t>
      </w:r>
    </w:p>
    <w:p w14:paraId="49555E9C">
      <w:pPr>
        <w:pStyle w:val="112"/>
        <w:tabs>
          <w:tab w:val="left" w:pos="903"/>
        </w:tabs>
        <w:ind w:firstLine="420"/>
        <w:rPr>
          <w:rFonts w:hint="default" w:ascii="Times New Roman" w:hAnsi="Times New Roman" w:cs="Times New Roman"/>
          <w:color w:val="auto"/>
          <w:szCs w:val="21"/>
          <w:highlight w:val="none"/>
        </w:rPr>
      </w:pPr>
      <w:bookmarkStart w:id="106" w:name="bookmark2069"/>
      <w:r>
        <w:rPr>
          <w:rFonts w:hint="default" w:ascii="Times New Roman" w:hAnsi="Times New Roman" w:cs="Times New Roman"/>
          <w:color w:val="auto"/>
          <w:szCs w:val="21"/>
          <w:highlight w:val="none"/>
        </w:rPr>
        <w:t>（</w:t>
      </w:r>
      <w:bookmarkEnd w:id="106"/>
      <w:r>
        <w:rPr>
          <w:rFonts w:hint="default" w:ascii="Times New Roman" w:hAnsi="Times New Roman" w:cs="Times New Roman"/>
          <w:color w:val="auto"/>
          <w:szCs w:val="21"/>
          <w:highlight w:val="none"/>
        </w:rPr>
        <w:t>1）我方承诺在收到成交通知书后，在成交通知书规定的期限内与你方签订合同。</w:t>
      </w:r>
    </w:p>
    <w:p w14:paraId="21DF23C3">
      <w:pPr>
        <w:pStyle w:val="112"/>
        <w:tabs>
          <w:tab w:val="left" w:pos="903"/>
        </w:tabs>
        <w:ind w:firstLine="420"/>
        <w:rPr>
          <w:rFonts w:hint="default" w:ascii="Times New Roman" w:hAnsi="Times New Roman" w:cs="Times New Roman"/>
          <w:color w:val="auto"/>
          <w:szCs w:val="21"/>
          <w:highlight w:val="none"/>
        </w:rPr>
      </w:pPr>
      <w:bookmarkStart w:id="107" w:name="bookmark2070"/>
      <w:r>
        <w:rPr>
          <w:rFonts w:hint="default" w:ascii="Times New Roman" w:hAnsi="Times New Roman" w:cs="Times New Roman"/>
          <w:color w:val="auto"/>
          <w:szCs w:val="21"/>
          <w:highlight w:val="none"/>
        </w:rPr>
        <w:t>（</w:t>
      </w:r>
      <w:bookmarkEnd w:id="107"/>
      <w:r>
        <w:rPr>
          <w:rFonts w:hint="default" w:ascii="Times New Roman" w:hAnsi="Times New Roman" w:cs="Times New Roman"/>
          <w:color w:val="auto"/>
          <w:szCs w:val="21"/>
          <w:highlight w:val="none"/>
        </w:rPr>
        <w:t>2）</w:t>
      </w:r>
      <w:r>
        <w:rPr>
          <w:rFonts w:hint="default" w:ascii="Times New Roman" w:hAnsi="Times New Roman" w:cs="Times New Roman"/>
          <w:color w:val="auto"/>
          <w:highlight w:val="none"/>
        </w:rPr>
        <w:t>在签订合同时不向你方提出附加条件</w:t>
      </w:r>
      <w:r>
        <w:rPr>
          <w:rFonts w:hint="default" w:ascii="Times New Roman" w:hAnsi="Times New Roman" w:cs="Times New Roman"/>
          <w:color w:val="auto"/>
          <w:szCs w:val="21"/>
          <w:highlight w:val="none"/>
        </w:rPr>
        <w:t>。</w:t>
      </w:r>
    </w:p>
    <w:p w14:paraId="1C456C18">
      <w:pPr>
        <w:pStyle w:val="112"/>
        <w:tabs>
          <w:tab w:val="left" w:pos="903"/>
        </w:tabs>
        <w:ind w:firstLine="420"/>
        <w:rPr>
          <w:rFonts w:hint="default" w:ascii="Times New Roman" w:hAnsi="Times New Roman" w:cs="Times New Roman"/>
          <w:color w:val="auto"/>
          <w:szCs w:val="21"/>
          <w:highlight w:val="none"/>
        </w:rPr>
      </w:pPr>
      <w:bookmarkStart w:id="108" w:name="bookmark2071"/>
      <w:r>
        <w:rPr>
          <w:rFonts w:hint="default" w:ascii="Times New Roman" w:hAnsi="Times New Roman" w:cs="Times New Roman"/>
          <w:color w:val="auto"/>
          <w:szCs w:val="21"/>
          <w:highlight w:val="none"/>
        </w:rPr>
        <w:t>（</w:t>
      </w:r>
      <w:bookmarkEnd w:id="108"/>
      <w:r>
        <w:rPr>
          <w:rFonts w:hint="default" w:ascii="Times New Roman" w:hAnsi="Times New Roman" w:cs="Times New Roman"/>
          <w:color w:val="auto"/>
          <w:szCs w:val="21"/>
          <w:highlight w:val="none"/>
        </w:rPr>
        <w:t>3）我方承诺按照磋商文件规定向你方递交履约担保。</w:t>
      </w:r>
    </w:p>
    <w:p w14:paraId="5515023C">
      <w:pPr>
        <w:pStyle w:val="112"/>
        <w:tabs>
          <w:tab w:val="left" w:pos="903"/>
        </w:tabs>
        <w:ind w:firstLine="420"/>
        <w:rPr>
          <w:rFonts w:hint="default" w:ascii="Times New Roman" w:hAnsi="Times New Roman" w:cs="Times New Roman"/>
          <w:color w:val="auto"/>
          <w:szCs w:val="21"/>
          <w:highlight w:val="none"/>
        </w:rPr>
      </w:pPr>
      <w:bookmarkStart w:id="109" w:name="bookmark2072"/>
      <w:r>
        <w:rPr>
          <w:rFonts w:hint="default" w:ascii="Times New Roman" w:hAnsi="Times New Roman" w:cs="Times New Roman"/>
          <w:color w:val="auto"/>
          <w:szCs w:val="21"/>
          <w:highlight w:val="none"/>
        </w:rPr>
        <w:t>（</w:t>
      </w:r>
      <w:bookmarkEnd w:id="109"/>
      <w:r>
        <w:rPr>
          <w:rFonts w:hint="default" w:ascii="Times New Roman" w:hAnsi="Times New Roman" w:cs="Times New Roman"/>
          <w:color w:val="auto"/>
          <w:szCs w:val="21"/>
          <w:highlight w:val="none"/>
        </w:rPr>
        <w:t>4）我方承诺在合同约定的期限内完成并移交全部合同工程。</w:t>
      </w:r>
    </w:p>
    <w:p w14:paraId="5122CA78">
      <w:pPr>
        <w:pStyle w:val="112"/>
        <w:numPr>
          <w:ilvl w:val="0"/>
          <w:numId w:val="2"/>
        </w:numPr>
        <w:tabs>
          <w:tab w:val="left" w:pos="762"/>
        </w:tabs>
        <w:ind w:firstLine="440"/>
        <w:rPr>
          <w:rFonts w:hint="default" w:ascii="Times New Roman" w:hAnsi="Times New Roman" w:cs="Times New Roman"/>
          <w:color w:val="auto"/>
          <w:szCs w:val="21"/>
          <w:highlight w:val="none"/>
        </w:rPr>
      </w:pPr>
      <w:bookmarkStart w:id="110" w:name="bookmark2073"/>
      <w:bookmarkEnd w:id="110"/>
      <w:r>
        <w:rPr>
          <w:rFonts w:hint="default" w:ascii="Times New Roman" w:hAnsi="Times New Roman" w:cs="Times New Roman"/>
          <w:color w:val="auto"/>
          <w:highlight w:val="none"/>
        </w:rPr>
        <w:t>在合同协议书正式签署生效之前，本</w:t>
      </w:r>
      <w:r>
        <w:rPr>
          <w:rFonts w:hint="default" w:ascii="Times New Roman" w:hAnsi="Times New Roman" w:cs="Times New Roman"/>
          <w:color w:val="auto"/>
          <w:szCs w:val="21"/>
          <w:highlight w:val="none"/>
        </w:rPr>
        <w:t>竞标</w:t>
      </w:r>
      <w:r>
        <w:rPr>
          <w:rFonts w:hint="default" w:ascii="Times New Roman" w:hAnsi="Times New Roman" w:cs="Times New Roman"/>
          <w:color w:val="auto"/>
          <w:highlight w:val="none"/>
        </w:rPr>
        <w:t>函连同你方的成交通知书将构成我们双方之间共同遵守的文件，对双方具有约束力</w:t>
      </w:r>
      <w:r>
        <w:rPr>
          <w:rFonts w:hint="default" w:ascii="Times New Roman" w:hAnsi="Times New Roman" w:cs="Times New Roman"/>
          <w:color w:val="auto"/>
          <w:szCs w:val="21"/>
          <w:highlight w:val="none"/>
        </w:rPr>
        <w:t>。</w:t>
      </w:r>
    </w:p>
    <w:p w14:paraId="24B2DE7D">
      <w:pPr>
        <w:spacing w:line="360" w:lineRule="auto"/>
        <w:ind w:firstLine="420" w:firstLineChars="200"/>
        <w:rPr>
          <w:rFonts w:hint="default" w:ascii="Times New Roman" w:hAnsi="Times New Roman" w:cs="Times New Roman"/>
          <w:color w:val="auto"/>
          <w:szCs w:val="21"/>
          <w:highlight w:val="none"/>
        </w:rPr>
      </w:pPr>
      <w:bookmarkStart w:id="111" w:name="bookmark2074"/>
      <w:bookmarkEnd w:id="111"/>
      <w:r>
        <w:rPr>
          <w:rFonts w:hint="default" w:ascii="Times New Roman" w:hAnsi="Times New Roman" w:cs="Times New Roman"/>
          <w:color w:val="auto"/>
          <w:szCs w:val="21"/>
          <w:highlight w:val="none"/>
        </w:rPr>
        <w:t>5.（其他补充说明）。</w:t>
      </w:r>
    </w:p>
    <w:p w14:paraId="1F851645">
      <w:pPr>
        <w:spacing w:line="360" w:lineRule="auto"/>
        <w:jc w:val="center"/>
        <w:rPr>
          <w:rFonts w:hint="default" w:ascii="Times New Roman" w:hAnsi="Times New Roman" w:cs="Times New Roman"/>
          <w:b/>
          <w:bCs/>
          <w:color w:val="auto"/>
          <w:sz w:val="32"/>
          <w:szCs w:val="32"/>
          <w:highlight w:val="none"/>
        </w:rPr>
      </w:pPr>
    </w:p>
    <w:p w14:paraId="44B40E1A">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09A918CE">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FF1CA23">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color w:val="auto"/>
          <w:sz w:val="24"/>
          <w:highlight w:val="none"/>
        </w:rPr>
        <w:t>日期：年月日</w:t>
      </w:r>
      <w:r>
        <w:rPr>
          <w:rFonts w:hint="default" w:ascii="Times New Roman" w:hAnsi="Times New Roman" w:cs="Times New Roman"/>
          <w:b/>
          <w:bCs/>
          <w:color w:val="auto"/>
          <w:sz w:val="32"/>
          <w:szCs w:val="32"/>
          <w:highlight w:val="none"/>
        </w:rPr>
        <w:br w:type="page"/>
      </w:r>
      <w:r>
        <w:rPr>
          <w:rFonts w:hint="default" w:ascii="Times New Roman" w:hAnsi="Times New Roman" w:cs="Times New Roman"/>
          <w:b/>
          <w:bCs/>
          <w:color w:val="auto"/>
          <w:sz w:val="32"/>
          <w:szCs w:val="32"/>
          <w:highlight w:val="none"/>
        </w:rPr>
        <w:t>（二）竞标函附录</w:t>
      </w:r>
    </w:p>
    <w:p w14:paraId="3DE505ED">
      <w:pPr>
        <w:spacing w:line="360" w:lineRule="auto"/>
        <w:jc w:val="center"/>
        <w:rPr>
          <w:rFonts w:hint="default" w:ascii="Times New Roman" w:hAnsi="Times New Roman" w:cs="Times New Roman"/>
          <w:b/>
          <w:bCs/>
          <w:color w:val="auto"/>
          <w:sz w:val="32"/>
          <w:szCs w:val="32"/>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DFB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61F23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985" w:type="dxa"/>
            <w:vAlign w:val="center"/>
          </w:tcPr>
          <w:p w14:paraId="36273A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条款内容</w:t>
            </w:r>
          </w:p>
        </w:tc>
        <w:tc>
          <w:tcPr>
            <w:tcW w:w="2126" w:type="dxa"/>
            <w:vAlign w:val="center"/>
          </w:tcPr>
          <w:p w14:paraId="2FFF688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合同条款号</w:t>
            </w:r>
          </w:p>
        </w:tc>
        <w:tc>
          <w:tcPr>
            <w:tcW w:w="1984" w:type="dxa"/>
            <w:vAlign w:val="center"/>
          </w:tcPr>
          <w:p w14:paraId="0C36A87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约定内容</w:t>
            </w:r>
          </w:p>
        </w:tc>
        <w:tc>
          <w:tcPr>
            <w:tcW w:w="1843" w:type="dxa"/>
            <w:vAlign w:val="center"/>
          </w:tcPr>
          <w:p w14:paraId="23C4BA9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供应商响应情况</w:t>
            </w:r>
          </w:p>
        </w:tc>
      </w:tr>
      <w:tr w14:paraId="481B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7EAEBA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985" w:type="dxa"/>
            <w:vAlign w:val="center"/>
          </w:tcPr>
          <w:p w14:paraId="7070195C">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2126" w:type="dxa"/>
            <w:tcMar>
              <w:left w:w="170" w:type="dxa"/>
            </w:tcMar>
            <w:vAlign w:val="center"/>
          </w:tcPr>
          <w:p w14:paraId="1A4FDBB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37EE037">
            <w:pP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843" w:type="dxa"/>
            <w:vAlign w:val="center"/>
          </w:tcPr>
          <w:p w14:paraId="23AFB28F">
            <w:pPr>
              <w:jc w:val="center"/>
              <w:rPr>
                <w:rFonts w:hint="default" w:ascii="Times New Roman" w:hAnsi="Times New Roman" w:cs="Times New Roman"/>
                <w:color w:val="auto"/>
                <w:highlight w:val="none"/>
              </w:rPr>
            </w:pPr>
          </w:p>
        </w:tc>
      </w:tr>
      <w:tr w14:paraId="2084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20D198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985" w:type="dxa"/>
            <w:vAlign w:val="center"/>
          </w:tcPr>
          <w:p w14:paraId="53C7134D">
            <w:pPr>
              <w:rPr>
                <w:rFonts w:hint="default" w:ascii="Times New Roman" w:hAnsi="Times New Roman" w:cs="Times New Roman"/>
                <w:color w:val="auto"/>
                <w:highlight w:val="none"/>
              </w:rPr>
            </w:pPr>
            <w:r>
              <w:rPr>
                <w:rFonts w:hint="default" w:ascii="Times New Roman" w:hAnsi="Times New Roman" w:cs="Times New Roman"/>
                <w:color w:val="auto"/>
                <w:highlight w:val="none"/>
              </w:rPr>
              <w:t>竞标有效期</w:t>
            </w:r>
          </w:p>
        </w:tc>
        <w:tc>
          <w:tcPr>
            <w:tcW w:w="2126" w:type="dxa"/>
            <w:tcMar>
              <w:left w:w="170" w:type="dxa"/>
            </w:tcMar>
            <w:vAlign w:val="center"/>
          </w:tcPr>
          <w:p w14:paraId="619469E4">
            <w:pPr>
              <w:rPr>
                <w:rFonts w:hint="default" w:ascii="Times New Roman" w:hAnsi="Times New Roman" w:cs="Times New Roman"/>
                <w:color w:val="auto"/>
                <w:highlight w:val="none"/>
              </w:rPr>
            </w:pPr>
          </w:p>
        </w:tc>
        <w:tc>
          <w:tcPr>
            <w:tcW w:w="1984" w:type="dxa"/>
            <w:vAlign w:val="center"/>
          </w:tcPr>
          <w:p w14:paraId="09086CBF">
            <w:pPr>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日历天</w:t>
            </w:r>
          </w:p>
        </w:tc>
        <w:tc>
          <w:tcPr>
            <w:tcW w:w="1843" w:type="dxa"/>
            <w:vAlign w:val="center"/>
          </w:tcPr>
          <w:p w14:paraId="7B483BB4">
            <w:pPr>
              <w:jc w:val="center"/>
              <w:rPr>
                <w:rFonts w:hint="default" w:ascii="Times New Roman" w:hAnsi="Times New Roman" w:cs="Times New Roman"/>
                <w:color w:val="auto"/>
                <w:highlight w:val="none"/>
              </w:rPr>
            </w:pPr>
          </w:p>
        </w:tc>
      </w:tr>
      <w:tr w14:paraId="7C4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B1C4D0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985" w:type="dxa"/>
            <w:vAlign w:val="center"/>
          </w:tcPr>
          <w:p w14:paraId="720E0196">
            <w:pPr>
              <w:rPr>
                <w:rFonts w:hint="default" w:ascii="Times New Roman" w:hAnsi="Times New Roman" w:cs="Times New Roman"/>
                <w:color w:val="auto"/>
                <w:highlight w:val="none"/>
              </w:rPr>
            </w:pPr>
            <w:r>
              <w:rPr>
                <w:rFonts w:hint="default" w:ascii="Times New Roman" w:hAnsi="Times New Roman" w:cs="Times New Roman"/>
                <w:color w:val="auto"/>
                <w:highlight w:val="none"/>
              </w:rPr>
              <w:t>工期</w:t>
            </w:r>
          </w:p>
        </w:tc>
        <w:tc>
          <w:tcPr>
            <w:tcW w:w="2126" w:type="dxa"/>
            <w:tcMar>
              <w:left w:w="170" w:type="dxa"/>
            </w:tcMar>
            <w:vAlign w:val="center"/>
          </w:tcPr>
          <w:p w14:paraId="738B51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91FD4D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日历天</w:t>
            </w:r>
          </w:p>
        </w:tc>
        <w:tc>
          <w:tcPr>
            <w:tcW w:w="1843" w:type="dxa"/>
            <w:vAlign w:val="center"/>
          </w:tcPr>
          <w:p w14:paraId="60362DDA">
            <w:pPr>
              <w:jc w:val="center"/>
              <w:rPr>
                <w:rFonts w:hint="default" w:ascii="Times New Roman" w:hAnsi="Times New Roman" w:cs="Times New Roman"/>
                <w:color w:val="auto"/>
                <w:highlight w:val="none"/>
              </w:rPr>
            </w:pPr>
          </w:p>
        </w:tc>
      </w:tr>
      <w:tr w14:paraId="6856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1966E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985" w:type="dxa"/>
            <w:vAlign w:val="center"/>
          </w:tcPr>
          <w:p w14:paraId="0ACF9F3A">
            <w:pPr>
              <w:rPr>
                <w:rFonts w:hint="default" w:ascii="Times New Roman" w:hAnsi="Times New Roman" w:cs="Times New Roman"/>
                <w:color w:val="auto"/>
                <w:highlight w:val="none"/>
              </w:rPr>
            </w:pPr>
            <w:r>
              <w:rPr>
                <w:rFonts w:hint="default" w:ascii="Times New Roman" w:hAnsi="Times New Roman" w:cs="Times New Roman"/>
                <w:color w:val="auto"/>
                <w:highlight w:val="none"/>
              </w:rPr>
              <w:t>缺陷责任期</w:t>
            </w:r>
          </w:p>
        </w:tc>
        <w:tc>
          <w:tcPr>
            <w:tcW w:w="2126" w:type="dxa"/>
            <w:tcMar>
              <w:left w:w="170" w:type="dxa"/>
            </w:tcMar>
            <w:vAlign w:val="center"/>
          </w:tcPr>
          <w:p w14:paraId="270E051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0E6792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个月</w:t>
            </w:r>
          </w:p>
        </w:tc>
        <w:tc>
          <w:tcPr>
            <w:tcW w:w="1843" w:type="dxa"/>
            <w:vAlign w:val="center"/>
          </w:tcPr>
          <w:p w14:paraId="4791F541">
            <w:pPr>
              <w:jc w:val="center"/>
              <w:rPr>
                <w:rFonts w:hint="default" w:ascii="Times New Roman" w:hAnsi="Times New Roman" w:cs="Times New Roman"/>
                <w:color w:val="auto"/>
                <w:highlight w:val="none"/>
              </w:rPr>
            </w:pPr>
          </w:p>
        </w:tc>
      </w:tr>
      <w:tr w14:paraId="1AD0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77A87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985" w:type="dxa"/>
            <w:vAlign w:val="center"/>
          </w:tcPr>
          <w:p w14:paraId="5C95D86A">
            <w:pPr>
              <w:rPr>
                <w:rFonts w:hint="default" w:ascii="Times New Roman" w:hAnsi="Times New Roman" w:cs="Times New Roman"/>
                <w:color w:val="auto"/>
                <w:highlight w:val="none"/>
              </w:rPr>
            </w:pPr>
            <w:r>
              <w:rPr>
                <w:rFonts w:hint="default" w:ascii="Times New Roman" w:hAnsi="Times New Roman" w:cs="Times New Roman"/>
                <w:color w:val="auto"/>
                <w:highlight w:val="none"/>
              </w:rPr>
              <w:t>承包人履约担保金额</w:t>
            </w:r>
          </w:p>
        </w:tc>
        <w:tc>
          <w:tcPr>
            <w:tcW w:w="2126" w:type="dxa"/>
            <w:tcMar>
              <w:left w:w="170" w:type="dxa"/>
            </w:tcMar>
            <w:vAlign w:val="center"/>
          </w:tcPr>
          <w:p w14:paraId="344300F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36CA36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合同价款的   %</w:t>
            </w:r>
          </w:p>
        </w:tc>
        <w:tc>
          <w:tcPr>
            <w:tcW w:w="1843" w:type="dxa"/>
            <w:vAlign w:val="center"/>
          </w:tcPr>
          <w:p w14:paraId="6F09F337">
            <w:pPr>
              <w:jc w:val="center"/>
              <w:rPr>
                <w:rFonts w:hint="default" w:ascii="Times New Roman" w:hAnsi="Times New Roman" w:cs="Times New Roman"/>
                <w:color w:val="auto"/>
                <w:highlight w:val="none"/>
              </w:rPr>
            </w:pPr>
          </w:p>
        </w:tc>
      </w:tr>
      <w:tr w14:paraId="2771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CDAFD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985" w:type="dxa"/>
            <w:vAlign w:val="center"/>
          </w:tcPr>
          <w:p w14:paraId="0CCC1D6A">
            <w:pPr>
              <w:rPr>
                <w:rFonts w:hint="default" w:ascii="Times New Roman" w:hAnsi="Times New Roman" w:cs="Times New Roman"/>
                <w:color w:val="auto"/>
                <w:highlight w:val="none"/>
              </w:rPr>
            </w:pPr>
            <w:r>
              <w:rPr>
                <w:rFonts w:hint="default" w:ascii="Times New Roman" w:hAnsi="Times New Roman" w:cs="Times New Roman"/>
                <w:color w:val="auto"/>
                <w:highlight w:val="none"/>
              </w:rPr>
              <w:t>分包</w:t>
            </w:r>
          </w:p>
        </w:tc>
        <w:tc>
          <w:tcPr>
            <w:tcW w:w="2126" w:type="dxa"/>
            <w:tcMar>
              <w:left w:w="170" w:type="dxa"/>
            </w:tcMar>
            <w:vAlign w:val="center"/>
          </w:tcPr>
          <w:p w14:paraId="2D6F71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34713EA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见分包项目情况表</w:t>
            </w:r>
          </w:p>
        </w:tc>
        <w:tc>
          <w:tcPr>
            <w:tcW w:w="1843" w:type="dxa"/>
            <w:vAlign w:val="center"/>
          </w:tcPr>
          <w:p w14:paraId="6F9421C7">
            <w:pPr>
              <w:jc w:val="center"/>
              <w:rPr>
                <w:rFonts w:hint="default" w:ascii="Times New Roman" w:hAnsi="Times New Roman" w:cs="Times New Roman"/>
                <w:color w:val="auto"/>
                <w:highlight w:val="none"/>
              </w:rPr>
            </w:pPr>
          </w:p>
        </w:tc>
      </w:tr>
      <w:tr w14:paraId="3792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05F81D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985" w:type="dxa"/>
            <w:vAlign w:val="center"/>
          </w:tcPr>
          <w:p w14:paraId="70D7331E">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w:t>
            </w:r>
          </w:p>
        </w:tc>
        <w:tc>
          <w:tcPr>
            <w:tcW w:w="2126" w:type="dxa"/>
            <w:tcMar>
              <w:left w:w="170" w:type="dxa"/>
            </w:tcMar>
            <w:vAlign w:val="center"/>
          </w:tcPr>
          <w:p w14:paraId="724710C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13D29B64">
            <w:pP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每天赔偿金额为合同价款的万分之四</w:t>
            </w:r>
          </w:p>
        </w:tc>
        <w:tc>
          <w:tcPr>
            <w:tcW w:w="1843" w:type="dxa"/>
            <w:vAlign w:val="center"/>
          </w:tcPr>
          <w:p w14:paraId="40A639A6">
            <w:pPr>
              <w:jc w:val="center"/>
              <w:rPr>
                <w:rFonts w:hint="default" w:ascii="Times New Roman" w:hAnsi="Times New Roman" w:cs="Times New Roman"/>
                <w:color w:val="auto"/>
                <w:highlight w:val="none"/>
              </w:rPr>
            </w:pPr>
          </w:p>
        </w:tc>
      </w:tr>
      <w:tr w14:paraId="6334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169C7E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985" w:type="dxa"/>
            <w:vAlign w:val="center"/>
          </w:tcPr>
          <w:p w14:paraId="45ACCA13">
            <w:pPr>
              <w:rPr>
                <w:rFonts w:hint="default" w:ascii="Times New Roman" w:hAnsi="Times New Roman" w:cs="Times New Roman"/>
                <w:color w:val="auto"/>
                <w:highlight w:val="none"/>
              </w:rPr>
            </w:pPr>
            <w:r>
              <w:rPr>
                <w:rFonts w:hint="default" w:ascii="Times New Roman" w:hAnsi="Times New Roman" w:cs="Times New Roman"/>
                <w:color w:val="auto"/>
                <w:highlight w:val="none"/>
              </w:rPr>
              <w:t>逾期竣工违约金最高限额</w:t>
            </w:r>
          </w:p>
        </w:tc>
        <w:tc>
          <w:tcPr>
            <w:tcW w:w="2126" w:type="dxa"/>
            <w:tcMar>
              <w:left w:w="170" w:type="dxa"/>
            </w:tcMar>
            <w:vAlign w:val="center"/>
          </w:tcPr>
          <w:p w14:paraId="24E9E03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78832B88">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签约合同价扣除发包人材料价款、暂估专业工程、暂列金额后的    % 。</w:t>
            </w:r>
          </w:p>
        </w:tc>
        <w:tc>
          <w:tcPr>
            <w:tcW w:w="1843" w:type="dxa"/>
            <w:vAlign w:val="center"/>
          </w:tcPr>
          <w:p w14:paraId="50500F2D">
            <w:pPr>
              <w:jc w:val="center"/>
              <w:rPr>
                <w:rFonts w:hint="default" w:ascii="Times New Roman" w:hAnsi="Times New Roman" w:cs="Times New Roman"/>
                <w:color w:val="auto"/>
                <w:highlight w:val="none"/>
              </w:rPr>
            </w:pPr>
          </w:p>
        </w:tc>
      </w:tr>
      <w:tr w14:paraId="004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79E903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985" w:type="dxa"/>
            <w:vAlign w:val="center"/>
          </w:tcPr>
          <w:p w14:paraId="1B784FD6">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质量标准</w:t>
            </w:r>
          </w:p>
        </w:tc>
        <w:tc>
          <w:tcPr>
            <w:tcW w:w="2126" w:type="dxa"/>
            <w:tcMar>
              <w:left w:w="170" w:type="dxa"/>
            </w:tcMar>
            <w:vAlign w:val="center"/>
          </w:tcPr>
          <w:p w14:paraId="76E97C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2F65DF8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合格</w:t>
            </w:r>
          </w:p>
        </w:tc>
        <w:tc>
          <w:tcPr>
            <w:tcW w:w="1843" w:type="dxa"/>
            <w:vAlign w:val="center"/>
          </w:tcPr>
          <w:p w14:paraId="1132A9EE">
            <w:pPr>
              <w:jc w:val="center"/>
              <w:rPr>
                <w:rFonts w:hint="default" w:ascii="Times New Roman" w:hAnsi="Times New Roman" w:cs="Times New Roman"/>
                <w:color w:val="auto"/>
                <w:highlight w:val="none"/>
              </w:rPr>
            </w:pPr>
          </w:p>
        </w:tc>
      </w:tr>
      <w:tr w14:paraId="399B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558A8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985" w:type="dxa"/>
            <w:vAlign w:val="center"/>
          </w:tcPr>
          <w:p w14:paraId="73F00CE4">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预付款额度</w:t>
            </w:r>
          </w:p>
        </w:tc>
        <w:tc>
          <w:tcPr>
            <w:tcW w:w="2126" w:type="dxa"/>
            <w:tcMar>
              <w:left w:w="170" w:type="dxa"/>
            </w:tcMar>
            <w:vAlign w:val="center"/>
          </w:tcPr>
          <w:p w14:paraId="37B2FF8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4F70F8E1">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6F57ED27">
            <w:pPr>
              <w:jc w:val="center"/>
              <w:rPr>
                <w:rFonts w:hint="default" w:ascii="Times New Roman" w:hAnsi="Times New Roman" w:cs="Times New Roman"/>
                <w:color w:val="auto"/>
                <w:highlight w:val="none"/>
              </w:rPr>
            </w:pPr>
          </w:p>
        </w:tc>
      </w:tr>
      <w:tr w14:paraId="5618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76E7F1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1985" w:type="dxa"/>
            <w:vAlign w:val="center"/>
          </w:tcPr>
          <w:p w14:paraId="022FEBA1">
            <w:pPr>
              <w:rPr>
                <w:rFonts w:hint="default" w:ascii="Times New Roman" w:hAnsi="Times New Roman" w:cs="Times New Roman"/>
                <w:color w:val="auto"/>
                <w:highlight w:val="none"/>
              </w:rPr>
            </w:pPr>
            <w:r>
              <w:rPr>
                <w:rFonts w:hint="default" w:ascii="Times New Roman" w:hAnsi="Times New Roman" w:cs="Times New Roman"/>
                <w:color w:val="auto"/>
                <w:highlight w:val="none"/>
              </w:rPr>
              <w:t>预付款保函金额</w:t>
            </w:r>
          </w:p>
        </w:tc>
        <w:tc>
          <w:tcPr>
            <w:tcW w:w="2126" w:type="dxa"/>
            <w:tcMar>
              <w:left w:w="170" w:type="dxa"/>
            </w:tcMar>
            <w:vAlign w:val="center"/>
          </w:tcPr>
          <w:p w14:paraId="7DD4C7C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6E07EA4F">
            <w:pPr>
              <w:jc w:val="center"/>
              <w:rPr>
                <w:rFonts w:hint="default" w:ascii="Times New Roman" w:hAnsi="Times New Roman" w:cs="Times New Roman"/>
                <w:color w:val="auto"/>
                <w:highlight w:val="none"/>
              </w:rPr>
            </w:pPr>
            <w:r>
              <w:rPr>
                <w:rFonts w:hint="default" w:ascii="Times New Roman" w:hAnsi="Times New Roman" w:cs="Times New Roman"/>
                <w:color w:val="auto"/>
                <w:szCs w:val="21"/>
                <w:highlight w:val="none"/>
                <w:u w:val="single"/>
              </w:rPr>
              <w:t xml:space="preserve">  %</w:t>
            </w:r>
          </w:p>
        </w:tc>
        <w:tc>
          <w:tcPr>
            <w:tcW w:w="1843" w:type="dxa"/>
            <w:vAlign w:val="center"/>
          </w:tcPr>
          <w:p w14:paraId="7AA96B36">
            <w:pPr>
              <w:jc w:val="center"/>
              <w:rPr>
                <w:rFonts w:hint="default" w:ascii="Times New Roman" w:hAnsi="Times New Roman" w:cs="Times New Roman"/>
                <w:color w:val="auto"/>
                <w:highlight w:val="none"/>
              </w:rPr>
            </w:pPr>
          </w:p>
        </w:tc>
      </w:tr>
      <w:tr w14:paraId="11F2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E880EE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1985" w:type="dxa"/>
            <w:vAlign w:val="center"/>
          </w:tcPr>
          <w:p w14:paraId="07724806">
            <w:pPr>
              <w:rPr>
                <w:rFonts w:hint="default" w:ascii="Times New Roman" w:hAnsi="Times New Roman" w:cs="Times New Roman"/>
                <w:color w:val="auto"/>
                <w:highlight w:val="none"/>
              </w:rPr>
            </w:pPr>
            <w:r>
              <w:rPr>
                <w:rFonts w:hint="default" w:ascii="Times New Roman" w:hAnsi="Times New Roman" w:cs="Times New Roman"/>
                <w:color w:val="auto"/>
                <w:highlight w:val="none"/>
              </w:rPr>
              <w:t>质量保证金额度</w:t>
            </w:r>
          </w:p>
        </w:tc>
        <w:tc>
          <w:tcPr>
            <w:tcW w:w="2126" w:type="dxa"/>
            <w:tcMar>
              <w:left w:w="170" w:type="dxa"/>
            </w:tcMar>
            <w:vAlign w:val="center"/>
          </w:tcPr>
          <w:p w14:paraId="0EEECFC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专用条款</w:t>
            </w:r>
          </w:p>
        </w:tc>
        <w:tc>
          <w:tcPr>
            <w:tcW w:w="1984" w:type="dxa"/>
            <w:vAlign w:val="center"/>
          </w:tcPr>
          <w:p w14:paraId="00B29F6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 </w:t>
            </w:r>
          </w:p>
        </w:tc>
        <w:tc>
          <w:tcPr>
            <w:tcW w:w="1843" w:type="dxa"/>
            <w:vAlign w:val="center"/>
          </w:tcPr>
          <w:p w14:paraId="17640AA8">
            <w:pPr>
              <w:jc w:val="center"/>
              <w:rPr>
                <w:rFonts w:hint="default" w:ascii="Times New Roman" w:hAnsi="Times New Roman" w:cs="Times New Roman"/>
                <w:color w:val="auto"/>
                <w:highlight w:val="none"/>
              </w:rPr>
            </w:pPr>
          </w:p>
        </w:tc>
      </w:tr>
      <w:tr w14:paraId="0FC7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76E281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985" w:type="dxa"/>
            <w:vAlign w:val="center"/>
          </w:tcPr>
          <w:p w14:paraId="7BA138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2126" w:type="dxa"/>
            <w:tcMar>
              <w:left w:w="170" w:type="dxa"/>
            </w:tcMar>
            <w:vAlign w:val="center"/>
          </w:tcPr>
          <w:p w14:paraId="74EAD0F8">
            <w:pPr>
              <w:rPr>
                <w:rFonts w:hint="default" w:ascii="Times New Roman" w:hAnsi="Times New Roman" w:cs="Times New Roman"/>
                <w:color w:val="auto"/>
                <w:highlight w:val="none"/>
              </w:rPr>
            </w:pPr>
          </w:p>
        </w:tc>
        <w:tc>
          <w:tcPr>
            <w:tcW w:w="1984" w:type="dxa"/>
            <w:vAlign w:val="center"/>
          </w:tcPr>
          <w:p w14:paraId="18A9B859">
            <w:pPr>
              <w:jc w:val="center"/>
              <w:rPr>
                <w:rFonts w:hint="default" w:ascii="Times New Roman" w:hAnsi="Times New Roman" w:cs="Times New Roman"/>
                <w:color w:val="auto"/>
                <w:highlight w:val="none"/>
              </w:rPr>
            </w:pPr>
          </w:p>
        </w:tc>
        <w:tc>
          <w:tcPr>
            <w:tcW w:w="1843" w:type="dxa"/>
            <w:vAlign w:val="center"/>
          </w:tcPr>
          <w:p w14:paraId="676E70D0">
            <w:pPr>
              <w:jc w:val="center"/>
              <w:rPr>
                <w:rFonts w:hint="default" w:ascii="Times New Roman" w:hAnsi="Times New Roman" w:cs="Times New Roman"/>
                <w:color w:val="auto"/>
                <w:highlight w:val="none"/>
              </w:rPr>
            </w:pPr>
          </w:p>
        </w:tc>
      </w:tr>
      <w:tr w14:paraId="2410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609A5275">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说明：供应商在响应磋商文件中规定的实质性要求和条件的基础上，可做出其他有利于采购人的承诺。此类承诺可在本表中予以补充填写。</w:t>
            </w:r>
          </w:p>
        </w:tc>
      </w:tr>
    </w:tbl>
    <w:p w14:paraId="1497B70F">
      <w:pPr>
        <w:spacing w:line="360" w:lineRule="auto"/>
        <w:ind w:right="-817" w:rightChars="-389" w:firstLine="2640" w:firstLineChars="1100"/>
        <w:contextualSpacing/>
        <w:rPr>
          <w:rFonts w:hint="default" w:ascii="Times New Roman" w:hAnsi="Times New Roman" w:cs="Times New Roman"/>
          <w:color w:val="auto"/>
          <w:sz w:val="24"/>
          <w:highlight w:val="none"/>
        </w:rPr>
      </w:pPr>
    </w:p>
    <w:p w14:paraId="09B931E9">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0C21E779">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42238199">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月</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日</w:t>
      </w:r>
    </w:p>
    <w:p w14:paraId="38C87755">
      <w:pPr>
        <w:spacing w:line="360" w:lineRule="auto"/>
        <w:jc w:val="center"/>
        <w:rPr>
          <w:rFonts w:hint="default" w:ascii="Times New Roman" w:hAnsi="Times New Roman" w:eastAsia="方正小标宋简体" w:cs="Times New Roman"/>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竞标报价表</w:t>
      </w:r>
    </w:p>
    <w:p w14:paraId="352FCF3B">
      <w:pPr>
        <w:spacing w:line="440" w:lineRule="exact"/>
        <w:jc w:val="center"/>
        <w:rPr>
          <w:rFonts w:hint="default" w:ascii="Times New Roman" w:hAnsi="Times New Roman" w:eastAsia="方正小标宋简体" w:cs="Times New Roman"/>
          <w:bCs/>
          <w:color w:val="auto"/>
          <w:sz w:val="32"/>
          <w:szCs w:val="32"/>
          <w:highlight w:val="none"/>
        </w:rPr>
      </w:pPr>
    </w:p>
    <w:p w14:paraId="2ACF57E4">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项目名称：项目编号：</w:t>
      </w:r>
    </w:p>
    <w:p w14:paraId="42D4CD5E">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p w14:paraId="08544966">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5BBA6808">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单位：元</w:t>
      </w:r>
    </w:p>
    <w:tbl>
      <w:tblPr>
        <w:tblStyle w:val="4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529C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3CF4F41A">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712" w:type="dxa"/>
            <w:vAlign w:val="center"/>
          </w:tcPr>
          <w:p w14:paraId="304B132C">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标的名称</w:t>
            </w:r>
          </w:p>
        </w:tc>
        <w:tc>
          <w:tcPr>
            <w:tcW w:w="1505" w:type="dxa"/>
            <w:vAlign w:val="center"/>
          </w:tcPr>
          <w:p w14:paraId="2E14F11F">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数量及单位</w:t>
            </w:r>
          </w:p>
        </w:tc>
        <w:tc>
          <w:tcPr>
            <w:tcW w:w="3107" w:type="dxa"/>
            <w:vAlign w:val="center"/>
          </w:tcPr>
          <w:p w14:paraId="2BB2A0B6">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总价</w:t>
            </w:r>
          </w:p>
        </w:tc>
        <w:tc>
          <w:tcPr>
            <w:tcW w:w="1184" w:type="dxa"/>
            <w:vAlign w:val="center"/>
          </w:tcPr>
          <w:p w14:paraId="4DF3C455">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5D83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6A3B9461">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2712" w:type="dxa"/>
            <w:vAlign w:val="center"/>
          </w:tcPr>
          <w:p w14:paraId="086FC5C5">
            <w:pPr>
              <w:spacing w:line="360" w:lineRule="auto"/>
              <w:contextualSpacing/>
              <w:jc w:val="center"/>
              <w:rPr>
                <w:rFonts w:hint="default" w:ascii="Times New Roman" w:hAnsi="Times New Roman" w:cs="Times New Roman"/>
                <w:color w:val="auto"/>
                <w:sz w:val="24"/>
                <w:highlight w:val="none"/>
              </w:rPr>
            </w:pPr>
          </w:p>
        </w:tc>
        <w:tc>
          <w:tcPr>
            <w:tcW w:w="1505" w:type="dxa"/>
            <w:vAlign w:val="center"/>
          </w:tcPr>
          <w:p w14:paraId="31231CAF">
            <w:pPr>
              <w:spacing w:line="360" w:lineRule="auto"/>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w:t>
            </w:r>
          </w:p>
        </w:tc>
        <w:tc>
          <w:tcPr>
            <w:tcW w:w="3107" w:type="dxa"/>
          </w:tcPr>
          <w:p w14:paraId="0F74B012">
            <w:pPr>
              <w:spacing w:line="360" w:lineRule="auto"/>
              <w:contextualSpacing/>
              <w:rPr>
                <w:rFonts w:hint="default" w:ascii="Times New Roman" w:hAnsi="Times New Roman" w:cs="Times New Roman"/>
                <w:color w:val="auto"/>
                <w:sz w:val="24"/>
                <w:highlight w:val="none"/>
              </w:rPr>
            </w:pPr>
          </w:p>
        </w:tc>
        <w:tc>
          <w:tcPr>
            <w:tcW w:w="1184" w:type="dxa"/>
            <w:vAlign w:val="center"/>
          </w:tcPr>
          <w:p w14:paraId="4FBAE1C3">
            <w:pPr>
              <w:spacing w:line="360" w:lineRule="auto"/>
              <w:contextualSpacing/>
              <w:rPr>
                <w:rFonts w:hint="default" w:ascii="Times New Roman" w:hAnsi="Times New Roman" w:cs="Times New Roman"/>
                <w:color w:val="auto"/>
                <w:sz w:val="24"/>
                <w:highlight w:val="none"/>
              </w:rPr>
            </w:pPr>
          </w:p>
        </w:tc>
      </w:tr>
    </w:tbl>
    <w:p w14:paraId="64731B59">
      <w:pPr>
        <w:spacing w:line="360" w:lineRule="auto"/>
        <w:contextualSpacing/>
        <w:jc w:val="left"/>
        <w:rPr>
          <w:rFonts w:hint="default" w:ascii="Times New Roman" w:hAnsi="Times New Roman" w:cs="Times New Roman"/>
          <w:color w:val="auto"/>
          <w:sz w:val="24"/>
          <w:highlight w:val="none"/>
        </w:rPr>
      </w:pPr>
    </w:p>
    <w:p w14:paraId="4C40169A">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注: </w:t>
      </w:r>
    </w:p>
    <w:p w14:paraId="44607BB1">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供应商的报价表必须加盖供应商电子签章并由法定代表人或者委托代理人签字或者电子签名，</w:t>
      </w:r>
      <w:r>
        <w:rPr>
          <w:rFonts w:hint="default" w:ascii="Times New Roman" w:hAnsi="Times New Roman" w:cs="Times New Roman"/>
          <w:b/>
          <w:color w:val="auto"/>
          <w:sz w:val="24"/>
          <w:highlight w:val="none"/>
        </w:rPr>
        <w:t>否则其响应文件按无效处理</w:t>
      </w:r>
      <w:r>
        <w:rPr>
          <w:rFonts w:hint="default" w:ascii="Times New Roman" w:hAnsi="Times New Roman" w:cs="Times New Roman"/>
          <w:color w:val="auto"/>
          <w:sz w:val="24"/>
          <w:highlight w:val="none"/>
        </w:rPr>
        <w:t>。</w:t>
      </w:r>
    </w:p>
    <w:p w14:paraId="7D860841">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2.</w:t>
      </w:r>
      <w:r>
        <w:rPr>
          <w:rFonts w:hint="default" w:ascii="Times New Roman" w:hAnsi="Times New Roman" w:cs="Times New Roman"/>
          <w:color w:val="auto"/>
          <w:sz w:val="24"/>
          <w:highlight w:val="none"/>
        </w:rPr>
        <w:t>报价一经涂改，应在涂改处加盖供应商公章或者加盖电子签章或者由法定代表人或者授权委托人签字（或者电子签名）</w:t>
      </w:r>
      <w:r>
        <w:rPr>
          <w:rFonts w:hint="default" w:ascii="Times New Roman" w:hAnsi="Times New Roman" w:cs="Times New Roman"/>
          <w:b/>
          <w:color w:val="auto"/>
          <w:sz w:val="24"/>
          <w:highlight w:val="none"/>
        </w:rPr>
        <w:t>，否则其响应文件按无效处理。</w:t>
      </w:r>
    </w:p>
    <w:p w14:paraId="5FF919A0">
      <w:pPr>
        <w:spacing w:line="360" w:lineRule="auto"/>
        <w:ind w:firstLine="480" w:firstLineChars="200"/>
        <w:contextualSpacing/>
        <w:jc w:val="left"/>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3.如为联合体竞标，“供应商名称”处必须列明联合体各方名称，标注联合体牵头人名称，</w:t>
      </w:r>
      <w:r>
        <w:rPr>
          <w:rFonts w:hint="default" w:ascii="Times New Roman" w:hAnsi="Times New Roman" w:cs="Times New Roman"/>
          <w:b/>
          <w:color w:val="auto"/>
          <w:sz w:val="24"/>
          <w:highlight w:val="none"/>
        </w:rPr>
        <w:t>否则其响应文件按无效处理。</w:t>
      </w:r>
    </w:p>
    <w:p w14:paraId="6491B99C">
      <w:pPr>
        <w:spacing w:line="360" w:lineRule="auto"/>
        <w:ind w:firstLine="480" w:firstLineChars="20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 如为联合体竞标，</w:t>
      </w:r>
      <w:r>
        <w:rPr>
          <w:rFonts w:hint="default" w:ascii="Times New Roman" w:hAnsi="Times New Roman" w:cs="Times New Roman"/>
          <w:color w:val="auto"/>
          <w:spacing w:val="-6"/>
          <w:sz w:val="24"/>
          <w:highlight w:val="none"/>
        </w:rPr>
        <w:t>盖章处须加盖联合体牵头人电子签章</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rPr>
        <w:t>否则其响应文件按无效处理。</w:t>
      </w:r>
    </w:p>
    <w:p w14:paraId="4E78518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pacing w:val="-6"/>
          <w:sz w:val="24"/>
          <w:highlight w:val="none"/>
        </w:rPr>
        <w:t>如有多分标，分别列明各分标的报价表，</w:t>
      </w:r>
      <w:r>
        <w:rPr>
          <w:rFonts w:hint="default" w:ascii="Times New Roman" w:hAnsi="Times New Roman" w:cs="Times New Roman"/>
          <w:b/>
          <w:color w:val="auto"/>
          <w:spacing w:val="-6"/>
          <w:sz w:val="24"/>
          <w:highlight w:val="none"/>
        </w:rPr>
        <w:t>否则其响应文件按无效处理。</w:t>
      </w:r>
    </w:p>
    <w:p w14:paraId="549283AD">
      <w:pPr>
        <w:spacing w:line="360" w:lineRule="auto"/>
        <w:ind w:right="-817" w:rightChars="-389"/>
        <w:contextualSpacing/>
        <w:rPr>
          <w:rFonts w:hint="default" w:ascii="Times New Roman" w:hAnsi="Times New Roman" w:cs="Times New Roman"/>
          <w:color w:val="auto"/>
          <w:sz w:val="24"/>
          <w:highlight w:val="none"/>
        </w:rPr>
      </w:pPr>
    </w:p>
    <w:p w14:paraId="3F8FACE3">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0D3DD5E2">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7624C543">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6798BA3E">
      <w:pPr>
        <w:spacing w:line="360" w:lineRule="auto"/>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color w:val="auto"/>
          <w:sz w:val="32"/>
          <w:szCs w:val="32"/>
          <w:highlight w:val="none"/>
        </w:rPr>
        <w:t>已标价工程量清单</w:t>
      </w:r>
    </w:p>
    <w:p w14:paraId="3FE16FD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已标价工程量清单应按第五章“工程量清单及图纸”中的相关表格及竞标报价说明填写。构成合同文件的已标价工程量清单包括第五章“工程量清单及图纸”有关工程量清单、竞标报价以及其他说明的内容。</w:t>
      </w:r>
    </w:p>
    <w:p w14:paraId="20B8E1F0">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11BADE3">
      <w:pPr>
        <w:spacing w:line="360" w:lineRule="auto"/>
        <w:ind w:right="420"/>
        <w:contextualSpacing/>
        <w:jc w:val="center"/>
        <w:rPr>
          <w:rFonts w:hint="default" w:ascii="Times New Roman" w:hAnsi="Times New Roman" w:cs="Times New Roman"/>
          <w:b/>
          <w:bCs/>
          <w:color w:val="auto"/>
          <w:sz w:val="32"/>
          <w:szCs w:val="32"/>
          <w:highlight w:val="none"/>
        </w:rPr>
      </w:pPr>
    </w:p>
    <w:p w14:paraId="7BA3B7EC">
      <w:pPr>
        <w:spacing w:line="360" w:lineRule="auto"/>
        <w:ind w:firstLine="643" w:firstLineChars="200"/>
        <w:contextualSpacing/>
        <w:jc w:val="center"/>
        <w:rPr>
          <w:rFonts w:hint="default" w:ascii="Times New Roman" w:hAnsi="Times New Roman" w:cs="Times New Roman"/>
          <w:b/>
          <w:color w:val="auto"/>
          <w:sz w:val="32"/>
          <w:szCs w:val="32"/>
          <w:highlight w:val="none"/>
        </w:rPr>
      </w:pPr>
      <w:r>
        <w:rPr>
          <w:rFonts w:hint="default" w:ascii="Times New Roman" w:hAnsi="Times New Roman" w:cs="Times New Roman"/>
          <w:b/>
          <w:bCs/>
          <w:color w:val="auto"/>
          <w:sz w:val="32"/>
          <w:szCs w:val="32"/>
          <w:highlight w:val="none"/>
        </w:rPr>
        <w:t>三、</w:t>
      </w:r>
      <w:r>
        <w:rPr>
          <w:rFonts w:hint="default" w:ascii="Times New Roman" w:hAnsi="Times New Roman" w:cs="Times New Roman"/>
          <w:b/>
          <w:color w:val="auto"/>
          <w:sz w:val="32"/>
          <w:szCs w:val="32"/>
          <w:highlight w:val="none"/>
        </w:rPr>
        <w:t>商务技术文件格式</w:t>
      </w:r>
    </w:p>
    <w:p w14:paraId="663048B5">
      <w:pPr>
        <w:snapToGrid w:val="0"/>
        <w:spacing w:before="120" w:beforeLines="50" w:after="50" w:line="360" w:lineRule="auto"/>
        <w:jc w:val="left"/>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1.商务技术文件封面格式</w:t>
      </w:r>
    </w:p>
    <w:p w14:paraId="7B6CBFEB">
      <w:pPr>
        <w:snapToGrid w:val="0"/>
        <w:spacing w:before="120" w:beforeLines="50" w:after="50"/>
        <w:rPr>
          <w:rFonts w:hint="default" w:ascii="Times New Roman" w:hAnsi="Times New Roman" w:cs="Times New Roman"/>
          <w:bCs/>
          <w:color w:val="auto"/>
          <w:sz w:val="32"/>
          <w:szCs w:val="20"/>
          <w:highlight w:val="none"/>
        </w:rPr>
      </w:pPr>
    </w:p>
    <w:p w14:paraId="1F229FD7">
      <w:pPr>
        <w:snapToGrid w:val="0"/>
        <w:spacing w:before="120" w:beforeLines="50" w:after="50"/>
        <w:jc w:val="center"/>
        <w:rPr>
          <w:rFonts w:hint="default" w:ascii="Times New Roman" w:hAnsi="Times New Roman" w:cs="Times New Roman"/>
          <w:color w:val="auto"/>
          <w:sz w:val="24"/>
          <w:szCs w:val="20"/>
          <w:highlight w:val="none"/>
        </w:rPr>
      </w:pPr>
      <w:r>
        <w:rPr>
          <w:rFonts w:hint="default" w:ascii="Times New Roman" w:hAnsi="Times New Roman" w:cs="Times New Roman"/>
          <w:color w:val="auto"/>
          <w:sz w:val="44"/>
          <w:szCs w:val="44"/>
          <w:highlight w:val="none"/>
        </w:rPr>
        <w:t>电子响应文件</w:t>
      </w:r>
    </w:p>
    <w:p w14:paraId="6CA3CB1B">
      <w:pPr>
        <w:snapToGrid w:val="0"/>
        <w:spacing w:before="120" w:beforeLines="50" w:after="50"/>
        <w:rPr>
          <w:rFonts w:hint="default" w:ascii="Times New Roman" w:hAnsi="Times New Roman" w:cs="Times New Roman"/>
          <w:color w:val="auto"/>
          <w:sz w:val="24"/>
          <w:szCs w:val="20"/>
          <w:highlight w:val="none"/>
        </w:rPr>
      </w:pPr>
    </w:p>
    <w:p w14:paraId="496BB4C4">
      <w:pPr>
        <w:snapToGrid w:val="0"/>
        <w:spacing w:before="120" w:beforeLines="50" w:after="50"/>
        <w:rPr>
          <w:rFonts w:hint="default" w:ascii="Times New Roman" w:hAnsi="Times New Roman" w:cs="Times New Roman"/>
          <w:color w:val="auto"/>
          <w:sz w:val="24"/>
          <w:szCs w:val="20"/>
          <w:highlight w:val="none"/>
        </w:rPr>
      </w:pPr>
    </w:p>
    <w:p w14:paraId="453B88E2">
      <w:pPr>
        <w:snapToGrid w:val="0"/>
        <w:spacing w:before="120" w:beforeLines="50" w:after="50"/>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商务技术文件</w:t>
      </w:r>
    </w:p>
    <w:p w14:paraId="66E168FB">
      <w:pPr>
        <w:snapToGrid w:val="0"/>
        <w:spacing w:before="120" w:beforeLines="50" w:after="50"/>
        <w:rPr>
          <w:rFonts w:hint="default" w:ascii="Times New Roman" w:hAnsi="Times New Roman" w:cs="Times New Roman"/>
          <w:bCs/>
          <w:color w:val="auto"/>
          <w:sz w:val="24"/>
          <w:szCs w:val="20"/>
          <w:highlight w:val="none"/>
        </w:rPr>
      </w:pPr>
    </w:p>
    <w:p w14:paraId="69B30844">
      <w:pPr>
        <w:snapToGrid w:val="0"/>
        <w:spacing w:before="120" w:beforeLines="50" w:after="50"/>
        <w:rPr>
          <w:rFonts w:hint="default" w:ascii="Times New Roman" w:hAnsi="Times New Roman" w:cs="Times New Roman"/>
          <w:bCs/>
          <w:color w:val="auto"/>
          <w:sz w:val="24"/>
          <w:szCs w:val="20"/>
          <w:highlight w:val="none"/>
        </w:rPr>
      </w:pPr>
    </w:p>
    <w:p w14:paraId="4FAA46B6">
      <w:pPr>
        <w:snapToGrid w:val="0"/>
        <w:spacing w:before="120" w:beforeLines="50" w:after="50"/>
        <w:rPr>
          <w:rFonts w:hint="default" w:ascii="Times New Roman" w:hAnsi="Times New Roman" w:cs="Times New Roman"/>
          <w:bCs/>
          <w:color w:val="auto"/>
          <w:sz w:val="24"/>
          <w:szCs w:val="20"/>
          <w:highlight w:val="none"/>
        </w:rPr>
      </w:pPr>
    </w:p>
    <w:p w14:paraId="051D6490">
      <w:pPr>
        <w:snapToGrid w:val="0"/>
        <w:spacing w:before="120" w:beforeLines="50" w:after="50"/>
        <w:rPr>
          <w:rFonts w:hint="default" w:ascii="Times New Roman" w:hAnsi="Times New Roman" w:cs="Times New Roman"/>
          <w:bCs/>
          <w:color w:val="auto"/>
          <w:sz w:val="24"/>
          <w:szCs w:val="20"/>
          <w:highlight w:val="none"/>
        </w:rPr>
      </w:pPr>
    </w:p>
    <w:p w14:paraId="35B5057D">
      <w:pPr>
        <w:snapToGrid w:val="0"/>
        <w:spacing w:before="120" w:beforeLines="50" w:after="50"/>
        <w:rPr>
          <w:rFonts w:hint="default" w:ascii="Times New Roman" w:hAnsi="Times New Roman" w:cs="Times New Roman"/>
          <w:bCs/>
          <w:color w:val="auto"/>
          <w:sz w:val="24"/>
          <w:szCs w:val="20"/>
          <w:highlight w:val="none"/>
        </w:rPr>
      </w:pPr>
    </w:p>
    <w:p w14:paraId="1888B444">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项目名称：</w:t>
      </w:r>
    </w:p>
    <w:p w14:paraId="50010C95">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30E91EBF">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项目编号：</w:t>
      </w:r>
    </w:p>
    <w:p w14:paraId="4CDF936B">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258B3492">
      <w:pPr>
        <w:snapToGrid w:val="0"/>
        <w:spacing w:before="120" w:beforeLines="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所竞分标（如有则填写，无分标时填写“无”或者留空）：</w:t>
      </w:r>
    </w:p>
    <w:p w14:paraId="185452D1">
      <w:pPr>
        <w:snapToGrid w:val="0"/>
        <w:spacing w:before="120" w:beforeLines="50" w:after="50"/>
        <w:ind w:firstLine="720" w:firstLineChars="225"/>
        <w:rPr>
          <w:rFonts w:hint="default" w:ascii="Times New Roman" w:hAnsi="Times New Roman" w:cs="Times New Roman"/>
          <w:bCs/>
          <w:color w:val="auto"/>
          <w:sz w:val="32"/>
          <w:szCs w:val="32"/>
          <w:highlight w:val="none"/>
        </w:rPr>
      </w:pPr>
    </w:p>
    <w:p w14:paraId="33383392">
      <w:pPr>
        <w:pStyle w:val="11"/>
        <w:snapToGrid w:val="0"/>
        <w:spacing w:before="50" w:after="50"/>
        <w:ind w:firstLine="640" w:firstLineChars="200"/>
        <w:rPr>
          <w:rFonts w:hint="default" w:ascii="Times New Roman" w:hAnsi="Times New Roman" w:cs="Times New Roman"/>
          <w:bCs/>
          <w:color w:val="auto"/>
          <w:sz w:val="32"/>
          <w:szCs w:val="32"/>
          <w:highlight w:val="none"/>
        </w:rPr>
      </w:pPr>
      <w:r>
        <w:rPr>
          <w:rFonts w:hint="default" w:ascii="Times New Roman" w:hAnsi="Times New Roman" w:cs="Times New Roman"/>
          <w:bCs/>
          <w:color w:val="auto"/>
          <w:sz w:val="32"/>
          <w:szCs w:val="32"/>
          <w:highlight w:val="none"/>
        </w:rPr>
        <w:t>供应商名称：</w:t>
      </w:r>
    </w:p>
    <w:p w14:paraId="582A225E">
      <w:pPr>
        <w:pStyle w:val="11"/>
        <w:snapToGrid w:val="0"/>
        <w:spacing w:before="50" w:after="50"/>
        <w:ind w:firstLine="640" w:firstLineChars="200"/>
        <w:rPr>
          <w:rFonts w:hint="default" w:ascii="Times New Roman" w:hAnsi="Times New Roman" w:cs="Times New Roman"/>
          <w:bCs/>
          <w:color w:val="auto"/>
          <w:sz w:val="32"/>
          <w:szCs w:val="32"/>
          <w:highlight w:val="none"/>
        </w:rPr>
      </w:pPr>
    </w:p>
    <w:p w14:paraId="23332980">
      <w:pPr>
        <w:pStyle w:val="11"/>
        <w:snapToGrid w:val="0"/>
        <w:spacing w:before="50" w:after="50"/>
        <w:ind w:firstLine="720" w:firstLineChars="225"/>
        <w:rPr>
          <w:rFonts w:hint="default" w:ascii="Times New Roman" w:hAnsi="Times New Roman" w:cs="Times New Roman"/>
          <w:bCs/>
          <w:color w:val="auto"/>
          <w:sz w:val="32"/>
          <w:szCs w:val="32"/>
          <w:highlight w:val="none"/>
        </w:rPr>
      </w:pPr>
    </w:p>
    <w:p w14:paraId="0E8CEF07">
      <w:pPr>
        <w:pStyle w:val="11"/>
        <w:snapToGrid w:val="0"/>
        <w:spacing w:before="50" w:after="50"/>
        <w:ind w:firstLine="0"/>
        <w:rPr>
          <w:rFonts w:hint="default" w:ascii="Times New Roman" w:hAnsi="Times New Roman" w:cs="Times New Roman"/>
          <w:bCs/>
          <w:color w:val="auto"/>
          <w:sz w:val="32"/>
          <w:szCs w:val="32"/>
          <w:highlight w:val="none"/>
        </w:rPr>
      </w:pPr>
    </w:p>
    <w:p w14:paraId="55AED06D">
      <w:pPr>
        <w:pStyle w:val="11"/>
        <w:snapToGrid w:val="0"/>
        <w:spacing w:before="50" w:after="50"/>
        <w:ind w:firstLine="1280" w:firstLineChars="400"/>
        <w:rPr>
          <w:rFonts w:hint="default" w:ascii="Times New Roman" w:hAnsi="Times New Roman" w:cs="Times New Roman"/>
          <w:bCs/>
          <w:color w:val="auto"/>
          <w:sz w:val="32"/>
          <w:szCs w:val="32"/>
          <w:highlight w:val="none"/>
        </w:rPr>
      </w:pPr>
    </w:p>
    <w:p w14:paraId="5B8BAD79">
      <w:pPr>
        <w:snapToGrid w:val="0"/>
        <w:spacing w:before="120" w:beforeLines="50" w:after="50"/>
        <w:jc w:val="center"/>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年月日</w:t>
      </w:r>
    </w:p>
    <w:p w14:paraId="4BA9921C">
      <w:pPr>
        <w:snapToGrid w:val="0"/>
        <w:spacing w:before="120" w:beforeLines="50" w:after="50" w:line="360" w:lineRule="auto"/>
        <w:ind w:right="480" w:firstLine="240" w:firstLineChars="1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b/>
          <w:bCs/>
          <w:color w:val="auto"/>
          <w:sz w:val="32"/>
          <w:szCs w:val="32"/>
          <w:highlight w:val="none"/>
        </w:rPr>
        <w:t>2.商务技术文件目录</w:t>
      </w:r>
    </w:p>
    <w:p w14:paraId="5EED2B9F">
      <w:pPr>
        <w:snapToGrid w:val="0"/>
        <w:spacing w:before="120" w:beforeLines="50" w:after="50" w:line="360" w:lineRule="auto"/>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根据磋商文件规定及供应商提供的材料自行编写目录（部分格式后附）。</w:t>
      </w:r>
    </w:p>
    <w:p w14:paraId="6714BFBC">
      <w:pPr>
        <w:spacing w:line="400" w:lineRule="exact"/>
        <w:rPr>
          <w:rFonts w:hint="default" w:ascii="Times New Roman" w:hAnsi="Times New Roman" w:eastAsia="仿宋_GB2312" w:cs="Times New Roman"/>
          <w:color w:val="auto"/>
          <w:sz w:val="32"/>
          <w:szCs w:val="32"/>
          <w:highlight w:val="none"/>
        </w:rPr>
      </w:pPr>
    </w:p>
    <w:p w14:paraId="02D776AB">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color w:val="auto"/>
          <w:sz w:val="44"/>
          <w:szCs w:val="44"/>
          <w:highlight w:val="none"/>
        </w:rPr>
        <w:br w:type="page"/>
      </w:r>
      <w:r>
        <w:rPr>
          <w:rFonts w:hint="default" w:ascii="Times New Roman" w:hAnsi="Times New Roman" w:eastAsia="方正小标宋简体" w:cs="Times New Roman"/>
          <w:color w:val="auto"/>
          <w:sz w:val="44"/>
          <w:szCs w:val="44"/>
          <w:highlight w:val="none"/>
        </w:rPr>
        <w:t>无串通竞标行为的承诺函</w:t>
      </w:r>
    </w:p>
    <w:p w14:paraId="7A838605">
      <w:pPr>
        <w:spacing w:line="360" w:lineRule="auto"/>
        <w:ind w:firstLine="640" w:firstLineChars="200"/>
        <w:contextualSpacing/>
        <w:rPr>
          <w:rFonts w:hint="default" w:ascii="Times New Roman" w:hAnsi="Times New Roman" w:eastAsia="仿宋_GB2312" w:cs="Times New Roman"/>
          <w:color w:val="auto"/>
          <w:sz w:val="32"/>
          <w:szCs w:val="32"/>
          <w:highlight w:val="none"/>
        </w:rPr>
      </w:pPr>
    </w:p>
    <w:p w14:paraId="34C666F0">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一、我方承诺无下列相互串通竞标的情形：</w:t>
      </w:r>
    </w:p>
    <w:p w14:paraId="065FE893">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1.不同供应商的响应文件由同一单位或者个人编制；</w:t>
      </w:r>
    </w:p>
    <w:p w14:paraId="5FF9C93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2.不同供应商委托同一单位或者个人办理竞标事宜；</w:t>
      </w:r>
    </w:p>
    <w:p w14:paraId="12EC1A0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3.不同供应商的响应文件载明的项目管理员为同一个人；</w:t>
      </w:r>
    </w:p>
    <w:p w14:paraId="12E670F0">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4.不</w:t>
      </w:r>
      <w:r>
        <w:rPr>
          <w:rFonts w:hint="default" w:ascii="Times New Roman" w:hAnsi="Times New Roman" w:cs="Times New Roman"/>
          <w:color w:val="auto"/>
          <w:spacing w:val="-6"/>
          <w:sz w:val="24"/>
          <w:highlight w:val="none"/>
        </w:rPr>
        <w:t>同供应商的响应文件异常一致或者竞标报价呈规律性差异；</w:t>
      </w:r>
    </w:p>
    <w:p w14:paraId="42476D8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5.不同供应商的响应文件相互混装；</w:t>
      </w:r>
    </w:p>
    <w:p w14:paraId="1550114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6.不同供应商的磋商保证金从同一单位或者个人账户转出。</w:t>
      </w:r>
    </w:p>
    <w:p w14:paraId="49AD85F4">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二、我方承诺无下列恶意串通的情形：</w:t>
      </w:r>
    </w:p>
    <w:p w14:paraId="39BA8DCF">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1.供应商直接或者间接从采购人或者采购代理机构处获得其他供应商的相关信息并修改其响应文件；</w:t>
      </w:r>
    </w:p>
    <w:p w14:paraId="5AFFDD9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2.供应商按照采购人或者采购代理机构的授意撤换、修改响应文件；</w:t>
      </w:r>
    </w:p>
    <w:p w14:paraId="087ABC96">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3.供</w:t>
      </w:r>
      <w:r>
        <w:rPr>
          <w:rFonts w:hint="default" w:ascii="Times New Roman" w:hAnsi="Times New Roman" w:cs="Times New Roman"/>
          <w:color w:val="auto"/>
          <w:spacing w:val="-6"/>
          <w:sz w:val="24"/>
          <w:highlight w:val="none"/>
        </w:rPr>
        <w:t>应商之间协商报价、技术方案等响应文件的实质性内容；</w:t>
      </w:r>
    </w:p>
    <w:p w14:paraId="291C387A">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4.属于同一集团、协会、商会等组织成员的供应商按照该组织要求协同参加政府采购活动；</w:t>
      </w:r>
    </w:p>
    <w:p w14:paraId="071208F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FB8F11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6.供应商之间商定部分供应商放弃参加政府采购活动或者放弃成交；</w:t>
      </w:r>
    </w:p>
    <w:p w14:paraId="4DE37642">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7.供应商与采购人或者采购代理机构之间、供应商相互之间，为</w:t>
      </w:r>
      <w:r>
        <w:rPr>
          <w:rFonts w:hint="default" w:ascii="Times New Roman" w:hAnsi="Times New Roman" w:cs="Times New Roman"/>
          <w:color w:val="auto"/>
          <w:spacing w:val="-6"/>
          <w:sz w:val="24"/>
          <w:highlight w:val="none"/>
        </w:rPr>
        <w:t>谋求特定供应商成交或者排斥其他供应商的其他串通行为。</w:t>
      </w:r>
    </w:p>
    <w:p w14:paraId="04B3168B">
      <w:pPr>
        <w:spacing w:line="360" w:lineRule="auto"/>
        <w:ind w:firstLine="480" w:firstLineChars="200"/>
        <w:contextualSpacing/>
        <w:rPr>
          <w:rFonts w:hint="default" w:ascii="Times New Roman" w:hAnsi="Times New Roman" w:cs="Times New Roman"/>
          <w:color w:val="auto"/>
          <w:sz w:val="24"/>
          <w:highlight w:val="none"/>
        </w:rPr>
      </w:pPr>
    </w:p>
    <w:p w14:paraId="2B47DF95">
      <w:pPr>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以上情形一经核查属实，我方愿意承担一切后果，并不再寻求任何旨在减轻或者免除法律责任的辩解。</w:t>
      </w:r>
    </w:p>
    <w:p w14:paraId="73B6654B">
      <w:pPr>
        <w:spacing w:line="360" w:lineRule="auto"/>
        <w:contextualSpacing/>
        <w:rPr>
          <w:rFonts w:hint="default" w:ascii="Times New Roman" w:hAnsi="Times New Roman" w:cs="Times New Roman"/>
          <w:color w:val="auto"/>
          <w:sz w:val="24"/>
          <w:highlight w:val="none"/>
        </w:rPr>
      </w:pPr>
    </w:p>
    <w:p w14:paraId="35B5DE5C">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5402BF2C">
      <w:pPr>
        <w:spacing w:line="360" w:lineRule="auto"/>
        <w:ind w:firstLine="480" w:firstLineChars="200"/>
        <w:contextualSpacing/>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t>年月日</w:t>
      </w:r>
    </w:p>
    <w:p w14:paraId="79832FF6">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Cs/>
          <w:color w:val="auto"/>
          <w:sz w:val="44"/>
          <w:szCs w:val="44"/>
          <w:highlight w:val="none"/>
        </w:rPr>
        <w:br w:type="page"/>
      </w:r>
      <w:r>
        <w:rPr>
          <w:rFonts w:hint="default" w:ascii="Times New Roman" w:hAnsi="Times New Roman" w:eastAsia="方正小标宋简体" w:cs="Times New Roman"/>
          <w:bCs/>
          <w:color w:val="auto"/>
          <w:sz w:val="44"/>
          <w:szCs w:val="44"/>
          <w:highlight w:val="none"/>
        </w:rPr>
        <w:t>法定代表人证明书</w:t>
      </w:r>
    </w:p>
    <w:p w14:paraId="2BEA446A">
      <w:pPr>
        <w:spacing w:line="360" w:lineRule="auto"/>
        <w:ind w:left="540"/>
        <w:contextualSpacing/>
        <w:rPr>
          <w:rFonts w:hint="default" w:ascii="Times New Roman" w:hAnsi="Times New Roman" w:eastAsia="仿宋_GB2312" w:cs="Times New Roman"/>
          <w:color w:val="auto"/>
          <w:sz w:val="32"/>
          <w:szCs w:val="32"/>
          <w:highlight w:val="none"/>
        </w:rPr>
      </w:pPr>
    </w:p>
    <w:p w14:paraId="2456287A">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p>
    <w:p w14:paraId="26BA659D">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p w14:paraId="41D7733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姓名：性别：</w:t>
      </w:r>
    </w:p>
    <w:p w14:paraId="570E3CF2">
      <w:pPr>
        <w:spacing w:line="360" w:lineRule="auto"/>
        <w:ind w:left="540"/>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年龄：职务：</w:t>
      </w:r>
    </w:p>
    <w:p w14:paraId="740F7870">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14:paraId="2D104377">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的法定代表人。</w:t>
      </w:r>
    </w:p>
    <w:p w14:paraId="49EB9B9E">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7AE77E4D">
      <w:pPr>
        <w:spacing w:line="360" w:lineRule="auto"/>
        <w:ind w:left="540"/>
        <w:contextualSpacing/>
        <w:rPr>
          <w:rFonts w:hint="default" w:ascii="Times New Roman" w:hAnsi="Times New Roman" w:cs="Times New Roman"/>
          <w:color w:val="auto"/>
          <w:sz w:val="24"/>
          <w:highlight w:val="none"/>
        </w:rPr>
      </w:pPr>
    </w:p>
    <w:p w14:paraId="48DE54B8">
      <w:pPr>
        <w:spacing w:line="360" w:lineRule="auto"/>
        <w:ind w:left="540"/>
        <w:contextualSpacing/>
        <w:rPr>
          <w:rFonts w:hint="default" w:ascii="Times New Roman" w:hAnsi="Times New Roman" w:cs="Times New Roman"/>
          <w:color w:val="auto"/>
          <w:sz w:val="24"/>
          <w:highlight w:val="none"/>
        </w:rPr>
      </w:pPr>
    </w:p>
    <w:p w14:paraId="1FB4D1BA">
      <w:pPr>
        <w:spacing w:line="360" w:lineRule="auto"/>
        <w:ind w:left="540"/>
        <w:contextualSpacing/>
        <w:rPr>
          <w:rFonts w:hint="default" w:ascii="Times New Roman" w:hAnsi="Times New Roman" w:cs="Times New Roman"/>
          <w:color w:val="auto"/>
          <w:sz w:val="24"/>
          <w:highlight w:val="none"/>
        </w:rPr>
      </w:pPr>
    </w:p>
    <w:p w14:paraId="7476F1A9">
      <w:pPr>
        <w:spacing w:line="360" w:lineRule="auto"/>
        <w:ind w:left="54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附件：法定代表人有效身份证正反面复印件</w:t>
      </w:r>
    </w:p>
    <w:p w14:paraId="27FE686B">
      <w:pPr>
        <w:spacing w:line="360" w:lineRule="auto"/>
        <w:ind w:left="540"/>
        <w:contextualSpacing/>
        <w:rPr>
          <w:rFonts w:hint="default" w:ascii="Times New Roman" w:hAnsi="Times New Roman" w:cs="Times New Roman"/>
          <w:color w:val="auto"/>
          <w:sz w:val="24"/>
          <w:highlight w:val="none"/>
        </w:rPr>
      </w:pPr>
    </w:p>
    <w:p w14:paraId="53154801">
      <w:pPr>
        <w:spacing w:line="360" w:lineRule="auto"/>
        <w:ind w:left="540" w:firstLine="3000" w:firstLineChars="1250"/>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4B277D52">
      <w:pPr>
        <w:spacing w:line="360" w:lineRule="auto"/>
        <w:ind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69211FA1">
      <w:pPr>
        <w:spacing w:line="360" w:lineRule="auto"/>
        <w:contextualSpacing/>
        <w:jc w:val="center"/>
        <w:rPr>
          <w:rFonts w:hint="default" w:ascii="Times New Roman" w:hAnsi="Times New Roman" w:cs="Times New Roman"/>
          <w:b/>
          <w:color w:val="auto"/>
          <w:sz w:val="24"/>
          <w:highlight w:val="none"/>
        </w:rPr>
      </w:pPr>
    </w:p>
    <w:p w14:paraId="71E3801C">
      <w:pPr>
        <w:spacing w:line="360" w:lineRule="auto"/>
        <w:contextualSpacing/>
        <w:jc w:val="left"/>
        <w:rPr>
          <w:rFonts w:hint="default" w:ascii="Times New Roman" w:hAnsi="Times New Roman" w:cs="Times New Roman"/>
          <w:color w:val="auto"/>
          <w:sz w:val="24"/>
          <w:highlight w:val="none"/>
        </w:rPr>
      </w:pPr>
    </w:p>
    <w:p w14:paraId="216E2A1E">
      <w:pPr>
        <w:spacing w:line="360" w:lineRule="auto"/>
        <w:contextualSpacing/>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注：联合体竞标的只需牵头人出具。</w:t>
      </w:r>
    </w:p>
    <w:p w14:paraId="0B2DA49E">
      <w:pPr>
        <w:adjustRightInd w:val="0"/>
        <w:snapToGrid w:val="0"/>
        <w:spacing w:line="300" w:lineRule="auto"/>
        <w:jc w:val="left"/>
        <w:rPr>
          <w:rFonts w:hint="default" w:ascii="Times New Roman" w:hAnsi="Times New Roman" w:cs="Times New Roman"/>
          <w:b/>
          <w:color w:val="auto"/>
          <w:szCs w:val="21"/>
          <w:highlight w:val="none"/>
        </w:rPr>
      </w:pPr>
    </w:p>
    <w:p w14:paraId="670217BB">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br w:type="page"/>
      </w:r>
    </w:p>
    <w:p w14:paraId="5D3482B9">
      <w:pPr>
        <w:spacing w:line="520" w:lineRule="exact"/>
        <w:jc w:val="center"/>
        <w:rPr>
          <w:rFonts w:hint="default" w:ascii="Times New Roman" w:hAnsi="Times New Roman" w:eastAsia="方正小标宋简体" w:cs="Times New Roman"/>
          <w:color w:val="auto"/>
          <w:sz w:val="44"/>
          <w:szCs w:val="44"/>
          <w:highlight w:val="none"/>
        </w:rPr>
      </w:pPr>
      <w:bookmarkStart w:id="112" w:name="_Hlk65853643"/>
      <w:r>
        <w:rPr>
          <w:rFonts w:hint="default" w:ascii="Times New Roman" w:hAnsi="Times New Roman" w:eastAsia="方正小标宋简体" w:cs="Times New Roman"/>
          <w:color w:val="auto"/>
          <w:sz w:val="44"/>
          <w:szCs w:val="44"/>
          <w:highlight w:val="none"/>
        </w:rPr>
        <w:t>授权委托书</w:t>
      </w:r>
    </w:p>
    <w:p w14:paraId="40630589">
      <w:pPr>
        <w:spacing w:line="52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（非联合体竞标格式）</w:t>
      </w:r>
    </w:p>
    <w:p w14:paraId="1181C734">
      <w:pPr>
        <w:spacing w:line="52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622CFBB1">
      <w:pPr>
        <w:spacing w:line="520" w:lineRule="exact"/>
        <w:rPr>
          <w:rFonts w:hint="default" w:ascii="Times New Roman" w:hAnsi="Times New Roman" w:eastAsia="仿宋_GB2312" w:cs="Times New Roman"/>
          <w:color w:val="auto"/>
          <w:sz w:val="32"/>
          <w:szCs w:val="32"/>
          <w:highlight w:val="none"/>
        </w:rPr>
      </w:pPr>
    </w:p>
    <w:p w14:paraId="3977606F">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（采购人名称）</w:t>
      </w:r>
      <w:r>
        <w:rPr>
          <w:rFonts w:hint="default" w:ascii="Times New Roman" w:hAnsi="Times New Roman" w:cs="Times New Roman"/>
          <w:color w:val="auto"/>
          <w:sz w:val="24"/>
          <w:highlight w:val="none"/>
        </w:rPr>
        <w:t>：</w:t>
      </w:r>
    </w:p>
    <w:p w14:paraId="4CB5773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（供应商名称）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□法定代表人/□负责人</w:t>
      </w:r>
      <w:r>
        <w:rPr>
          <w:rFonts w:hint="default" w:ascii="Times New Roman" w:hAnsi="Times New Roman" w:cs="Times New Roman"/>
          <w:color w:val="auto"/>
          <w:sz w:val="24"/>
          <w:highlight w:val="none"/>
        </w:rPr>
        <w:t>），现授权</w:t>
      </w:r>
      <w:r>
        <w:rPr>
          <w:rFonts w:hint="default" w:ascii="Times New Roman" w:hAnsi="Times New Roman" w:cs="Times New Roman"/>
          <w:color w:val="auto"/>
          <w:sz w:val="24"/>
          <w:highlight w:val="none"/>
          <w:u w:val="single"/>
        </w:rPr>
        <w:t>（姓名）</w:t>
      </w:r>
      <w:r>
        <w:rPr>
          <w:rFonts w:hint="default" w:ascii="Times New Roman" w:hAnsi="Times New Roman" w:cs="Times New Roman"/>
          <w:color w:val="auto"/>
          <w:sz w:val="24"/>
          <w:highlight w:val="none"/>
        </w:rPr>
        <w:t>以我方的名义参加项目的竞标活动，并代表我方全权办理针对上述项目的所有采购程序和环节的具体事务和签署相关文件。</w:t>
      </w:r>
    </w:p>
    <w:p w14:paraId="055F199A">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4D4E681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36B4A80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2C2755A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6DAD2943">
      <w:pPr>
        <w:spacing w:line="360" w:lineRule="auto"/>
        <w:rPr>
          <w:rFonts w:hint="default" w:ascii="Times New Roman" w:hAnsi="Times New Roman" w:cs="Times New Roman"/>
          <w:color w:val="auto"/>
          <w:sz w:val="24"/>
          <w:highlight w:val="none"/>
        </w:rPr>
      </w:pPr>
    </w:p>
    <w:p w14:paraId="3EB519D5">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委托代理人（签字或者电子签名）：法定代表人（签字或者盖章或者电子签名）：</w:t>
      </w:r>
    </w:p>
    <w:p w14:paraId="38232236">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委托代理人身份证号码：</w:t>
      </w:r>
    </w:p>
    <w:p w14:paraId="68F62ACD">
      <w:pPr>
        <w:spacing w:line="360" w:lineRule="auto"/>
        <w:contextualSpacing/>
        <w:rPr>
          <w:rFonts w:hint="default" w:ascii="Times New Roman" w:hAnsi="Times New Roman" w:cs="Times New Roman"/>
          <w:color w:val="auto"/>
          <w:sz w:val="24"/>
          <w:highlight w:val="none"/>
        </w:rPr>
      </w:pPr>
    </w:p>
    <w:p w14:paraId="2BE358D6">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71B08653">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年月日</w:t>
      </w:r>
    </w:p>
    <w:p w14:paraId="023662FF">
      <w:pPr>
        <w:spacing w:line="360" w:lineRule="auto"/>
        <w:rPr>
          <w:rFonts w:hint="default" w:ascii="Times New Roman" w:hAnsi="Times New Roman" w:cs="Times New Roman"/>
          <w:color w:val="auto"/>
          <w:sz w:val="24"/>
          <w:highlight w:val="none"/>
        </w:rPr>
      </w:pPr>
    </w:p>
    <w:p w14:paraId="4FB5F788">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p w14:paraId="7EE89EF0">
      <w:pPr>
        <w:spacing w:line="360" w:lineRule="auto"/>
        <w:ind w:firstLine="420" w:firstLineChars="200"/>
        <w:jc w:val="left"/>
        <w:rPr>
          <w:rFonts w:hint="default" w:ascii="Times New Roman" w:hAnsi="Times New Roman" w:eastAsia="仿宋_GB2312" w:cs="Times New Roman"/>
          <w:color w:val="auto"/>
          <w:szCs w:val="21"/>
          <w:highlight w:val="none"/>
        </w:rPr>
      </w:pPr>
    </w:p>
    <w:p w14:paraId="4B1AC0F7">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Cs w:val="21"/>
          <w:highlight w:val="none"/>
        </w:rPr>
        <w:br w:type="page"/>
      </w:r>
      <w:r>
        <w:rPr>
          <w:rFonts w:hint="default" w:ascii="Times New Roman" w:hAnsi="Times New Roman" w:eastAsia="方正小标宋简体" w:cs="Times New Roman"/>
          <w:color w:val="auto"/>
          <w:sz w:val="44"/>
          <w:szCs w:val="44"/>
          <w:highlight w:val="none"/>
        </w:rPr>
        <w:t>授权委托书</w:t>
      </w:r>
    </w:p>
    <w:p w14:paraId="69352620">
      <w:pPr>
        <w:spacing w:line="5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（联合体竞标格式）</w:t>
      </w:r>
    </w:p>
    <w:p w14:paraId="766BA60C">
      <w:pPr>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2"/>
          <w:szCs w:val="32"/>
          <w:highlight w:val="none"/>
        </w:rPr>
        <w:t>（如有委托时）</w:t>
      </w:r>
    </w:p>
    <w:p w14:paraId="5BC7FDCF">
      <w:pPr>
        <w:spacing w:line="500" w:lineRule="exact"/>
        <w:jc w:val="center"/>
        <w:rPr>
          <w:rFonts w:hint="default" w:ascii="Times New Roman" w:hAnsi="Times New Roman" w:eastAsia="方正小标宋简体" w:cs="Times New Roman"/>
          <w:color w:val="auto"/>
          <w:sz w:val="44"/>
          <w:szCs w:val="44"/>
          <w:highlight w:val="none"/>
        </w:rPr>
      </w:pPr>
    </w:p>
    <w:p w14:paraId="4F66EED2">
      <w:pPr>
        <w:spacing w:line="500" w:lineRule="exact"/>
        <w:jc w:val="center"/>
        <w:rPr>
          <w:rFonts w:hint="default" w:ascii="Times New Roman" w:hAnsi="Times New Roman" w:eastAsia="仿宋_GB2312" w:cs="Times New Roman"/>
          <w:color w:val="auto"/>
          <w:sz w:val="32"/>
          <w:szCs w:val="32"/>
          <w:highlight w:val="none"/>
        </w:rPr>
      </w:pPr>
    </w:p>
    <w:p w14:paraId="2448E7D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00E3795">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我方对委托代理人的签字或者电子签名事项负全部责任。</w:t>
      </w:r>
    </w:p>
    <w:p w14:paraId="2CD51B5E">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本授权书自签署之日起生效，在撤销授权的书面通知以前，本授权书一直有效。委托代理人在授权书有效期内签署的所有文件不因授权的撤销而失效。</w:t>
      </w:r>
    </w:p>
    <w:p w14:paraId="4E3786CB">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委托代理人无转委托权，特此委托。</w:t>
      </w:r>
    </w:p>
    <w:p w14:paraId="1F6168E3">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附：法定代表人身份证明书及委托代理人有效身份证正反面复印件</w:t>
      </w:r>
    </w:p>
    <w:p w14:paraId="00FA6619">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牵头人法定代表人（签字或者盖章或者电子签名）：</w:t>
      </w:r>
    </w:p>
    <w:p w14:paraId="67D8B09F">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牵头人（电子签章）：</w:t>
      </w:r>
    </w:p>
    <w:p w14:paraId="68E6F71A">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1F8EDD95">
      <w:pPr>
        <w:spacing w:line="360" w:lineRule="auto"/>
        <w:contextualSpacing/>
        <w:rPr>
          <w:rFonts w:hint="default" w:ascii="Times New Roman" w:hAnsi="Times New Roman" w:cs="Times New Roman"/>
          <w:color w:val="auto"/>
          <w:sz w:val="24"/>
          <w:highlight w:val="none"/>
        </w:rPr>
      </w:pPr>
    </w:p>
    <w:p w14:paraId="41B6FFC9">
      <w:pPr>
        <w:spacing w:line="360" w:lineRule="auto"/>
        <w:ind w:firstLine="3120" w:firstLineChars="13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被授权人（签字或者电子签名）：</w:t>
      </w:r>
    </w:p>
    <w:p w14:paraId="31751D51">
      <w:pPr>
        <w:spacing w:line="360" w:lineRule="auto"/>
        <w:ind w:firstLine="3840" w:firstLineChars="16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33DD4B9B">
      <w:pPr>
        <w:spacing w:line="360" w:lineRule="auto"/>
        <w:contextualSpacing/>
        <w:rPr>
          <w:rFonts w:hint="default" w:ascii="Times New Roman" w:hAnsi="Times New Roman" w:cs="Times New Roman"/>
          <w:color w:val="auto"/>
          <w:sz w:val="24"/>
          <w:highlight w:val="none"/>
        </w:rPr>
      </w:pPr>
    </w:p>
    <w:p w14:paraId="1D39BDDE">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注：法定代表人必须在授权委托书上签字或者盖章或者电子签名，委托代理人必须在授权委托书上签字或者电子签名，</w:t>
      </w:r>
      <w:r>
        <w:rPr>
          <w:rFonts w:hint="default" w:ascii="Times New Roman" w:hAnsi="Times New Roman" w:cs="Times New Roman"/>
          <w:b/>
          <w:color w:val="auto"/>
          <w:sz w:val="24"/>
          <w:highlight w:val="none"/>
        </w:rPr>
        <w:t>否则其响应文件按无效处理。</w:t>
      </w:r>
    </w:p>
    <w:bookmarkEnd w:id="112"/>
    <w:p w14:paraId="7DC0FD98">
      <w:pPr>
        <w:spacing w:line="5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方正小标宋简体" w:cs="Times New Roman"/>
          <w:bCs/>
          <w:color w:val="auto"/>
          <w:sz w:val="44"/>
          <w:szCs w:val="44"/>
          <w:highlight w:val="none"/>
        </w:rPr>
        <w:t>施工组织设计</w:t>
      </w:r>
    </w:p>
    <w:p w14:paraId="3790D5E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1.施工组织设计应以下内容顺序编制，可采用文字并结合图表形式说明施工方法，施工组织设计具体内容如下：</w:t>
      </w:r>
    </w:p>
    <w:p w14:paraId="7F5931C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（1）概述</w:t>
      </w:r>
    </w:p>
    <w:p w14:paraId="67B0088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（2）主要施工方法；</w:t>
      </w:r>
    </w:p>
    <w:p w14:paraId="1EDB53F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（3）拟投入的主要物资计划</w:t>
      </w:r>
    </w:p>
    <w:p w14:paraId="09A51DBB">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（4）劳动力安排计划；</w:t>
      </w:r>
    </w:p>
    <w:p w14:paraId="43DB23C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（5）确保工程质量的技术组织措施；</w:t>
      </w:r>
    </w:p>
    <w:p w14:paraId="51CDFF5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（6）确保安全生产的技术组织措施；</w:t>
      </w:r>
    </w:p>
    <w:p w14:paraId="4DA413B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（7）确保工期的技术组织措施；</w:t>
      </w:r>
    </w:p>
    <w:p w14:paraId="7346551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（8）确保文明施工的技术组织措施；</w:t>
      </w:r>
    </w:p>
    <w:p w14:paraId="30AE917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（9）工程施工的重点和难点及保证措施；</w:t>
      </w:r>
    </w:p>
    <w:p w14:paraId="06DD97A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（10）施工总平面布置图；</w:t>
      </w:r>
    </w:p>
    <w:p w14:paraId="065D36E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（11）其他（如有）（与第四章“评审程序、评审方法和评审标准”中的评审标准一致）</w:t>
      </w:r>
    </w:p>
    <w:p w14:paraId="6DAD9D1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技术标施工组织设计除采用文字表述外可附下列图表，图表及格式要求附后。</w:t>
      </w:r>
    </w:p>
    <w:p w14:paraId="232EBC0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35CC304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49163C71">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028346D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p w14:paraId="062E0B27">
      <w:pPr>
        <w:spacing w:line="360" w:lineRule="auto"/>
        <w:ind w:firstLine="420" w:firstLineChars="200"/>
        <w:rPr>
          <w:rFonts w:hint="default" w:ascii="Times New Roman" w:hAnsi="Times New Roman" w:cs="Times New Roman"/>
          <w:color w:val="auto"/>
          <w:highlight w:val="none"/>
        </w:rPr>
      </w:pPr>
    </w:p>
    <w:p w14:paraId="5170DBC6">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附表一：劳动力计划表</w:t>
      </w:r>
    </w:p>
    <w:p w14:paraId="19E61E5F">
      <w:pPr>
        <w:ind w:firstLine="7245" w:firstLineChars="3450"/>
        <w:rPr>
          <w:rFonts w:hint="default" w:ascii="Times New Roman" w:hAnsi="Times New Roman" w:cs="Times New Roman"/>
          <w:color w:val="auto"/>
          <w:highlight w:val="none"/>
        </w:rPr>
      </w:pPr>
      <w:r>
        <w:rPr>
          <w:rFonts w:hint="default" w:ascii="Times New Roman" w:hAnsi="Times New Roman" w:cs="Times New Roman"/>
          <w:color w:val="auto"/>
          <w:highlight w:val="none"/>
        </w:rPr>
        <w:t>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B7B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D3853BA">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工种</w:t>
            </w:r>
          </w:p>
        </w:tc>
        <w:tc>
          <w:tcPr>
            <w:tcW w:w="7248" w:type="dxa"/>
            <w:gridSpan w:val="6"/>
            <w:vAlign w:val="center"/>
          </w:tcPr>
          <w:p w14:paraId="2299430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按工程施工阶段投入劳动力情况</w:t>
            </w:r>
          </w:p>
        </w:tc>
      </w:tr>
      <w:tr w14:paraId="3A13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A5DDB53">
            <w:pPr>
              <w:spacing w:line="360" w:lineRule="auto"/>
              <w:jc w:val="center"/>
              <w:rPr>
                <w:rFonts w:hint="default" w:ascii="Times New Roman" w:hAnsi="Times New Roman" w:cs="Times New Roman"/>
                <w:color w:val="auto"/>
                <w:highlight w:val="none"/>
              </w:rPr>
            </w:pPr>
          </w:p>
        </w:tc>
        <w:tc>
          <w:tcPr>
            <w:tcW w:w="961" w:type="dxa"/>
            <w:vAlign w:val="center"/>
          </w:tcPr>
          <w:p w14:paraId="0E2F3744">
            <w:pPr>
              <w:spacing w:line="360" w:lineRule="auto"/>
              <w:jc w:val="center"/>
              <w:rPr>
                <w:rFonts w:hint="default" w:ascii="Times New Roman" w:hAnsi="Times New Roman" w:cs="Times New Roman"/>
                <w:color w:val="auto"/>
                <w:highlight w:val="none"/>
              </w:rPr>
            </w:pPr>
          </w:p>
        </w:tc>
        <w:tc>
          <w:tcPr>
            <w:tcW w:w="1257" w:type="dxa"/>
            <w:vAlign w:val="center"/>
          </w:tcPr>
          <w:p w14:paraId="14387B4F">
            <w:pPr>
              <w:spacing w:line="360" w:lineRule="auto"/>
              <w:jc w:val="center"/>
              <w:rPr>
                <w:rFonts w:hint="default" w:ascii="Times New Roman" w:hAnsi="Times New Roman" w:cs="Times New Roman"/>
                <w:color w:val="auto"/>
                <w:highlight w:val="none"/>
              </w:rPr>
            </w:pPr>
          </w:p>
        </w:tc>
        <w:tc>
          <w:tcPr>
            <w:tcW w:w="1257" w:type="dxa"/>
            <w:vAlign w:val="center"/>
          </w:tcPr>
          <w:p w14:paraId="4161A982">
            <w:pPr>
              <w:spacing w:line="360" w:lineRule="auto"/>
              <w:jc w:val="center"/>
              <w:rPr>
                <w:rFonts w:hint="default" w:ascii="Times New Roman" w:hAnsi="Times New Roman" w:cs="Times New Roman"/>
                <w:color w:val="auto"/>
                <w:highlight w:val="none"/>
              </w:rPr>
            </w:pPr>
          </w:p>
        </w:tc>
        <w:tc>
          <w:tcPr>
            <w:tcW w:w="1258" w:type="dxa"/>
            <w:vAlign w:val="center"/>
          </w:tcPr>
          <w:p w14:paraId="01C6D7AE">
            <w:pPr>
              <w:spacing w:line="360" w:lineRule="auto"/>
              <w:jc w:val="center"/>
              <w:rPr>
                <w:rFonts w:hint="default" w:ascii="Times New Roman" w:hAnsi="Times New Roman" w:cs="Times New Roman"/>
                <w:color w:val="auto"/>
                <w:highlight w:val="none"/>
              </w:rPr>
            </w:pPr>
          </w:p>
        </w:tc>
        <w:tc>
          <w:tcPr>
            <w:tcW w:w="1257" w:type="dxa"/>
            <w:vAlign w:val="center"/>
          </w:tcPr>
          <w:p w14:paraId="4FD72377">
            <w:pPr>
              <w:spacing w:line="360" w:lineRule="auto"/>
              <w:jc w:val="center"/>
              <w:rPr>
                <w:rFonts w:hint="default" w:ascii="Times New Roman" w:hAnsi="Times New Roman" w:cs="Times New Roman"/>
                <w:color w:val="auto"/>
                <w:highlight w:val="none"/>
              </w:rPr>
            </w:pPr>
          </w:p>
        </w:tc>
        <w:tc>
          <w:tcPr>
            <w:tcW w:w="1258" w:type="dxa"/>
            <w:vAlign w:val="center"/>
          </w:tcPr>
          <w:p w14:paraId="3B027F50">
            <w:pPr>
              <w:spacing w:line="360" w:lineRule="auto"/>
              <w:jc w:val="center"/>
              <w:rPr>
                <w:rFonts w:hint="default" w:ascii="Times New Roman" w:hAnsi="Times New Roman" w:cs="Times New Roman"/>
                <w:color w:val="auto"/>
                <w:highlight w:val="none"/>
              </w:rPr>
            </w:pPr>
          </w:p>
        </w:tc>
      </w:tr>
      <w:tr w14:paraId="3A62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3DDA11C">
            <w:pPr>
              <w:spacing w:line="360" w:lineRule="auto"/>
              <w:jc w:val="center"/>
              <w:rPr>
                <w:rFonts w:hint="default" w:ascii="Times New Roman" w:hAnsi="Times New Roman" w:cs="Times New Roman"/>
                <w:color w:val="auto"/>
                <w:highlight w:val="none"/>
              </w:rPr>
            </w:pPr>
          </w:p>
        </w:tc>
        <w:tc>
          <w:tcPr>
            <w:tcW w:w="961" w:type="dxa"/>
            <w:vAlign w:val="center"/>
          </w:tcPr>
          <w:p w14:paraId="110B33DD">
            <w:pPr>
              <w:spacing w:line="360" w:lineRule="auto"/>
              <w:jc w:val="center"/>
              <w:rPr>
                <w:rFonts w:hint="default" w:ascii="Times New Roman" w:hAnsi="Times New Roman" w:cs="Times New Roman"/>
                <w:color w:val="auto"/>
                <w:highlight w:val="none"/>
              </w:rPr>
            </w:pPr>
          </w:p>
        </w:tc>
        <w:tc>
          <w:tcPr>
            <w:tcW w:w="1257" w:type="dxa"/>
            <w:vAlign w:val="center"/>
          </w:tcPr>
          <w:p w14:paraId="5602EC8E">
            <w:pPr>
              <w:spacing w:line="360" w:lineRule="auto"/>
              <w:jc w:val="center"/>
              <w:rPr>
                <w:rFonts w:hint="default" w:ascii="Times New Roman" w:hAnsi="Times New Roman" w:cs="Times New Roman"/>
                <w:color w:val="auto"/>
                <w:highlight w:val="none"/>
              </w:rPr>
            </w:pPr>
          </w:p>
        </w:tc>
        <w:tc>
          <w:tcPr>
            <w:tcW w:w="1257" w:type="dxa"/>
            <w:vAlign w:val="center"/>
          </w:tcPr>
          <w:p w14:paraId="28482C43">
            <w:pPr>
              <w:spacing w:line="360" w:lineRule="auto"/>
              <w:jc w:val="center"/>
              <w:rPr>
                <w:rFonts w:hint="default" w:ascii="Times New Roman" w:hAnsi="Times New Roman" w:cs="Times New Roman"/>
                <w:color w:val="auto"/>
                <w:highlight w:val="none"/>
              </w:rPr>
            </w:pPr>
          </w:p>
        </w:tc>
        <w:tc>
          <w:tcPr>
            <w:tcW w:w="1258" w:type="dxa"/>
            <w:vAlign w:val="center"/>
          </w:tcPr>
          <w:p w14:paraId="0864AAA9">
            <w:pPr>
              <w:spacing w:line="360" w:lineRule="auto"/>
              <w:jc w:val="center"/>
              <w:rPr>
                <w:rFonts w:hint="default" w:ascii="Times New Roman" w:hAnsi="Times New Roman" w:cs="Times New Roman"/>
                <w:color w:val="auto"/>
                <w:highlight w:val="none"/>
              </w:rPr>
            </w:pPr>
          </w:p>
        </w:tc>
        <w:tc>
          <w:tcPr>
            <w:tcW w:w="1257" w:type="dxa"/>
            <w:vAlign w:val="center"/>
          </w:tcPr>
          <w:p w14:paraId="78E3529B">
            <w:pPr>
              <w:spacing w:line="360" w:lineRule="auto"/>
              <w:jc w:val="center"/>
              <w:rPr>
                <w:rFonts w:hint="default" w:ascii="Times New Roman" w:hAnsi="Times New Roman" w:cs="Times New Roman"/>
                <w:color w:val="auto"/>
                <w:highlight w:val="none"/>
              </w:rPr>
            </w:pPr>
          </w:p>
        </w:tc>
        <w:tc>
          <w:tcPr>
            <w:tcW w:w="1258" w:type="dxa"/>
            <w:vAlign w:val="center"/>
          </w:tcPr>
          <w:p w14:paraId="63EB8360">
            <w:pPr>
              <w:spacing w:line="360" w:lineRule="auto"/>
              <w:jc w:val="center"/>
              <w:rPr>
                <w:rFonts w:hint="default" w:ascii="Times New Roman" w:hAnsi="Times New Roman" w:cs="Times New Roman"/>
                <w:color w:val="auto"/>
                <w:highlight w:val="none"/>
              </w:rPr>
            </w:pPr>
          </w:p>
        </w:tc>
      </w:tr>
      <w:tr w14:paraId="6CBF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55A37C2">
            <w:pPr>
              <w:spacing w:line="360" w:lineRule="auto"/>
              <w:jc w:val="center"/>
              <w:rPr>
                <w:rFonts w:hint="default" w:ascii="Times New Roman" w:hAnsi="Times New Roman" w:cs="Times New Roman"/>
                <w:color w:val="auto"/>
                <w:highlight w:val="none"/>
              </w:rPr>
            </w:pPr>
          </w:p>
        </w:tc>
        <w:tc>
          <w:tcPr>
            <w:tcW w:w="961" w:type="dxa"/>
            <w:vAlign w:val="center"/>
          </w:tcPr>
          <w:p w14:paraId="1DE92626">
            <w:pPr>
              <w:spacing w:line="360" w:lineRule="auto"/>
              <w:jc w:val="center"/>
              <w:rPr>
                <w:rFonts w:hint="default" w:ascii="Times New Roman" w:hAnsi="Times New Roman" w:cs="Times New Roman"/>
                <w:color w:val="auto"/>
                <w:highlight w:val="none"/>
              </w:rPr>
            </w:pPr>
          </w:p>
        </w:tc>
        <w:tc>
          <w:tcPr>
            <w:tcW w:w="1257" w:type="dxa"/>
            <w:vAlign w:val="center"/>
          </w:tcPr>
          <w:p w14:paraId="2EB532D8">
            <w:pPr>
              <w:spacing w:line="360" w:lineRule="auto"/>
              <w:jc w:val="center"/>
              <w:rPr>
                <w:rFonts w:hint="default" w:ascii="Times New Roman" w:hAnsi="Times New Roman" w:cs="Times New Roman"/>
                <w:color w:val="auto"/>
                <w:highlight w:val="none"/>
              </w:rPr>
            </w:pPr>
          </w:p>
        </w:tc>
        <w:tc>
          <w:tcPr>
            <w:tcW w:w="1257" w:type="dxa"/>
            <w:vAlign w:val="center"/>
          </w:tcPr>
          <w:p w14:paraId="55D8F717">
            <w:pPr>
              <w:spacing w:line="360" w:lineRule="auto"/>
              <w:jc w:val="center"/>
              <w:rPr>
                <w:rFonts w:hint="default" w:ascii="Times New Roman" w:hAnsi="Times New Roman" w:cs="Times New Roman"/>
                <w:color w:val="auto"/>
                <w:highlight w:val="none"/>
              </w:rPr>
            </w:pPr>
          </w:p>
        </w:tc>
        <w:tc>
          <w:tcPr>
            <w:tcW w:w="1258" w:type="dxa"/>
            <w:vAlign w:val="center"/>
          </w:tcPr>
          <w:p w14:paraId="53595BF5">
            <w:pPr>
              <w:spacing w:line="360" w:lineRule="auto"/>
              <w:jc w:val="center"/>
              <w:rPr>
                <w:rFonts w:hint="default" w:ascii="Times New Roman" w:hAnsi="Times New Roman" w:cs="Times New Roman"/>
                <w:color w:val="auto"/>
                <w:highlight w:val="none"/>
              </w:rPr>
            </w:pPr>
          </w:p>
        </w:tc>
        <w:tc>
          <w:tcPr>
            <w:tcW w:w="1257" w:type="dxa"/>
            <w:vAlign w:val="center"/>
          </w:tcPr>
          <w:p w14:paraId="65C6886A">
            <w:pPr>
              <w:spacing w:line="360" w:lineRule="auto"/>
              <w:jc w:val="center"/>
              <w:rPr>
                <w:rFonts w:hint="default" w:ascii="Times New Roman" w:hAnsi="Times New Roman" w:cs="Times New Roman"/>
                <w:color w:val="auto"/>
                <w:highlight w:val="none"/>
              </w:rPr>
            </w:pPr>
          </w:p>
        </w:tc>
        <w:tc>
          <w:tcPr>
            <w:tcW w:w="1258" w:type="dxa"/>
            <w:vAlign w:val="center"/>
          </w:tcPr>
          <w:p w14:paraId="5F5B8A6C">
            <w:pPr>
              <w:spacing w:line="360" w:lineRule="auto"/>
              <w:jc w:val="center"/>
              <w:rPr>
                <w:rFonts w:hint="default" w:ascii="Times New Roman" w:hAnsi="Times New Roman" w:cs="Times New Roman"/>
                <w:color w:val="auto"/>
                <w:highlight w:val="none"/>
              </w:rPr>
            </w:pPr>
          </w:p>
        </w:tc>
      </w:tr>
      <w:tr w14:paraId="7E93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B706070">
            <w:pPr>
              <w:spacing w:line="360" w:lineRule="auto"/>
              <w:jc w:val="center"/>
              <w:rPr>
                <w:rFonts w:hint="default" w:ascii="Times New Roman" w:hAnsi="Times New Roman" w:cs="Times New Roman"/>
                <w:color w:val="auto"/>
                <w:highlight w:val="none"/>
              </w:rPr>
            </w:pPr>
          </w:p>
        </w:tc>
        <w:tc>
          <w:tcPr>
            <w:tcW w:w="961" w:type="dxa"/>
            <w:vAlign w:val="center"/>
          </w:tcPr>
          <w:p w14:paraId="60D415E8">
            <w:pPr>
              <w:spacing w:line="360" w:lineRule="auto"/>
              <w:jc w:val="center"/>
              <w:rPr>
                <w:rFonts w:hint="default" w:ascii="Times New Roman" w:hAnsi="Times New Roman" w:cs="Times New Roman"/>
                <w:color w:val="auto"/>
                <w:highlight w:val="none"/>
              </w:rPr>
            </w:pPr>
          </w:p>
        </w:tc>
        <w:tc>
          <w:tcPr>
            <w:tcW w:w="1257" w:type="dxa"/>
            <w:vAlign w:val="center"/>
          </w:tcPr>
          <w:p w14:paraId="7ABE032D">
            <w:pPr>
              <w:spacing w:line="360" w:lineRule="auto"/>
              <w:jc w:val="center"/>
              <w:rPr>
                <w:rFonts w:hint="default" w:ascii="Times New Roman" w:hAnsi="Times New Roman" w:cs="Times New Roman"/>
                <w:color w:val="auto"/>
                <w:highlight w:val="none"/>
              </w:rPr>
            </w:pPr>
          </w:p>
        </w:tc>
        <w:tc>
          <w:tcPr>
            <w:tcW w:w="1257" w:type="dxa"/>
            <w:vAlign w:val="center"/>
          </w:tcPr>
          <w:p w14:paraId="0E7949DC">
            <w:pPr>
              <w:spacing w:line="360" w:lineRule="auto"/>
              <w:jc w:val="center"/>
              <w:rPr>
                <w:rFonts w:hint="default" w:ascii="Times New Roman" w:hAnsi="Times New Roman" w:cs="Times New Roman"/>
                <w:color w:val="auto"/>
                <w:highlight w:val="none"/>
              </w:rPr>
            </w:pPr>
          </w:p>
        </w:tc>
        <w:tc>
          <w:tcPr>
            <w:tcW w:w="1258" w:type="dxa"/>
            <w:vAlign w:val="center"/>
          </w:tcPr>
          <w:p w14:paraId="1055B988">
            <w:pPr>
              <w:spacing w:line="360" w:lineRule="auto"/>
              <w:jc w:val="center"/>
              <w:rPr>
                <w:rFonts w:hint="default" w:ascii="Times New Roman" w:hAnsi="Times New Roman" w:cs="Times New Roman"/>
                <w:color w:val="auto"/>
                <w:highlight w:val="none"/>
              </w:rPr>
            </w:pPr>
          </w:p>
        </w:tc>
        <w:tc>
          <w:tcPr>
            <w:tcW w:w="1257" w:type="dxa"/>
            <w:vAlign w:val="center"/>
          </w:tcPr>
          <w:p w14:paraId="311F5405">
            <w:pPr>
              <w:spacing w:line="360" w:lineRule="auto"/>
              <w:jc w:val="center"/>
              <w:rPr>
                <w:rFonts w:hint="default" w:ascii="Times New Roman" w:hAnsi="Times New Roman" w:cs="Times New Roman"/>
                <w:color w:val="auto"/>
                <w:highlight w:val="none"/>
              </w:rPr>
            </w:pPr>
          </w:p>
        </w:tc>
        <w:tc>
          <w:tcPr>
            <w:tcW w:w="1258" w:type="dxa"/>
            <w:vAlign w:val="center"/>
          </w:tcPr>
          <w:p w14:paraId="54863FBD">
            <w:pPr>
              <w:spacing w:line="360" w:lineRule="auto"/>
              <w:jc w:val="center"/>
              <w:rPr>
                <w:rFonts w:hint="default" w:ascii="Times New Roman" w:hAnsi="Times New Roman" w:cs="Times New Roman"/>
                <w:color w:val="auto"/>
                <w:highlight w:val="none"/>
              </w:rPr>
            </w:pPr>
          </w:p>
        </w:tc>
      </w:tr>
      <w:tr w14:paraId="0844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D21397B">
            <w:pPr>
              <w:spacing w:line="360" w:lineRule="auto"/>
              <w:jc w:val="center"/>
              <w:rPr>
                <w:rFonts w:hint="default" w:ascii="Times New Roman" w:hAnsi="Times New Roman" w:cs="Times New Roman"/>
                <w:color w:val="auto"/>
                <w:highlight w:val="none"/>
              </w:rPr>
            </w:pPr>
          </w:p>
        </w:tc>
        <w:tc>
          <w:tcPr>
            <w:tcW w:w="961" w:type="dxa"/>
            <w:vAlign w:val="center"/>
          </w:tcPr>
          <w:p w14:paraId="068425FB">
            <w:pPr>
              <w:spacing w:line="360" w:lineRule="auto"/>
              <w:jc w:val="center"/>
              <w:rPr>
                <w:rFonts w:hint="default" w:ascii="Times New Roman" w:hAnsi="Times New Roman" w:cs="Times New Roman"/>
                <w:color w:val="auto"/>
                <w:highlight w:val="none"/>
              </w:rPr>
            </w:pPr>
          </w:p>
        </w:tc>
        <w:tc>
          <w:tcPr>
            <w:tcW w:w="1257" w:type="dxa"/>
            <w:vAlign w:val="center"/>
          </w:tcPr>
          <w:p w14:paraId="14E60E74">
            <w:pPr>
              <w:spacing w:line="360" w:lineRule="auto"/>
              <w:jc w:val="center"/>
              <w:rPr>
                <w:rFonts w:hint="default" w:ascii="Times New Roman" w:hAnsi="Times New Roman" w:cs="Times New Roman"/>
                <w:color w:val="auto"/>
                <w:highlight w:val="none"/>
              </w:rPr>
            </w:pPr>
          </w:p>
        </w:tc>
        <w:tc>
          <w:tcPr>
            <w:tcW w:w="1257" w:type="dxa"/>
            <w:vAlign w:val="center"/>
          </w:tcPr>
          <w:p w14:paraId="362B46B8">
            <w:pPr>
              <w:spacing w:line="360" w:lineRule="auto"/>
              <w:jc w:val="center"/>
              <w:rPr>
                <w:rFonts w:hint="default" w:ascii="Times New Roman" w:hAnsi="Times New Roman" w:cs="Times New Roman"/>
                <w:color w:val="auto"/>
                <w:highlight w:val="none"/>
              </w:rPr>
            </w:pPr>
          </w:p>
        </w:tc>
        <w:tc>
          <w:tcPr>
            <w:tcW w:w="1258" w:type="dxa"/>
            <w:vAlign w:val="center"/>
          </w:tcPr>
          <w:p w14:paraId="7CC358E1">
            <w:pPr>
              <w:spacing w:line="360" w:lineRule="auto"/>
              <w:jc w:val="center"/>
              <w:rPr>
                <w:rFonts w:hint="default" w:ascii="Times New Roman" w:hAnsi="Times New Roman" w:cs="Times New Roman"/>
                <w:color w:val="auto"/>
                <w:highlight w:val="none"/>
              </w:rPr>
            </w:pPr>
          </w:p>
        </w:tc>
        <w:tc>
          <w:tcPr>
            <w:tcW w:w="1257" w:type="dxa"/>
            <w:vAlign w:val="center"/>
          </w:tcPr>
          <w:p w14:paraId="24D6541E">
            <w:pPr>
              <w:spacing w:line="360" w:lineRule="auto"/>
              <w:jc w:val="center"/>
              <w:rPr>
                <w:rFonts w:hint="default" w:ascii="Times New Roman" w:hAnsi="Times New Roman" w:cs="Times New Roman"/>
                <w:color w:val="auto"/>
                <w:highlight w:val="none"/>
              </w:rPr>
            </w:pPr>
          </w:p>
        </w:tc>
        <w:tc>
          <w:tcPr>
            <w:tcW w:w="1258" w:type="dxa"/>
            <w:vAlign w:val="center"/>
          </w:tcPr>
          <w:p w14:paraId="73681355">
            <w:pPr>
              <w:spacing w:line="360" w:lineRule="auto"/>
              <w:jc w:val="center"/>
              <w:rPr>
                <w:rFonts w:hint="default" w:ascii="Times New Roman" w:hAnsi="Times New Roman" w:cs="Times New Roman"/>
                <w:color w:val="auto"/>
                <w:highlight w:val="none"/>
              </w:rPr>
            </w:pPr>
          </w:p>
        </w:tc>
      </w:tr>
      <w:tr w14:paraId="5EF8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64BCC9C">
            <w:pPr>
              <w:spacing w:line="360" w:lineRule="auto"/>
              <w:jc w:val="center"/>
              <w:rPr>
                <w:rFonts w:hint="default" w:ascii="Times New Roman" w:hAnsi="Times New Roman" w:cs="Times New Roman"/>
                <w:color w:val="auto"/>
                <w:highlight w:val="none"/>
              </w:rPr>
            </w:pPr>
          </w:p>
        </w:tc>
        <w:tc>
          <w:tcPr>
            <w:tcW w:w="961" w:type="dxa"/>
            <w:vAlign w:val="center"/>
          </w:tcPr>
          <w:p w14:paraId="650B1342">
            <w:pPr>
              <w:spacing w:line="360" w:lineRule="auto"/>
              <w:jc w:val="center"/>
              <w:rPr>
                <w:rFonts w:hint="default" w:ascii="Times New Roman" w:hAnsi="Times New Roman" w:cs="Times New Roman"/>
                <w:color w:val="auto"/>
                <w:highlight w:val="none"/>
              </w:rPr>
            </w:pPr>
          </w:p>
        </w:tc>
        <w:tc>
          <w:tcPr>
            <w:tcW w:w="1257" w:type="dxa"/>
            <w:vAlign w:val="center"/>
          </w:tcPr>
          <w:p w14:paraId="33E699D5">
            <w:pPr>
              <w:spacing w:line="360" w:lineRule="auto"/>
              <w:jc w:val="center"/>
              <w:rPr>
                <w:rFonts w:hint="default" w:ascii="Times New Roman" w:hAnsi="Times New Roman" w:cs="Times New Roman"/>
                <w:color w:val="auto"/>
                <w:highlight w:val="none"/>
              </w:rPr>
            </w:pPr>
          </w:p>
        </w:tc>
        <w:tc>
          <w:tcPr>
            <w:tcW w:w="1257" w:type="dxa"/>
            <w:vAlign w:val="center"/>
          </w:tcPr>
          <w:p w14:paraId="089E686E">
            <w:pPr>
              <w:spacing w:line="360" w:lineRule="auto"/>
              <w:jc w:val="center"/>
              <w:rPr>
                <w:rFonts w:hint="default" w:ascii="Times New Roman" w:hAnsi="Times New Roman" w:cs="Times New Roman"/>
                <w:color w:val="auto"/>
                <w:highlight w:val="none"/>
              </w:rPr>
            </w:pPr>
          </w:p>
        </w:tc>
        <w:tc>
          <w:tcPr>
            <w:tcW w:w="1258" w:type="dxa"/>
            <w:vAlign w:val="center"/>
          </w:tcPr>
          <w:p w14:paraId="6618E3AD">
            <w:pPr>
              <w:spacing w:line="360" w:lineRule="auto"/>
              <w:jc w:val="center"/>
              <w:rPr>
                <w:rFonts w:hint="default" w:ascii="Times New Roman" w:hAnsi="Times New Roman" w:cs="Times New Roman"/>
                <w:color w:val="auto"/>
                <w:highlight w:val="none"/>
              </w:rPr>
            </w:pPr>
          </w:p>
        </w:tc>
        <w:tc>
          <w:tcPr>
            <w:tcW w:w="1257" w:type="dxa"/>
            <w:vAlign w:val="center"/>
          </w:tcPr>
          <w:p w14:paraId="56098320">
            <w:pPr>
              <w:spacing w:line="360" w:lineRule="auto"/>
              <w:jc w:val="center"/>
              <w:rPr>
                <w:rFonts w:hint="default" w:ascii="Times New Roman" w:hAnsi="Times New Roman" w:cs="Times New Roman"/>
                <w:color w:val="auto"/>
                <w:highlight w:val="none"/>
              </w:rPr>
            </w:pPr>
          </w:p>
        </w:tc>
        <w:tc>
          <w:tcPr>
            <w:tcW w:w="1258" w:type="dxa"/>
            <w:vAlign w:val="center"/>
          </w:tcPr>
          <w:p w14:paraId="26F640DD">
            <w:pPr>
              <w:spacing w:line="360" w:lineRule="auto"/>
              <w:jc w:val="center"/>
              <w:rPr>
                <w:rFonts w:hint="default" w:ascii="Times New Roman" w:hAnsi="Times New Roman" w:cs="Times New Roman"/>
                <w:color w:val="auto"/>
                <w:highlight w:val="none"/>
              </w:rPr>
            </w:pPr>
          </w:p>
        </w:tc>
      </w:tr>
    </w:tbl>
    <w:p w14:paraId="1A88FC9E">
      <w:pPr>
        <w:rPr>
          <w:rFonts w:hint="default" w:ascii="Times New Roman" w:hAnsi="Times New Roman" w:cs="Times New Roman"/>
          <w:color w:val="auto"/>
          <w:highlight w:val="none"/>
        </w:rPr>
      </w:pPr>
    </w:p>
    <w:p w14:paraId="00F8F354">
      <w:pPr>
        <w:rPr>
          <w:rFonts w:hint="default" w:ascii="Times New Roman" w:hAnsi="Times New Roman" w:cs="Times New Roman"/>
          <w:b/>
          <w:bCs/>
          <w:color w:val="auto"/>
          <w:highlight w:val="none"/>
        </w:rPr>
      </w:pPr>
    </w:p>
    <w:p w14:paraId="5D2B6B2E">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附表二：计划开、竣工日期和施工进度计划（网络图或横道图）</w:t>
      </w:r>
    </w:p>
    <w:p w14:paraId="06B38F06">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 供应商应提交施工进度计划，说明按磋商文件要求的工期进行施工的各个关键日期。成交的供应商还应按合同条件有关条款的要求提交详细的施工进度计划。</w:t>
      </w:r>
    </w:p>
    <w:p w14:paraId="454F805A">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 施工进度计划可采用网络图（或横道图）表示，说明计划开工日期和各分项工程各阶段的完工日期和分包合同签订的日期。</w:t>
      </w:r>
    </w:p>
    <w:p w14:paraId="677B548A">
      <w:pPr>
        <w:spacing w:line="460" w:lineRule="exact"/>
        <w:ind w:left="-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 施工进度计划应与施工组织设计相适应。</w:t>
      </w:r>
    </w:p>
    <w:p w14:paraId="3CC3BFA4">
      <w:pPr>
        <w:spacing w:line="360" w:lineRule="auto"/>
        <w:ind w:left="-6" w:firstLine="420"/>
        <w:rPr>
          <w:rFonts w:hint="default" w:ascii="Times New Roman" w:hAnsi="Times New Roman" w:cs="Times New Roman"/>
          <w:color w:val="auto"/>
          <w:highlight w:val="none"/>
        </w:rPr>
      </w:pPr>
    </w:p>
    <w:p w14:paraId="6074E631">
      <w:pPr>
        <w:rPr>
          <w:rFonts w:hint="default" w:ascii="Times New Roman" w:hAnsi="Times New Roman" w:cs="Times New Roman"/>
          <w:color w:val="auto"/>
          <w:highlight w:val="none"/>
        </w:rPr>
      </w:pPr>
    </w:p>
    <w:p w14:paraId="474586AE">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附表三：施工总平面图</w:t>
      </w:r>
    </w:p>
    <w:p w14:paraId="3CB88330">
      <w:pPr>
        <w:spacing w:line="46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3DAE00FD">
      <w:pPr>
        <w:rPr>
          <w:rFonts w:hint="default" w:ascii="Times New Roman" w:hAnsi="Times New Roman" w:cs="Times New Roman"/>
          <w:color w:val="auto"/>
          <w:highlight w:val="none"/>
        </w:rPr>
      </w:pPr>
    </w:p>
    <w:p w14:paraId="2767135D">
      <w:pPr>
        <w:rPr>
          <w:rFonts w:hint="default" w:ascii="Times New Roman" w:hAnsi="Times New Roman" w:cs="Times New Roman"/>
          <w:color w:val="auto"/>
          <w:highlight w:val="none"/>
        </w:rPr>
      </w:pPr>
    </w:p>
    <w:p w14:paraId="1EAD6BD6">
      <w:pPr>
        <w:rPr>
          <w:rFonts w:hint="default" w:ascii="Times New Roman" w:hAnsi="Times New Roman" w:cs="Times New Roman"/>
          <w:color w:val="auto"/>
          <w:highlight w:val="none"/>
        </w:rPr>
      </w:pPr>
      <w:r>
        <w:rPr>
          <w:rFonts w:hint="default" w:ascii="Times New Roman" w:hAnsi="Times New Roman" w:cs="Times New Roman"/>
          <w:color w:val="auto"/>
          <w:highlight w:val="none"/>
        </w:rPr>
        <w:t>附表四：临时用地表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01F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1C0ED7A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用途</w:t>
            </w:r>
          </w:p>
        </w:tc>
        <w:tc>
          <w:tcPr>
            <w:tcW w:w="2357" w:type="dxa"/>
            <w:vAlign w:val="center"/>
          </w:tcPr>
          <w:p w14:paraId="39A51AB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面积（平方米）</w:t>
            </w:r>
          </w:p>
        </w:tc>
        <w:tc>
          <w:tcPr>
            <w:tcW w:w="2356" w:type="dxa"/>
            <w:vAlign w:val="center"/>
          </w:tcPr>
          <w:p w14:paraId="0850D9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位置</w:t>
            </w:r>
          </w:p>
        </w:tc>
        <w:tc>
          <w:tcPr>
            <w:tcW w:w="2136" w:type="dxa"/>
            <w:vAlign w:val="center"/>
          </w:tcPr>
          <w:p w14:paraId="7CE886C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需用时间</w:t>
            </w:r>
          </w:p>
        </w:tc>
      </w:tr>
      <w:tr w14:paraId="1A12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A98B7F">
            <w:pPr>
              <w:rPr>
                <w:rFonts w:hint="default" w:ascii="Times New Roman" w:hAnsi="Times New Roman" w:cs="Times New Roman"/>
                <w:color w:val="auto"/>
                <w:highlight w:val="none"/>
              </w:rPr>
            </w:pPr>
          </w:p>
        </w:tc>
        <w:tc>
          <w:tcPr>
            <w:tcW w:w="2357" w:type="dxa"/>
          </w:tcPr>
          <w:p w14:paraId="753414A0">
            <w:pPr>
              <w:rPr>
                <w:rFonts w:hint="default" w:ascii="Times New Roman" w:hAnsi="Times New Roman" w:cs="Times New Roman"/>
                <w:color w:val="auto"/>
                <w:highlight w:val="none"/>
              </w:rPr>
            </w:pPr>
          </w:p>
        </w:tc>
        <w:tc>
          <w:tcPr>
            <w:tcW w:w="2356" w:type="dxa"/>
          </w:tcPr>
          <w:p w14:paraId="523E13A5">
            <w:pPr>
              <w:rPr>
                <w:rFonts w:hint="default" w:ascii="Times New Roman" w:hAnsi="Times New Roman" w:cs="Times New Roman"/>
                <w:color w:val="auto"/>
                <w:highlight w:val="none"/>
              </w:rPr>
            </w:pPr>
          </w:p>
        </w:tc>
        <w:tc>
          <w:tcPr>
            <w:tcW w:w="2136" w:type="dxa"/>
          </w:tcPr>
          <w:p w14:paraId="413658E8">
            <w:pPr>
              <w:rPr>
                <w:rFonts w:hint="default" w:ascii="Times New Roman" w:hAnsi="Times New Roman" w:cs="Times New Roman"/>
                <w:color w:val="auto"/>
                <w:highlight w:val="none"/>
              </w:rPr>
            </w:pPr>
          </w:p>
        </w:tc>
      </w:tr>
      <w:tr w14:paraId="71BA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24AF17E">
            <w:pPr>
              <w:rPr>
                <w:rFonts w:hint="default" w:ascii="Times New Roman" w:hAnsi="Times New Roman" w:cs="Times New Roman"/>
                <w:color w:val="auto"/>
                <w:highlight w:val="none"/>
              </w:rPr>
            </w:pPr>
          </w:p>
        </w:tc>
        <w:tc>
          <w:tcPr>
            <w:tcW w:w="2357" w:type="dxa"/>
          </w:tcPr>
          <w:p w14:paraId="5AB0588A">
            <w:pPr>
              <w:rPr>
                <w:rFonts w:hint="default" w:ascii="Times New Roman" w:hAnsi="Times New Roman" w:cs="Times New Roman"/>
                <w:color w:val="auto"/>
                <w:highlight w:val="none"/>
              </w:rPr>
            </w:pPr>
          </w:p>
        </w:tc>
        <w:tc>
          <w:tcPr>
            <w:tcW w:w="2356" w:type="dxa"/>
          </w:tcPr>
          <w:p w14:paraId="03EA6A6C">
            <w:pPr>
              <w:rPr>
                <w:rFonts w:hint="default" w:ascii="Times New Roman" w:hAnsi="Times New Roman" w:cs="Times New Roman"/>
                <w:color w:val="auto"/>
                <w:highlight w:val="none"/>
              </w:rPr>
            </w:pPr>
          </w:p>
        </w:tc>
        <w:tc>
          <w:tcPr>
            <w:tcW w:w="2136" w:type="dxa"/>
          </w:tcPr>
          <w:p w14:paraId="014FA224">
            <w:pPr>
              <w:rPr>
                <w:rFonts w:hint="default" w:ascii="Times New Roman" w:hAnsi="Times New Roman" w:cs="Times New Roman"/>
                <w:color w:val="auto"/>
                <w:highlight w:val="none"/>
              </w:rPr>
            </w:pPr>
          </w:p>
        </w:tc>
      </w:tr>
      <w:tr w14:paraId="78F5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E5837CD">
            <w:pPr>
              <w:rPr>
                <w:rFonts w:hint="default" w:ascii="Times New Roman" w:hAnsi="Times New Roman" w:cs="Times New Roman"/>
                <w:color w:val="auto"/>
                <w:highlight w:val="none"/>
              </w:rPr>
            </w:pPr>
          </w:p>
        </w:tc>
        <w:tc>
          <w:tcPr>
            <w:tcW w:w="2357" w:type="dxa"/>
          </w:tcPr>
          <w:p w14:paraId="317230A0">
            <w:pPr>
              <w:rPr>
                <w:rFonts w:hint="default" w:ascii="Times New Roman" w:hAnsi="Times New Roman" w:cs="Times New Roman"/>
                <w:color w:val="auto"/>
                <w:highlight w:val="none"/>
              </w:rPr>
            </w:pPr>
          </w:p>
        </w:tc>
        <w:tc>
          <w:tcPr>
            <w:tcW w:w="2356" w:type="dxa"/>
          </w:tcPr>
          <w:p w14:paraId="3D76375F">
            <w:pPr>
              <w:rPr>
                <w:rFonts w:hint="default" w:ascii="Times New Roman" w:hAnsi="Times New Roman" w:cs="Times New Roman"/>
                <w:color w:val="auto"/>
                <w:highlight w:val="none"/>
              </w:rPr>
            </w:pPr>
          </w:p>
        </w:tc>
        <w:tc>
          <w:tcPr>
            <w:tcW w:w="2136" w:type="dxa"/>
          </w:tcPr>
          <w:p w14:paraId="7DA20E8C">
            <w:pPr>
              <w:rPr>
                <w:rFonts w:hint="default" w:ascii="Times New Roman" w:hAnsi="Times New Roman" w:cs="Times New Roman"/>
                <w:color w:val="auto"/>
                <w:highlight w:val="none"/>
              </w:rPr>
            </w:pPr>
          </w:p>
        </w:tc>
      </w:tr>
      <w:tr w14:paraId="4A68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C8A9148">
            <w:pPr>
              <w:rPr>
                <w:rFonts w:hint="default" w:ascii="Times New Roman" w:hAnsi="Times New Roman" w:cs="Times New Roman"/>
                <w:color w:val="auto"/>
                <w:highlight w:val="none"/>
              </w:rPr>
            </w:pPr>
          </w:p>
        </w:tc>
        <w:tc>
          <w:tcPr>
            <w:tcW w:w="2357" w:type="dxa"/>
          </w:tcPr>
          <w:p w14:paraId="4332720B">
            <w:pPr>
              <w:rPr>
                <w:rFonts w:hint="default" w:ascii="Times New Roman" w:hAnsi="Times New Roman" w:cs="Times New Roman"/>
                <w:color w:val="auto"/>
                <w:highlight w:val="none"/>
              </w:rPr>
            </w:pPr>
          </w:p>
        </w:tc>
        <w:tc>
          <w:tcPr>
            <w:tcW w:w="2356" w:type="dxa"/>
          </w:tcPr>
          <w:p w14:paraId="0940618F">
            <w:pPr>
              <w:rPr>
                <w:rFonts w:hint="default" w:ascii="Times New Roman" w:hAnsi="Times New Roman" w:cs="Times New Roman"/>
                <w:color w:val="auto"/>
                <w:highlight w:val="none"/>
              </w:rPr>
            </w:pPr>
          </w:p>
        </w:tc>
        <w:tc>
          <w:tcPr>
            <w:tcW w:w="2136" w:type="dxa"/>
          </w:tcPr>
          <w:p w14:paraId="6933AD11">
            <w:pPr>
              <w:rPr>
                <w:rFonts w:hint="default" w:ascii="Times New Roman" w:hAnsi="Times New Roman" w:cs="Times New Roman"/>
                <w:color w:val="auto"/>
                <w:highlight w:val="none"/>
              </w:rPr>
            </w:pPr>
          </w:p>
        </w:tc>
      </w:tr>
    </w:tbl>
    <w:p w14:paraId="69892803">
      <w:pPr>
        <w:spacing w:line="360" w:lineRule="auto"/>
        <w:ind w:firstLine="880" w:firstLineChars="200"/>
        <w:rPr>
          <w:rFonts w:hint="default" w:ascii="Times New Roman" w:hAnsi="Times New Roman" w:eastAsia="方正小标宋简体" w:cs="Times New Roman"/>
          <w:bCs/>
          <w:color w:val="auto"/>
          <w:sz w:val="44"/>
          <w:szCs w:val="44"/>
          <w:highlight w:val="none"/>
        </w:rPr>
      </w:pPr>
    </w:p>
    <w:p w14:paraId="04E38C53">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br w:type="page"/>
      </w:r>
    </w:p>
    <w:p w14:paraId="40F33CA1">
      <w:pPr>
        <w:spacing w:line="360" w:lineRule="auto"/>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拟分包项目情况表</w:t>
      </w:r>
    </w:p>
    <w:p w14:paraId="39DF0972">
      <w:pPr>
        <w:spacing w:line="520" w:lineRule="exact"/>
        <w:rPr>
          <w:rFonts w:hint="default" w:ascii="Times New Roman" w:hAnsi="Times New Roman" w:eastAsia="仿宋_GB2312" w:cs="Times New Roman"/>
          <w:color w:val="auto"/>
          <w:sz w:val="32"/>
          <w:szCs w:val="32"/>
          <w:highlight w:val="none"/>
        </w:rPr>
      </w:pPr>
    </w:p>
    <w:p w14:paraId="079D9E30">
      <w:pPr>
        <w:spacing w:line="360" w:lineRule="auto"/>
        <w:contextualSpacing/>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分标（如有）：</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572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3850F58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693" w:type="dxa"/>
            <w:vMerge w:val="restart"/>
            <w:tcMar>
              <w:left w:w="108" w:type="dxa"/>
              <w:right w:w="108" w:type="dxa"/>
            </w:tcMar>
            <w:vAlign w:val="center"/>
          </w:tcPr>
          <w:p w14:paraId="4079A6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拟分包项目名称、范围及理由</w:t>
            </w:r>
          </w:p>
        </w:tc>
        <w:tc>
          <w:tcPr>
            <w:tcW w:w="6379" w:type="dxa"/>
            <w:gridSpan w:val="6"/>
            <w:tcMar>
              <w:left w:w="108" w:type="dxa"/>
              <w:right w:w="108" w:type="dxa"/>
            </w:tcMar>
            <w:vAlign w:val="center"/>
          </w:tcPr>
          <w:p w14:paraId="4F24402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w:t>
            </w:r>
          </w:p>
        </w:tc>
        <w:tc>
          <w:tcPr>
            <w:tcW w:w="673" w:type="dxa"/>
            <w:vMerge w:val="restart"/>
            <w:tcMar>
              <w:left w:w="108" w:type="dxa"/>
              <w:right w:w="108" w:type="dxa"/>
            </w:tcMar>
            <w:vAlign w:val="center"/>
          </w:tcPr>
          <w:p w14:paraId="64D9B8B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5289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03343E8">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0BB4FF2B">
            <w:pPr>
              <w:jc w:val="center"/>
              <w:rPr>
                <w:rFonts w:hint="default" w:ascii="Times New Roman" w:hAnsi="Times New Roman" w:cs="Times New Roman"/>
                <w:color w:val="auto"/>
                <w:highlight w:val="none"/>
              </w:rPr>
            </w:pPr>
          </w:p>
        </w:tc>
        <w:tc>
          <w:tcPr>
            <w:tcW w:w="1701" w:type="dxa"/>
            <w:gridSpan w:val="2"/>
            <w:tcMar>
              <w:left w:w="108" w:type="dxa"/>
              <w:right w:w="108" w:type="dxa"/>
            </w:tcMar>
            <w:vAlign w:val="center"/>
          </w:tcPr>
          <w:p w14:paraId="425D31B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拟选分包人名称</w:t>
            </w:r>
          </w:p>
        </w:tc>
        <w:tc>
          <w:tcPr>
            <w:tcW w:w="1123" w:type="dxa"/>
            <w:tcMar>
              <w:left w:w="108" w:type="dxa"/>
              <w:right w:w="108" w:type="dxa"/>
            </w:tcMar>
            <w:vAlign w:val="center"/>
          </w:tcPr>
          <w:p w14:paraId="6DB855C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注册地点</w:t>
            </w:r>
          </w:p>
        </w:tc>
        <w:tc>
          <w:tcPr>
            <w:tcW w:w="1090" w:type="dxa"/>
            <w:tcMar>
              <w:left w:w="108" w:type="dxa"/>
              <w:right w:w="108" w:type="dxa"/>
            </w:tcMar>
            <w:vAlign w:val="center"/>
          </w:tcPr>
          <w:p w14:paraId="2A6FC6A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企业资质</w:t>
            </w:r>
          </w:p>
        </w:tc>
        <w:tc>
          <w:tcPr>
            <w:tcW w:w="1197" w:type="dxa"/>
            <w:tcMar>
              <w:left w:w="108" w:type="dxa"/>
              <w:right w:w="108" w:type="dxa"/>
            </w:tcMar>
            <w:vAlign w:val="center"/>
          </w:tcPr>
          <w:p w14:paraId="019DD08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有关业绩</w:t>
            </w:r>
          </w:p>
        </w:tc>
        <w:tc>
          <w:tcPr>
            <w:tcW w:w="1268" w:type="dxa"/>
            <w:vAlign w:val="center"/>
          </w:tcPr>
          <w:p w14:paraId="5B2C896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拟分包金额</w:t>
            </w:r>
          </w:p>
        </w:tc>
        <w:tc>
          <w:tcPr>
            <w:tcW w:w="673" w:type="dxa"/>
            <w:vMerge w:val="continue"/>
            <w:tcMar>
              <w:left w:w="108" w:type="dxa"/>
              <w:right w:w="108" w:type="dxa"/>
            </w:tcMar>
            <w:vAlign w:val="center"/>
          </w:tcPr>
          <w:p w14:paraId="334E2C28">
            <w:pPr>
              <w:jc w:val="center"/>
              <w:rPr>
                <w:rFonts w:hint="default" w:ascii="Times New Roman" w:hAnsi="Times New Roman" w:cs="Times New Roman"/>
                <w:color w:val="auto"/>
                <w:highlight w:val="none"/>
              </w:rPr>
            </w:pPr>
          </w:p>
        </w:tc>
      </w:tr>
      <w:tr w14:paraId="5110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5842478">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25003F53">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751FC4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3192F35A">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28AE95F2">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1497F6D8">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2F8E3F2A">
            <w:pPr>
              <w:jc w:val="center"/>
              <w:rPr>
                <w:rFonts w:hint="default" w:ascii="Times New Roman" w:hAnsi="Times New Roman" w:cs="Times New Roman"/>
                <w:color w:val="auto"/>
                <w:highlight w:val="none"/>
              </w:rPr>
            </w:pPr>
          </w:p>
        </w:tc>
        <w:tc>
          <w:tcPr>
            <w:tcW w:w="1268" w:type="dxa"/>
            <w:vAlign w:val="center"/>
          </w:tcPr>
          <w:p w14:paraId="6374E01C">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7342E58F">
            <w:pPr>
              <w:jc w:val="center"/>
              <w:rPr>
                <w:rFonts w:hint="default" w:ascii="Times New Roman" w:hAnsi="Times New Roman" w:cs="Times New Roman"/>
                <w:color w:val="auto"/>
                <w:highlight w:val="none"/>
              </w:rPr>
            </w:pPr>
          </w:p>
        </w:tc>
      </w:tr>
      <w:tr w14:paraId="5FE6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402CE6E">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63002C38">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7A12F4A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5663E9AA">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2729E5DF">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614E5BEC">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78D8C508">
            <w:pPr>
              <w:jc w:val="center"/>
              <w:rPr>
                <w:rFonts w:hint="default" w:ascii="Times New Roman" w:hAnsi="Times New Roman" w:cs="Times New Roman"/>
                <w:color w:val="auto"/>
                <w:highlight w:val="none"/>
              </w:rPr>
            </w:pPr>
          </w:p>
        </w:tc>
        <w:tc>
          <w:tcPr>
            <w:tcW w:w="1268" w:type="dxa"/>
          </w:tcPr>
          <w:p w14:paraId="5C3735FB">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2BA639D6">
            <w:pPr>
              <w:jc w:val="center"/>
              <w:rPr>
                <w:rFonts w:hint="default" w:ascii="Times New Roman" w:hAnsi="Times New Roman" w:cs="Times New Roman"/>
                <w:color w:val="auto"/>
                <w:highlight w:val="none"/>
              </w:rPr>
            </w:pPr>
          </w:p>
        </w:tc>
      </w:tr>
      <w:tr w14:paraId="672C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5973F25">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76FEDFAC">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12EC37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020104FF">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E49FA25">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35E61758">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59AFE45E">
            <w:pPr>
              <w:jc w:val="center"/>
              <w:rPr>
                <w:rFonts w:hint="default" w:ascii="Times New Roman" w:hAnsi="Times New Roman" w:cs="Times New Roman"/>
                <w:color w:val="auto"/>
                <w:highlight w:val="none"/>
              </w:rPr>
            </w:pPr>
          </w:p>
        </w:tc>
        <w:tc>
          <w:tcPr>
            <w:tcW w:w="1268" w:type="dxa"/>
          </w:tcPr>
          <w:p w14:paraId="7EAB121F">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0FFE1289">
            <w:pPr>
              <w:jc w:val="center"/>
              <w:rPr>
                <w:rFonts w:hint="default" w:ascii="Times New Roman" w:hAnsi="Times New Roman" w:cs="Times New Roman"/>
                <w:color w:val="auto"/>
                <w:highlight w:val="none"/>
              </w:rPr>
            </w:pPr>
          </w:p>
        </w:tc>
      </w:tr>
      <w:tr w14:paraId="178B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0AE45B2F">
            <w:pPr>
              <w:jc w:val="center"/>
              <w:rPr>
                <w:rFonts w:hint="default" w:ascii="Times New Roman" w:hAnsi="Times New Roman" w:cs="Times New Roman"/>
                <w:color w:val="auto"/>
                <w:highlight w:val="none"/>
              </w:rPr>
            </w:pPr>
          </w:p>
        </w:tc>
        <w:tc>
          <w:tcPr>
            <w:tcW w:w="1693" w:type="dxa"/>
            <w:vMerge w:val="restart"/>
            <w:tcMar>
              <w:left w:w="108" w:type="dxa"/>
              <w:right w:w="108" w:type="dxa"/>
            </w:tcMar>
            <w:vAlign w:val="center"/>
          </w:tcPr>
          <w:p w14:paraId="7F08DFC4">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0000A31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950" w:type="dxa"/>
            <w:tcMar>
              <w:left w:w="108" w:type="dxa"/>
              <w:right w:w="108" w:type="dxa"/>
            </w:tcMar>
            <w:vAlign w:val="center"/>
          </w:tcPr>
          <w:p w14:paraId="534D8C09">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4765E615">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486A5E89">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4FD9B291">
            <w:pPr>
              <w:jc w:val="center"/>
              <w:rPr>
                <w:rFonts w:hint="default" w:ascii="Times New Roman" w:hAnsi="Times New Roman" w:cs="Times New Roman"/>
                <w:color w:val="auto"/>
                <w:highlight w:val="none"/>
              </w:rPr>
            </w:pPr>
          </w:p>
        </w:tc>
        <w:tc>
          <w:tcPr>
            <w:tcW w:w="1268" w:type="dxa"/>
          </w:tcPr>
          <w:p w14:paraId="5EEDA3DC">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32F394DF">
            <w:pPr>
              <w:jc w:val="center"/>
              <w:rPr>
                <w:rFonts w:hint="default" w:ascii="Times New Roman" w:hAnsi="Times New Roman" w:cs="Times New Roman"/>
                <w:color w:val="auto"/>
                <w:highlight w:val="none"/>
              </w:rPr>
            </w:pPr>
          </w:p>
        </w:tc>
      </w:tr>
      <w:tr w14:paraId="309B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4782BDC">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4A4E3890">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5EDC69F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950" w:type="dxa"/>
            <w:tcMar>
              <w:left w:w="108" w:type="dxa"/>
              <w:right w:w="108" w:type="dxa"/>
            </w:tcMar>
            <w:vAlign w:val="center"/>
          </w:tcPr>
          <w:p w14:paraId="28F949B6">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01F7E8AD">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480CA3EE">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71758621">
            <w:pPr>
              <w:jc w:val="center"/>
              <w:rPr>
                <w:rFonts w:hint="default" w:ascii="Times New Roman" w:hAnsi="Times New Roman" w:cs="Times New Roman"/>
                <w:color w:val="auto"/>
                <w:highlight w:val="none"/>
              </w:rPr>
            </w:pPr>
          </w:p>
        </w:tc>
        <w:tc>
          <w:tcPr>
            <w:tcW w:w="1268" w:type="dxa"/>
          </w:tcPr>
          <w:p w14:paraId="2A5AF603">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7513E1D1">
            <w:pPr>
              <w:jc w:val="center"/>
              <w:rPr>
                <w:rFonts w:hint="default" w:ascii="Times New Roman" w:hAnsi="Times New Roman" w:cs="Times New Roman"/>
                <w:color w:val="auto"/>
                <w:highlight w:val="none"/>
              </w:rPr>
            </w:pPr>
          </w:p>
        </w:tc>
      </w:tr>
      <w:tr w14:paraId="23CA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C6537C4">
            <w:pPr>
              <w:jc w:val="center"/>
              <w:rPr>
                <w:rFonts w:hint="default" w:ascii="Times New Roman" w:hAnsi="Times New Roman" w:cs="Times New Roman"/>
                <w:color w:val="auto"/>
                <w:highlight w:val="none"/>
              </w:rPr>
            </w:pPr>
          </w:p>
        </w:tc>
        <w:tc>
          <w:tcPr>
            <w:tcW w:w="1693" w:type="dxa"/>
            <w:vMerge w:val="continue"/>
            <w:tcMar>
              <w:left w:w="108" w:type="dxa"/>
              <w:right w:w="108" w:type="dxa"/>
            </w:tcMar>
            <w:vAlign w:val="center"/>
          </w:tcPr>
          <w:p w14:paraId="56B66D96">
            <w:pPr>
              <w:jc w:val="center"/>
              <w:rPr>
                <w:rFonts w:hint="default" w:ascii="Times New Roman" w:hAnsi="Times New Roman" w:cs="Times New Roman"/>
                <w:color w:val="auto"/>
                <w:highlight w:val="none"/>
              </w:rPr>
            </w:pPr>
          </w:p>
        </w:tc>
        <w:tc>
          <w:tcPr>
            <w:tcW w:w="751" w:type="dxa"/>
            <w:tcMar>
              <w:left w:w="108" w:type="dxa"/>
              <w:right w:w="108" w:type="dxa"/>
            </w:tcMar>
            <w:vAlign w:val="center"/>
          </w:tcPr>
          <w:p w14:paraId="4825F2A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950" w:type="dxa"/>
            <w:tcMar>
              <w:left w:w="108" w:type="dxa"/>
              <w:right w:w="108" w:type="dxa"/>
            </w:tcMar>
            <w:vAlign w:val="center"/>
          </w:tcPr>
          <w:p w14:paraId="67BCF6E4">
            <w:pPr>
              <w:jc w:val="center"/>
              <w:rPr>
                <w:rFonts w:hint="default" w:ascii="Times New Roman" w:hAnsi="Times New Roman" w:cs="Times New Roman"/>
                <w:color w:val="auto"/>
                <w:highlight w:val="none"/>
              </w:rPr>
            </w:pPr>
          </w:p>
        </w:tc>
        <w:tc>
          <w:tcPr>
            <w:tcW w:w="1123" w:type="dxa"/>
            <w:tcMar>
              <w:left w:w="108" w:type="dxa"/>
              <w:right w:w="108" w:type="dxa"/>
            </w:tcMar>
            <w:vAlign w:val="center"/>
          </w:tcPr>
          <w:p w14:paraId="7DE66ADB">
            <w:pPr>
              <w:jc w:val="center"/>
              <w:rPr>
                <w:rFonts w:hint="default" w:ascii="Times New Roman" w:hAnsi="Times New Roman" w:cs="Times New Roman"/>
                <w:color w:val="auto"/>
                <w:highlight w:val="none"/>
              </w:rPr>
            </w:pPr>
          </w:p>
        </w:tc>
        <w:tc>
          <w:tcPr>
            <w:tcW w:w="1090" w:type="dxa"/>
            <w:tcMar>
              <w:left w:w="108" w:type="dxa"/>
              <w:right w:w="108" w:type="dxa"/>
            </w:tcMar>
            <w:vAlign w:val="center"/>
          </w:tcPr>
          <w:p w14:paraId="0CA1FBC0">
            <w:pPr>
              <w:jc w:val="center"/>
              <w:rPr>
                <w:rFonts w:hint="default" w:ascii="Times New Roman" w:hAnsi="Times New Roman" w:cs="Times New Roman"/>
                <w:color w:val="auto"/>
                <w:highlight w:val="none"/>
              </w:rPr>
            </w:pPr>
          </w:p>
        </w:tc>
        <w:tc>
          <w:tcPr>
            <w:tcW w:w="1197" w:type="dxa"/>
            <w:tcMar>
              <w:left w:w="108" w:type="dxa"/>
              <w:right w:w="108" w:type="dxa"/>
            </w:tcMar>
            <w:vAlign w:val="center"/>
          </w:tcPr>
          <w:p w14:paraId="3E7FC3D4">
            <w:pPr>
              <w:jc w:val="center"/>
              <w:rPr>
                <w:rFonts w:hint="default" w:ascii="Times New Roman" w:hAnsi="Times New Roman" w:cs="Times New Roman"/>
                <w:color w:val="auto"/>
                <w:highlight w:val="none"/>
              </w:rPr>
            </w:pPr>
          </w:p>
        </w:tc>
        <w:tc>
          <w:tcPr>
            <w:tcW w:w="1268" w:type="dxa"/>
          </w:tcPr>
          <w:p w14:paraId="4179D6BD">
            <w:pPr>
              <w:jc w:val="center"/>
              <w:rPr>
                <w:rFonts w:hint="default" w:ascii="Times New Roman" w:hAnsi="Times New Roman" w:cs="Times New Roman"/>
                <w:color w:val="auto"/>
                <w:highlight w:val="none"/>
              </w:rPr>
            </w:pPr>
          </w:p>
        </w:tc>
        <w:tc>
          <w:tcPr>
            <w:tcW w:w="673" w:type="dxa"/>
            <w:tcMar>
              <w:left w:w="108" w:type="dxa"/>
              <w:right w:w="108" w:type="dxa"/>
            </w:tcMar>
            <w:vAlign w:val="center"/>
          </w:tcPr>
          <w:p w14:paraId="21107880">
            <w:pPr>
              <w:jc w:val="center"/>
              <w:rPr>
                <w:rFonts w:hint="default" w:ascii="Times New Roman" w:hAnsi="Times New Roman" w:cs="Times New Roman"/>
                <w:color w:val="auto"/>
                <w:highlight w:val="none"/>
              </w:rPr>
            </w:pPr>
          </w:p>
        </w:tc>
      </w:tr>
    </w:tbl>
    <w:p w14:paraId="0880D3FB">
      <w:pPr>
        <w:spacing w:line="440" w:lineRule="exact"/>
        <w:ind w:right="42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备注：1.若无分包计划，则供应商应在本表填写“无”。</w:t>
      </w:r>
    </w:p>
    <w:p w14:paraId="0F64CA03">
      <w:pPr>
        <w:spacing w:line="440" w:lineRule="exact"/>
        <w:ind w:right="420"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2.本表所列分包仅限于承包人自行施工范围内的非主体、非关键工程。</w:t>
      </w:r>
    </w:p>
    <w:p w14:paraId="606082A0">
      <w:pPr>
        <w:adjustRightInd w:val="0"/>
        <w:spacing w:line="360" w:lineRule="auto"/>
        <w:contextualSpacing/>
        <w:rPr>
          <w:rFonts w:hint="default" w:ascii="Times New Roman" w:hAnsi="Times New Roman" w:cs="Times New Roman"/>
          <w:color w:val="auto"/>
          <w:sz w:val="24"/>
          <w:highlight w:val="none"/>
        </w:rPr>
      </w:pPr>
    </w:p>
    <w:p w14:paraId="4D223396">
      <w:pPr>
        <w:spacing w:line="360" w:lineRule="auto"/>
        <w:ind w:right="-817" w:rightChars="-389"/>
        <w:contextualSpacing/>
        <w:rPr>
          <w:rFonts w:hint="default" w:ascii="Times New Roman" w:hAnsi="Times New Roman" w:cs="Times New Roman"/>
          <w:color w:val="auto"/>
          <w:sz w:val="24"/>
          <w:highlight w:val="none"/>
        </w:rPr>
      </w:pPr>
    </w:p>
    <w:p w14:paraId="034207FC">
      <w:pPr>
        <w:spacing w:line="360" w:lineRule="auto"/>
        <w:ind w:right="-817" w:rightChars="-389"/>
        <w:contextualSpacing/>
        <w:rPr>
          <w:rFonts w:hint="default" w:ascii="Times New Roman" w:hAnsi="Times New Roman" w:cs="Times New Roman"/>
          <w:color w:val="auto"/>
          <w:sz w:val="24"/>
          <w:highlight w:val="none"/>
        </w:rPr>
      </w:pPr>
    </w:p>
    <w:p w14:paraId="140709D2">
      <w:pPr>
        <w:spacing w:line="360" w:lineRule="auto"/>
        <w:ind w:right="-817" w:rightChars="-389"/>
        <w:contextualSpacing/>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法定代表人或者委托代理人（签字或者电子签名）：</w:t>
      </w:r>
    </w:p>
    <w:p w14:paraId="5E949F0D">
      <w:pPr>
        <w:spacing w:line="360" w:lineRule="auto"/>
        <w:ind w:right="-817" w:rightChars="-389" w:firstLine="2640" w:firstLineChars="11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供应商（电子签章）：</w:t>
      </w:r>
    </w:p>
    <w:p w14:paraId="62162A40">
      <w:pPr>
        <w:spacing w:line="360" w:lineRule="auto"/>
        <w:ind w:right="-817" w:rightChars="-389" w:firstLine="4080" w:firstLineChars="17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日期：年月日</w:t>
      </w:r>
    </w:p>
    <w:p w14:paraId="5D194A67">
      <w:pPr>
        <w:adjustRightInd w:val="0"/>
        <w:snapToGrid w:val="0"/>
        <w:spacing w:line="30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bCs/>
          <w:color w:val="auto"/>
          <w:sz w:val="44"/>
          <w:szCs w:val="44"/>
          <w:highlight w:val="none"/>
        </w:rPr>
        <w:t>项目管理机构配备情况表及主要人员简历表</w:t>
      </w:r>
    </w:p>
    <w:p w14:paraId="0B46DAA6">
      <w:pPr>
        <w:snapToGrid w:val="0"/>
        <w:spacing w:before="120" w:beforeLines="50" w:after="50"/>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（一）项目管理机构配备情况表</w:t>
      </w:r>
    </w:p>
    <w:p w14:paraId="3A840877">
      <w:pPr>
        <w:pStyle w:val="4"/>
        <w:spacing w:line="360" w:lineRule="auto"/>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分标（如有）</w:t>
      </w:r>
      <w:r>
        <w:rPr>
          <w:rFonts w:hint="default" w:ascii="Times New Roman" w:hAnsi="Times New Roman" w:cs="Times New Roman"/>
          <w:color w:val="auto"/>
          <w:sz w:val="24"/>
          <w:szCs w:val="24"/>
          <w:highlight w:val="none"/>
        </w:rPr>
        <w:t>：</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02C1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A35BECC">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670" w:type="dxa"/>
            <w:vMerge w:val="restart"/>
            <w:vAlign w:val="center"/>
          </w:tcPr>
          <w:p w14:paraId="2CC599F3">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829" w:type="dxa"/>
            <w:vMerge w:val="restart"/>
            <w:vAlign w:val="center"/>
          </w:tcPr>
          <w:p w14:paraId="39F8AF5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w:t>
            </w:r>
          </w:p>
        </w:tc>
        <w:tc>
          <w:tcPr>
            <w:tcW w:w="816" w:type="dxa"/>
            <w:vMerge w:val="restart"/>
            <w:vAlign w:val="center"/>
          </w:tcPr>
          <w:p w14:paraId="454ABD38">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4188" w:type="dxa"/>
            <w:gridSpan w:val="4"/>
            <w:vAlign w:val="center"/>
          </w:tcPr>
          <w:p w14:paraId="7E5C3C8C">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执业或职业资格</w:t>
            </w:r>
          </w:p>
        </w:tc>
        <w:tc>
          <w:tcPr>
            <w:tcW w:w="2443" w:type="dxa"/>
            <w:gridSpan w:val="2"/>
            <w:vAlign w:val="center"/>
          </w:tcPr>
          <w:p w14:paraId="57723316">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承担完工、在建工程情况</w:t>
            </w:r>
          </w:p>
        </w:tc>
      </w:tr>
      <w:tr w14:paraId="7E2A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03D63249">
            <w:pPr>
              <w:ind w:left="223" w:hanging="222" w:hangingChars="106"/>
              <w:jc w:val="center"/>
              <w:rPr>
                <w:rFonts w:hint="default" w:ascii="Times New Roman" w:hAnsi="Times New Roman" w:cs="Times New Roman"/>
                <w:color w:val="auto"/>
                <w:highlight w:val="none"/>
              </w:rPr>
            </w:pPr>
          </w:p>
        </w:tc>
        <w:tc>
          <w:tcPr>
            <w:tcW w:w="670" w:type="dxa"/>
            <w:vMerge w:val="continue"/>
            <w:vAlign w:val="center"/>
          </w:tcPr>
          <w:p w14:paraId="1718077B">
            <w:pPr>
              <w:ind w:left="223" w:hanging="222" w:hangingChars="106"/>
              <w:jc w:val="center"/>
              <w:rPr>
                <w:rFonts w:hint="default" w:ascii="Times New Roman" w:hAnsi="Times New Roman" w:cs="Times New Roman"/>
                <w:color w:val="auto"/>
                <w:highlight w:val="none"/>
              </w:rPr>
            </w:pPr>
          </w:p>
        </w:tc>
        <w:tc>
          <w:tcPr>
            <w:tcW w:w="829" w:type="dxa"/>
            <w:vMerge w:val="continue"/>
            <w:vAlign w:val="center"/>
          </w:tcPr>
          <w:p w14:paraId="00ADE45C">
            <w:pPr>
              <w:ind w:left="223" w:hanging="222" w:hangingChars="106"/>
              <w:jc w:val="center"/>
              <w:rPr>
                <w:rFonts w:hint="default" w:ascii="Times New Roman" w:hAnsi="Times New Roman" w:cs="Times New Roman"/>
                <w:color w:val="auto"/>
                <w:highlight w:val="none"/>
              </w:rPr>
            </w:pPr>
          </w:p>
        </w:tc>
        <w:tc>
          <w:tcPr>
            <w:tcW w:w="816" w:type="dxa"/>
            <w:vMerge w:val="continue"/>
            <w:vAlign w:val="center"/>
          </w:tcPr>
          <w:p w14:paraId="269490E0">
            <w:pPr>
              <w:ind w:left="223" w:hanging="222" w:hangingChars="106"/>
              <w:jc w:val="center"/>
              <w:rPr>
                <w:rFonts w:hint="default" w:ascii="Times New Roman" w:hAnsi="Times New Roman" w:cs="Times New Roman"/>
                <w:color w:val="auto"/>
                <w:highlight w:val="none"/>
              </w:rPr>
            </w:pPr>
          </w:p>
        </w:tc>
        <w:tc>
          <w:tcPr>
            <w:tcW w:w="1148" w:type="dxa"/>
            <w:vAlign w:val="center"/>
          </w:tcPr>
          <w:p w14:paraId="5BED76EC">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148" w:type="dxa"/>
            <w:vAlign w:val="center"/>
          </w:tcPr>
          <w:p w14:paraId="2A0E2917">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148" w:type="dxa"/>
            <w:vAlign w:val="center"/>
          </w:tcPr>
          <w:p w14:paraId="4245302A">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证号</w:t>
            </w:r>
          </w:p>
        </w:tc>
        <w:tc>
          <w:tcPr>
            <w:tcW w:w="744" w:type="dxa"/>
            <w:vAlign w:val="center"/>
          </w:tcPr>
          <w:p w14:paraId="6C91BD71">
            <w:pPr>
              <w:ind w:left="223" w:hanging="222" w:hangingChars="10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专业</w:t>
            </w:r>
          </w:p>
        </w:tc>
        <w:tc>
          <w:tcPr>
            <w:tcW w:w="1167" w:type="dxa"/>
            <w:vAlign w:val="center"/>
          </w:tcPr>
          <w:p w14:paraId="0A42A5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完工/在建</w:t>
            </w:r>
          </w:p>
        </w:tc>
        <w:tc>
          <w:tcPr>
            <w:tcW w:w="1276" w:type="dxa"/>
            <w:vAlign w:val="center"/>
          </w:tcPr>
          <w:p w14:paraId="6A08FA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主要项目</w:t>
            </w:r>
          </w:p>
          <w:p w14:paraId="42238CC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r>
      <w:tr w14:paraId="18A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9B00CBE">
            <w:pPr>
              <w:pStyle w:val="174"/>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1.</w:t>
            </w:r>
            <w:r>
              <w:rPr>
                <w:rFonts w:hint="default" w:ascii="Times New Roman" w:hAnsi="Times New Roman" w:cs="Times New Roman"/>
                <w:color w:val="auto"/>
                <w:sz w:val="21"/>
                <w:szCs w:val="21"/>
                <w:highlight w:val="none"/>
              </w:rPr>
              <w:t>项目经理</w:t>
            </w:r>
          </w:p>
        </w:tc>
        <w:tc>
          <w:tcPr>
            <w:tcW w:w="670" w:type="dxa"/>
            <w:vAlign w:val="center"/>
          </w:tcPr>
          <w:p w14:paraId="08DFA2B1">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7FE48EEF">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035F8A93">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CA9D208">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1E2EE7D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07EE4EB">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071914F7">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3FC292D5">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2577E1CA">
            <w:pPr>
              <w:ind w:left="223" w:hanging="222" w:hangingChars="106"/>
              <w:jc w:val="center"/>
              <w:rPr>
                <w:rFonts w:hint="default" w:ascii="Times New Roman" w:hAnsi="Times New Roman" w:cs="Times New Roman"/>
                <w:color w:val="auto"/>
                <w:szCs w:val="21"/>
                <w:highlight w:val="none"/>
              </w:rPr>
            </w:pPr>
          </w:p>
        </w:tc>
      </w:tr>
      <w:tr w14:paraId="46EF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7371AAD">
            <w:pPr>
              <w:pStyle w:val="174"/>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rPr>
              <w:t>2.</w:t>
            </w:r>
            <w:r>
              <w:rPr>
                <w:rFonts w:hint="default" w:ascii="Times New Roman" w:hAnsi="Times New Roman" w:cs="Times New Roman"/>
                <w:color w:val="auto"/>
                <w:sz w:val="21"/>
                <w:szCs w:val="21"/>
                <w:highlight w:val="none"/>
              </w:rPr>
              <w:t>技术负责人（项目总工）</w:t>
            </w:r>
          </w:p>
        </w:tc>
        <w:tc>
          <w:tcPr>
            <w:tcW w:w="670" w:type="dxa"/>
            <w:vAlign w:val="center"/>
          </w:tcPr>
          <w:p w14:paraId="6B44DDE9">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55379201">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669581DA">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7696BD4">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39B0BAEC">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F5FE8A0">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17A1A6B6">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1CD682A">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495BA4F0">
            <w:pPr>
              <w:ind w:left="223" w:hanging="222" w:hangingChars="106"/>
              <w:jc w:val="center"/>
              <w:rPr>
                <w:rFonts w:hint="default" w:ascii="Times New Roman" w:hAnsi="Times New Roman" w:cs="Times New Roman"/>
                <w:color w:val="auto"/>
                <w:szCs w:val="21"/>
                <w:highlight w:val="none"/>
              </w:rPr>
            </w:pPr>
          </w:p>
        </w:tc>
      </w:tr>
      <w:tr w14:paraId="7464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423F5F9">
            <w:pPr>
              <w:pStyle w:val="174"/>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3.</w:t>
            </w:r>
            <w:r>
              <w:rPr>
                <w:rFonts w:hint="default" w:ascii="Times New Roman" w:hAnsi="Times New Roman" w:cs="Times New Roman"/>
                <w:color w:val="auto"/>
                <w:sz w:val="21"/>
                <w:szCs w:val="21"/>
                <w:highlight w:val="none"/>
              </w:rPr>
              <w:t>施工员</w:t>
            </w:r>
          </w:p>
        </w:tc>
        <w:tc>
          <w:tcPr>
            <w:tcW w:w="670" w:type="dxa"/>
            <w:vAlign w:val="center"/>
          </w:tcPr>
          <w:p w14:paraId="64455AA4">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4BE9E91D">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7E15F81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420C7ED7">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97F9A16">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4A72224">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4112A2BA">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03B53DF4">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11E7CEFE">
            <w:pPr>
              <w:ind w:left="223" w:hanging="222" w:hangingChars="106"/>
              <w:jc w:val="center"/>
              <w:rPr>
                <w:rFonts w:hint="default" w:ascii="Times New Roman" w:hAnsi="Times New Roman" w:cs="Times New Roman"/>
                <w:color w:val="auto"/>
                <w:szCs w:val="21"/>
                <w:highlight w:val="none"/>
              </w:rPr>
            </w:pPr>
          </w:p>
        </w:tc>
      </w:tr>
      <w:tr w14:paraId="236B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A6FE70F">
            <w:pPr>
              <w:pStyle w:val="174"/>
              <w:spacing w:line="240" w:lineRule="auto"/>
              <w:ind w:firstLine="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en-US"/>
              </w:rPr>
              <w:t>4.</w:t>
            </w:r>
            <w:r>
              <w:rPr>
                <w:rFonts w:hint="default" w:ascii="Times New Roman" w:hAnsi="Times New Roman" w:cs="Times New Roman"/>
                <w:color w:val="auto"/>
                <w:sz w:val="21"/>
                <w:szCs w:val="21"/>
                <w:highlight w:val="none"/>
              </w:rPr>
              <w:t>安全员</w:t>
            </w:r>
          </w:p>
        </w:tc>
        <w:tc>
          <w:tcPr>
            <w:tcW w:w="670" w:type="dxa"/>
            <w:vAlign w:val="center"/>
          </w:tcPr>
          <w:p w14:paraId="11EEED1C">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7993378F">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67DBC55D">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208CFC1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19932C73">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8D6EFE3">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0BD83FAC">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C5FAF9E">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060250E0">
            <w:pPr>
              <w:ind w:left="223" w:hanging="222" w:hangingChars="106"/>
              <w:jc w:val="center"/>
              <w:rPr>
                <w:rFonts w:hint="default" w:ascii="Times New Roman" w:hAnsi="Times New Roman" w:cs="Times New Roman"/>
                <w:color w:val="auto"/>
                <w:szCs w:val="21"/>
                <w:highlight w:val="none"/>
              </w:rPr>
            </w:pPr>
          </w:p>
        </w:tc>
      </w:tr>
      <w:tr w14:paraId="320E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966B3E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5.质量员</w:t>
            </w:r>
          </w:p>
        </w:tc>
        <w:tc>
          <w:tcPr>
            <w:tcW w:w="670" w:type="dxa"/>
            <w:vAlign w:val="center"/>
          </w:tcPr>
          <w:p w14:paraId="37319618">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622F987D">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5D96D48A">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13702C32">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6073E4E">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6C2E501C">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3C97C210">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51D3E2E5">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65C57538">
            <w:pPr>
              <w:ind w:left="223" w:hanging="222" w:hangingChars="106"/>
              <w:jc w:val="center"/>
              <w:rPr>
                <w:rFonts w:hint="default" w:ascii="Times New Roman" w:hAnsi="Times New Roman" w:cs="Times New Roman"/>
                <w:color w:val="auto"/>
                <w:szCs w:val="21"/>
                <w:highlight w:val="none"/>
              </w:rPr>
            </w:pPr>
          </w:p>
        </w:tc>
      </w:tr>
      <w:tr w14:paraId="003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137439B">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6.材料员</w:t>
            </w:r>
          </w:p>
        </w:tc>
        <w:tc>
          <w:tcPr>
            <w:tcW w:w="670" w:type="dxa"/>
            <w:vAlign w:val="center"/>
          </w:tcPr>
          <w:p w14:paraId="00CF547A">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668752FD">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3678041F">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471F8C5">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5212189A">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292DF842">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71745CEE">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1C5BAD21">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3A95653B">
            <w:pPr>
              <w:ind w:left="223" w:hanging="222" w:hangingChars="106"/>
              <w:jc w:val="center"/>
              <w:rPr>
                <w:rFonts w:hint="default" w:ascii="Times New Roman" w:hAnsi="Times New Roman" w:cs="Times New Roman"/>
                <w:color w:val="auto"/>
                <w:szCs w:val="21"/>
                <w:highlight w:val="none"/>
              </w:rPr>
            </w:pPr>
          </w:p>
        </w:tc>
      </w:tr>
      <w:tr w14:paraId="77F1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1660C39">
            <w:pPr>
              <w:ind w:left="223" w:hanging="222" w:hangingChars="106"/>
              <w:jc w:val="center"/>
              <w:rPr>
                <w:rFonts w:hint="default" w:ascii="Times New Roman" w:hAnsi="Times New Roman" w:cs="Times New Roman"/>
                <w:color w:val="auto"/>
                <w:szCs w:val="21"/>
                <w:highlight w:val="none"/>
              </w:rPr>
            </w:pPr>
          </w:p>
        </w:tc>
        <w:tc>
          <w:tcPr>
            <w:tcW w:w="670" w:type="dxa"/>
            <w:vAlign w:val="center"/>
          </w:tcPr>
          <w:p w14:paraId="7BFDAAD5">
            <w:pPr>
              <w:ind w:left="223" w:hanging="222" w:hangingChars="106"/>
              <w:jc w:val="center"/>
              <w:rPr>
                <w:rFonts w:hint="default" w:ascii="Times New Roman" w:hAnsi="Times New Roman" w:cs="Times New Roman"/>
                <w:color w:val="auto"/>
                <w:szCs w:val="21"/>
                <w:highlight w:val="none"/>
              </w:rPr>
            </w:pPr>
          </w:p>
        </w:tc>
        <w:tc>
          <w:tcPr>
            <w:tcW w:w="829" w:type="dxa"/>
            <w:vAlign w:val="center"/>
          </w:tcPr>
          <w:p w14:paraId="6FBD8F0A">
            <w:pPr>
              <w:ind w:left="223" w:hanging="222" w:hangingChars="106"/>
              <w:jc w:val="center"/>
              <w:rPr>
                <w:rFonts w:hint="default" w:ascii="Times New Roman" w:hAnsi="Times New Roman" w:cs="Times New Roman"/>
                <w:color w:val="auto"/>
                <w:szCs w:val="21"/>
                <w:highlight w:val="none"/>
              </w:rPr>
            </w:pPr>
          </w:p>
        </w:tc>
        <w:tc>
          <w:tcPr>
            <w:tcW w:w="816" w:type="dxa"/>
            <w:vAlign w:val="center"/>
          </w:tcPr>
          <w:p w14:paraId="2D459106">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79CFC9B9">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0E3F4487">
            <w:pPr>
              <w:ind w:left="223" w:hanging="222" w:hangingChars="106"/>
              <w:jc w:val="center"/>
              <w:rPr>
                <w:rFonts w:hint="default" w:ascii="Times New Roman" w:hAnsi="Times New Roman" w:cs="Times New Roman"/>
                <w:color w:val="auto"/>
                <w:szCs w:val="21"/>
                <w:highlight w:val="none"/>
              </w:rPr>
            </w:pPr>
          </w:p>
        </w:tc>
        <w:tc>
          <w:tcPr>
            <w:tcW w:w="1148" w:type="dxa"/>
            <w:vAlign w:val="center"/>
          </w:tcPr>
          <w:p w14:paraId="102017E8">
            <w:pPr>
              <w:ind w:left="223" w:hanging="222" w:hangingChars="106"/>
              <w:jc w:val="center"/>
              <w:rPr>
                <w:rFonts w:hint="default" w:ascii="Times New Roman" w:hAnsi="Times New Roman" w:cs="Times New Roman"/>
                <w:color w:val="auto"/>
                <w:szCs w:val="21"/>
                <w:highlight w:val="none"/>
              </w:rPr>
            </w:pPr>
          </w:p>
        </w:tc>
        <w:tc>
          <w:tcPr>
            <w:tcW w:w="744" w:type="dxa"/>
            <w:vAlign w:val="center"/>
          </w:tcPr>
          <w:p w14:paraId="4964D3B4">
            <w:pPr>
              <w:ind w:left="223" w:hanging="222" w:hangingChars="106"/>
              <w:jc w:val="center"/>
              <w:rPr>
                <w:rFonts w:hint="default" w:ascii="Times New Roman" w:hAnsi="Times New Roman" w:cs="Times New Roman"/>
                <w:color w:val="auto"/>
                <w:szCs w:val="21"/>
                <w:highlight w:val="none"/>
              </w:rPr>
            </w:pPr>
          </w:p>
        </w:tc>
        <w:tc>
          <w:tcPr>
            <w:tcW w:w="1167" w:type="dxa"/>
            <w:vAlign w:val="center"/>
          </w:tcPr>
          <w:p w14:paraId="078F8CCC">
            <w:pPr>
              <w:ind w:left="223" w:hanging="222" w:hangingChars="106"/>
              <w:jc w:val="center"/>
              <w:rPr>
                <w:rFonts w:hint="default" w:ascii="Times New Roman" w:hAnsi="Times New Roman" w:cs="Times New Roman"/>
                <w:color w:val="auto"/>
                <w:szCs w:val="21"/>
                <w:highlight w:val="none"/>
              </w:rPr>
            </w:pPr>
          </w:p>
        </w:tc>
        <w:tc>
          <w:tcPr>
            <w:tcW w:w="1276" w:type="dxa"/>
            <w:vAlign w:val="center"/>
          </w:tcPr>
          <w:p w14:paraId="22C1BC38">
            <w:pPr>
              <w:ind w:left="223" w:hanging="222" w:hangingChars="106"/>
              <w:jc w:val="center"/>
              <w:rPr>
                <w:rFonts w:hint="default" w:ascii="Times New Roman" w:hAnsi="Times New Roman" w:cs="Times New Roman"/>
                <w:color w:val="auto"/>
                <w:szCs w:val="21"/>
                <w:highlight w:val="none"/>
              </w:rPr>
            </w:pPr>
          </w:p>
        </w:tc>
      </w:tr>
      <w:tr w14:paraId="5430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7A1B8EE2">
            <w:pPr>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608C72B">
      <w:pPr>
        <w:spacing w:line="360" w:lineRule="auto"/>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备注：</w:t>
      </w:r>
    </w:p>
    <w:p w14:paraId="48B57342">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1.本表所列岗位的所有管理人员的情况均应如实填写。可按以上格式扩展为多页填写。</w:t>
      </w:r>
    </w:p>
    <w:p w14:paraId="65A86B6C">
      <w:pPr>
        <w:spacing w:line="360" w:lineRule="auto"/>
        <w:ind w:firstLine="48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2.供应商应当在本表后附所有管理人员的身份证、职称证、执业或职业资格证书、近1个月在现任职单位依法缴纳社会保险的证明材料的复印件。</w:t>
      </w:r>
    </w:p>
    <w:p w14:paraId="111BCC27">
      <w:pPr>
        <w:spacing w:line="360" w:lineRule="auto"/>
        <w:ind w:firstLine="480" w:firstLineChars="200"/>
        <w:contextualSpacing/>
        <w:rPr>
          <w:rFonts w:hint="default" w:ascii="Times New Roman" w:hAnsi="Times New Roman" w:cs="Times New Roman"/>
          <w:color w:val="auto"/>
          <w:spacing w:val="20"/>
          <w:sz w:val="24"/>
          <w:szCs w:val="20"/>
          <w:highlight w:val="none"/>
          <w:u w:val="single"/>
        </w:rPr>
      </w:pPr>
      <w:r>
        <w:rPr>
          <w:rFonts w:hint="default" w:ascii="Times New Roman" w:hAnsi="Times New Roman" w:cs="Times New Roman"/>
          <w:color w:val="auto"/>
          <w:sz w:val="24"/>
          <w:highlight w:val="none"/>
        </w:rPr>
        <w:t>法定代表人或者委托代理人（签字或者电子签名）</w:t>
      </w:r>
      <w:r>
        <w:rPr>
          <w:rFonts w:hint="default" w:ascii="Times New Roman" w:hAnsi="Times New Roman" w:cs="Times New Roman"/>
          <w:color w:val="auto"/>
          <w:spacing w:val="20"/>
          <w:sz w:val="24"/>
          <w:highlight w:val="none"/>
        </w:rPr>
        <w:t>：</w:t>
      </w:r>
    </w:p>
    <w:p w14:paraId="19E46B70">
      <w:pPr>
        <w:spacing w:line="360" w:lineRule="auto"/>
        <w:ind w:firstLine="560" w:firstLineChars="200"/>
        <w:contextualSpacing/>
        <w:jc w:val="left"/>
        <w:rPr>
          <w:rFonts w:hint="default" w:ascii="Times New Roman" w:hAnsi="Times New Roman" w:cs="Times New Roman"/>
          <w:color w:val="auto"/>
          <w:sz w:val="24"/>
          <w:szCs w:val="20"/>
          <w:highlight w:val="none"/>
        </w:rPr>
      </w:pPr>
      <w:r>
        <w:rPr>
          <w:rFonts w:hint="default" w:ascii="Times New Roman" w:hAnsi="Times New Roman" w:cs="Times New Roman"/>
          <w:color w:val="auto"/>
          <w:spacing w:val="20"/>
          <w:sz w:val="24"/>
          <w:highlight w:val="none"/>
        </w:rPr>
        <w:t>供应商（电子签章）：日期：</w:t>
      </w:r>
    </w:p>
    <w:p w14:paraId="2C5DA8B2">
      <w:pPr>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（二）拟投入的主要人员简历表</w:t>
      </w:r>
    </w:p>
    <w:p w14:paraId="567CEFBA">
      <w:pPr>
        <w:spacing w:line="360" w:lineRule="auto"/>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t>项目经理简历表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14:paraId="05CF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14:paraId="0762F26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318" w:type="dxa"/>
            <w:gridSpan w:val="5"/>
            <w:vAlign w:val="center"/>
          </w:tcPr>
          <w:p w14:paraId="288E72AA">
            <w:pPr>
              <w:jc w:val="center"/>
              <w:rPr>
                <w:rFonts w:hint="default" w:ascii="Times New Roman" w:hAnsi="Times New Roman" w:cs="Times New Roman"/>
                <w:color w:val="auto"/>
                <w:highlight w:val="none"/>
              </w:rPr>
            </w:pPr>
          </w:p>
        </w:tc>
        <w:tc>
          <w:tcPr>
            <w:tcW w:w="1893" w:type="dxa"/>
            <w:gridSpan w:val="5"/>
            <w:vAlign w:val="center"/>
          </w:tcPr>
          <w:p w14:paraId="34C348F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585" w:type="dxa"/>
            <w:gridSpan w:val="3"/>
            <w:vAlign w:val="center"/>
          </w:tcPr>
          <w:p w14:paraId="240B2FBC">
            <w:pPr>
              <w:jc w:val="center"/>
              <w:rPr>
                <w:rFonts w:hint="default" w:ascii="Times New Roman" w:hAnsi="Times New Roman" w:cs="Times New Roman"/>
                <w:color w:val="auto"/>
                <w:highlight w:val="none"/>
              </w:rPr>
            </w:pPr>
          </w:p>
        </w:tc>
        <w:tc>
          <w:tcPr>
            <w:tcW w:w="1108" w:type="dxa"/>
            <w:vAlign w:val="center"/>
          </w:tcPr>
          <w:p w14:paraId="197A590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1" w:type="dxa"/>
            <w:gridSpan w:val="4"/>
            <w:vAlign w:val="center"/>
          </w:tcPr>
          <w:p w14:paraId="4A2FC258">
            <w:pPr>
              <w:jc w:val="center"/>
              <w:rPr>
                <w:rFonts w:hint="default" w:ascii="Times New Roman" w:hAnsi="Times New Roman" w:cs="Times New Roman"/>
                <w:color w:val="auto"/>
                <w:highlight w:val="none"/>
              </w:rPr>
            </w:pPr>
          </w:p>
        </w:tc>
      </w:tr>
      <w:tr w14:paraId="7756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6F13F41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318" w:type="dxa"/>
            <w:gridSpan w:val="5"/>
            <w:vAlign w:val="center"/>
          </w:tcPr>
          <w:p w14:paraId="25AE78F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项目经理</w:t>
            </w:r>
          </w:p>
        </w:tc>
        <w:tc>
          <w:tcPr>
            <w:tcW w:w="1893" w:type="dxa"/>
            <w:gridSpan w:val="5"/>
            <w:vAlign w:val="center"/>
          </w:tcPr>
          <w:p w14:paraId="2191B59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585" w:type="dxa"/>
            <w:gridSpan w:val="3"/>
            <w:vAlign w:val="center"/>
          </w:tcPr>
          <w:p w14:paraId="1B998946">
            <w:pPr>
              <w:jc w:val="center"/>
              <w:rPr>
                <w:rFonts w:hint="default" w:ascii="Times New Roman" w:hAnsi="Times New Roman" w:cs="Times New Roman"/>
                <w:color w:val="auto"/>
                <w:highlight w:val="none"/>
              </w:rPr>
            </w:pPr>
          </w:p>
        </w:tc>
        <w:tc>
          <w:tcPr>
            <w:tcW w:w="1108" w:type="dxa"/>
            <w:vAlign w:val="center"/>
          </w:tcPr>
          <w:p w14:paraId="5783DFB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1" w:type="dxa"/>
            <w:gridSpan w:val="4"/>
            <w:vAlign w:val="center"/>
          </w:tcPr>
          <w:p w14:paraId="31374C76">
            <w:pPr>
              <w:jc w:val="center"/>
              <w:rPr>
                <w:rFonts w:hint="default" w:ascii="Times New Roman" w:hAnsi="Times New Roman" w:cs="Times New Roman"/>
                <w:color w:val="auto"/>
                <w:highlight w:val="none"/>
              </w:rPr>
            </w:pPr>
          </w:p>
        </w:tc>
      </w:tr>
      <w:tr w14:paraId="65D6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09B1426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318" w:type="dxa"/>
            <w:gridSpan w:val="5"/>
            <w:vAlign w:val="center"/>
          </w:tcPr>
          <w:p w14:paraId="299461EF">
            <w:pPr>
              <w:jc w:val="center"/>
              <w:rPr>
                <w:rFonts w:hint="default" w:ascii="Times New Roman" w:hAnsi="Times New Roman" w:cs="Times New Roman"/>
                <w:color w:val="auto"/>
                <w:highlight w:val="none"/>
              </w:rPr>
            </w:pPr>
          </w:p>
        </w:tc>
        <w:tc>
          <w:tcPr>
            <w:tcW w:w="1893" w:type="dxa"/>
            <w:gridSpan w:val="5"/>
            <w:vAlign w:val="center"/>
          </w:tcPr>
          <w:p w14:paraId="722B27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585" w:type="dxa"/>
            <w:gridSpan w:val="3"/>
            <w:vAlign w:val="center"/>
          </w:tcPr>
          <w:p w14:paraId="17056646">
            <w:pPr>
              <w:jc w:val="center"/>
              <w:rPr>
                <w:rFonts w:hint="default" w:ascii="Times New Roman" w:hAnsi="Times New Roman" w:cs="Times New Roman"/>
                <w:color w:val="auto"/>
                <w:highlight w:val="none"/>
              </w:rPr>
            </w:pPr>
          </w:p>
        </w:tc>
        <w:tc>
          <w:tcPr>
            <w:tcW w:w="1108" w:type="dxa"/>
            <w:vAlign w:val="center"/>
          </w:tcPr>
          <w:p w14:paraId="42DB2D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1" w:type="dxa"/>
            <w:gridSpan w:val="4"/>
            <w:vAlign w:val="center"/>
          </w:tcPr>
          <w:p w14:paraId="73169518">
            <w:pPr>
              <w:jc w:val="center"/>
              <w:rPr>
                <w:rFonts w:hint="default" w:ascii="Times New Roman" w:hAnsi="Times New Roman" w:cs="Times New Roman"/>
                <w:color w:val="auto"/>
                <w:highlight w:val="none"/>
              </w:rPr>
            </w:pPr>
          </w:p>
        </w:tc>
      </w:tr>
      <w:tr w14:paraId="310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4C91C2B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担任项目经理年限</w:t>
            </w:r>
          </w:p>
        </w:tc>
        <w:tc>
          <w:tcPr>
            <w:tcW w:w="2563" w:type="dxa"/>
            <w:gridSpan w:val="6"/>
            <w:vAlign w:val="center"/>
          </w:tcPr>
          <w:p w14:paraId="01D97E70">
            <w:pPr>
              <w:jc w:val="center"/>
              <w:rPr>
                <w:rFonts w:hint="default" w:ascii="Times New Roman" w:hAnsi="Times New Roman" w:cs="Times New Roman"/>
                <w:color w:val="auto"/>
                <w:highlight w:val="none"/>
              </w:rPr>
            </w:pPr>
          </w:p>
        </w:tc>
        <w:tc>
          <w:tcPr>
            <w:tcW w:w="1209" w:type="dxa"/>
            <w:vAlign w:val="center"/>
          </w:tcPr>
          <w:p w14:paraId="43261E7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608" w:type="dxa"/>
            <w:gridSpan w:val="10"/>
            <w:vAlign w:val="center"/>
          </w:tcPr>
          <w:p w14:paraId="3F5CFE91">
            <w:pPr>
              <w:jc w:val="center"/>
              <w:rPr>
                <w:rFonts w:hint="default" w:ascii="Times New Roman" w:hAnsi="Times New Roman" w:cs="Times New Roman"/>
                <w:color w:val="auto"/>
                <w:highlight w:val="none"/>
              </w:rPr>
            </w:pPr>
          </w:p>
        </w:tc>
      </w:tr>
      <w:tr w14:paraId="5A3A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544E043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49DB482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3"/>
            <w:vAlign w:val="center"/>
          </w:tcPr>
          <w:p w14:paraId="1B4444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417" w:type="dxa"/>
            <w:gridSpan w:val="3"/>
            <w:vAlign w:val="center"/>
          </w:tcPr>
          <w:p w14:paraId="790362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418" w:type="dxa"/>
            <w:gridSpan w:val="3"/>
            <w:vAlign w:val="center"/>
          </w:tcPr>
          <w:p w14:paraId="2E2E939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07256B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16" w:type="dxa"/>
            <w:gridSpan w:val="2"/>
            <w:vAlign w:val="center"/>
          </w:tcPr>
          <w:p w14:paraId="7A06C1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422E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2CBD3852">
            <w:pPr>
              <w:jc w:val="center"/>
              <w:rPr>
                <w:rFonts w:hint="default" w:ascii="Times New Roman" w:hAnsi="Times New Roman" w:cs="Times New Roman"/>
                <w:color w:val="auto"/>
                <w:highlight w:val="none"/>
              </w:rPr>
            </w:pPr>
          </w:p>
        </w:tc>
        <w:tc>
          <w:tcPr>
            <w:tcW w:w="1275" w:type="dxa"/>
            <w:gridSpan w:val="2"/>
            <w:vAlign w:val="center"/>
          </w:tcPr>
          <w:p w14:paraId="10746CF8">
            <w:pPr>
              <w:jc w:val="center"/>
              <w:rPr>
                <w:rFonts w:hint="default" w:ascii="Times New Roman" w:hAnsi="Times New Roman" w:cs="Times New Roman"/>
                <w:color w:val="auto"/>
                <w:highlight w:val="none"/>
              </w:rPr>
            </w:pPr>
          </w:p>
        </w:tc>
        <w:tc>
          <w:tcPr>
            <w:tcW w:w="1222" w:type="dxa"/>
            <w:gridSpan w:val="3"/>
            <w:vAlign w:val="center"/>
          </w:tcPr>
          <w:p w14:paraId="287AB484">
            <w:pPr>
              <w:jc w:val="center"/>
              <w:rPr>
                <w:rFonts w:hint="default" w:ascii="Times New Roman" w:hAnsi="Times New Roman" w:cs="Times New Roman"/>
                <w:color w:val="auto"/>
                <w:highlight w:val="none"/>
              </w:rPr>
            </w:pPr>
          </w:p>
        </w:tc>
        <w:tc>
          <w:tcPr>
            <w:tcW w:w="1417" w:type="dxa"/>
            <w:gridSpan w:val="3"/>
            <w:vAlign w:val="center"/>
          </w:tcPr>
          <w:p w14:paraId="4327E50A">
            <w:pPr>
              <w:jc w:val="center"/>
              <w:rPr>
                <w:rFonts w:hint="default" w:ascii="Times New Roman" w:hAnsi="Times New Roman" w:cs="Times New Roman"/>
                <w:color w:val="auto"/>
                <w:highlight w:val="none"/>
              </w:rPr>
            </w:pPr>
          </w:p>
        </w:tc>
        <w:tc>
          <w:tcPr>
            <w:tcW w:w="1418" w:type="dxa"/>
            <w:gridSpan w:val="3"/>
            <w:vAlign w:val="center"/>
          </w:tcPr>
          <w:p w14:paraId="7C9E0461">
            <w:pPr>
              <w:jc w:val="center"/>
              <w:rPr>
                <w:rFonts w:hint="default" w:ascii="Times New Roman" w:hAnsi="Times New Roman" w:cs="Times New Roman"/>
                <w:color w:val="auto"/>
                <w:highlight w:val="none"/>
              </w:rPr>
            </w:pPr>
          </w:p>
        </w:tc>
        <w:tc>
          <w:tcPr>
            <w:tcW w:w="1632" w:type="dxa"/>
            <w:gridSpan w:val="4"/>
            <w:vAlign w:val="center"/>
          </w:tcPr>
          <w:p w14:paraId="2DB50507">
            <w:pPr>
              <w:jc w:val="center"/>
              <w:rPr>
                <w:rFonts w:hint="default" w:ascii="Times New Roman" w:hAnsi="Times New Roman" w:cs="Times New Roman"/>
                <w:color w:val="auto"/>
                <w:highlight w:val="none"/>
              </w:rPr>
            </w:pPr>
          </w:p>
        </w:tc>
        <w:tc>
          <w:tcPr>
            <w:tcW w:w="1416" w:type="dxa"/>
            <w:gridSpan w:val="2"/>
            <w:vAlign w:val="center"/>
          </w:tcPr>
          <w:p w14:paraId="75DEC623">
            <w:pPr>
              <w:jc w:val="center"/>
              <w:rPr>
                <w:rFonts w:hint="default" w:ascii="Times New Roman" w:hAnsi="Times New Roman" w:cs="Times New Roman"/>
                <w:color w:val="auto"/>
                <w:highlight w:val="none"/>
              </w:rPr>
            </w:pPr>
          </w:p>
        </w:tc>
      </w:tr>
      <w:tr w14:paraId="758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7BF50F5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51837248">
            <w:pPr>
              <w:jc w:val="center"/>
              <w:rPr>
                <w:rFonts w:hint="default" w:ascii="Times New Roman" w:hAnsi="Times New Roman" w:cs="Times New Roman"/>
                <w:color w:val="auto"/>
                <w:highlight w:val="none"/>
              </w:rPr>
            </w:pPr>
          </w:p>
        </w:tc>
        <w:tc>
          <w:tcPr>
            <w:tcW w:w="1222" w:type="dxa"/>
            <w:gridSpan w:val="3"/>
            <w:vAlign w:val="center"/>
          </w:tcPr>
          <w:p w14:paraId="7519C36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B类</w:t>
            </w:r>
          </w:p>
        </w:tc>
        <w:tc>
          <w:tcPr>
            <w:tcW w:w="1417" w:type="dxa"/>
            <w:gridSpan w:val="3"/>
            <w:vAlign w:val="center"/>
          </w:tcPr>
          <w:p w14:paraId="52274048">
            <w:pPr>
              <w:jc w:val="center"/>
              <w:rPr>
                <w:rFonts w:hint="default" w:ascii="Times New Roman" w:hAnsi="Times New Roman" w:cs="Times New Roman"/>
                <w:color w:val="auto"/>
                <w:highlight w:val="none"/>
              </w:rPr>
            </w:pPr>
          </w:p>
        </w:tc>
        <w:tc>
          <w:tcPr>
            <w:tcW w:w="1418" w:type="dxa"/>
            <w:gridSpan w:val="3"/>
            <w:vAlign w:val="center"/>
          </w:tcPr>
          <w:p w14:paraId="0483987E">
            <w:pPr>
              <w:jc w:val="center"/>
              <w:rPr>
                <w:rFonts w:hint="default" w:ascii="Times New Roman" w:hAnsi="Times New Roman" w:cs="Times New Roman"/>
                <w:color w:val="auto"/>
                <w:highlight w:val="none"/>
              </w:rPr>
            </w:pPr>
          </w:p>
        </w:tc>
        <w:tc>
          <w:tcPr>
            <w:tcW w:w="1632" w:type="dxa"/>
            <w:gridSpan w:val="4"/>
            <w:vAlign w:val="center"/>
          </w:tcPr>
          <w:p w14:paraId="1D20139E">
            <w:pPr>
              <w:jc w:val="center"/>
              <w:rPr>
                <w:rFonts w:hint="default" w:ascii="Times New Roman" w:hAnsi="Times New Roman" w:cs="Times New Roman"/>
                <w:color w:val="auto"/>
                <w:highlight w:val="none"/>
              </w:rPr>
            </w:pPr>
          </w:p>
        </w:tc>
        <w:tc>
          <w:tcPr>
            <w:tcW w:w="1416" w:type="dxa"/>
            <w:gridSpan w:val="2"/>
            <w:vAlign w:val="center"/>
          </w:tcPr>
          <w:p w14:paraId="11E086AD">
            <w:pPr>
              <w:jc w:val="center"/>
              <w:rPr>
                <w:rFonts w:hint="default" w:ascii="Times New Roman" w:hAnsi="Times New Roman" w:cs="Times New Roman"/>
                <w:color w:val="auto"/>
                <w:highlight w:val="none"/>
              </w:rPr>
            </w:pPr>
          </w:p>
        </w:tc>
      </w:tr>
      <w:tr w14:paraId="27A6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070BC3D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283E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17AFA6FB">
            <w:pPr>
              <w:jc w:val="center"/>
              <w:rPr>
                <w:rFonts w:hint="default" w:ascii="Times New Roman" w:hAnsi="Times New Roman" w:cs="Times New Roman"/>
                <w:color w:val="auto"/>
                <w:highlight w:val="none"/>
              </w:rPr>
            </w:pPr>
          </w:p>
        </w:tc>
        <w:tc>
          <w:tcPr>
            <w:tcW w:w="1548" w:type="dxa"/>
            <w:gridSpan w:val="2"/>
            <w:vAlign w:val="center"/>
          </w:tcPr>
          <w:p w14:paraId="5C4305C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1837" w:type="dxa"/>
            <w:gridSpan w:val="4"/>
            <w:vAlign w:val="center"/>
          </w:tcPr>
          <w:p w14:paraId="38F797A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472" w:type="dxa"/>
            <w:gridSpan w:val="3"/>
            <w:vAlign w:val="center"/>
          </w:tcPr>
          <w:p w14:paraId="2BC7006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423E0A8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0826D8A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607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B9F7F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2E7FF9A3">
            <w:pPr>
              <w:jc w:val="center"/>
              <w:rPr>
                <w:rFonts w:hint="default" w:ascii="Times New Roman" w:hAnsi="Times New Roman" w:cs="Times New Roman"/>
                <w:color w:val="auto"/>
                <w:highlight w:val="none"/>
              </w:rPr>
            </w:pPr>
          </w:p>
        </w:tc>
        <w:tc>
          <w:tcPr>
            <w:tcW w:w="1837" w:type="dxa"/>
            <w:gridSpan w:val="4"/>
            <w:vAlign w:val="center"/>
          </w:tcPr>
          <w:p w14:paraId="4F7B7B73">
            <w:pPr>
              <w:jc w:val="center"/>
              <w:rPr>
                <w:rFonts w:hint="default" w:ascii="Times New Roman" w:hAnsi="Times New Roman" w:cs="Times New Roman"/>
                <w:color w:val="auto"/>
                <w:highlight w:val="none"/>
              </w:rPr>
            </w:pPr>
          </w:p>
        </w:tc>
        <w:tc>
          <w:tcPr>
            <w:tcW w:w="1472" w:type="dxa"/>
            <w:gridSpan w:val="3"/>
            <w:vAlign w:val="center"/>
          </w:tcPr>
          <w:p w14:paraId="569346B8">
            <w:pPr>
              <w:jc w:val="center"/>
              <w:rPr>
                <w:rFonts w:hint="default" w:ascii="Times New Roman" w:hAnsi="Times New Roman" w:cs="Times New Roman"/>
                <w:color w:val="auto"/>
                <w:highlight w:val="none"/>
              </w:rPr>
            </w:pPr>
          </w:p>
        </w:tc>
        <w:tc>
          <w:tcPr>
            <w:tcW w:w="1641" w:type="dxa"/>
            <w:gridSpan w:val="4"/>
            <w:vAlign w:val="center"/>
          </w:tcPr>
          <w:p w14:paraId="3DB1B7B9">
            <w:pPr>
              <w:jc w:val="center"/>
              <w:rPr>
                <w:rFonts w:hint="default" w:ascii="Times New Roman" w:hAnsi="Times New Roman" w:cs="Times New Roman"/>
                <w:color w:val="auto"/>
                <w:highlight w:val="none"/>
              </w:rPr>
            </w:pPr>
          </w:p>
        </w:tc>
        <w:tc>
          <w:tcPr>
            <w:tcW w:w="1484" w:type="dxa"/>
            <w:gridSpan w:val="2"/>
            <w:vAlign w:val="center"/>
          </w:tcPr>
          <w:p w14:paraId="430327AC">
            <w:pPr>
              <w:jc w:val="center"/>
              <w:rPr>
                <w:rFonts w:hint="default" w:ascii="Times New Roman" w:hAnsi="Times New Roman" w:cs="Times New Roman"/>
                <w:color w:val="auto"/>
                <w:highlight w:val="none"/>
              </w:rPr>
            </w:pPr>
          </w:p>
        </w:tc>
      </w:tr>
      <w:tr w14:paraId="2C57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B73748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3B13ADCF">
            <w:pPr>
              <w:jc w:val="center"/>
              <w:rPr>
                <w:rFonts w:hint="default" w:ascii="Times New Roman" w:hAnsi="Times New Roman" w:cs="Times New Roman"/>
                <w:color w:val="auto"/>
                <w:highlight w:val="none"/>
              </w:rPr>
            </w:pPr>
          </w:p>
        </w:tc>
        <w:tc>
          <w:tcPr>
            <w:tcW w:w="1837" w:type="dxa"/>
            <w:gridSpan w:val="4"/>
            <w:vAlign w:val="center"/>
          </w:tcPr>
          <w:p w14:paraId="4A24B8BA">
            <w:pPr>
              <w:jc w:val="center"/>
              <w:rPr>
                <w:rFonts w:hint="default" w:ascii="Times New Roman" w:hAnsi="Times New Roman" w:cs="Times New Roman"/>
                <w:color w:val="auto"/>
                <w:highlight w:val="none"/>
              </w:rPr>
            </w:pPr>
          </w:p>
        </w:tc>
        <w:tc>
          <w:tcPr>
            <w:tcW w:w="1472" w:type="dxa"/>
            <w:gridSpan w:val="3"/>
            <w:vAlign w:val="center"/>
          </w:tcPr>
          <w:p w14:paraId="3FCC0DBE">
            <w:pPr>
              <w:jc w:val="center"/>
              <w:rPr>
                <w:rFonts w:hint="default" w:ascii="Times New Roman" w:hAnsi="Times New Roman" w:cs="Times New Roman"/>
                <w:color w:val="auto"/>
                <w:highlight w:val="none"/>
              </w:rPr>
            </w:pPr>
          </w:p>
        </w:tc>
        <w:tc>
          <w:tcPr>
            <w:tcW w:w="1641" w:type="dxa"/>
            <w:gridSpan w:val="4"/>
            <w:vAlign w:val="center"/>
          </w:tcPr>
          <w:p w14:paraId="1E2847AD">
            <w:pPr>
              <w:jc w:val="center"/>
              <w:rPr>
                <w:rFonts w:hint="default" w:ascii="Times New Roman" w:hAnsi="Times New Roman" w:cs="Times New Roman"/>
                <w:color w:val="auto"/>
                <w:highlight w:val="none"/>
              </w:rPr>
            </w:pPr>
          </w:p>
        </w:tc>
        <w:tc>
          <w:tcPr>
            <w:tcW w:w="1484" w:type="dxa"/>
            <w:gridSpan w:val="2"/>
            <w:vAlign w:val="center"/>
          </w:tcPr>
          <w:p w14:paraId="78822B1F">
            <w:pPr>
              <w:jc w:val="center"/>
              <w:rPr>
                <w:rFonts w:hint="default" w:ascii="Times New Roman" w:hAnsi="Times New Roman" w:cs="Times New Roman"/>
                <w:color w:val="auto"/>
                <w:highlight w:val="none"/>
              </w:rPr>
            </w:pPr>
          </w:p>
        </w:tc>
      </w:tr>
      <w:tr w14:paraId="1A5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0CA0DF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3211B415">
            <w:pPr>
              <w:jc w:val="center"/>
              <w:rPr>
                <w:rFonts w:hint="default" w:ascii="Times New Roman" w:hAnsi="Times New Roman" w:cs="Times New Roman"/>
                <w:color w:val="auto"/>
                <w:highlight w:val="none"/>
              </w:rPr>
            </w:pPr>
          </w:p>
        </w:tc>
        <w:tc>
          <w:tcPr>
            <w:tcW w:w="1837" w:type="dxa"/>
            <w:gridSpan w:val="4"/>
            <w:vAlign w:val="center"/>
          </w:tcPr>
          <w:p w14:paraId="4C3A15DF">
            <w:pPr>
              <w:jc w:val="center"/>
              <w:rPr>
                <w:rFonts w:hint="default" w:ascii="Times New Roman" w:hAnsi="Times New Roman" w:cs="Times New Roman"/>
                <w:color w:val="auto"/>
                <w:highlight w:val="none"/>
              </w:rPr>
            </w:pPr>
          </w:p>
        </w:tc>
        <w:tc>
          <w:tcPr>
            <w:tcW w:w="1472" w:type="dxa"/>
            <w:gridSpan w:val="3"/>
            <w:vAlign w:val="center"/>
          </w:tcPr>
          <w:p w14:paraId="6B8D870C">
            <w:pPr>
              <w:jc w:val="center"/>
              <w:rPr>
                <w:rFonts w:hint="default" w:ascii="Times New Roman" w:hAnsi="Times New Roman" w:cs="Times New Roman"/>
                <w:color w:val="auto"/>
                <w:highlight w:val="none"/>
              </w:rPr>
            </w:pPr>
          </w:p>
        </w:tc>
        <w:tc>
          <w:tcPr>
            <w:tcW w:w="1641" w:type="dxa"/>
            <w:gridSpan w:val="4"/>
            <w:vAlign w:val="center"/>
          </w:tcPr>
          <w:p w14:paraId="195B5C78">
            <w:pPr>
              <w:jc w:val="center"/>
              <w:rPr>
                <w:rFonts w:hint="default" w:ascii="Times New Roman" w:hAnsi="Times New Roman" w:cs="Times New Roman"/>
                <w:color w:val="auto"/>
                <w:highlight w:val="none"/>
              </w:rPr>
            </w:pPr>
          </w:p>
        </w:tc>
        <w:tc>
          <w:tcPr>
            <w:tcW w:w="1484" w:type="dxa"/>
            <w:gridSpan w:val="2"/>
            <w:vAlign w:val="center"/>
          </w:tcPr>
          <w:p w14:paraId="2C738D73">
            <w:pPr>
              <w:jc w:val="center"/>
              <w:rPr>
                <w:rFonts w:hint="default" w:ascii="Times New Roman" w:hAnsi="Times New Roman" w:cs="Times New Roman"/>
                <w:color w:val="auto"/>
                <w:highlight w:val="none"/>
              </w:rPr>
            </w:pPr>
          </w:p>
        </w:tc>
      </w:tr>
      <w:tr w14:paraId="49E3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FDE5BAD">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586DE969">
            <w:pPr>
              <w:jc w:val="center"/>
              <w:rPr>
                <w:rFonts w:hint="default" w:ascii="Times New Roman" w:hAnsi="Times New Roman" w:cs="Times New Roman"/>
                <w:color w:val="auto"/>
                <w:highlight w:val="none"/>
              </w:rPr>
            </w:pPr>
          </w:p>
        </w:tc>
        <w:tc>
          <w:tcPr>
            <w:tcW w:w="1837" w:type="dxa"/>
            <w:gridSpan w:val="4"/>
            <w:vAlign w:val="center"/>
          </w:tcPr>
          <w:p w14:paraId="65EBC13E">
            <w:pPr>
              <w:jc w:val="center"/>
              <w:rPr>
                <w:rFonts w:hint="default" w:ascii="Times New Roman" w:hAnsi="Times New Roman" w:cs="Times New Roman"/>
                <w:color w:val="auto"/>
                <w:highlight w:val="none"/>
              </w:rPr>
            </w:pPr>
          </w:p>
        </w:tc>
        <w:tc>
          <w:tcPr>
            <w:tcW w:w="1472" w:type="dxa"/>
            <w:gridSpan w:val="3"/>
            <w:vAlign w:val="center"/>
          </w:tcPr>
          <w:p w14:paraId="01945FEF">
            <w:pPr>
              <w:jc w:val="center"/>
              <w:rPr>
                <w:rFonts w:hint="default" w:ascii="Times New Roman" w:hAnsi="Times New Roman" w:cs="Times New Roman"/>
                <w:color w:val="auto"/>
                <w:highlight w:val="none"/>
              </w:rPr>
            </w:pPr>
          </w:p>
        </w:tc>
        <w:tc>
          <w:tcPr>
            <w:tcW w:w="1641" w:type="dxa"/>
            <w:gridSpan w:val="4"/>
            <w:vAlign w:val="center"/>
          </w:tcPr>
          <w:p w14:paraId="3A0A66DE">
            <w:pPr>
              <w:jc w:val="center"/>
              <w:rPr>
                <w:rFonts w:hint="default" w:ascii="Times New Roman" w:hAnsi="Times New Roman" w:cs="Times New Roman"/>
                <w:color w:val="auto"/>
                <w:highlight w:val="none"/>
              </w:rPr>
            </w:pPr>
          </w:p>
        </w:tc>
        <w:tc>
          <w:tcPr>
            <w:tcW w:w="1484" w:type="dxa"/>
            <w:gridSpan w:val="2"/>
            <w:vAlign w:val="center"/>
          </w:tcPr>
          <w:p w14:paraId="1E362D55">
            <w:pPr>
              <w:jc w:val="center"/>
              <w:rPr>
                <w:rFonts w:hint="default" w:ascii="Times New Roman" w:hAnsi="Times New Roman" w:cs="Times New Roman"/>
                <w:color w:val="auto"/>
                <w:highlight w:val="none"/>
              </w:rPr>
            </w:pPr>
          </w:p>
        </w:tc>
      </w:tr>
      <w:tr w14:paraId="07E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5F5868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2862F0EC">
            <w:pPr>
              <w:jc w:val="center"/>
              <w:rPr>
                <w:rFonts w:hint="default" w:ascii="Times New Roman" w:hAnsi="Times New Roman" w:cs="Times New Roman"/>
                <w:color w:val="auto"/>
                <w:highlight w:val="none"/>
              </w:rPr>
            </w:pPr>
          </w:p>
        </w:tc>
        <w:tc>
          <w:tcPr>
            <w:tcW w:w="1837" w:type="dxa"/>
            <w:gridSpan w:val="4"/>
            <w:vAlign w:val="center"/>
          </w:tcPr>
          <w:p w14:paraId="16460D43">
            <w:pPr>
              <w:jc w:val="center"/>
              <w:rPr>
                <w:rFonts w:hint="default" w:ascii="Times New Roman" w:hAnsi="Times New Roman" w:cs="Times New Roman"/>
                <w:color w:val="auto"/>
                <w:highlight w:val="none"/>
              </w:rPr>
            </w:pPr>
          </w:p>
        </w:tc>
        <w:tc>
          <w:tcPr>
            <w:tcW w:w="1472" w:type="dxa"/>
            <w:gridSpan w:val="3"/>
            <w:vAlign w:val="center"/>
          </w:tcPr>
          <w:p w14:paraId="1407040B">
            <w:pPr>
              <w:jc w:val="center"/>
              <w:rPr>
                <w:rFonts w:hint="default" w:ascii="Times New Roman" w:hAnsi="Times New Roman" w:cs="Times New Roman"/>
                <w:color w:val="auto"/>
                <w:highlight w:val="none"/>
              </w:rPr>
            </w:pPr>
          </w:p>
        </w:tc>
        <w:tc>
          <w:tcPr>
            <w:tcW w:w="1641" w:type="dxa"/>
            <w:gridSpan w:val="4"/>
            <w:vAlign w:val="center"/>
          </w:tcPr>
          <w:p w14:paraId="71DB635F">
            <w:pPr>
              <w:jc w:val="center"/>
              <w:rPr>
                <w:rFonts w:hint="default" w:ascii="Times New Roman" w:hAnsi="Times New Roman" w:cs="Times New Roman"/>
                <w:color w:val="auto"/>
                <w:highlight w:val="none"/>
              </w:rPr>
            </w:pPr>
          </w:p>
        </w:tc>
        <w:tc>
          <w:tcPr>
            <w:tcW w:w="1484" w:type="dxa"/>
            <w:gridSpan w:val="2"/>
            <w:vAlign w:val="center"/>
          </w:tcPr>
          <w:p w14:paraId="7109F963">
            <w:pPr>
              <w:jc w:val="center"/>
              <w:rPr>
                <w:rFonts w:hint="default" w:ascii="Times New Roman" w:hAnsi="Times New Roman" w:cs="Times New Roman"/>
                <w:color w:val="auto"/>
                <w:highlight w:val="none"/>
              </w:rPr>
            </w:pPr>
          </w:p>
        </w:tc>
      </w:tr>
      <w:tr w14:paraId="3AB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A4CBF5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303702C6">
            <w:pPr>
              <w:jc w:val="center"/>
              <w:rPr>
                <w:rFonts w:hint="default" w:ascii="Times New Roman" w:hAnsi="Times New Roman" w:cs="Times New Roman"/>
                <w:color w:val="auto"/>
                <w:highlight w:val="none"/>
              </w:rPr>
            </w:pPr>
          </w:p>
        </w:tc>
        <w:tc>
          <w:tcPr>
            <w:tcW w:w="1837" w:type="dxa"/>
            <w:gridSpan w:val="4"/>
            <w:vAlign w:val="center"/>
          </w:tcPr>
          <w:p w14:paraId="7751D140">
            <w:pPr>
              <w:jc w:val="center"/>
              <w:rPr>
                <w:rFonts w:hint="default" w:ascii="Times New Roman" w:hAnsi="Times New Roman" w:cs="Times New Roman"/>
                <w:color w:val="auto"/>
                <w:highlight w:val="none"/>
              </w:rPr>
            </w:pPr>
          </w:p>
        </w:tc>
        <w:tc>
          <w:tcPr>
            <w:tcW w:w="1472" w:type="dxa"/>
            <w:gridSpan w:val="3"/>
            <w:vAlign w:val="center"/>
          </w:tcPr>
          <w:p w14:paraId="1A40C31C">
            <w:pPr>
              <w:jc w:val="center"/>
              <w:rPr>
                <w:rFonts w:hint="default" w:ascii="Times New Roman" w:hAnsi="Times New Roman" w:cs="Times New Roman"/>
                <w:color w:val="auto"/>
                <w:highlight w:val="none"/>
              </w:rPr>
            </w:pPr>
          </w:p>
        </w:tc>
        <w:tc>
          <w:tcPr>
            <w:tcW w:w="1641" w:type="dxa"/>
            <w:gridSpan w:val="4"/>
            <w:vAlign w:val="center"/>
          </w:tcPr>
          <w:p w14:paraId="497033C5">
            <w:pPr>
              <w:jc w:val="center"/>
              <w:rPr>
                <w:rFonts w:hint="default" w:ascii="Times New Roman" w:hAnsi="Times New Roman" w:cs="Times New Roman"/>
                <w:color w:val="auto"/>
                <w:highlight w:val="none"/>
              </w:rPr>
            </w:pPr>
          </w:p>
        </w:tc>
        <w:tc>
          <w:tcPr>
            <w:tcW w:w="1484" w:type="dxa"/>
            <w:gridSpan w:val="2"/>
            <w:vAlign w:val="center"/>
          </w:tcPr>
          <w:p w14:paraId="76CBED1F">
            <w:pPr>
              <w:jc w:val="center"/>
              <w:rPr>
                <w:rFonts w:hint="default" w:ascii="Times New Roman" w:hAnsi="Times New Roman" w:cs="Times New Roman"/>
                <w:color w:val="auto"/>
                <w:highlight w:val="none"/>
              </w:rPr>
            </w:pPr>
          </w:p>
        </w:tc>
      </w:tr>
      <w:tr w14:paraId="5DD2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D50457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1D7F135C">
            <w:pPr>
              <w:jc w:val="center"/>
              <w:rPr>
                <w:rFonts w:hint="default" w:ascii="Times New Roman" w:hAnsi="Times New Roman" w:cs="Times New Roman"/>
                <w:color w:val="auto"/>
                <w:highlight w:val="none"/>
              </w:rPr>
            </w:pPr>
          </w:p>
        </w:tc>
        <w:tc>
          <w:tcPr>
            <w:tcW w:w="1837" w:type="dxa"/>
            <w:gridSpan w:val="4"/>
            <w:vAlign w:val="center"/>
          </w:tcPr>
          <w:p w14:paraId="58C83307">
            <w:pPr>
              <w:jc w:val="center"/>
              <w:rPr>
                <w:rFonts w:hint="default" w:ascii="Times New Roman" w:hAnsi="Times New Roman" w:cs="Times New Roman"/>
                <w:color w:val="auto"/>
                <w:highlight w:val="none"/>
              </w:rPr>
            </w:pPr>
          </w:p>
        </w:tc>
        <w:tc>
          <w:tcPr>
            <w:tcW w:w="1472" w:type="dxa"/>
            <w:gridSpan w:val="3"/>
            <w:vAlign w:val="center"/>
          </w:tcPr>
          <w:p w14:paraId="3EE458D7">
            <w:pPr>
              <w:jc w:val="center"/>
              <w:rPr>
                <w:rFonts w:hint="default" w:ascii="Times New Roman" w:hAnsi="Times New Roman" w:cs="Times New Roman"/>
                <w:color w:val="auto"/>
                <w:highlight w:val="none"/>
              </w:rPr>
            </w:pPr>
          </w:p>
        </w:tc>
        <w:tc>
          <w:tcPr>
            <w:tcW w:w="1641" w:type="dxa"/>
            <w:gridSpan w:val="4"/>
            <w:vAlign w:val="center"/>
          </w:tcPr>
          <w:p w14:paraId="2F947094">
            <w:pPr>
              <w:jc w:val="center"/>
              <w:rPr>
                <w:rFonts w:hint="default" w:ascii="Times New Roman" w:hAnsi="Times New Roman" w:cs="Times New Roman"/>
                <w:color w:val="auto"/>
                <w:highlight w:val="none"/>
              </w:rPr>
            </w:pPr>
          </w:p>
        </w:tc>
        <w:tc>
          <w:tcPr>
            <w:tcW w:w="1484" w:type="dxa"/>
            <w:gridSpan w:val="2"/>
            <w:vAlign w:val="center"/>
          </w:tcPr>
          <w:p w14:paraId="5A5982AC">
            <w:pPr>
              <w:jc w:val="center"/>
              <w:rPr>
                <w:rFonts w:hint="default" w:ascii="Times New Roman" w:hAnsi="Times New Roman" w:cs="Times New Roman"/>
                <w:color w:val="auto"/>
                <w:highlight w:val="none"/>
              </w:rPr>
            </w:pPr>
          </w:p>
        </w:tc>
      </w:tr>
      <w:tr w14:paraId="0967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95EEAB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64FD8813">
            <w:pPr>
              <w:jc w:val="center"/>
              <w:rPr>
                <w:rFonts w:hint="default" w:ascii="Times New Roman" w:hAnsi="Times New Roman" w:cs="Times New Roman"/>
                <w:color w:val="auto"/>
                <w:highlight w:val="none"/>
              </w:rPr>
            </w:pPr>
          </w:p>
        </w:tc>
        <w:tc>
          <w:tcPr>
            <w:tcW w:w="1837" w:type="dxa"/>
            <w:gridSpan w:val="4"/>
            <w:vAlign w:val="center"/>
          </w:tcPr>
          <w:p w14:paraId="37602239">
            <w:pPr>
              <w:jc w:val="center"/>
              <w:rPr>
                <w:rFonts w:hint="default" w:ascii="Times New Roman" w:hAnsi="Times New Roman" w:cs="Times New Roman"/>
                <w:color w:val="auto"/>
                <w:highlight w:val="none"/>
              </w:rPr>
            </w:pPr>
          </w:p>
        </w:tc>
        <w:tc>
          <w:tcPr>
            <w:tcW w:w="1472" w:type="dxa"/>
            <w:gridSpan w:val="3"/>
            <w:vAlign w:val="center"/>
          </w:tcPr>
          <w:p w14:paraId="1B9A0945">
            <w:pPr>
              <w:jc w:val="center"/>
              <w:rPr>
                <w:rFonts w:hint="default" w:ascii="Times New Roman" w:hAnsi="Times New Roman" w:cs="Times New Roman"/>
                <w:color w:val="auto"/>
                <w:highlight w:val="none"/>
              </w:rPr>
            </w:pPr>
          </w:p>
        </w:tc>
        <w:tc>
          <w:tcPr>
            <w:tcW w:w="1641" w:type="dxa"/>
            <w:gridSpan w:val="4"/>
            <w:vAlign w:val="center"/>
          </w:tcPr>
          <w:p w14:paraId="46303EC9">
            <w:pPr>
              <w:jc w:val="center"/>
              <w:rPr>
                <w:rFonts w:hint="default" w:ascii="Times New Roman" w:hAnsi="Times New Roman" w:cs="Times New Roman"/>
                <w:color w:val="auto"/>
                <w:highlight w:val="none"/>
              </w:rPr>
            </w:pPr>
          </w:p>
        </w:tc>
        <w:tc>
          <w:tcPr>
            <w:tcW w:w="1484" w:type="dxa"/>
            <w:gridSpan w:val="2"/>
            <w:vAlign w:val="center"/>
          </w:tcPr>
          <w:p w14:paraId="4E5FDE83">
            <w:pPr>
              <w:jc w:val="center"/>
              <w:rPr>
                <w:rFonts w:hint="default" w:ascii="Times New Roman" w:hAnsi="Times New Roman" w:cs="Times New Roman"/>
                <w:color w:val="auto"/>
                <w:highlight w:val="none"/>
              </w:rPr>
            </w:pPr>
          </w:p>
        </w:tc>
      </w:tr>
      <w:tr w14:paraId="0195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9F9AB6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17C6F3B1">
            <w:pPr>
              <w:jc w:val="center"/>
              <w:rPr>
                <w:rFonts w:hint="default" w:ascii="Times New Roman" w:hAnsi="Times New Roman" w:cs="Times New Roman"/>
                <w:color w:val="auto"/>
                <w:highlight w:val="none"/>
              </w:rPr>
            </w:pPr>
          </w:p>
        </w:tc>
        <w:tc>
          <w:tcPr>
            <w:tcW w:w="1837" w:type="dxa"/>
            <w:gridSpan w:val="4"/>
            <w:vAlign w:val="center"/>
          </w:tcPr>
          <w:p w14:paraId="0836A0E2">
            <w:pPr>
              <w:jc w:val="center"/>
              <w:rPr>
                <w:rFonts w:hint="default" w:ascii="Times New Roman" w:hAnsi="Times New Roman" w:cs="Times New Roman"/>
                <w:color w:val="auto"/>
                <w:highlight w:val="none"/>
              </w:rPr>
            </w:pPr>
          </w:p>
        </w:tc>
        <w:tc>
          <w:tcPr>
            <w:tcW w:w="1472" w:type="dxa"/>
            <w:gridSpan w:val="3"/>
            <w:vAlign w:val="center"/>
          </w:tcPr>
          <w:p w14:paraId="61067908">
            <w:pPr>
              <w:jc w:val="center"/>
              <w:rPr>
                <w:rFonts w:hint="default" w:ascii="Times New Roman" w:hAnsi="Times New Roman" w:cs="Times New Roman"/>
                <w:color w:val="auto"/>
                <w:highlight w:val="none"/>
              </w:rPr>
            </w:pPr>
          </w:p>
        </w:tc>
        <w:tc>
          <w:tcPr>
            <w:tcW w:w="1641" w:type="dxa"/>
            <w:gridSpan w:val="4"/>
            <w:vAlign w:val="center"/>
          </w:tcPr>
          <w:p w14:paraId="3C9D4E35">
            <w:pPr>
              <w:jc w:val="center"/>
              <w:rPr>
                <w:rFonts w:hint="default" w:ascii="Times New Roman" w:hAnsi="Times New Roman" w:cs="Times New Roman"/>
                <w:color w:val="auto"/>
                <w:highlight w:val="none"/>
              </w:rPr>
            </w:pPr>
          </w:p>
        </w:tc>
        <w:tc>
          <w:tcPr>
            <w:tcW w:w="1484" w:type="dxa"/>
            <w:gridSpan w:val="2"/>
            <w:vAlign w:val="center"/>
          </w:tcPr>
          <w:p w14:paraId="15AA1FA0">
            <w:pPr>
              <w:jc w:val="center"/>
              <w:rPr>
                <w:rFonts w:hint="default" w:ascii="Times New Roman" w:hAnsi="Times New Roman" w:cs="Times New Roman"/>
                <w:color w:val="auto"/>
                <w:highlight w:val="none"/>
              </w:rPr>
            </w:pPr>
          </w:p>
        </w:tc>
      </w:tr>
    </w:tbl>
    <w:p w14:paraId="1FE11809">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31692EA3">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1A6781B5">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2.本表后附项目经理的身份证、安全生产考核合格证（B类）、本表所列证书复印件。</w:t>
      </w:r>
    </w:p>
    <w:p w14:paraId="02DDA530">
      <w:pPr>
        <w:spacing w:before="120" w:beforeLines="50"/>
        <w:ind w:firstLine="643" w:firstLineChars="200"/>
        <w:jc w:val="center"/>
        <w:rPr>
          <w:rFonts w:hint="default" w:ascii="Times New Roman" w:hAnsi="Times New Roman" w:cs="Times New Roman"/>
          <w:color w:val="auto"/>
          <w:highlight w:val="none"/>
          <w:u w:val="single"/>
        </w:rPr>
      </w:pPr>
      <w:r>
        <w:rPr>
          <w:rFonts w:hint="default" w:ascii="Times New Roman" w:hAnsi="Times New Roman" w:cs="Times New Roman"/>
          <w:b/>
          <w:color w:val="auto"/>
          <w:sz w:val="32"/>
          <w:szCs w:val="32"/>
          <w:highlight w:val="none"/>
        </w:rPr>
        <w:br w:type="page"/>
      </w:r>
      <w:r>
        <w:rPr>
          <w:rFonts w:hint="default" w:ascii="Times New Roman" w:hAnsi="Times New Roman" w:cs="Times New Roman"/>
          <w:b/>
          <w:color w:val="auto"/>
          <w:sz w:val="32"/>
          <w:szCs w:val="32"/>
          <w:highlight w:val="none"/>
        </w:rPr>
        <w:t>项目技术负责人（项目总工）简历表</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52"/>
        <w:gridCol w:w="668"/>
        <w:gridCol w:w="554"/>
        <w:gridCol w:w="1534"/>
        <w:gridCol w:w="1221"/>
        <w:gridCol w:w="80"/>
        <w:gridCol w:w="409"/>
        <w:gridCol w:w="1108"/>
        <w:gridCol w:w="44"/>
        <w:gridCol w:w="71"/>
        <w:gridCol w:w="1413"/>
        <w:gridCol w:w="11"/>
      </w:tblGrid>
      <w:tr w14:paraId="039C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78C24C0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574" w:type="dxa"/>
            <w:gridSpan w:val="3"/>
            <w:vAlign w:val="center"/>
          </w:tcPr>
          <w:p w14:paraId="75C8EDEE">
            <w:pPr>
              <w:jc w:val="center"/>
              <w:rPr>
                <w:rFonts w:hint="default" w:ascii="Times New Roman" w:hAnsi="Times New Roman" w:cs="Times New Roman"/>
                <w:color w:val="auto"/>
                <w:highlight w:val="none"/>
              </w:rPr>
            </w:pPr>
          </w:p>
        </w:tc>
        <w:tc>
          <w:tcPr>
            <w:tcW w:w="1534" w:type="dxa"/>
            <w:vAlign w:val="center"/>
          </w:tcPr>
          <w:p w14:paraId="6C9C43C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710" w:type="dxa"/>
            <w:gridSpan w:val="3"/>
            <w:vAlign w:val="center"/>
          </w:tcPr>
          <w:p w14:paraId="1424DC04">
            <w:pPr>
              <w:jc w:val="center"/>
              <w:rPr>
                <w:rFonts w:hint="default" w:ascii="Times New Roman" w:hAnsi="Times New Roman" w:cs="Times New Roman"/>
                <w:color w:val="auto"/>
                <w:highlight w:val="none"/>
              </w:rPr>
            </w:pPr>
          </w:p>
        </w:tc>
        <w:tc>
          <w:tcPr>
            <w:tcW w:w="1108" w:type="dxa"/>
            <w:vAlign w:val="center"/>
          </w:tcPr>
          <w:p w14:paraId="0D4233A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7016FB5A">
            <w:pPr>
              <w:jc w:val="center"/>
              <w:rPr>
                <w:rFonts w:hint="default" w:ascii="Times New Roman" w:hAnsi="Times New Roman" w:cs="Times New Roman"/>
                <w:color w:val="auto"/>
                <w:highlight w:val="none"/>
              </w:rPr>
            </w:pPr>
          </w:p>
        </w:tc>
      </w:tr>
      <w:tr w14:paraId="16EB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213EA0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574" w:type="dxa"/>
            <w:gridSpan w:val="3"/>
            <w:vAlign w:val="center"/>
          </w:tcPr>
          <w:p w14:paraId="74DE7F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项目技术负责人（项目总工）</w:t>
            </w:r>
          </w:p>
        </w:tc>
        <w:tc>
          <w:tcPr>
            <w:tcW w:w="1534" w:type="dxa"/>
            <w:vAlign w:val="center"/>
          </w:tcPr>
          <w:p w14:paraId="6C825D2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710" w:type="dxa"/>
            <w:gridSpan w:val="3"/>
            <w:vAlign w:val="center"/>
          </w:tcPr>
          <w:p w14:paraId="3DEAB9FC">
            <w:pPr>
              <w:jc w:val="center"/>
              <w:rPr>
                <w:rFonts w:hint="default" w:ascii="Times New Roman" w:hAnsi="Times New Roman" w:cs="Times New Roman"/>
                <w:color w:val="auto"/>
                <w:highlight w:val="none"/>
              </w:rPr>
            </w:pPr>
          </w:p>
        </w:tc>
        <w:tc>
          <w:tcPr>
            <w:tcW w:w="1108" w:type="dxa"/>
            <w:vAlign w:val="center"/>
          </w:tcPr>
          <w:p w14:paraId="45F0F33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5621B32D">
            <w:pPr>
              <w:jc w:val="center"/>
              <w:rPr>
                <w:rFonts w:hint="default" w:ascii="Times New Roman" w:hAnsi="Times New Roman" w:cs="Times New Roman"/>
                <w:color w:val="auto"/>
                <w:highlight w:val="none"/>
              </w:rPr>
            </w:pPr>
          </w:p>
        </w:tc>
      </w:tr>
      <w:tr w14:paraId="1585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617E28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574" w:type="dxa"/>
            <w:gridSpan w:val="3"/>
            <w:vAlign w:val="center"/>
          </w:tcPr>
          <w:p w14:paraId="28FD3C7F">
            <w:pPr>
              <w:jc w:val="center"/>
              <w:rPr>
                <w:rFonts w:hint="default" w:ascii="Times New Roman" w:hAnsi="Times New Roman" w:cs="Times New Roman"/>
                <w:color w:val="auto"/>
                <w:highlight w:val="none"/>
              </w:rPr>
            </w:pPr>
          </w:p>
        </w:tc>
        <w:tc>
          <w:tcPr>
            <w:tcW w:w="1534" w:type="dxa"/>
            <w:vAlign w:val="center"/>
          </w:tcPr>
          <w:p w14:paraId="23F2B8E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710" w:type="dxa"/>
            <w:gridSpan w:val="3"/>
            <w:vAlign w:val="center"/>
          </w:tcPr>
          <w:p w14:paraId="6D37E173">
            <w:pPr>
              <w:jc w:val="center"/>
              <w:rPr>
                <w:rFonts w:hint="default" w:ascii="Times New Roman" w:hAnsi="Times New Roman" w:cs="Times New Roman"/>
                <w:color w:val="auto"/>
                <w:highlight w:val="none"/>
              </w:rPr>
            </w:pPr>
          </w:p>
        </w:tc>
        <w:tc>
          <w:tcPr>
            <w:tcW w:w="1108" w:type="dxa"/>
            <w:vAlign w:val="center"/>
          </w:tcPr>
          <w:p w14:paraId="03AF68A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11B85E79">
            <w:pPr>
              <w:jc w:val="center"/>
              <w:rPr>
                <w:rFonts w:hint="default" w:ascii="Times New Roman" w:hAnsi="Times New Roman" w:cs="Times New Roman"/>
                <w:color w:val="auto"/>
                <w:highlight w:val="none"/>
              </w:rPr>
            </w:pPr>
          </w:p>
        </w:tc>
      </w:tr>
      <w:tr w14:paraId="3C24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50A572E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574" w:type="dxa"/>
            <w:gridSpan w:val="3"/>
            <w:vAlign w:val="center"/>
          </w:tcPr>
          <w:p w14:paraId="3C0E1A0B">
            <w:pPr>
              <w:jc w:val="center"/>
              <w:rPr>
                <w:rFonts w:hint="default" w:ascii="Times New Roman" w:hAnsi="Times New Roman" w:cs="Times New Roman"/>
                <w:color w:val="auto"/>
                <w:highlight w:val="none"/>
              </w:rPr>
            </w:pPr>
          </w:p>
        </w:tc>
        <w:tc>
          <w:tcPr>
            <w:tcW w:w="1534" w:type="dxa"/>
            <w:vAlign w:val="center"/>
          </w:tcPr>
          <w:p w14:paraId="0593A67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57" w:type="dxa"/>
            <w:gridSpan w:val="8"/>
            <w:vAlign w:val="center"/>
          </w:tcPr>
          <w:p w14:paraId="0A4F54D4">
            <w:pPr>
              <w:jc w:val="center"/>
              <w:rPr>
                <w:rFonts w:hint="default" w:ascii="Times New Roman" w:hAnsi="Times New Roman" w:cs="Times New Roman"/>
                <w:color w:val="auto"/>
                <w:highlight w:val="none"/>
              </w:rPr>
            </w:pPr>
          </w:p>
        </w:tc>
      </w:tr>
      <w:tr w14:paraId="489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0A95D2D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352" w:type="dxa"/>
            <w:vAlign w:val="center"/>
          </w:tcPr>
          <w:p w14:paraId="2942A8B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76ECCC8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34" w:type="dxa"/>
            <w:vAlign w:val="center"/>
          </w:tcPr>
          <w:p w14:paraId="05465CB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301" w:type="dxa"/>
            <w:gridSpan w:val="2"/>
            <w:vAlign w:val="center"/>
          </w:tcPr>
          <w:p w14:paraId="2445CA6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6537A6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4CC245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5D84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668B7474">
            <w:pPr>
              <w:jc w:val="center"/>
              <w:rPr>
                <w:rFonts w:hint="default" w:ascii="Times New Roman" w:hAnsi="Times New Roman" w:cs="Times New Roman"/>
                <w:color w:val="auto"/>
                <w:highlight w:val="none"/>
              </w:rPr>
            </w:pPr>
          </w:p>
        </w:tc>
        <w:tc>
          <w:tcPr>
            <w:tcW w:w="1352" w:type="dxa"/>
            <w:vAlign w:val="center"/>
          </w:tcPr>
          <w:p w14:paraId="1D762291">
            <w:pPr>
              <w:jc w:val="center"/>
              <w:rPr>
                <w:rFonts w:hint="default" w:ascii="Times New Roman" w:hAnsi="Times New Roman" w:cs="Times New Roman"/>
                <w:color w:val="auto"/>
                <w:highlight w:val="none"/>
              </w:rPr>
            </w:pPr>
          </w:p>
        </w:tc>
        <w:tc>
          <w:tcPr>
            <w:tcW w:w="1222" w:type="dxa"/>
            <w:gridSpan w:val="2"/>
            <w:vAlign w:val="center"/>
          </w:tcPr>
          <w:p w14:paraId="63149C25">
            <w:pPr>
              <w:jc w:val="center"/>
              <w:rPr>
                <w:rFonts w:hint="default" w:ascii="Times New Roman" w:hAnsi="Times New Roman" w:cs="Times New Roman"/>
                <w:color w:val="auto"/>
                <w:highlight w:val="none"/>
              </w:rPr>
            </w:pPr>
          </w:p>
        </w:tc>
        <w:tc>
          <w:tcPr>
            <w:tcW w:w="1534" w:type="dxa"/>
            <w:vAlign w:val="center"/>
          </w:tcPr>
          <w:p w14:paraId="17D2B309">
            <w:pPr>
              <w:jc w:val="center"/>
              <w:rPr>
                <w:rFonts w:hint="default" w:ascii="Times New Roman" w:hAnsi="Times New Roman" w:cs="Times New Roman"/>
                <w:color w:val="auto"/>
                <w:highlight w:val="none"/>
              </w:rPr>
            </w:pPr>
          </w:p>
        </w:tc>
        <w:tc>
          <w:tcPr>
            <w:tcW w:w="1301" w:type="dxa"/>
            <w:gridSpan w:val="2"/>
            <w:vAlign w:val="center"/>
          </w:tcPr>
          <w:p w14:paraId="20018FDC">
            <w:pPr>
              <w:jc w:val="center"/>
              <w:rPr>
                <w:rFonts w:hint="default" w:ascii="Times New Roman" w:hAnsi="Times New Roman" w:cs="Times New Roman"/>
                <w:color w:val="auto"/>
                <w:highlight w:val="none"/>
              </w:rPr>
            </w:pPr>
          </w:p>
        </w:tc>
        <w:tc>
          <w:tcPr>
            <w:tcW w:w="1632" w:type="dxa"/>
            <w:gridSpan w:val="4"/>
            <w:vAlign w:val="center"/>
          </w:tcPr>
          <w:p w14:paraId="417A0213">
            <w:pPr>
              <w:jc w:val="center"/>
              <w:rPr>
                <w:rFonts w:hint="default" w:ascii="Times New Roman" w:hAnsi="Times New Roman" w:cs="Times New Roman"/>
                <w:color w:val="auto"/>
                <w:highlight w:val="none"/>
              </w:rPr>
            </w:pPr>
          </w:p>
        </w:tc>
        <w:tc>
          <w:tcPr>
            <w:tcW w:w="1424" w:type="dxa"/>
            <w:gridSpan w:val="2"/>
            <w:vAlign w:val="center"/>
          </w:tcPr>
          <w:p w14:paraId="4FD5FBE9">
            <w:pPr>
              <w:jc w:val="center"/>
              <w:rPr>
                <w:rFonts w:hint="default" w:ascii="Times New Roman" w:hAnsi="Times New Roman" w:cs="Times New Roman"/>
                <w:color w:val="auto"/>
                <w:highlight w:val="none"/>
              </w:rPr>
            </w:pPr>
          </w:p>
        </w:tc>
      </w:tr>
      <w:tr w14:paraId="1273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068B9D89">
            <w:pPr>
              <w:jc w:val="center"/>
              <w:rPr>
                <w:rFonts w:hint="default" w:ascii="Times New Roman" w:hAnsi="Times New Roman" w:cs="Times New Roman"/>
                <w:color w:val="auto"/>
                <w:highlight w:val="none"/>
              </w:rPr>
            </w:pPr>
          </w:p>
        </w:tc>
        <w:tc>
          <w:tcPr>
            <w:tcW w:w="1352" w:type="dxa"/>
            <w:vAlign w:val="center"/>
          </w:tcPr>
          <w:p w14:paraId="17FA4445">
            <w:pPr>
              <w:jc w:val="center"/>
              <w:rPr>
                <w:rFonts w:hint="default" w:ascii="Times New Roman" w:hAnsi="Times New Roman" w:cs="Times New Roman"/>
                <w:color w:val="auto"/>
                <w:highlight w:val="none"/>
              </w:rPr>
            </w:pPr>
          </w:p>
        </w:tc>
        <w:tc>
          <w:tcPr>
            <w:tcW w:w="1222" w:type="dxa"/>
            <w:gridSpan w:val="2"/>
            <w:vAlign w:val="center"/>
          </w:tcPr>
          <w:p w14:paraId="3E8280E3">
            <w:pPr>
              <w:jc w:val="center"/>
              <w:rPr>
                <w:rFonts w:hint="default" w:ascii="Times New Roman" w:hAnsi="Times New Roman" w:cs="Times New Roman"/>
                <w:color w:val="auto"/>
                <w:highlight w:val="none"/>
              </w:rPr>
            </w:pPr>
          </w:p>
        </w:tc>
        <w:tc>
          <w:tcPr>
            <w:tcW w:w="1534" w:type="dxa"/>
            <w:vAlign w:val="center"/>
          </w:tcPr>
          <w:p w14:paraId="3E8B93A0">
            <w:pPr>
              <w:jc w:val="center"/>
              <w:rPr>
                <w:rFonts w:hint="default" w:ascii="Times New Roman" w:hAnsi="Times New Roman" w:cs="Times New Roman"/>
                <w:color w:val="auto"/>
                <w:highlight w:val="none"/>
              </w:rPr>
            </w:pPr>
          </w:p>
        </w:tc>
        <w:tc>
          <w:tcPr>
            <w:tcW w:w="1301" w:type="dxa"/>
            <w:gridSpan w:val="2"/>
            <w:vAlign w:val="center"/>
          </w:tcPr>
          <w:p w14:paraId="61F6CE7A">
            <w:pPr>
              <w:jc w:val="center"/>
              <w:rPr>
                <w:rFonts w:hint="default" w:ascii="Times New Roman" w:hAnsi="Times New Roman" w:cs="Times New Roman"/>
                <w:color w:val="auto"/>
                <w:highlight w:val="none"/>
              </w:rPr>
            </w:pPr>
          </w:p>
        </w:tc>
        <w:tc>
          <w:tcPr>
            <w:tcW w:w="1632" w:type="dxa"/>
            <w:gridSpan w:val="4"/>
            <w:vAlign w:val="center"/>
          </w:tcPr>
          <w:p w14:paraId="58ADA4F1">
            <w:pPr>
              <w:jc w:val="center"/>
              <w:rPr>
                <w:rFonts w:hint="default" w:ascii="Times New Roman" w:hAnsi="Times New Roman" w:cs="Times New Roman"/>
                <w:color w:val="auto"/>
                <w:highlight w:val="none"/>
              </w:rPr>
            </w:pPr>
          </w:p>
        </w:tc>
        <w:tc>
          <w:tcPr>
            <w:tcW w:w="1424" w:type="dxa"/>
            <w:gridSpan w:val="2"/>
            <w:vAlign w:val="center"/>
          </w:tcPr>
          <w:p w14:paraId="38DCFF10">
            <w:pPr>
              <w:jc w:val="center"/>
              <w:rPr>
                <w:rFonts w:hint="default" w:ascii="Times New Roman" w:hAnsi="Times New Roman" w:cs="Times New Roman"/>
                <w:color w:val="auto"/>
                <w:highlight w:val="none"/>
              </w:rPr>
            </w:pPr>
          </w:p>
        </w:tc>
      </w:tr>
      <w:tr w14:paraId="5D71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3"/>
            <w:vAlign w:val="center"/>
          </w:tcPr>
          <w:p w14:paraId="7A60F09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10A6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45019765">
            <w:pPr>
              <w:jc w:val="center"/>
              <w:rPr>
                <w:rFonts w:hint="default" w:ascii="Times New Roman" w:hAnsi="Times New Roman" w:cs="Times New Roman"/>
                <w:color w:val="auto"/>
                <w:highlight w:val="none"/>
              </w:rPr>
            </w:pPr>
          </w:p>
        </w:tc>
        <w:tc>
          <w:tcPr>
            <w:tcW w:w="2020" w:type="dxa"/>
            <w:gridSpan w:val="2"/>
            <w:vAlign w:val="center"/>
          </w:tcPr>
          <w:p w14:paraId="0D643CA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088" w:type="dxa"/>
            <w:gridSpan w:val="2"/>
            <w:vAlign w:val="center"/>
          </w:tcPr>
          <w:p w14:paraId="352A2DB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221" w:type="dxa"/>
            <w:vAlign w:val="center"/>
          </w:tcPr>
          <w:p w14:paraId="68B0AA4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7FF5F68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351CBD4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4879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154" w:type="dxa"/>
            <w:vAlign w:val="center"/>
          </w:tcPr>
          <w:p w14:paraId="6EBB1BE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2020" w:type="dxa"/>
            <w:gridSpan w:val="2"/>
            <w:vAlign w:val="center"/>
          </w:tcPr>
          <w:p w14:paraId="5F4E3603">
            <w:pPr>
              <w:jc w:val="center"/>
              <w:rPr>
                <w:rFonts w:hint="default" w:ascii="Times New Roman" w:hAnsi="Times New Roman" w:cs="Times New Roman"/>
                <w:color w:val="auto"/>
                <w:highlight w:val="none"/>
              </w:rPr>
            </w:pPr>
          </w:p>
        </w:tc>
        <w:tc>
          <w:tcPr>
            <w:tcW w:w="2088" w:type="dxa"/>
            <w:gridSpan w:val="2"/>
            <w:vAlign w:val="center"/>
          </w:tcPr>
          <w:p w14:paraId="1CF02789">
            <w:pPr>
              <w:jc w:val="center"/>
              <w:rPr>
                <w:rFonts w:hint="default" w:ascii="Times New Roman" w:hAnsi="Times New Roman" w:cs="Times New Roman"/>
                <w:color w:val="auto"/>
                <w:highlight w:val="none"/>
              </w:rPr>
            </w:pPr>
          </w:p>
        </w:tc>
        <w:tc>
          <w:tcPr>
            <w:tcW w:w="1221" w:type="dxa"/>
            <w:vAlign w:val="center"/>
          </w:tcPr>
          <w:p w14:paraId="30F1B3E5">
            <w:pPr>
              <w:jc w:val="center"/>
              <w:rPr>
                <w:rFonts w:hint="default" w:ascii="Times New Roman" w:hAnsi="Times New Roman" w:cs="Times New Roman"/>
                <w:color w:val="auto"/>
                <w:highlight w:val="none"/>
              </w:rPr>
            </w:pPr>
          </w:p>
        </w:tc>
        <w:tc>
          <w:tcPr>
            <w:tcW w:w="1641" w:type="dxa"/>
            <w:gridSpan w:val="4"/>
            <w:vAlign w:val="center"/>
          </w:tcPr>
          <w:p w14:paraId="0B7FB247">
            <w:pPr>
              <w:jc w:val="center"/>
              <w:rPr>
                <w:rFonts w:hint="default" w:ascii="Times New Roman" w:hAnsi="Times New Roman" w:cs="Times New Roman"/>
                <w:color w:val="auto"/>
                <w:highlight w:val="none"/>
              </w:rPr>
            </w:pPr>
          </w:p>
        </w:tc>
        <w:tc>
          <w:tcPr>
            <w:tcW w:w="1484" w:type="dxa"/>
            <w:gridSpan w:val="2"/>
            <w:vAlign w:val="center"/>
          </w:tcPr>
          <w:p w14:paraId="2DAA0208">
            <w:pPr>
              <w:jc w:val="center"/>
              <w:rPr>
                <w:rFonts w:hint="default" w:ascii="Times New Roman" w:hAnsi="Times New Roman" w:cs="Times New Roman"/>
                <w:color w:val="auto"/>
                <w:highlight w:val="none"/>
              </w:rPr>
            </w:pPr>
          </w:p>
        </w:tc>
      </w:tr>
      <w:tr w14:paraId="10D3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5DE1436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2020" w:type="dxa"/>
            <w:gridSpan w:val="2"/>
            <w:vAlign w:val="center"/>
          </w:tcPr>
          <w:p w14:paraId="469AD1A8">
            <w:pPr>
              <w:jc w:val="center"/>
              <w:rPr>
                <w:rFonts w:hint="default" w:ascii="Times New Roman" w:hAnsi="Times New Roman" w:cs="Times New Roman"/>
                <w:color w:val="auto"/>
                <w:highlight w:val="none"/>
              </w:rPr>
            </w:pPr>
          </w:p>
        </w:tc>
        <w:tc>
          <w:tcPr>
            <w:tcW w:w="2088" w:type="dxa"/>
            <w:gridSpan w:val="2"/>
            <w:vAlign w:val="center"/>
          </w:tcPr>
          <w:p w14:paraId="3E3F246F">
            <w:pPr>
              <w:jc w:val="center"/>
              <w:rPr>
                <w:rFonts w:hint="default" w:ascii="Times New Roman" w:hAnsi="Times New Roman" w:cs="Times New Roman"/>
                <w:color w:val="auto"/>
                <w:highlight w:val="none"/>
              </w:rPr>
            </w:pPr>
          </w:p>
        </w:tc>
        <w:tc>
          <w:tcPr>
            <w:tcW w:w="1221" w:type="dxa"/>
            <w:vAlign w:val="center"/>
          </w:tcPr>
          <w:p w14:paraId="366F1C3D">
            <w:pPr>
              <w:jc w:val="center"/>
              <w:rPr>
                <w:rFonts w:hint="default" w:ascii="Times New Roman" w:hAnsi="Times New Roman" w:cs="Times New Roman"/>
                <w:color w:val="auto"/>
                <w:highlight w:val="none"/>
              </w:rPr>
            </w:pPr>
          </w:p>
        </w:tc>
        <w:tc>
          <w:tcPr>
            <w:tcW w:w="1641" w:type="dxa"/>
            <w:gridSpan w:val="4"/>
            <w:vAlign w:val="center"/>
          </w:tcPr>
          <w:p w14:paraId="5E58CA5F">
            <w:pPr>
              <w:jc w:val="center"/>
              <w:rPr>
                <w:rFonts w:hint="default" w:ascii="Times New Roman" w:hAnsi="Times New Roman" w:cs="Times New Roman"/>
                <w:color w:val="auto"/>
                <w:highlight w:val="none"/>
              </w:rPr>
            </w:pPr>
          </w:p>
        </w:tc>
        <w:tc>
          <w:tcPr>
            <w:tcW w:w="1484" w:type="dxa"/>
            <w:gridSpan w:val="2"/>
            <w:vAlign w:val="center"/>
          </w:tcPr>
          <w:p w14:paraId="44AD1100">
            <w:pPr>
              <w:jc w:val="center"/>
              <w:rPr>
                <w:rFonts w:hint="default" w:ascii="Times New Roman" w:hAnsi="Times New Roman" w:cs="Times New Roman"/>
                <w:color w:val="auto"/>
                <w:highlight w:val="none"/>
              </w:rPr>
            </w:pPr>
          </w:p>
        </w:tc>
      </w:tr>
      <w:tr w14:paraId="7E7C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49A2D1D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2020" w:type="dxa"/>
            <w:gridSpan w:val="2"/>
            <w:vAlign w:val="center"/>
          </w:tcPr>
          <w:p w14:paraId="1DC9509C">
            <w:pPr>
              <w:jc w:val="center"/>
              <w:rPr>
                <w:rFonts w:hint="default" w:ascii="Times New Roman" w:hAnsi="Times New Roman" w:cs="Times New Roman"/>
                <w:color w:val="auto"/>
                <w:highlight w:val="none"/>
              </w:rPr>
            </w:pPr>
          </w:p>
        </w:tc>
        <w:tc>
          <w:tcPr>
            <w:tcW w:w="2088" w:type="dxa"/>
            <w:gridSpan w:val="2"/>
            <w:vAlign w:val="center"/>
          </w:tcPr>
          <w:p w14:paraId="269919A2">
            <w:pPr>
              <w:jc w:val="center"/>
              <w:rPr>
                <w:rFonts w:hint="default" w:ascii="Times New Roman" w:hAnsi="Times New Roman" w:cs="Times New Roman"/>
                <w:color w:val="auto"/>
                <w:highlight w:val="none"/>
              </w:rPr>
            </w:pPr>
          </w:p>
        </w:tc>
        <w:tc>
          <w:tcPr>
            <w:tcW w:w="1221" w:type="dxa"/>
            <w:vAlign w:val="center"/>
          </w:tcPr>
          <w:p w14:paraId="4F643AFD">
            <w:pPr>
              <w:jc w:val="center"/>
              <w:rPr>
                <w:rFonts w:hint="default" w:ascii="Times New Roman" w:hAnsi="Times New Roman" w:cs="Times New Roman"/>
                <w:color w:val="auto"/>
                <w:highlight w:val="none"/>
              </w:rPr>
            </w:pPr>
          </w:p>
        </w:tc>
        <w:tc>
          <w:tcPr>
            <w:tcW w:w="1641" w:type="dxa"/>
            <w:gridSpan w:val="4"/>
            <w:vAlign w:val="center"/>
          </w:tcPr>
          <w:p w14:paraId="29FB7856">
            <w:pPr>
              <w:jc w:val="center"/>
              <w:rPr>
                <w:rFonts w:hint="default" w:ascii="Times New Roman" w:hAnsi="Times New Roman" w:cs="Times New Roman"/>
                <w:color w:val="auto"/>
                <w:highlight w:val="none"/>
              </w:rPr>
            </w:pPr>
          </w:p>
        </w:tc>
        <w:tc>
          <w:tcPr>
            <w:tcW w:w="1484" w:type="dxa"/>
            <w:gridSpan w:val="2"/>
            <w:vAlign w:val="center"/>
          </w:tcPr>
          <w:p w14:paraId="32A33804">
            <w:pPr>
              <w:jc w:val="center"/>
              <w:rPr>
                <w:rFonts w:hint="default" w:ascii="Times New Roman" w:hAnsi="Times New Roman" w:cs="Times New Roman"/>
                <w:color w:val="auto"/>
                <w:highlight w:val="none"/>
              </w:rPr>
            </w:pPr>
          </w:p>
        </w:tc>
      </w:tr>
      <w:tr w14:paraId="0F2D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7ECDF429">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2020" w:type="dxa"/>
            <w:gridSpan w:val="2"/>
            <w:vAlign w:val="center"/>
          </w:tcPr>
          <w:p w14:paraId="2D268AFC">
            <w:pPr>
              <w:jc w:val="center"/>
              <w:rPr>
                <w:rFonts w:hint="default" w:ascii="Times New Roman" w:hAnsi="Times New Roman" w:cs="Times New Roman"/>
                <w:color w:val="auto"/>
                <w:highlight w:val="none"/>
              </w:rPr>
            </w:pPr>
          </w:p>
        </w:tc>
        <w:tc>
          <w:tcPr>
            <w:tcW w:w="2088" w:type="dxa"/>
            <w:gridSpan w:val="2"/>
            <w:vAlign w:val="center"/>
          </w:tcPr>
          <w:p w14:paraId="20CF8A00">
            <w:pPr>
              <w:jc w:val="center"/>
              <w:rPr>
                <w:rFonts w:hint="default" w:ascii="Times New Roman" w:hAnsi="Times New Roman" w:cs="Times New Roman"/>
                <w:color w:val="auto"/>
                <w:highlight w:val="none"/>
              </w:rPr>
            </w:pPr>
          </w:p>
        </w:tc>
        <w:tc>
          <w:tcPr>
            <w:tcW w:w="1221" w:type="dxa"/>
            <w:vAlign w:val="center"/>
          </w:tcPr>
          <w:p w14:paraId="3FA32C80">
            <w:pPr>
              <w:jc w:val="center"/>
              <w:rPr>
                <w:rFonts w:hint="default" w:ascii="Times New Roman" w:hAnsi="Times New Roman" w:cs="Times New Roman"/>
                <w:color w:val="auto"/>
                <w:highlight w:val="none"/>
              </w:rPr>
            </w:pPr>
          </w:p>
        </w:tc>
        <w:tc>
          <w:tcPr>
            <w:tcW w:w="1641" w:type="dxa"/>
            <w:gridSpan w:val="4"/>
            <w:vAlign w:val="center"/>
          </w:tcPr>
          <w:p w14:paraId="57467E9B">
            <w:pPr>
              <w:jc w:val="center"/>
              <w:rPr>
                <w:rFonts w:hint="default" w:ascii="Times New Roman" w:hAnsi="Times New Roman" w:cs="Times New Roman"/>
                <w:color w:val="auto"/>
                <w:highlight w:val="none"/>
              </w:rPr>
            </w:pPr>
          </w:p>
        </w:tc>
        <w:tc>
          <w:tcPr>
            <w:tcW w:w="1484" w:type="dxa"/>
            <w:gridSpan w:val="2"/>
            <w:vAlign w:val="center"/>
          </w:tcPr>
          <w:p w14:paraId="3790C968">
            <w:pPr>
              <w:jc w:val="center"/>
              <w:rPr>
                <w:rFonts w:hint="default" w:ascii="Times New Roman" w:hAnsi="Times New Roman" w:cs="Times New Roman"/>
                <w:color w:val="auto"/>
                <w:highlight w:val="none"/>
              </w:rPr>
            </w:pPr>
          </w:p>
        </w:tc>
      </w:tr>
      <w:tr w14:paraId="6DA3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154" w:type="dxa"/>
            <w:vAlign w:val="center"/>
          </w:tcPr>
          <w:p w14:paraId="5424E60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2020" w:type="dxa"/>
            <w:gridSpan w:val="2"/>
            <w:vAlign w:val="center"/>
          </w:tcPr>
          <w:p w14:paraId="3524CB4F">
            <w:pPr>
              <w:jc w:val="center"/>
              <w:rPr>
                <w:rFonts w:hint="default" w:ascii="Times New Roman" w:hAnsi="Times New Roman" w:cs="Times New Roman"/>
                <w:color w:val="auto"/>
                <w:highlight w:val="none"/>
              </w:rPr>
            </w:pPr>
          </w:p>
        </w:tc>
        <w:tc>
          <w:tcPr>
            <w:tcW w:w="2088" w:type="dxa"/>
            <w:gridSpan w:val="2"/>
            <w:vAlign w:val="center"/>
          </w:tcPr>
          <w:p w14:paraId="7E044A61">
            <w:pPr>
              <w:jc w:val="center"/>
              <w:rPr>
                <w:rFonts w:hint="default" w:ascii="Times New Roman" w:hAnsi="Times New Roman" w:cs="Times New Roman"/>
                <w:color w:val="auto"/>
                <w:highlight w:val="none"/>
              </w:rPr>
            </w:pPr>
          </w:p>
        </w:tc>
        <w:tc>
          <w:tcPr>
            <w:tcW w:w="1221" w:type="dxa"/>
            <w:vAlign w:val="center"/>
          </w:tcPr>
          <w:p w14:paraId="3E3907FB">
            <w:pPr>
              <w:jc w:val="center"/>
              <w:rPr>
                <w:rFonts w:hint="default" w:ascii="Times New Roman" w:hAnsi="Times New Roman" w:cs="Times New Roman"/>
                <w:color w:val="auto"/>
                <w:highlight w:val="none"/>
              </w:rPr>
            </w:pPr>
          </w:p>
        </w:tc>
        <w:tc>
          <w:tcPr>
            <w:tcW w:w="1641" w:type="dxa"/>
            <w:gridSpan w:val="4"/>
            <w:vAlign w:val="center"/>
          </w:tcPr>
          <w:p w14:paraId="6CCA635D">
            <w:pPr>
              <w:jc w:val="center"/>
              <w:rPr>
                <w:rFonts w:hint="default" w:ascii="Times New Roman" w:hAnsi="Times New Roman" w:cs="Times New Roman"/>
                <w:color w:val="auto"/>
                <w:highlight w:val="none"/>
              </w:rPr>
            </w:pPr>
          </w:p>
        </w:tc>
        <w:tc>
          <w:tcPr>
            <w:tcW w:w="1484" w:type="dxa"/>
            <w:gridSpan w:val="2"/>
            <w:vAlign w:val="center"/>
          </w:tcPr>
          <w:p w14:paraId="5DC80B64">
            <w:pPr>
              <w:jc w:val="center"/>
              <w:rPr>
                <w:rFonts w:hint="default" w:ascii="Times New Roman" w:hAnsi="Times New Roman" w:cs="Times New Roman"/>
                <w:color w:val="auto"/>
                <w:highlight w:val="none"/>
              </w:rPr>
            </w:pPr>
          </w:p>
        </w:tc>
      </w:tr>
      <w:tr w14:paraId="79A5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1ED3EC6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2020" w:type="dxa"/>
            <w:gridSpan w:val="2"/>
            <w:vAlign w:val="center"/>
          </w:tcPr>
          <w:p w14:paraId="1B437ECC">
            <w:pPr>
              <w:jc w:val="center"/>
              <w:rPr>
                <w:rFonts w:hint="default" w:ascii="Times New Roman" w:hAnsi="Times New Roman" w:cs="Times New Roman"/>
                <w:color w:val="auto"/>
                <w:highlight w:val="none"/>
              </w:rPr>
            </w:pPr>
          </w:p>
        </w:tc>
        <w:tc>
          <w:tcPr>
            <w:tcW w:w="2088" w:type="dxa"/>
            <w:gridSpan w:val="2"/>
            <w:vAlign w:val="center"/>
          </w:tcPr>
          <w:p w14:paraId="4D85B6AB">
            <w:pPr>
              <w:jc w:val="center"/>
              <w:rPr>
                <w:rFonts w:hint="default" w:ascii="Times New Roman" w:hAnsi="Times New Roman" w:cs="Times New Roman"/>
                <w:color w:val="auto"/>
                <w:highlight w:val="none"/>
              </w:rPr>
            </w:pPr>
          </w:p>
        </w:tc>
        <w:tc>
          <w:tcPr>
            <w:tcW w:w="1221" w:type="dxa"/>
            <w:vAlign w:val="center"/>
          </w:tcPr>
          <w:p w14:paraId="43415B79">
            <w:pPr>
              <w:jc w:val="center"/>
              <w:rPr>
                <w:rFonts w:hint="default" w:ascii="Times New Roman" w:hAnsi="Times New Roman" w:cs="Times New Roman"/>
                <w:color w:val="auto"/>
                <w:highlight w:val="none"/>
              </w:rPr>
            </w:pPr>
          </w:p>
        </w:tc>
        <w:tc>
          <w:tcPr>
            <w:tcW w:w="1641" w:type="dxa"/>
            <w:gridSpan w:val="4"/>
            <w:vAlign w:val="center"/>
          </w:tcPr>
          <w:p w14:paraId="14DFAD16">
            <w:pPr>
              <w:jc w:val="center"/>
              <w:rPr>
                <w:rFonts w:hint="default" w:ascii="Times New Roman" w:hAnsi="Times New Roman" w:cs="Times New Roman"/>
                <w:color w:val="auto"/>
                <w:highlight w:val="none"/>
              </w:rPr>
            </w:pPr>
          </w:p>
        </w:tc>
        <w:tc>
          <w:tcPr>
            <w:tcW w:w="1484" w:type="dxa"/>
            <w:gridSpan w:val="2"/>
            <w:vAlign w:val="center"/>
          </w:tcPr>
          <w:p w14:paraId="471AB040">
            <w:pPr>
              <w:jc w:val="center"/>
              <w:rPr>
                <w:rFonts w:hint="default" w:ascii="Times New Roman" w:hAnsi="Times New Roman" w:cs="Times New Roman"/>
                <w:color w:val="auto"/>
                <w:highlight w:val="none"/>
              </w:rPr>
            </w:pPr>
          </w:p>
        </w:tc>
      </w:tr>
      <w:tr w14:paraId="7CF5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598D83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2020" w:type="dxa"/>
            <w:gridSpan w:val="2"/>
            <w:vAlign w:val="center"/>
          </w:tcPr>
          <w:p w14:paraId="7D9D8955">
            <w:pPr>
              <w:jc w:val="center"/>
              <w:rPr>
                <w:rFonts w:hint="default" w:ascii="Times New Roman" w:hAnsi="Times New Roman" w:cs="Times New Roman"/>
                <w:color w:val="auto"/>
                <w:highlight w:val="none"/>
              </w:rPr>
            </w:pPr>
          </w:p>
        </w:tc>
        <w:tc>
          <w:tcPr>
            <w:tcW w:w="2088" w:type="dxa"/>
            <w:gridSpan w:val="2"/>
            <w:vAlign w:val="center"/>
          </w:tcPr>
          <w:p w14:paraId="0E1FBDB9">
            <w:pPr>
              <w:jc w:val="center"/>
              <w:rPr>
                <w:rFonts w:hint="default" w:ascii="Times New Roman" w:hAnsi="Times New Roman" w:cs="Times New Roman"/>
                <w:color w:val="auto"/>
                <w:highlight w:val="none"/>
              </w:rPr>
            </w:pPr>
          </w:p>
        </w:tc>
        <w:tc>
          <w:tcPr>
            <w:tcW w:w="1221" w:type="dxa"/>
            <w:vAlign w:val="center"/>
          </w:tcPr>
          <w:p w14:paraId="7D1486A6">
            <w:pPr>
              <w:jc w:val="center"/>
              <w:rPr>
                <w:rFonts w:hint="default" w:ascii="Times New Roman" w:hAnsi="Times New Roman" w:cs="Times New Roman"/>
                <w:color w:val="auto"/>
                <w:highlight w:val="none"/>
              </w:rPr>
            </w:pPr>
          </w:p>
        </w:tc>
        <w:tc>
          <w:tcPr>
            <w:tcW w:w="1641" w:type="dxa"/>
            <w:gridSpan w:val="4"/>
            <w:vAlign w:val="center"/>
          </w:tcPr>
          <w:p w14:paraId="4E01F74C">
            <w:pPr>
              <w:jc w:val="center"/>
              <w:rPr>
                <w:rFonts w:hint="default" w:ascii="Times New Roman" w:hAnsi="Times New Roman" w:cs="Times New Roman"/>
                <w:color w:val="auto"/>
                <w:highlight w:val="none"/>
              </w:rPr>
            </w:pPr>
          </w:p>
        </w:tc>
        <w:tc>
          <w:tcPr>
            <w:tcW w:w="1484" w:type="dxa"/>
            <w:gridSpan w:val="2"/>
            <w:vAlign w:val="center"/>
          </w:tcPr>
          <w:p w14:paraId="5E9304AC">
            <w:pPr>
              <w:jc w:val="center"/>
              <w:rPr>
                <w:rFonts w:hint="default" w:ascii="Times New Roman" w:hAnsi="Times New Roman" w:cs="Times New Roman"/>
                <w:color w:val="auto"/>
                <w:highlight w:val="none"/>
              </w:rPr>
            </w:pPr>
          </w:p>
        </w:tc>
      </w:tr>
      <w:tr w14:paraId="364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26A9D91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2020" w:type="dxa"/>
            <w:gridSpan w:val="2"/>
            <w:vAlign w:val="center"/>
          </w:tcPr>
          <w:p w14:paraId="6214BAC4">
            <w:pPr>
              <w:jc w:val="center"/>
              <w:rPr>
                <w:rFonts w:hint="default" w:ascii="Times New Roman" w:hAnsi="Times New Roman" w:cs="Times New Roman"/>
                <w:color w:val="auto"/>
                <w:highlight w:val="none"/>
              </w:rPr>
            </w:pPr>
          </w:p>
        </w:tc>
        <w:tc>
          <w:tcPr>
            <w:tcW w:w="2088" w:type="dxa"/>
            <w:gridSpan w:val="2"/>
            <w:vAlign w:val="center"/>
          </w:tcPr>
          <w:p w14:paraId="3D6F41C6">
            <w:pPr>
              <w:jc w:val="center"/>
              <w:rPr>
                <w:rFonts w:hint="default" w:ascii="Times New Roman" w:hAnsi="Times New Roman" w:cs="Times New Roman"/>
                <w:color w:val="auto"/>
                <w:highlight w:val="none"/>
              </w:rPr>
            </w:pPr>
          </w:p>
        </w:tc>
        <w:tc>
          <w:tcPr>
            <w:tcW w:w="1221" w:type="dxa"/>
            <w:vAlign w:val="center"/>
          </w:tcPr>
          <w:p w14:paraId="663F2204">
            <w:pPr>
              <w:jc w:val="center"/>
              <w:rPr>
                <w:rFonts w:hint="default" w:ascii="Times New Roman" w:hAnsi="Times New Roman" w:cs="Times New Roman"/>
                <w:color w:val="auto"/>
                <w:highlight w:val="none"/>
              </w:rPr>
            </w:pPr>
          </w:p>
        </w:tc>
        <w:tc>
          <w:tcPr>
            <w:tcW w:w="1641" w:type="dxa"/>
            <w:gridSpan w:val="4"/>
            <w:vAlign w:val="center"/>
          </w:tcPr>
          <w:p w14:paraId="115C3085">
            <w:pPr>
              <w:jc w:val="center"/>
              <w:rPr>
                <w:rFonts w:hint="default" w:ascii="Times New Roman" w:hAnsi="Times New Roman" w:cs="Times New Roman"/>
                <w:color w:val="auto"/>
                <w:highlight w:val="none"/>
              </w:rPr>
            </w:pPr>
          </w:p>
        </w:tc>
        <w:tc>
          <w:tcPr>
            <w:tcW w:w="1484" w:type="dxa"/>
            <w:gridSpan w:val="2"/>
            <w:vAlign w:val="center"/>
          </w:tcPr>
          <w:p w14:paraId="38152A79">
            <w:pPr>
              <w:jc w:val="center"/>
              <w:rPr>
                <w:rFonts w:hint="default" w:ascii="Times New Roman" w:hAnsi="Times New Roman" w:cs="Times New Roman"/>
                <w:color w:val="auto"/>
                <w:highlight w:val="none"/>
              </w:rPr>
            </w:pPr>
          </w:p>
        </w:tc>
      </w:tr>
      <w:tr w14:paraId="739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154" w:type="dxa"/>
            <w:vAlign w:val="center"/>
          </w:tcPr>
          <w:p w14:paraId="3CC9783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2020" w:type="dxa"/>
            <w:gridSpan w:val="2"/>
            <w:vAlign w:val="center"/>
          </w:tcPr>
          <w:p w14:paraId="1ED312DB">
            <w:pPr>
              <w:jc w:val="center"/>
              <w:rPr>
                <w:rFonts w:hint="default" w:ascii="Times New Roman" w:hAnsi="Times New Roman" w:cs="Times New Roman"/>
                <w:color w:val="auto"/>
                <w:highlight w:val="none"/>
              </w:rPr>
            </w:pPr>
          </w:p>
        </w:tc>
        <w:tc>
          <w:tcPr>
            <w:tcW w:w="2088" w:type="dxa"/>
            <w:gridSpan w:val="2"/>
            <w:vAlign w:val="center"/>
          </w:tcPr>
          <w:p w14:paraId="77D024EB">
            <w:pPr>
              <w:jc w:val="center"/>
              <w:rPr>
                <w:rFonts w:hint="default" w:ascii="Times New Roman" w:hAnsi="Times New Roman" w:cs="Times New Roman"/>
                <w:color w:val="auto"/>
                <w:highlight w:val="none"/>
              </w:rPr>
            </w:pPr>
          </w:p>
        </w:tc>
        <w:tc>
          <w:tcPr>
            <w:tcW w:w="1221" w:type="dxa"/>
            <w:vAlign w:val="center"/>
          </w:tcPr>
          <w:p w14:paraId="54790278">
            <w:pPr>
              <w:jc w:val="center"/>
              <w:rPr>
                <w:rFonts w:hint="default" w:ascii="Times New Roman" w:hAnsi="Times New Roman" w:cs="Times New Roman"/>
                <w:color w:val="auto"/>
                <w:highlight w:val="none"/>
              </w:rPr>
            </w:pPr>
          </w:p>
        </w:tc>
        <w:tc>
          <w:tcPr>
            <w:tcW w:w="1641" w:type="dxa"/>
            <w:gridSpan w:val="4"/>
            <w:vAlign w:val="center"/>
          </w:tcPr>
          <w:p w14:paraId="443DBC57">
            <w:pPr>
              <w:jc w:val="center"/>
              <w:rPr>
                <w:rFonts w:hint="default" w:ascii="Times New Roman" w:hAnsi="Times New Roman" w:cs="Times New Roman"/>
                <w:color w:val="auto"/>
                <w:highlight w:val="none"/>
              </w:rPr>
            </w:pPr>
          </w:p>
        </w:tc>
        <w:tc>
          <w:tcPr>
            <w:tcW w:w="1484" w:type="dxa"/>
            <w:gridSpan w:val="2"/>
            <w:vAlign w:val="center"/>
          </w:tcPr>
          <w:p w14:paraId="045D4ADA">
            <w:pPr>
              <w:jc w:val="center"/>
              <w:rPr>
                <w:rFonts w:hint="default" w:ascii="Times New Roman" w:hAnsi="Times New Roman" w:cs="Times New Roman"/>
                <w:color w:val="auto"/>
                <w:highlight w:val="none"/>
              </w:rPr>
            </w:pPr>
          </w:p>
        </w:tc>
      </w:tr>
    </w:tbl>
    <w:p w14:paraId="0724DAE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65C80DD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1.项目数可以根据需要增加。</w:t>
      </w:r>
    </w:p>
    <w:p w14:paraId="7DF0834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2.本表后附项目技术负责人（项目总工）的身份证、职称证、本表所列证书复印件。</w:t>
      </w:r>
    </w:p>
    <w:p w14:paraId="3295A8E7">
      <w:pPr>
        <w:spacing w:line="360" w:lineRule="auto"/>
        <w:rPr>
          <w:rFonts w:hint="default" w:ascii="Times New Roman" w:hAnsi="Times New Roman" w:eastAsia="楷体_GB2312" w:cs="Times New Roman"/>
          <w:color w:val="auto"/>
          <w:highlight w:val="none"/>
        </w:rPr>
      </w:pPr>
    </w:p>
    <w:p w14:paraId="302DE875">
      <w:pPr>
        <w:pStyle w:val="197"/>
        <w:spacing w:line="360" w:lineRule="auto"/>
        <w:jc w:val="center"/>
        <w:outlineLvl w:val="0"/>
        <w:rPr>
          <w:rFonts w:hint="default" w:ascii="Times New Roman" w:hAnsi="Times New Roman" w:cs="Times New Roman"/>
          <w:color w:val="auto"/>
          <w:highlight w:val="none"/>
          <w:u w:val="single"/>
        </w:rPr>
      </w:pPr>
      <w:r>
        <w:rPr>
          <w:rFonts w:hint="default" w:ascii="Times New Roman" w:hAnsi="Times New Roman" w:cs="Times New Roman"/>
          <w:b/>
          <w:bCs/>
          <w:color w:val="auto"/>
          <w:sz w:val="28"/>
          <w:szCs w:val="28"/>
          <w:highlight w:val="none"/>
        </w:rPr>
        <w:br w:type="page"/>
      </w:r>
      <w:r>
        <w:rPr>
          <w:rFonts w:hint="default" w:ascii="Times New Roman" w:hAnsi="Times New Roman" w:cs="Times New Roman"/>
          <w:b/>
          <w:color w:val="auto"/>
          <w:sz w:val="32"/>
          <w:szCs w:val="32"/>
          <w:highlight w:val="none"/>
        </w:rPr>
        <w:t>专职安全生产管理人员</w:t>
      </w:r>
    </w:p>
    <w:tbl>
      <w:tblPr>
        <w:tblStyle w:val="4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95"/>
        <w:gridCol w:w="880"/>
        <w:gridCol w:w="668"/>
        <w:gridCol w:w="554"/>
        <w:gridCol w:w="1584"/>
        <w:gridCol w:w="1171"/>
        <w:gridCol w:w="80"/>
        <w:gridCol w:w="409"/>
        <w:gridCol w:w="1108"/>
        <w:gridCol w:w="44"/>
        <w:gridCol w:w="71"/>
        <w:gridCol w:w="1413"/>
        <w:gridCol w:w="11"/>
      </w:tblGrid>
      <w:tr w14:paraId="2C07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20427E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2497" w:type="dxa"/>
            <w:gridSpan w:val="4"/>
            <w:vAlign w:val="center"/>
          </w:tcPr>
          <w:p w14:paraId="0A29FDC6">
            <w:pPr>
              <w:jc w:val="center"/>
              <w:rPr>
                <w:rFonts w:hint="default" w:ascii="Times New Roman" w:hAnsi="Times New Roman" w:cs="Times New Roman"/>
                <w:color w:val="auto"/>
                <w:highlight w:val="none"/>
              </w:rPr>
            </w:pPr>
          </w:p>
        </w:tc>
        <w:tc>
          <w:tcPr>
            <w:tcW w:w="1584" w:type="dxa"/>
            <w:vAlign w:val="center"/>
          </w:tcPr>
          <w:p w14:paraId="2D9C86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660" w:type="dxa"/>
            <w:gridSpan w:val="3"/>
            <w:vAlign w:val="center"/>
          </w:tcPr>
          <w:p w14:paraId="3559269A">
            <w:pPr>
              <w:jc w:val="center"/>
              <w:rPr>
                <w:rFonts w:hint="default" w:ascii="Times New Roman" w:hAnsi="Times New Roman" w:cs="Times New Roman"/>
                <w:color w:val="auto"/>
                <w:highlight w:val="none"/>
              </w:rPr>
            </w:pPr>
          </w:p>
        </w:tc>
        <w:tc>
          <w:tcPr>
            <w:tcW w:w="1108" w:type="dxa"/>
            <w:vAlign w:val="center"/>
          </w:tcPr>
          <w:p w14:paraId="0545359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1539" w:type="dxa"/>
            <w:gridSpan w:val="4"/>
            <w:vAlign w:val="center"/>
          </w:tcPr>
          <w:p w14:paraId="54A6D0F0">
            <w:pPr>
              <w:jc w:val="center"/>
              <w:rPr>
                <w:rFonts w:hint="default" w:ascii="Times New Roman" w:hAnsi="Times New Roman" w:cs="Times New Roman"/>
                <w:color w:val="auto"/>
                <w:highlight w:val="none"/>
              </w:rPr>
            </w:pPr>
          </w:p>
        </w:tc>
      </w:tr>
      <w:tr w14:paraId="1348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7997CFE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岗位</w:t>
            </w:r>
          </w:p>
        </w:tc>
        <w:tc>
          <w:tcPr>
            <w:tcW w:w="2497" w:type="dxa"/>
            <w:gridSpan w:val="4"/>
            <w:vAlign w:val="center"/>
          </w:tcPr>
          <w:p w14:paraId="76158DF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专职安全生产管理人员</w:t>
            </w:r>
          </w:p>
        </w:tc>
        <w:tc>
          <w:tcPr>
            <w:tcW w:w="1584" w:type="dxa"/>
            <w:vAlign w:val="center"/>
          </w:tcPr>
          <w:p w14:paraId="262D24F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w:t>
            </w:r>
          </w:p>
        </w:tc>
        <w:tc>
          <w:tcPr>
            <w:tcW w:w="1660" w:type="dxa"/>
            <w:gridSpan w:val="3"/>
            <w:vAlign w:val="center"/>
          </w:tcPr>
          <w:p w14:paraId="721234FF">
            <w:pPr>
              <w:jc w:val="center"/>
              <w:rPr>
                <w:rFonts w:hint="default" w:ascii="Times New Roman" w:hAnsi="Times New Roman" w:cs="Times New Roman"/>
                <w:color w:val="auto"/>
                <w:highlight w:val="none"/>
              </w:rPr>
            </w:pPr>
          </w:p>
        </w:tc>
        <w:tc>
          <w:tcPr>
            <w:tcW w:w="1108" w:type="dxa"/>
            <w:vAlign w:val="center"/>
          </w:tcPr>
          <w:p w14:paraId="5A38617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学历</w:t>
            </w:r>
          </w:p>
        </w:tc>
        <w:tc>
          <w:tcPr>
            <w:tcW w:w="1539" w:type="dxa"/>
            <w:gridSpan w:val="4"/>
            <w:vAlign w:val="center"/>
          </w:tcPr>
          <w:p w14:paraId="03B65616">
            <w:pPr>
              <w:jc w:val="center"/>
              <w:rPr>
                <w:rFonts w:hint="default" w:ascii="Times New Roman" w:hAnsi="Times New Roman" w:cs="Times New Roman"/>
                <w:color w:val="auto"/>
                <w:highlight w:val="none"/>
              </w:rPr>
            </w:pPr>
          </w:p>
        </w:tc>
      </w:tr>
      <w:tr w14:paraId="03F1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31" w:type="dxa"/>
            <w:vAlign w:val="center"/>
          </w:tcPr>
          <w:p w14:paraId="742C96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从业开始时间</w:t>
            </w:r>
          </w:p>
        </w:tc>
        <w:tc>
          <w:tcPr>
            <w:tcW w:w="2497" w:type="dxa"/>
            <w:gridSpan w:val="4"/>
            <w:vAlign w:val="center"/>
          </w:tcPr>
          <w:p w14:paraId="4DDFF6FC">
            <w:pPr>
              <w:jc w:val="center"/>
              <w:rPr>
                <w:rFonts w:hint="default" w:ascii="Times New Roman" w:hAnsi="Times New Roman" w:cs="Times New Roman"/>
                <w:color w:val="auto"/>
                <w:highlight w:val="none"/>
              </w:rPr>
            </w:pPr>
          </w:p>
        </w:tc>
        <w:tc>
          <w:tcPr>
            <w:tcW w:w="1584" w:type="dxa"/>
            <w:vAlign w:val="center"/>
          </w:tcPr>
          <w:p w14:paraId="1C0FCF4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职称获得时间</w:t>
            </w:r>
          </w:p>
        </w:tc>
        <w:tc>
          <w:tcPr>
            <w:tcW w:w="1660" w:type="dxa"/>
            <w:gridSpan w:val="3"/>
            <w:vAlign w:val="center"/>
          </w:tcPr>
          <w:p w14:paraId="5D8D88DC">
            <w:pPr>
              <w:jc w:val="center"/>
              <w:rPr>
                <w:rFonts w:hint="default" w:ascii="Times New Roman" w:hAnsi="Times New Roman" w:cs="Times New Roman"/>
                <w:color w:val="auto"/>
                <w:highlight w:val="none"/>
              </w:rPr>
            </w:pPr>
          </w:p>
        </w:tc>
        <w:tc>
          <w:tcPr>
            <w:tcW w:w="1108" w:type="dxa"/>
            <w:vAlign w:val="center"/>
          </w:tcPr>
          <w:p w14:paraId="5BA3A45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毕业时间</w:t>
            </w:r>
          </w:p>
        </w:tc>
        <w:tc>
          <w:tcPr>
            <w:tcW w:w="1539" w:type="dxa"/>
            <w:gridSpan w:val="4"/>
            <w:vAlign w:val="center"/>
          </w:tcPr>
          <w:p w14:paraId="707B7F99">
            <w:pPr>
              <w:jc w:val="center"/>
              <w:rPr>
                <w:rFonts w:hint="default" w:ascii="Times New Roman" w:hAnsi="Times New Roman" w:cs="Times New Roman"/>
                <w:color w:val="auto"/>
                <w:highlight w:val="none"/>
              </w:rPr>
            </w:pPr>
          </w:p>
        </w:tc>
      </w:tr>
      <w:tr w14:paraId="6CF4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634EA24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担任……年限</w:t>
            </w:r>
          </w:p>
        </w:tc>
        <w:tc>
          <w:tcPr>
            <w:tcW w:w="2497" w:type="dxa"/>
            <w:gridSpan w:val="4"/>
            <w:vAlign w:val="center"/>
          </w:tcPr>
          <w:p w14:paraId="0D5CBE77">
            <w:pPr>
              <w:jc w:val="center"/>
              <w:rPr>
                <w:rFonts w:hint="default" w:ascii="Times New Roman" w:hAnsi="Times New Roman" w:cs="Times New Roman"/>
                <w:color w:val="auto"/>
                <w:highlight w:val="none"/>
              </w:rPr>
            </w:pPr>
          </w:p>
        </w:tc>
        <w:tc>
          <w:tcPr>
            <w:tcW w:w="1584" w:type="dxa"/>
            <w:vAlign w:val="center"/>
          </w:tcPr>
          <w:p w14:paraId="4B4EBE0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身份证号码</w:t>
            </w:r>
          </w:p>
        </w:tc>
        <w:tc>
          <w:tcPr>
            <w:tcW w:w="4307" w:type="dxa"/>
            <w:gridSpan w:val="8"/>
            <w:vAlign w:val="center"/>
          </w:tcPr>
          <w:p w14:paraId="21B9E174">
            <w:pPr>
              <w:jc w:val="center"/>
              <w:rPr>
                <w:rFonts w:hint="default" w:ascii="Times New Roman" w:hAnsi="Times New Roman" w:cs="Times New Roman"/>
                <w:color w:val="auto"/>
                <w:highlight w:val="none"/>
              </w:rPr>
            </w:pPr>
          </w:p>
        </w:tc>
      </w:tr>
      <w:tr w14:paraId="5E2F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64E2643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证书名称</w:t>
            </w:r>
          </w:p>
        </w:tc>
        <w:tc>
          <w:tcPr>
            <w:tcW w:w="1275" w:type="dxa"/>
            <w:gridSpan w:val="2"/>
            <w:vAlign w:val="center"/>
          </w:tcPr>
          <w:p w14:paraId="7C0269C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注册专业</w:t>
            </w:r>
          </w:p>
        </w:tc>
        <w:tc>
          <w:tcPr>
            <w:tcW w:w="1222" w:type="dxa"/>
            <w:gridSpan w:val="2"/>
            <w:vAlign w:val="center"/>
          </w:tcPr>
          <w:p w14:paraId="501E95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级别</w:t>
            </w:r>
          </w:p>
        </w:tc>
        <w:tc>
          <w:tcPr>
            <w:tcW w:w="1584" w:type="dxa"/>
            <w:vAlign w:val="center"/>
          </w:tcPr>
          <w:p w14:paraId="0DFA2A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证书编号</w:t>
            </w:r>
          </w:p>
        </w:tc>
        <w:tc>
          <w:tcPr>
            <w:tcW w:w="1251" w:type="dxa"/>
            <w:gridSpan w:val="2"/>
            <w:vAlign w:val="center"/>
          </w:tcPr>
          <w:p w14:paraId="2E9B790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注册时间</w:t>
            </w:r>
          </w:p>
        </w:tc>
        <w:tc>
          <w:tcPr>
            <w:tcW w:w="1632" w:type="dxa"/>
            <w:gridSpan w:val="4"/>
            <w:vAlign w:val="center"/>
          </w:tcPr>
          <w:p w14:paraId="16CD072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注册单位</w:t>
            </w:r>
          </w:p>
        </w:tc>
        <w:tc>
          <w:tcPr>
            <w:tcW w:w="1424" w:type="dxa"/>
            <w:gridSpan w:val="2"/>
            <w:vAlign w:val="center"/>
          </w:tcPr>
          <w:p w14:paraId="7220704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注册有效期</w:t>
            </w:r>
          </w:p>
        </w:tc>
      </w:tr>
      <w:tr w14:paraId="1050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1C12C8F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安全生产考核合格证书</w:t>
            </w:r>
          </w:p>
        </w:tc>
        <w:tc>
          <w:tcPr>
            <w:tcW w:w="1275" w:type="dxa"/>
            <w:gridSpan w:val="2"/>
            <w:vAlign w:val="center"/>
          </w:tcPr>
          <w:p w14:paraId="32BF36A5">
            <w:pPr>
              <w:jc w:val="center"/>
              <w:rPr>
                <w:rFonts w:hint="default" w:ascii="Times New Roman" w:hAnsi="Times New Roman" w:cs="Times New Roman"/>
                <w:color w:val="auto"/>
                <w:highlight w:val="none"/>
              </w:rPr>
            </w:pPr>
          </w:p>
        </w:tc>
        <w:tc>
          <w:tcPr>
            <w:tcW w:w="1222" w:type="dxa"/>
            <w:gridSpan w:val="2"/>
            <w:vAlign w:val="center"/>
          </w:tcPr>
          <w:p w14:paraId="08C3245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C类</w:t>
            </w:r>
          </w:p>
        </w:tc>
        <w:tc>
          <w:tcPr>
            <w:tcW w:w="1584" w:type="dxa"/>
            <w:vAlign w:val="center"/>
          </w:tcPr>
          <w:p w14:paraId="49572EF9">
            <w:pPr>
              <w:jc w:val="center"/>
              <w:rPr>
                <w:rFonts w:hint="default" w:ascii="Times New Roman" w:hAnsi="Times New Roman" w:cs="Times New Roman"/>
                <w:color w:val="auto"/>
                <w:highlight w:val="none"/>
              </w:rPr>
            </w:pPr>
          </w:p>
        </w:tc>
        <w:tc>
          <w:tcPr>
            <w:tcW w:w="1251" w:type="dxa"/>
            <w:gridSpan w:val="2"/>
            <w:vAlign w:val="center"/>
          </w:tcPr>
          <w:p w14:paraId="66878A42">
            <w:pPr>
              <w:jc w:val="center"/>
              <w:rPr>
                <w:rFonts w:hint="default" w:ascii="Times New Roman" w:hAnsi="Times New Roman" w:cs="Times New Roman"/>
                <w:color w:val="auto"/>
                <w:highlight w:val="none"/>
              </w:rPr>
            </w:pPr>
          </w:p>
        </w:tc>
        <w:tc>
          <w:tcPr>
            <w:tcW w:w="1632" w:type="dxa"/>
            <w:gridSpan w:val="4"/>
            <w:vAlign w:val="center"/>
          </w:tcPr>
          <w:p w14:paraId="1FF89778">
            <w:pPr>
              <w:jc w:val="center"/>
              <w:rPr>
                <w:rFonts w:hint="default" w:ascii="Times New Roman" w:hAnsi="Times New Roman" w:cs="Times New Roman"/>
                <w:color w:val="auto"/>
                <w:highlight w:val="none"/>
              </w:rPr>
            </w:pPr>
          </w:p>
        </w:tc>
        <w:tc>
          <w:tcPr>
            <w:tcW w:w="1424" w:type="dxa"/>
            <w:gridSpan w:val="2"/>
            <w:vAlign w:val="center"/>
          </w:tcPr>
          <w:p w14:paraId="5186B5F0">
            <w:pPr>
              <w:jc w:val="center"/>
              <w:rPr>
                <w:rFonts w:hint="default" w:ascii="Times New Roman" w:hAnsi="Times New Roman" w:cs="Times New Roman"/>
                <w:color w:val="auto"/>
                <w:highlight w:val="none"/>
              </w:rPr>
            </w:pPr>
          </w:p>
        </w:tc>
      </w:tr>
      <w:tr w14:paraId="1FE7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vAlign w:val="center"/>
          </w:tcPr>
          <w:p w14:paraId="35C7D324">
            <w:pPr>
              <w:jc w:val="center"/>
              <w:rPr>
                <w:rFonts w:hint="default" w:ascii="Times New Roman" w:hAnsi="Times New Roman" w:cs="Times New Roman"/>
                <w:color w:val="auto"/>
                <w:highlight w:val="none"/>
              </w:rPr>
            </w:pPr>
          </w:p>
        </w:tc>
        <w:tc>
          <w:tcPr>
            <w:tcW w:w="1275" w:type="dxa"/>
            <w:gridSpan w:val="2"/>
            <w:vAlign w:val="center"/>
          </w:tcPr>
          <w:p w14:paraId="305154E2">
            <w:pPr>
              <w:jc w:val="center"/>
              <w:rPr>
                <w:rFonts w:hint="default" w:ascii="Times New Roman" w:hAnsi="Times New Roman" w:cs="Times New Roman"/>
                <w:color w:val="auto"/>
                <w:highlight w:val="none"/>
              </w:rPr>
            </w:pPr>
          </w:p>
        </w:tc>
        <w:tc>
          <w:tcPr>
            <w:tcW w:w="1222" w:type="dxa"/>
            <w:gridSpan w:val="2"/>
            <w:vAlign w:val="center"/>
          </w:tcPr>
          <w:p w14:paraId="17AD91B2">
            <w:pPr>
              <w:jc w:val="center"/>
              <w:rPr>
                <w:rFonts w:hint="default" w:ascii="Times New Roman" w:hAnsi="Times New Roman" w:cs="Times New Roman"/>
                <w:color w:val="auto"/>
                <w:highlight w:val="none"/>
              </w:rPr>
            </w:pPr>
          </w:p>
        </w:tc>
        <w:tc>
          <w:tcPr>
            <w:tcW w:w="1584" w:type="dxa"/>
            <w:vAlign w:val="center"/>
          </w:tcPr>
          <w:p w14:paraId="746DEEA9">
            <w:pPr>
              <w:jc w:val="center"/>
              <w:rPr>
                <w:rFonts w:hint="default" w:ascii="Times New Roman" w:hAnsi="Times New Roman" w:cs="Times New Roman"/>
                <w:color w:val="auto"/>
                <w:highlight w:val="none"/>
              </w:rPr>
            </w:pPr>
          </w:p>
        </w:tc>
        <w:tc>
          <w:tcPr>
            <w:tcW w:w="1251" w:type="dxa"/>
            <w:gridSpan w:val="2"/>
            <w:vAlign w:val="center"/>
          </w:tcPr>
          <w:p w14:paraId="46BDBF68">
            <w:pPr>
              <w:jc w:val="center"/>
              <w:rPr>
                <w:rFonts w:hint="default" w:ascii="Times New Roman" w:hAnsi="Times New Roman" w:cs="Times New Roman"/>
                <w:color w:val="auto"/>
                <w:highlight w:val="none"/>
              </w:rPr>
            </w:pPr>
          </w:p>
        </w:tc>
        <w:tc>
          <w:tcPr>
            <w:tcW w:w="1632" w:type="dxa"/>
            <w:gridSpan w:val="4"/>
            <w:vAlign w:val="center"/>
          </w:tcPr>
          <w:p w14:paraId="1F34C1E8">
            <w:pPr>
              <w:jc w:val="center"/>
              <w:rPr>
                <w:rFonts w:hint="default" w:ascii="Times New Roman" w:hAnsi="Times New Roman" w:cs="Times New Roman"/>
                <w:color w:val="auto"/>
                <w:highlight w:val="none"/>
              </w:rPr>
            </w:pPr>
          </w:p>
        </w:tc>
        <w:tc>
          <w:tcPr>
            <w:tcW w:w="1424" w:type="dxa"/>
            <w:gridSpan w:val="2"/>
            <w:vAlign w:val="center"/>
          </w:tcPr>
          <w:p w14:paraId="64CFA28C">
            <w:pPr>
              <w:jc w:val="center"/>
              <w:rPr>
                <w:rFonts w:hint="default" w:ascii="Times New Roman" w:hAnsi="Times New Roman" w:cs="Times New Roman"/>
                <w:color w:val="auto"/>
                <w:highlight w:val="none"/>
              </w:rPr>
            </w:pPr>
          </w:p>
        </w:tc>
      </w:tr>
      <w:tr w14:paraId="20A7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9" w:type="dxa"/>
            <w:gridSpan w:val="14"/>
            <w:vAlign w:val="center"/>
          </w:tcPr>
          <w:p w14:paraId="7A06C7F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在建和已完工程项目情况</w:t>
            </w:r>
          </w:p>
        </w:tc>
      </w:tr>
      <w:tr w14:paraId="4B35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4B65C8C5">
            <w:pPr>
              <w:jc w:val="center"/>
              <w:rPr>
                <w:rFonts w:hint="default" w:ascii="Times New Roman" w:hAnsi="Times New Roman" w:cs="Times New Roman"/>
                <w:color w:val="auto"/>
                <w:highlight w:val="none"/>
              </w:rPr>
            </w:pPr>
          </w:p>
        </w:tc>
        <w:tc>
          <w:tcPr>
            <w:tcW w:w="1548" w:type="dxa"/>
            <w:gridSpan w:val="2"/>
            <w:vAlign w:val="center"/>
          </w:tcPr>
          <w:p w14:paraId="6202E4B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项目1</w:t>
            </w:r>
          </w:p>
        </w:tc>
        <w:tc>
          <w:tcPr>
            <w:tcW w:w="2138" w:type="dxa"/>
            <w:gridSpan w:val="2"/>
            <w:vAlign w:val="center"/>
          </w:tcPr>
          <w:p w14:paraId="6930946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项目2</w:t>
            </w:r>
          </w:p>
        </w:tc>
        <w:tc>
          <w:tcPr>
            <w:tcW w:w="1171" w:type="dxa"/>
            <w:vAlign w:val="center"/>
          </w:tcPr>
          <w:p w14:paraId="6F33176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项目3</w:t>
            </w:r>
          </w:p>
        </w:tc>
        <w:tc>
          <w:tcPr>
            <w:tcW w:w="1641" w:type="dxa"/>
            <w:gridSpan w:val="4"/>
            <w:vAlign w:val="center"/>
          </w:tcPr>
          <w:p w14:paraId="4B3C582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项目4</w:t>
            </w:r>
          </w:p>
        </w:tc>
        <w:tc>
          <w:tcPr>
            <w:tcW w:w="1484" w:type="dxa"/>
            <w:gridSpan w:val="2"/>
            <w:vAlign w:val="center"/>
          </w:tcPr>
          <w:p w14:paraId="7CEFD26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r>
      <w:tr w14:paraId="4970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2"/>
            <w:vAlign w:val="center"/>
          </w:tcPr>
          <w:p w14:paraId="5E512EA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c>
        <w:tc>
          <w:tcPr>
            <w:tcW w:w="1548" w:type="dxa"/>
            <w:gridSpan w:val="2"/>
            <w:vAlign w:val="center"/>
          </w:tcPr>
          <w:p w14:paraId="4F9E407E">
            <w:pPr>
              <w:jc w:val="center"/>
              <w:rPr>
                <w:rFonts w:hint="default" w:ascii="Times New Roman" w:hAnsi="Times New Roman" w:cs="Times New Roman"/>
                <w:color w:val="auto"/>
                <w:highlight w:val="none"/>
              </w:rPr>
            </w:pPr>
          </w:p>
        </w:tc>
        <w:tc>
          <w:tcPr>
            <w:tcW w:w="2138" w:type="dxa"/>
            <w:gridSpan w:val="2"/>
            <w:vAlign w:val="center"/>
          </w:tcPr>
          <w:p w14:paraId="562EFDDE">
            <w:pPr>
              <w:jc w:val="center"/>
              <w:rPr>
                <w:rFonts w:hint="default" w:ascii="Times New Roman" w:hAnsi="Times New Roman" w:cs="Times New Roman"/>
                <w:color w:val="auto"/>
                <w:highlight w:val="none"/>
              </w:rPr>
            </w:pPr>
          </w:p>
        </w:tc>
        <w:tc>
          <w:tcPr>
            <w:tcW w:w="1171" w:type="dxa"/>
            <w:vAlign w:val="center"/>
          </w:tcPr>
          <w:p w14:paraId="2FA2B8B9">
            <w:pPr>
              <w:jc w:val="center"/>
              <w:rPr>
                <w:rFonts w:hint="default" w:ascii="Times New Roman" w:hAnsi="Times New Roman" w:cs="Times New Roman"/>
                <w:color w:val="auto"/>
                <w:highlight w:val="none"/>
              </w:rPr>
            </w:pPr>
          </w:p>
        </w:tc>
        <w:tc>
          <w:tcPr>
            <w:tcW w:w="1641" w:type="dxa"/>
            <w:gridSpan w:val="4"/>
            <w:vAlign w:val="center"/>
          </w:tcPr>
          <w:p w14:paraId="74932FEE">
            <w:pPr>
              <w:jc w:val="center"/>
              <w:rPr>
                <w:rFonts w:hint="default" w:ascii="Times New Roman" w:hAnsi="Times New Roman" w:cs="Times New Roman"/>
                <w:color w:val="auto"/>
                <w:highlight w:val="none"/>
              </w:rPr>
            </w:pPr>
          </w:p>
        </w:tc>
        <w:tc>
          <w:tcPr>
            <w:tcW w:w="1484" w:type="dxa"/>
            <w:gridSpan w:val="2"/>
            <w:vAlign w:val="center"/>
          </w:tcPr>
          <w:p w14:paraId="6A1983EF">
            <w:pPr>
              <w:jc w:val="center"/>
              <w:rPr>
                <w:rFonts w:hint="default" w:ascii="Times New Roman" w:hAnsi="Times New Roman" w:cs="Times New Roman"/>
                <w:color w:val="auto"/>
                <w:highlight w:val="none"/>
              </w:rPr>
            </w:pPr>
          </w:p>
        </w:tc>
      </w:tr>
      <w:tr w14:paraId="6ACB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210916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w:t>
            </w:r>
          </w:p>
        </w:tc>
        <w:tc>
          <w:tcPr>
            <w:tcW w:w="1548" w:type="dxa"/>
            <w:gridSpan w:val="2"/>
            <w:vAlign w:val="center"/>
          </w:tcPr>
          <w:p w14:paraId="77E1A3A8">
            <w:pPr>
              <w:jc w:val="center"/>
              <w:rPr>
                <w:rFonts w:hint="default" w:ascii="Times New Roman" w:hAnsi="Times New Roman" w:cs="Times New Roman"/>
                <w:color w:val="auto"/>
                <w:highlight w:val="none"/>
              </w:rPr>
            </w:pPr>
          </w:p>
        </w:tc>
        <w:tc>
          <w:tcPr>
            <w:tcW w:w="2138" w:type="dxa"/>
            <w:gridSpan w:val="2"/>
            <w:vAlign w:val="center"/>
          </w:tcPr>
          <w:p w14:paraId="25782C1A">
            <w:pPr>
              <w:jc w:val="center"/>
              <w:rPr>
                <w:rFonts w:hint="default" w:ascii="Times New Roman" w:hAnsi="Times New Roman" w:cs="Times New Roman"/>
                <w:color w:val="auto"/>
                <w:highlight w:val="none"/>
              </w:rPr>
            </w:pPr>
          </w:p>
        </w:tc>
        <w:tc>
          <w:tcPr>
            <w:tcW w:w="1171" w:type="dxa"/>
            <w:vAlign w:val="center"/>
          </w:tcPr>
          <w:p w14:paraId="282094DB">
            <w:pPr>
              <w:jc w:val="center"/>
              <w:rPr>
                <w:rFonts w:hint="default" w:ascii="Times New Roman" w:hAnsi="Times New Roman" w:cs="Times New Roman"/>
                <w:color w:val="auto"/>
                <w:highlight w:val="none"/>
              </w:rPr>
            </w:pPr>
          </w:p>
        </w:tc>
        <w:tc>
          <w:tcPr>
            <w:tcW w:w="1641" w:type="dxa"/>
            <w:gridSpan w:val="4"/>
            <w:vAlign w:val="center"/>
          </w:tcPr>
          <w:p w14:paraId="6901189A">
            <w:pPr>
              <w:jc w:val="center"/>
              <w:rPr>
                <w:rFonts w:hint="default" w:ascii="Times New Roman" w:hAnsi="Times New Roman" w:cs="Times New Roman"/>
                <w:color w:val="auto"/>
                <w:highlight w:val="none"/>
              </w:rPr>
            </w:pPr>
          </w:p>
        </w:tc>
        <w:tc>
          <w:tcPr>
            <w:tcW w:w="1484" w:type="dxa"/>
            <w:gridSpan w:val="2"/>
            <w:vAlign w:val="center"/>
          </w:tcPr>
          <w:p w14:paraId="792FA826">
            <w:pPr>
              <w:jc w:val="center"/>
              <w:rPr>
                <w:rFonts w:hint="default" w:ascii="Times New Roman" w:hAnsi="Times New Roman" w:cs="Times New Roman"/>
                <w:color w:val="auto"/>
                <w:highlight w:val="none"/>
              </w:rPr>
            </w:pPr>
          </w:p>
        </w:tc>
      </w:tr>
      <w:tr w14:paraId="0CD3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1664DF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建设规模</w:t>
            </w:r>
          </w:p>
        </w:tc>
        <w:tc>
          <w:tcPr>
            <w:tcW w:w="1548" w:type="dxa"/>
            <w:gridSpan w:val="2"/>
            <w:vAlign w:val="center"/>
          </w:tcPr>
          <w:p w14:paraId="2E250F41">
            <w:pPr>
              <w:jc w:val="center"/>
              <w:rPr>
                <w:rFonts w:hint="default" w:ascii="Times New Roman" w:hAnsi="Times New Roman" w:cs="Times New Roman"/>
                <w:color w:val="auto"/>
                <w:highlight w:val="none"/>
              </w:rPr>
            </w:pPr>
          </w:p>
        </w:tc>
        <w:tc>
          <w:tcPr>
            <w:tcW w:w="2138" w:type="dxa"/>
            <w:gridSpan w:val="2"/>
            <w:vAlign w:val="center"/>
          </w:tcPr>
          <w:p w14:paraId="2EC238E9">
            <w:pPr>
              <w:jc w:val="center"/>
              <w:rPr>
                <w:rFonts w:hint="default" w:ascii="Times New Roman" w:hAnsi="Times New Roman" w:cs="Times New Roman"/>
                <w:color w:val="auto"/>
                <w:highlight w:val="none"/>
              </w:rPr>
            </w:pPr>
          </w:p>
        </w:tc>
        <w:tc>
          <w:tcPr>
            <w:tcW w:w="1171" w:type="dxa"/>
            <w:vAlign w:val="center"/>
          </w:tcPr>
          <w:p w14:paraId="1DE58D11">
            <w:pPr>
              <w:jc w:val="center"/>
              <w:rPr>
                <w:rFonts w:hint="default" w:ascii="Times New Roman" w:hAnsi="Times New Roman" w:cs="Times New Roman"/>
                <w:color w:val="auto"/>
                <w:highlight w:val="none"/>
              </w:rPr>
            </w:pPr>
          </w:p>
        </w:tc>
        <w:tc>
          <w:tcPr>
            <w:tcW w:w="1641" w:type="dxa"/>
            <w:gridSpan w:val="4"/>
            <w:vAlign w:val="center"/>
          </w:tcPr>
          <w:p w14:paraId="11033801">
            <w:pPr>
              <w:jc w:val="center"/>
              <w:rPr>
                <w:rFonts w:hint="default" w:ascii="Times New Roman" w:hAnsi="Times New Roman" w:cs="Times New Roman"/>
                <w:color w:val="auto"/>
                <w:highlight w:val="none"/>
              </w:rPr>
            </w:pPr>
          </w:p>
        </w:tc>
        <w:tc>
          <w:tcPr>
            <w:tcW w:w="1484" w:type="dxa"/>
            <w:gridSpan w:val="2"/>
            <w:vAlign w:val="center"/>
          </w:tcPr>
          <w:p w14:paraId="6844F52C">
            <w:pPr>
              <w:jc w:val="center"/>
              <w:rPr>
                <w:rFonts w:hint="default" w:ascii="Times New Roman" w:hAnsi="Times New Roman" w:cs="Times New Roman"/>
                <w:color w:val="auto"/>
                <w:highlight w:val="none"/>
              </w:rPr>
            </w:pPr>
          </w:p>
        </w:tc>
      </w:tr>
      <w:tr w14:paraId="66DE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2"/>
            <w:vAlign w:val="center"/>
          </w:tcPr>
          <w:p w14:paraId="7A997222">
            <w:pPr>
              <w:jc w:val="center"/>
              <w:rPr>
                <w:rFonts w:hint="default" w:ascii="Times New Roman" w:hAnsi="Times New Roman" w:cs="Times New Roman"/>
                <w:color w:val="auto"/>
                <w:sz w:val="27"/>
                <w:szCs w:val="27"/>
                <w:highlight w:val="none"/>
              </w:rPr>
            </w:pPr>
            <w:r>
              <w:rPr>
                <w:rFonts w:hint="default" w:ascii="Times New Roman" w:hAnsi="Times New Roman" w:cs="Times New Roman"/>
                <w:color w:val="auto"/>
                <w:highlight w:val="none"/>
              </w:rPr>
              <w:t>开工日期</w:t>
            </w:r>
          </w:p>
        </w:tc>
        <w:tc>
          <w:tcPr>
            <w:tcW w:w="1548" w:type="dxa"/>
            <w:gridSpan w:val="2"/>
            <w:vAlign w:val="center"/>
          </w:tcPr>
          <w:p w14:paraId="317E0B62">
            <w:pPr>
              <w:jc w:val="center"/>
              <w:rPr>
                <w:rFonts w:hint="default" w:ascii="Times New Roman" w:hAnsi="Times New Roman" w:cs="Times New Roman"/>
                <w:color w:val="auto"/>
                <w:highlight w:val="none"/>
              </w:rPr>
            </w:pPr>
          </w:p>
        </w:tc>
        <w:tc>
          <w:tcPr>
            <w:tcW w:w="2138" w:type="dxa"/>
            <w:gridSpan w:val="2"/>
            <w:vAlign w:val="center"/>
          </w:tcPr>
          <w:p w14:paraId="1B80AD6B">
            <w:pPr>
              <w:jc w:val="center"/>
              <w:rPr>
                <w:rFonts w:hint="default" w:ascii="Times New Roman" w:hAnsi="Times New Roman" w:cs="Times New Roman"/>
                <w:color w:val="auto"/>
                <w:highlight w:val="none"/>
              </w:rPr>
            </w:pPr>
          </w:p>
        </w:tc>
        <w:tc>
          <w:tcPr>
            <w:tcW w:w="1171" w:type="dxa"/>
            <w:vAlign w:val="center"/>
          </w:tcPr>
          <w:p w14:paraId="01895EBC">
            <w:pPr>
              <w:jc w:val="center"/>
              <w:rPr>
                <w:rFonts w:hint="default" w:ascii="Times New Roman" w:hAnsi="Times New Roman" w:cs="Times New Roman"/>
                <w:color w:val="auto"/>
                <w:highlight w:val="none"/>
              </w:rPr>
            </w:pPr>
          </w:p>
        </w:tc>
        <w:tc>
          <w:tcPr>
            <w:tcW w:w="1641" w:type="dxa"/>
            <w:gridSpan w:val="4"/>
            <w:vAlign w:val="center"/>
          </w:tcPr>
          <w:p w14:paraId="145A8CD9">
            <w:pPr>
              <w:jc w:val="center"/>
              <w:rPr>
                <w:rFonts w:hint="default" w:ascii="Times New Roman" w:hAnsi="Times New Roman" w:cs="Times New Roman"/>
                <w:color w:val="auto"/>
                <w:highlight w:val="none"/>
              </w:rPr>
            </w:pPr>
          </w:p>
        </w:tc>
        <w:tc>
          <w:tcPr>
            <w:tcW w:w="1484" w:type="dxa"/>
            <w:gridSpan w:val="2"/>
            <w:vAlign w:val="center"/>
          </w:tcPr>
          <w:p w14:paraId="3A20D160">
            <w:pPr>
              <w:jc w:val="center"/>
              <w:rPr>
                <w:rFonts w:hint="default" w:ascii="Times New Roman" w:hAnsi="Times New Roman" w:cs="Times New Roman"/>
                <w:color w:val="auto"/>
                <w:highlight w:val="none"/>
              </w:rPr>
            </w:pPr>
          </w:p>
        </w:tc>
      </w:tr>
      <w:tr w14:paraId="26A1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76B3E8F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竣工日期</w:t>
            </w:r>
          </w:p>
        </w:tc>
        <w:tc>
          <w:tcPr>
            <w:tcW w:w="1548" w:type="dxa"/>
            <w:gridSpan w:val="2"/>
            <w:vAlign w:val="center"/>
          </w:tcPr>
          <w:p w14:paraId="4BF44FEA">
            <w:pPr>
              <w:jc w:val="center"/>
              <w:rPr>
                <w:rFonts w:hint="default" w:ascii="Times New Roman" w:hAnsi="Times New Roman" w:cs="Times New Roman"/>
                <w:color w:val="auto"/>
                <w:highlight w:val="none"/>
              </w:rPr>
            </w:pPr>
          </w:p>
        </w:tc>
        <w:tc>
          <w:tcPr>
            <w:tcW w:w="2138" w:type="dxa"/>
            <w:gridSpan w:val="2"/>
            <w:vAlign w:val="center"/>
          </w:tcPr>
          <w:p w14:paraId="43507FEB">
            <w:pPr>
              <w:jc w:val="center"/>
              <w:rPr>
                <w:rFonts w:hint="default" w:ascii="Times New Roman" w:hAnsi="Times New Roman" w:cs="Times New Roman"/>
                <w:color w:val="auto"/>
                <w:highlight w:val="none"/>
              </w:rPr>
            </w:pPr>
          </w:p>
        </w:tc>
        <w:tc>
          <w:tcPr>
            <w:tcW w:w="1171" w:type="dxa"/>
            <w:vAlign w:val="center"/>
          </w:tcPr>
          <w:p w14:paraId="387F7B68">
            <w:pPr>
              <w:jc w:val="center"/>
              <w:rPr>
                <w:rFonts w:hint="default" w:ascii="Times New Roman" w:hAnsi="Times New Roman" w:cs="Times New Roman"/>
                <w:color w:val="auto"/>
                <w:highlight w:val="none"/>
              </w:rPr>
            </w:pPr>
          </w:p>
        </w:tc>
        <w:tc>
          <w:tcPr>
            <w:tcW w:w="1641" w:type="dxa"/>
            <w:gridSpan w:val="4"/>
            <w:vAlign w:val="center"/>
          </w:tcPr>
          <w:p w14:paraId="0D3BCA1A">
            <w:pPr>
              <w:jc w:val="center"/>
              <w:rPr>
                <w:rFonts w:hint="default" w:ascii="Times New Roman" w:hAnsi="Times New Roman" w:cs="Times New Roman"/>
                <w:color w:val="auto"/>
                <w:highlight w:val="none"/>
              </w:rPr>
            </w:pPr>
          </w:p>
        </w:tc>
        <w:tc>
          <w:tcPr>
            <w:tcW w:w="1484" w:type="dxa"/>
            <w:gridSpan w:val="2"/>
            <w:vAlign w:val="center"/>
          </w:tcPr>
          <w:p w14:paraId="6E092D84">
            <w:pPr>
              <w:jc w:val="center"/>
              <w:rPr>
                <w:rFonts w:hint="default" w:ascii="Times New Roman" w:hAnsi="Times New Roman" w:cs="Times New Roman"/>
                <w:color w:val="auto"/>
                <w:highlight w:val="none"/>
              </w:rPr>
            </w:pPr>
          </w:p>
        </w:tc>
      </w:tr>
      <w:tr w14:paraId="7A7C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2D72F60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人员角色</w:t>
            </w:r>
          </w:p>
        </w:tc>
        <w:tc>
          <w:tcPr>
            <w:tcW w:w="1548" w:type="dxa"/>
            <w:gridSpan w:val="2"/>
            <w:vAlign w:val="center"/>
          </w:tcPr>
          <w:p w14:paraId="767B314C">
            <w:pPr>
              <w:jc w:val="center"/>
              <w:rPr>
                <w:rFonts w:hint="default" w:ascii="Times New Roman" w:hAnsi="Times New Roman" w:cs="Times New Roman"/>
                <w:color w:val="auto"/>
                <w:highlight w:val="none"/>
              </w:rPr>
            </w:pPr>
          </w:p>
        </w:tc>
        <w:tc>
          <w:tcPr>
            <w:tcW w:w="2138" w:type="dxa"/>
            <w:gridSpan w:val="2"/>
            <w:vAlign w:val="center"/>
          </w:tcPr>
          <w:p w14:paraId="7E9B6647">
            <w:pPr>
              <w:jc w:val="center"/>
              <w:rPr>
                <w:rFonts w:hint="default" w:ascii="Times New Roman" w:hAnsi="Times New Roman" w:cs="Times New Roman"/>
                <w:color w:val="auto"/>
                <w:highlight w:val="none"/>
              </w:rPr>
            </w:pPr>
          </w:p>
        </w:tc>
        <w:tc>
          <w:tcPr>
            <w:tcW w:w="1171" w:type="dxa"/>
            <w:vAlign w:val="center"/>
          </w:tcPr>
          <w:p w14:paraId="19B3F14E">
            <w:pPr>
              <w:jc w:val="center"/>
              <w:rPr>
                <w:rFonts w:hint="default" w:ascii="Times New Roman" w:hAnsi="Times New Roman" w:cs="Times New Roman"/>
                <w:color w:val="auto"/>
                <w:highlight w:val="none"/>
              </w:rPr>
            </w:pPr>
          </w:p>
        </w:tc>
        <w:tc>
          <w:tcPr>
            <w:tcW w:w="1641" w:type="dxa"/>
            <w:gridSpan w:val="4"/>
            <w:vAlign w:val="center"/>
          </w:tcPr>
          <w:p w14:paraId="741566BB">
            <w:pPr>
              <w:jc w:val="center"/>
              <w:rPr>
                <w:rFonts w:hint="default" w:ascii="Times New Roman" w:hAnsi="Times New Roman" w:cs="Times New Roman"/>
                <w:color w:val="auto"/>
                <w:highlight w:val="none"/>
              </w:rPr>
            </w:pPr>
          </w:p>
        </w:tc>
        <w:tc>
          <w:tcPr>
            <w:tcW w:w="1484" w:type="dxa"/>
            <w:gridSpan w:val="2"/>
            <w:vAlign w:val="center"/>
          </w:tcPr>
          <w:p w14:paraId="78760966">
            <w:pPr>
              <w:jc w:val="center"/>
              <w:rPr>
                <w:rFonts w:hint="default" w:ascii="Times New Roman" w:hAnsi="Times New Roman" w:cs="Times New Roman"/>
                <w:color w:val="auto"/>
                <w:highlight w:val="none"/>
              </w:rPr>
            </w:pPr>
          </w:p>
        </w:tc>
      </w:tr>
      <w:tr w14:paraId="6E7F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096DA701">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在建或已完</w:t>
            </w:r>
          </w:p>
        </w:tc>
        <w:tc>
          <w:tcPr>
            <w:tcW w:w="1548" w:type="dxa"/>
            <w:gridSpan w:val="2"/>
            <w:vAlign w:val="center"/>
          </w:tcPr>
          <w:p w14:paraId="288E6DA0">
            <w:pPr>
              <w:jc w:val="center"/>
              <w:rPr>
                <w:rFonts w:hint="default" w:ascii="Times New Roman" w:hAnsi="Times New Roman" w:cs="Times New Roman"/>
                <w:color w:val="auto"/>
                <w:highlight w:val="none"/>
              </w:rPr>
            </w:pPr>
          </w:p>
        </w:tc>
        <w:tc>
          <w:tcPr>
            <w:tcW w:w="2138" w:type="dxa"/>
            <w:gridSpan w:val="2"/>
            <w:vAlign w:val="center"/>
          </w:tcPr>
          <w:p w14:paraId="79D9A2B5">
            <w:pPr>
              <w:jc w:val="center"/>
              <w:rPr>
                <w:rFonts w:hint="default" w:ascii="Times New Roman" w:hAnsi="Times New Roman" w:cs="Times New Roman"/>
                <w:color w:val="auto"/>
                <w:highlight w:val="none"/>
              </w:rPr>
            </w:pPr>
          </w:p>
        </w:tc>
        <w:tc>
          <w:tcPr>
            <w:tcW w:w="1171" w:type="dxa"/>
            <w:vAlign w:val="center"/>
          </w:tcPr>
          <w:p w14:paraId="4A839DAE">
            <w:pPr>
              <w:jc w:val="center"/>
              <w:rPr>
                <w:rFonts w:hint="default" w:ascii="Times New Roman" w:hAnsi="Times New Roman" w:cs="Times New Roman"/>
                <w:color w:val="auto"/>
                <w:highlight w:val="none"/>
              </w:rPr>
            </w:pPr>
          </w:p>
        </w:tc>
        <w:tc>
          <w:tcPr>
            <w:tcW w:w="1641" w:type="dxa"/>
            <w:gridSpan w:val="4"/>
            <w:vAlign w:val="center"/>
          </w:tcPr>
          <w:p w14:paraId="5B95654D">
            <w:pPr>
              <w:jc w:val="center"/>
              <w:rPr>
                <w:rFonts w:hint="default" w:ascii="Times New Roman" w:hAnsi="Times New Roman" w:cs="Times New Roman"/>
                <w:color w:val="auto"/>
                <w:highlight w:val="none"/>
              </w:rPr>
            </w:pPr>
          </w:p>
        </w:tc>
        <w:tc>
          <w:tcPr>
            <w:tcW w:w="1484" w:type="dxa"/>
            <w:gridSpan w:val="2"/>
            <w:vAlign w:val="center"/>
          </w:tcPr>
          <w:p w14:paraId="378AB7C1">
            <w:pPr>
              <w:jc w:val="center"/>
              <w:rPr>
                <w:rFonts w:hint="default" w:ascii="Times New Roman" w:hAnsi="Times New Roman" w:cs="Times New Roman"/>
                <w:color w:val="auto"/>
                <w:highlight w:val="none"/>
              </w:rPr>
            </w:pPr>
          </w:p>
        </w:tc>
      </w:tr>
      <w:tr w14:paraId="2EC2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35B90CB9">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工程质量</w:t>
            </w:r>
          </w:p>
        </w:tc>
        <w:tc>
          <w:tcPr>
            <w:tcW w:w="1548" w:type="dxa"/>
            <w:gridSpan w:val="2"/>
            <w:vAlign w:val="center"/>
          </w:tcPr>
          <w:p w14:paraId="27DBC03B">
            <w:pPr>
              <w:jc w:val="center"/>
              <w:rPr>
                <w:rFonts w:hint="default" w:ascii="Times New Roman" w:hAnsi="Times New Roman" w:cs="Times New Roman"/>
                <w:color w:val="auto"/>
                <w:highlight w:val="none"/>
              </w:rPr>
            </w:pPr>
          </w:p>
        </w:tc>
        <w:tc>
          <w:tcPr>
            <w:tcW w:w="2138" w:type="dxa"/>
            <w:gridSpan w:val="2"/>
            <w:vAlign w:val="center"/>
          </w:tcPr>
          <w:p w14:paraId="30FCFE6D">
            <w:pPr>
              <w:jc w:val="center"/>
              <w:rPr>
                <w:rFonts w:hint="default" w:ascii="Times New Roman" w:hAnsi="Times New Roman" w:cs="Times New Roman"/>
                <w:color w:val="auto"/>
                <w:highlight w:val="none"/>
              </w:rPr>
            </w:pPr>
          </w:p>
        </w:tc>
        <w:tc>
          <w:tcPr>
            <w:tcW w:w="1171" w:type="dxa"/>
            <w:vAlign w:val="center"/>
          </w:tcPr>
          <w:p w14:paraId="26C40181">
            <w:pPr>
              <w:jc w:val="center"/>
              <w:rPr>
                <w:rFonts w:hint="default" w:ascii="Times New Roman" w:hAnsi="Times New Roman" w:cs="Times New Roman"/>
                <w:color w:val="auto"/>
                <w:highlight w:val="none"/>
              </w:rPr>
            </w:pPr>
          </w:p>
        </w:tc>
        <w:tc>
          <w:tcPr>
            <w:tcW w:w="1641" w:type="dxa"/>
            <w:gridSpan w:val="4"/>
            <w:vAlign w:val="center"/>
          </w:tcPr>
          <w:p w14:paraId="20121904">
            <w:pPr>
              <w:jc w:val="center"/>
              <w:rPr>
                <w:rFonts w:hint="default" w:ascii="Times New Roman" w:hAnsi="Times New Roman" w:cs="Times New Roman"/>
                <w:color w:val="auto"/>
                <w:highlight w:val="none"/>
              </w:rPr>
            </w:pPr>
          </w:p>
        </w:tc>
        <w:tc>
          <w:tcPr>
            <w:tcW w:w="1484" w:type="dxa"/>
            <w:gridSpan w:val="2"/>
            <w:vAlign w:val="center"/>
          </w:tcPr>
          <w:p w14:paraId="40D65EA7">
            <w:pPr>
              <w:jc w:val="center"/>
              <w:rPr>
                <w:rFonts w:hint="default" w:ascii="Times New Roman" w:hAnsi="Times New Roman" w:cs="Times New Roman"/>
                <w:color w:val="auto"/>
                <w:highlight w:val="none"/>
              </w:rPr>
            </w:pPr>
          </w:p>
        </w:tc>
      </w:tr>
      <w:tr w14:paraId="446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2"/>
            <w:vAlign w:val="center"/>
          </w:tcPr>
          <w:p w14:paraId="3D71E9DB">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受奖情况</w:t>
            </w:r>
          </w:p>
        </w:tc>
        <w:tc>
          <w:tcPr>
            <w:tcW w:w="1548" w:type="dxa"/>
            <w:gridSpan w:val="2"/>
            <w:vAlign w:val="center"/>
          </w:tcPr>
          <w:p w14:paraId="5844C61B">
            <w:pPr>
              <w:jc w:val="center"/>
              <w:rPr>
                <w:rFonts w:hint="default" w:ascii="Times New Roman" w:hAnsi="Times New Roman" w:cs="Times New Roman"/>
                <w:color w:val="auto"/>
                <w:highlight w:val="none"/>
              </w:rPr>
            </w:pPr>
          </w:p>
        </w:tc>
        <w:tc>
          <w:tcPr>
            <w:tcW w:w="2138" w:type="dxa"/>
            <w:gridSpan w:val="2"/>
            <w:vAlign w:val="center"/>
          </w:tcPr>
          <w:p w14:paraId="3F4D5806">
            <w:pPr>
              <w:jc w:val="center"/>
              <w:rPr>
                <w:rFonts w:hint="default" w:ascii="Times New Roman" w:hAnsi="Times New Roman" w:cs="Times New Roman"/>
                <w:color w:val="auto"/>
                <w:highlight w:val="none"/>
              </w:rPr>
            </w:pPr>
          </w:p>
        </w:tc>
        <w:tc>
          <w:tcPr>
            <w:tcW w:w="1171" w:type="dxa"/>
            <w:vAlign w:val="center"/>
          </w:tcPr>
          <w:p w14:paraId="674116F6">
            <w:pPr>
              <w:jc w:val="center"/>
              <w:rPr>
                <w:rFonts w:hint="default" w:ascii="Times New Roman" w:hAnsi="Times New Roman" w:cs="Times New Roman"/>
                <w:color w:val="auto"/>
                <w:highlight w:val="none"/>
              </w:rPr>
            </w:pPr>
          </w:p>
        </w:tc>
        <w:tc>
          <w:tcPr>
            <w:tcW w:w="1641" w:type="dxa"/>
            <w:gridSpan w:val="4"/>
            <w:vAlign w:val="center"/>
          </w:tcPr>
          <w:p w14:paraId="113FB422">
            <w:pPr>
              <w:jc w:val="center"/>
              <w:rPr>
                <w:rFonts w:hint="default" w:ascii="Times New Roman" w:hAnsi="Times New Roman" w:cs="Times New Roman"/>
                <w:color w:val="auto"/>
                <w:highlight w:val="none"/>
              </w:rPr>
            </w:pPr>
          </w:p>
        </w:tc>
        <w:tc>
          <w:tcPr>
            <w:tcW w:w="1484" w:type="dxa"/>
            <w:gridSpan w:val="2"/>
            <w:vAlign w:val="center"/>
          </w:tcPr>
          <w:p w14:paraId="3CEEC635">
            <w:pPr>
              <w:jc w:val="center"/>
              <w:rPr>
                <w:rFonts w:hint="default" w:ascii="Times New Roman" w:hAnsi="Times New Roman" w:cs="Times New Roman"/>
                <w:color w:val="auto"/>
                <w:highlight w:val="none"/>
              </w:rPr>
            </w:pPr>
          </w:p>
        </w:tc>
      </w:tr>
    </w:tbl>
    <w:p w14:paraId="06BEAD5B">
      <w:p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p w14:paraId="04121A4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1.供应商可以根据项目情况增减表格内容，项目数可以根据需要增加。</w:t>
      </w:r>
    </w:p>
    <w:p w14:paraId="467B781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szCs w:val="21"/>
          <w:highlight w:val="none"/>
        </w:rPr>
        <w:t>本表后附专职安全生产管理人员的身份证、安全生产考核合格证（C类）、本表所列证书复印件并加盖供应商电子签章。</w:t>
      </w:r>
    </w:p>
    <w:p w14:paraId="276E7A5F">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24"/>
          <w:highlight w:val="none"/>
        </w:rPr>
        <w:t>其他文书、文件格式</w:t>
      </w:r>
    </w:p>
    <w:p w14:paraId="4091D79C">
      <w:pPr>
        <w:jc w:val="center"/>
        <w:rPr>
          <w:rFonts w:hint="default" w:ascii="Times New Roman" w:hAnsi="Times New Roman" w:eastAsia="方正小标宋简体" w:cs="Times New Roman"/>
          <w:color w:val="auto"/>
          <w:sz w:val="44"/>
          <w:szCs w:val="44"/>
          <w:highlight w:val="none"/>
        </w:rPr>
      </w:pPr>
      <w:bookmarkStart w:id="113" w:name="_Toc71365926"/>
      <w:r>
        <w:rPr>
          <w:rFonts w:hint="default" w:ascii="Times New Roman" w:hAnsi="Times New Roman" w:eastAsia="方正小标宋简体" w:cs="Times New Roman"/>
          <w:color w:val="auto"/>
          <w:sz w:val="44"/>
          <w:szCs w:val="44"/>
          <w:highlight w:val="none"/>
        </w:rPr>
        <w:t>中小企业声明函（工程）</w:t>
      </w:r>
      <w:bookmarkEnd w:id="113"/>
    </w:p>
    <w:p w14:paraId="6BFA50C5">
      <w:pPr>
        <w:spacing w:before="2" w:line="500" w:lineRule="exact"/>
        <w:ind w:firstLine="708" w:firstLineChars="294"/>
        <w:rPr>
          <w:rFonts w:hint="default" w:ascii="Times New Roman" w:hAnsi="Times New Roman" w:cs="Times New Roman"/>
          <w:b/>
          <w:bCs/>
          <w:color w:val="auto"/>
          <w:sz w:val="24"/>
          <w:highlight w:val="none"/>
        </w:rPr>
      </w:pPr>
    </w:p>
    <w:p w14:paraId="4AB4ABEB">
      <w:pPr>
        <w:pStyle w:val="6"/>
        <w:spacing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本公司（联合体）郑重声明，根据《政府采购促进中小企业发展管理办法》（财库﹝2020﹞46号）的规定，本公司（联合体）参加</w:t>
      </w:r>
      <w:r>
        <w:rPr>
          <w:rFonts w:hint="default" w:ascii="Times New Roman" w:hAnsi="Times New Roman" w:cs="Times New Roman"/>
          <w:color w:val="auto"/>
          <w:sz w:val="24"/>
          <w:highlight w:val="none"/>
          <w:u w:val="single"/>
        </w:rPr>
        <w:t>（单位名称）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（项目名称）</w:t>
      </w:r>
      <w:r>
        <w:rPr>
          <w:rFonts w:hint="default" w:ascii="Times New Roman" w:hAnsi="Times New Roman" w:cs="Times New Roman"/>
          <w:color w:val="auto"/>
          <w:sz w:val="24"/>
          <w:highlight w:val="none"/>
        </w:rPr>
        <w:t>采购活动，工程的施工单位全部为符合政策要求的中小企业。相关企业（含联合体中的中小企业、签订分包意向协议的中小企业）的具体情况如下：</w:t>
      </w:r>
    </w:p>
    <w:p w14:paraId="7B79CA36">
      <w:pPr>
        <w:tabs>
          <w:tab w:val="left" w:pos="1384"/>
          <w:tab w:val="left" w:pos="4562"/>
          <w:tab w:val="left" w:pos="6803"/>
        </w:tabs>
        <w:spacing w:before="13" w:line="500" w:lineRule="exact"/>
        <w:ind w:right="142" w:firstLine="772" w:firstLineChars="32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476B90B6">
      <w:pPr>
        <w:tabs>
          <w:tab w:val="left" w:pos="1065"/>
          <w:tab w:val="left" w:pos="4262"/>
          <w:tab w:val="left" w:pos="6477"/>
        </w:tabs>
        <w:spacing w:before="20" w:line="500" w:lineRule="exact"/>
        <w:ind w:right="84" w:firstLine="772" w:firstLineChars="322"/>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w:t>
      </w:r>
      <w:r>
        <w:rPr>
          <w:rFonts w:hint="default" w:ascii="Times New Roman" w:hAnsi="Times New Roman" w:cs="Times New Roman"/>
          <w:color w:val="auto"/>
          <w:sz w:val="24"/>
          <w:highlight w:val="none"/>
        </w:rPr>
        <w:t>；承建企业为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7659FA43">
      <w:pPr>
        <w:pStyle w:val="6"/>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14:paraId="73DD083B">
      <w:pPr>
        <w:pStyle w:val="6"/>
        <w:spacing w:before="34"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以上企业，不属于大企业的分支机构，不存在控股股东为大企业的情形，也不存在与大企业的负责人为同一人的情形。</w:t>
      </w:r>
    </w:p>
    <w:p w14:paraId="5C8DD26B">
      <w:pPr>
        <w:pStyle w:val="6"/>
        <w:spacing w:before="25" w:line="500" w:lineRule="exact"/>
        <w:ind w:right="142" w:firstLine="705" w:firstLineChars="29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本企业对上述声明内容的真实性负责。如有虚假，将依法承担相应责任。</w:t>
      </w:r>
    </w:p>
    <w:p w14:paraId="23D647B3">
      <w:pPr>
        <w:pStyle w:val="6"/>
        <w:spacing w:before="56" w:line="500" w:lineRule="exact"/>
        <w:ind w:right="1808" w:firstLine="705" w:firstLineChars="294"/>
        <w:rPr>
          <w:rFonts w:hint="default" w:ascii="Times New Roman" w:hAnsi="Times New Roman" w:cs="Times New Roman"/>
          <w:color w:val="auto"/>
          <w:sz w:val="24"/>
          <w:highlight w:val="none"/>
        </w:rPr>
      </w:pPr>
    </w:p>
    <w:p w14:paraId="4B8343B6">
      <w:pPr>
        <w:pStyle w:val="6"/>
        <w:spacing w:before="56" w:line="500" w:lineRule="exact"/>
        <w:ind w:right="650"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企业名称（章）：</w:t>
      </w:r>
    </w:p>
    <w:p w14:paraId="64046DB2">
      <w:pPr>
        <w:pStyle w:val="6"/>
        <w:spacing w:before="56" w:line="500" w:lineRule="exact"/>
        <w:ind w:right="1808" w:firstLine="5625" w:firstLineChars="2344"/>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665A558C">
      <w:pPr>
        <w:spacing w:line="520" w:lineRule="exact"/>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74FDB6">
      <w:pPr>
        <w:spacing w:line="52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eastAsia="方正小标宋简体" w:cs="Times New Roman"/>
          <w:color w:val="auto"/>
          <w:sz w:val="44"/>
          <w:szCs w:val="44"/>
          <w:highlight w:val="none"/>
        </w:rPr>
        <w:t>残疾人福利性单位声明函</w:t>
      </w:r>
    </w:p>
    <w:p w14:paraId="36DB0979">
      <w:pPr>
        <w:spacing w:line="360" w:lineRule="auto"/>
        <w:contextualSpacing/>
        <w:rPr>
          <w:rFonts w:hint="default" w:ascii="Times New Roman" w:hAnsi="Times New Roman" w:eastAsia="仿宋_GB2312" w:cs="Times New Roman"/>
          <w:color w:val="auto"/>
          <w:sz w:val="32"/>
          <w:szCs w:val="32"/>
          <w:highlight w:val="none"/>
        </w:rPr>
      </w:pPr>
    </w:p>
    <w:p w14:paraId="30868EC8">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18BF8C4">
      <w:pPr>
        <w:spacing w:line="360" w:lineRule="auto"/>
        <w:ind w:firstLine="480" w:firstLineChars="2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本单位对上述声明的真实性负责。如有虚假，将依法承担相应责任。</w:t>
      </w:r>
    </w:p>
    <w:p w14:paraId="4167D3B3">
      <w:pPr>
        <w:spacing w:line="360" w:lineRule="auto"/>
        <w:contextualSpacing/>
        <w:rPr>
          <w:rFonts w:hint="default" w:ascii="Times New Roman" w:hAnsi="Times New Roman" w:cs="Times New Roman"/>
          <w:color w:val="auto"/>
          <w:sz w:val="24"/>
          <w:highlight w:val="none"/>
        </w:rPr>
      </w:pPr>
    </w:p>
    <w:p w14:paraId="55A2A00E">
      <w:pPr>
        <w:spacing w:line="360" w:lineRule="auto"/>
        <w:contextualSpacing/>
        <w:rPr>
          <w:rFonts w:hint="default" w:ascii="Times New Roman" w:hAnsi="Times New Roman" w:cs="Times New Roman"/>
          <w:color w:val="auto"/>
          <w:sz w:val="24"/>
          <w:highlight w:val="none"/>
        </w:rPr>
      </w:pPr>
    </w:p>
    <w:p w14:paraId="6F9B4DA3">
      <w:pPr>
        <w:spacing w:line="360" w:lineRule="auto"/>
        <w:contextualSpacing/>
        <w:rPr>
          <w:rFonts w:hint="default" w:ascii="Times New Roman" w:hAnsi="Times New Roman" w:cs="Times New Roman"/>
          <w:color w:val="auto"/>
          <w:sz w:val="24"/>
          <w:highlight w:val="none"/>
        </w:rPr>
      </w:pPr>
    </w:p>
    <w:p w14:paraId="252C73CB">
      <w:pPr>
        <w:spacing w:line="360" w:lineRule="auto"/>
        <w:ind w:firstLine="2400" w:firstLineChars="10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单位名称（盖章）：</w:t>
      </w:r>
    </w:p>
    <w:p w14:paraId="04E4DF69">
      <w:pPr>
        <w:spacing w:line="360" w:lineRule="auto"/>
        <w:ind w:firstLine="3600" w:firstLineChars="1500"/>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p>
    <w:p w14:paraId="56A8EEFC">
      <w:pPr>
        <w:spacing w:line="360" w:lineRule="auto"/>
        <w:contextualSpacing/>
        <w:rPr>
          <w:rFonts w:hint="default" w:ascii="Times New Roman" w:hAnsi="Times New Roman" w:cs="Times New Roman"/>
          <w:color w:val="auto"/>
          <w:sz w:val="24"/>
          <w:highlight w:val="none"/>
        </w:rPr>
      </w:pPr>
    </w:p>
    <w:p w14:paraId="176F1C1F">
      <w:pPr>
        <w:spacing w:line="360" w:lineRule="auto"/>
        <w:contextualSpacing/>
        <w:rPr>
          <w:rFonts w:hint="default" w:ascii="Times New Roman" w:hAnsi="Times New Roman" w:cs="Times New Roman"/>
          <w:color w:val="auto"/>
          <w:sz w:val="24"/>
          <w:highlight w:val="none"/>
        </w:rPr>
      </w:pPr>
    </w:p>
    <w:p w14:paraId="6F14DA3D">
      <w:pPr>
        <w:spacing w:line="360" w:lineRule="auto"/>
        <w:contextualSpacing/>
        <w:rPr>
          <w:rFonts w:hint="default" w:ascii="Times New Roman" w:hAnsi="Times New Roman" w:cs="Times New Roman"/>
          <w:color w:val="auto"/>
          <w:sz w:val="24"/>
          <w:highlight w:val="none"/>
        </w:rPr>
      </w:pPr>
    </w:p>
    <w:p w14:paraId="3FB600D9">
      <w:pPr>
        <w:spacing w:line="360" w:lineRule="auto"/>
        <w:contextualSpacing/>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4CCA8DEB">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29D8032E">
      <w:pPr>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eastAsia="方正小标宋简体" w:cs="Times New Roman"/>
          <w:color w:val="auto"/>
          <w:sz w:val="44"/>
          <w:szCs w:val="44"/>
          <w:highlight w:val="none"/>
        </w:rPr>
        <w:t>质疑函（格式）</w:t>
      </w:r>
    </w:p>
    <w:p w14:paraId="595620A9">
      <w:pPr>
        <w:pStyle w:val="4"/>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一、质疑供应商基本信息：</w:t>
      </w:r>
    </w:p>
    <w:p w14:paraId="38CB7919">
      <w:pPr>
        <w:pStyle w:val="4"/>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质疑供应商：</w:t>
      </w:r>
    </w:p>
    <w:p w14:paraId="624E4799">
      <w:pPr>
        <w:pStyle w:val="4"/>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20173325">
      <w:pPr>
        <w:pStyle w:val="4"/>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5197614F">
      <w:pPr>
        <w:pStyle w:val="4"/>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授权代表：</w:t>
      </w:r>
    </w:p>
    <w:p w14:paraId="30F45552">
      <w:pPr>
        <w:pStyle w:val="4"/>
        <w:spacing w:line="360" w:lineRule="auto"/>
        <w:ind w:firstLine="480" w:firstLineChars="200"/>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联系电话：</w:t>
      </w:r>
    </w:p>
    <w:p w14:paraId="3079FC78">
      <w:pPr>
        <w:pStyle w:val="4"/>
        <w:spacing w:line="360" w:lineRule="auto"/>
        <w:ind w:firstLine="480" w:firstLineChars="200"/>
        <w:contextualSpacing/>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0CC42F6E">
      <w:pPr>
        <w:pStyle w:val="4"/>
        <w:spacing w:line="360" w:lineRule="auto"/>
        <w:ind w:firstLine="482" w:firstLineChars="200"/>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二、质疑项目基本情况：</w:t>
      </w:r>
    </w:p>
    <w:p w14:paraId="21BD3CCE">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项目的名称：</w:t>
      </w:r>
    </w:p>
    <w:p w14:paraId="6B26F505">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质疑</w:t>
      </w:r>
      <w:r>
        <w:rPr>
          <w:rFonts w:hint="default" w:ascii="Times New Roman" w:hAnsi="Times New Roman" w:cs="Times New Roman"/>
          <w:color w:val="auto"/>
          <w:sz w:val="24"/>
          <w:szCs w:val="24"/>
          <w:highlight w:val="none"/>
        </w:rPr>
        <w:t>项目的编号：</w:t>
      </w:r>
    </w:p>
    <w:p w14:paraId="7B21A6D4">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采购人名称：</w:t>
      </w:r>
    </w:p>
    <w:p w14:paraId="59460827">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w:t>
      </w:r>
    </w:p>
    <w:p w14:paraId="29D6A387">
      <w:pPr>
        <w:pStyle w:val="4"/>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□采购文件采购文件获取日期：</w:t>
      </w:r>
    </w:p>
    <w:p w14:paraId="30A247CE">
      <w:pPr>
        <w:pStyle w:val="4"/>
        <w:spacing w:line="360" w:lineRule="auto"/>
        <w:ind w:left="25" w:leftChars="12" w:firstLine="352" w:firstLineChars="14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□采购过程</w:t>
      </w:r>
    </w:p>
    <w:p w14:paraId="2565BA8F">
      <w:pPr>
        <w:pStyle w:val="4"/>
        <w:spacing w:line="360" w:lineRule="auto"/>
        <w:ind w:left="25" w:leftChars="12" w:firstLine="352" w:firstLineChars="147"/>
        <w:contextualSpacing/>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□成交结果</w:t>
      </w:r>
    </w:p>
    <w:p w14:paraId="67B42A65">
      <w:pPr>
        <w:pStyle w:val="4"/>
        <w:spacing w:line="360" w:lineRule="auto"/>
        <w:ind w:left="25" w:leftChars="12" w:firstLine="472" w:firstLineChars="196"/>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三、质疑事项具体内容</w:t>
      </w:r>
    </w:p>
    <w:p w14:paraId="6EA85E54">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质疑事项1：</w:t>
      </w:r>
    </w:p>
    <w:p w14:paraId="08D150BD">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事实依据：</w:t>
      </w:r>
    </w:p>
    <w:p w14:paraId="2093B764">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法律依据：</w:t>
      </w:r>
    </w:p>
    <w:p w14:paraId="00CF060E">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质疑事项2</w:t>
      </w:r>
    </w:p>
    <w:p w14:paraId="27D16DCA">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p w14:paraId="27B32250">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四、与质疑事项相关的质疑请求：</w:t>
      </w:r>
    </w:p>
    <w:p w14:paraId="4613D8A3">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2965A216">
      <w:pPr>
        <w:pStyle w:val="4"/>
        <w:spacing w:line="360" w:lineRule="auto"/>
        <w:ind w:left="25" w:leftChars="12" w:firstLine="352" w:firstLineChars="147"/>
        <w:contextualSpacing/>
        <w:rPr>
          <w:rFonts w:hint="default" w:ascii="Times New Roman" w:hAnsi="Times New Roman" w:cs="Times New Roman"/>
          <w:color w:val="auto"/>
          <w:sz w:val="24"/>
          <w:szCs w:val="24"/>
          <w:highlight w:val="none"/>
        </w:rPr>
      </w:pPr>
    </w:p>
    <w:p w14:paraId="298CF7DD">
      <w:pPr>
        <w:pStyle w:val="4"/>
        <w:spacing w:line="360" w:lineRule="auto"/>
        <w:ind w:left="25" w:leftChars="12" w:firstLine="472" w:firstLineChars="197"/>
        <w:contextualSpacing/>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4694B2DB">
      <w:pPr>
        <w:pStyle w:val="4"/>
        <w:spacing w:line="360" w:lineRule="auto"/>
        <w:ind w:firstLine="480" w:firstLineChars="200"/>
        <w:contextualSpacing/>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日期：</w:t>
      </w:r>
    </w:p>
    <w:p w14:paraId="2A8100D1">
      <w:pPr>
        <w:pStyle w:val="4"/>
        <w:spacing w:line="360" w:lineRule="auto"/>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19A1737C">
      <w:pPr>
        <w:pStyle w:val="4"/>
        <w:spacing w:line="360" w:lineRule="auto"/>
        <w:ind w:left="25" w:leftChars="12" w:firstLine="354" w:firstLineChars="147"/>
        <w:contextualSpacing/>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1.供应商提出质疑时，应提交质疑函和必要的证明材料</w:t>
      </w:r>
      <w:r>
        <w:rPr>
          <w:rFonts w:hint="default" w:ascii="Times New Roman" w:hAnsi="Times New Roman" w:cs="Times New Roman"/>
          <w:b/>
          <w:bCs/>
          <w:color w:val="auto"/>
          <w:sz w:val="24"/>
          <w:szCs w:val="24"/>
          <w:highlight w:val="none"/>
        </w:rPr>
        <w:t>。</w:t>
      </w:r>
    </w:p>
    <w:p w14:paraId="6EA0BD4B">
      <w:pPr>
        <w:pStyle w:val="4"/>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0901ADE">
      <w:pPr>
        <w:pStyle w:val="4"/>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3.质疑函的质疑事项应具体、明确，并有必要的事实依据和法律依据。</w:t>
      </w:r>
    </w:p>
    <w:p w14:paraId="57E55D02">
      <w:pPr>
        <w:pStyle w:val="4"/>
        <w:spacing w:line="360" w:lineRule="auto"/>
        <w:ind w:left="25" w:leftChars="12" w:firstLine="354" w:firstLineChars="147"/>
        <w:contextualSpacing/>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4.质疑函的质疑请求应与质疑事项相关。</w:t>
      </w:r>
    </w:p>
    <w:p w14:paraId="38651D1C">
      <w:pPr>
        <w:pStyle w:val="4"/>
        <w:spacing w:line="360" w:lineRule="auto"/>
        <w:ind w:left="25" w:leftChars="12" w:firstLine="354" w:firstLineChars="147"/>
        <w:contextualSpacing/>
        <w:rPr>
          <w:rFonts w:hint="default" w:ascii="Times New Roman" w:hAnsi="Times New Roman" w:cs="Times New Roman"/>
          <w:b/>
          <w:color w:val="auto"/>
          <w:highlight w:val="none"/>
        </w:rPr>
      </w:pPr>
      <w:r>
        <w:rPr>
          <w:rFonts w:hint="default" w:ascii="Times New Roman" w:hAnsi="Times New Roman" w:cs="Times New Roman"/>
          <w:b/>
          <w:color w:val="auto"/>
          <w:sz w:val="24"/>
          <w:szCs w:val="24"/>
          <w:highlight w:val="none"/>
        </w:rPr>
        <w:t>5.质疑供应商为法人或者其他组织的，质疑函应由法定代表人、主要负责人，或者其授权代表签字或者盖章，并加盖公章。</w:t>
      </w:r>
    </w:p>
    <w:p w14:paraId="6F962914">
      <w:pPr>
        <w:pStyle w:val="4"/>
        <w:snapToGrid w:val="0"/>
        <w:rPr>
          <w:rFonts w:hint="default" w:ascii="Times New Roman" w:hAnsi="Times New Roman" w:cs="Times New Roman"/>
          <w:b/>
          <w:color w:val="auto"/>
          <w:sz w:val="24"/>
          <w:szCs w:val="24"/>
          <w:highlight w:val="none"/>
        </w:rPr>
      </w:pPr>
    </w:p>
    <w:p w14:paraId="5897530E">
      <w:pPr>
        <w:rPr>
          <w:rFonts w:hint="default" w:ascii="Times New Roman" w:hAnsi="Times New Roman" w:cs="Times New Roman"/>
          <w:color w:val="auto"/>
          <w:sz w:val="32"/>
          <w:szCs w:val="40"/>
          <w:highlight w:val="none"/>
        </w:rPr>
      </w:pPr>
    </w:p>
    <w:p w14:paraId="3FAF640B">
      <w:pPr>
        <w:rPr>
          <w:rFonts w:hint="default" w:ascii="Times New Roman" w:hAnsi="Times New Roman" w:cs="Times New Roman"/>
          <w:color w:val="auto"/>
          <w:sz w:val="32"/>
          <w:szCs w:val="40"/>
          <w:highlight w:val="none"/>
        </w:rPr>
      </w:pPr>
    </w:p>
    <w:p w14:paraId="311DC54D">
      <w:pPr>
        <w:rPr>
          <w:rFonts w:hint="default" w:ascii="Times New Roman" w:hAnsi="Times New Roman" w:cs="Times New Roman"/>
          <w:color w:val="auto"/>
          <w:sz w:val="32"/>
          <w:szCs w:val="40"/>
          <w:highlight w:val="none"/>
        </w:rPr>
      </w:pPr>
    </w:p>
    <w:p w14:paraId="2A728F79">
      <w:pPr>
        <w:rPr>
          <w:rFonts w:hint="default" w:ascii="Times New Roman" w:hAnsi="Times New Roman" w:cs="Times New Roman"/>
          <w:color w:val="auto"/>
          <w:sz w:val="32"/>
          <w:szCs w:val="40"/>
          <w:highlight w:val="none"/>
        </w:rPr>
      </w:pPr>
    </w:p>
    <w:p w14:paraId="5E1FB351">
      <w:pPr>
        <w:rPr>
          <w:rFonts w:hint="default" w:ascii="Times New Roman" w:hAnsi="Times New Roman" w:cs="Times New Roman"/>
          <w:color w:val="auto"/>
          <w:sz w:val="32"/>
          <w:szCs w:val="40"/>
          <w:highlight w:val="none"/>
        </w:rPr>
      </w:pPr>
    </w:p>
    <w:p w14:paraId="3725BEDC">
      <w:pPr>
        <w:rPr>
          <w:rFonts w:hint="default" w:ascii="Times New Roman" w:hAnsi="Times New Roman" w:cs="Times New Roman"/>
          <w:color w:val="auto"/>
          <w:sz w:val="32"/>
          <w:szCs w:val="40"/>
          <w:highlight w:val="none"/>
        </w:rPr>
      </w:pPr>
    </w:p>
    <w:p w14:paraId="403F30E0">
      <w:pPr>
        <w:rPr>
          <w:rFonts w:hint="default" w:ascii="Times New Roman" w:hAnsi="Times New Roman" w:cs="Times New Roman"/>
          <w:color w:val="auto"/>
          <w:sz w:val="32"/>
          <w:szCs w:val="40"/>
          <w:highlight w:val="none"/>
        </w:rPr>
      </w:pPr>
    </w:p>
    <w:p w14:paraId="4A61C193">
      <w:pPr>
        <w:rPr>
          <w:rFonts w:hint="default" w:ascii="Times New Roman" w:hAnsi="Times New Roman" w:cs="Times New Roman"/>
          <w:color w:val="auto"/>
          <w:sz w:val="32"/>
          <w:szCs w:val="40"/>
          <w:highlight w:val="none"/>
        </w:rPr>
      </w:pPr>
    </w:p>
    <w:p w14:paraId="319CB73A">
      <w:pPr>
        <w:rPr>
          <w:rFonts w:hint="default" w:ascii="Times New Roman" w:hAnsi="Times New Roman" w:cs="Times New Roman"/>
          <w:color w:val="auto"/>
          <w:sz w:val="32"/>
          <w:szCs w:val="40"/>
          <w:highlight w:val="none"/>
        </w:rPr>
      </w:pPr>
    </w:p>
    <w:p w14:paraId="390EF912">
      <w:pPr>
        <w:rPr>
          <w:rFonts w:hint="default" w:ascii="Times New Roman" w:hAnsi="Times New Roman" w:cs="Times New Roman"/>
          <w:color w:val="auto"/>
          <w:sz w:val="32"/>
          <w:szCs w:val="40"/>
          <w:highlight w:val="none"/>
        </w:rPr>
      </w:pPr>
    </w:p>
    <w:p w14:paraId="619DFE89">
      <w:pPr>
        <w:rPr>
          <w:rFonts w:hint="default" w:ascii="Times New Roman" w:hAnsi="Times New Roman" w:cs="Times New Roman"/>
          <w:color w:val="auto"/>
          <w:sz w:val="32"/>
          <w:szCs w:val="40"/>
          <w:highlight w:val="none"/>
        </w:rPr>
      </w:pPr>
    </w:p>
    <w:p w14:paraId="08B19C03">
      <w:pPr>
        <w:rPr>
          <w:rFonts w:hint="default" w:ascii="Times New Roman" w:hAnsi="Times New Roman" w:cs="Times New Roman"/>
          <w:color w:val="auto"/>
          <w:sz w:val="32"/>
          <w:szCs w:val="40"/>
          <w:highlight w:val="none"/>
        </w:rPr>
      </w:pPr>
    </w:p>
    <w:p w14:paraId="5BE83AA8">
      <w:pPr>
        <w:rPr>
          <w:rFonts w:hint="default" w:ascii="Times New Roman" w:hAnsi="Times New Roman" w:cs="Times New Roman"/>
          <w:color w:val="auto"/>
          <w:sz w:val="32"/>
          <w:szCs w:val="40"/>
          <w:highlight w:val="none"/>
        </w:rPr>
      </w:pPr>
    </w:p>
    <w:p w14:paraId="75B72605">
      <w:pPr>
        <w:widowControl/>
        <w:jc w:val="left"/>
        <w:rPr>
          <w:rFonts w:hint="default" w:ascii="Times New Roman" w:hAnsi="Times New Roman" w:cs="Times New Roman"/>
          <w:color w:val="auto"/>
          <w:sz w:val="32"/>
          <w:szCs w:val="40"/>
          <w:highlight w:val="none"/>
        </w:rPr>
      </w:pPr>
      <w:r>
        <w:rPr>
          <w:rFonts w:hint="default" w:ascii="Times New Roman" w:hAnsi="Times New Roman" w:cs="Times New Roman"/>
          <w:color w:val="auto"/>
          <w:sz w:val="32"/>
          <w:szCs w:val="40"/>
          <w:highlight w:val="none"/>
        </w:rPr>
        <w:br w:type="page"/>
      </w:r>
    </w:p>
    <w:p w14:paraId="3A66FA49">
      <w:pPr>
        <w:rPr>
          <w:rFonts w:hint="default" w:ascii="Times New Roman" w:hAnsi="Times New Roman" w:cs="Times New Roman"/>
          <w:color w:val="auto"/>
          <w:sz w:val="32"/>
          <w:szCs w:val="40"/>
          <w:highlight w:val="none"/>
        </w:rPr>
      </w:pPr>
    </w:p>
    <w:p w14:paraId="3A3B9F77">
      <w:pPr>
        <w:spacing w:line="360" w:lineRule="auto"/>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投诉书（格式）</w:t>
      </w:r>
    </w:p>
    <w:p w14:paraId="54924114">
      <w:pPr>
        <w:pStyle w:val="4"/>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一、投诉相关主体基本情况：</w:t>
      </w:r>
    </w:p>
    <w:p w14:paraId="616AA020">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供应商：</w:t>
      </w:r>
    </w:p>
    <w:p w14:paraId="586B2858">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地址：邮编：</w:t>
      </w:r>
    </w:p>
    <w:p w14:paraId="1DA1D96B">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法定代表人/主要负责人：</w:t>
      </w:r>
    </w:p>
    <w:p w14:paraId="767D20E7">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联系电话：</w:t>
      </w:r>
    </w:p>
    <w:p w14:paraId="3BC9FB8B">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授权代表：联系电话：</w:t>
      </w:r>
    </w:p>
    <w:p w14:paraId="30B1AC26">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42D71A53">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4B8857C0">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被投诉人1：</w:t>
      </w:r>
    </w:p>
    <w:p w14:paraId="1DF40599">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w:t>
      </w:r>
    </w:p>
    <w:p w14:paraId="7661FB29">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邮编：</w:t>
      </w:r>
    </w:p>
    <w:p w14:paraId="7C0D037B">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联系人：联系电话：</w:t>
      </w:r>
    </w:p>
    <w:p w14:paraId="7B157892">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被投诉人2：</w:t>
      </w:r>
    </w:p>
    <w:p w14:paraId="1583EAE1">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43DBB563">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相关供应商：</w:t>
      </w:r>
    </w:p>
    <w:p w14:paraId="1A9959C1">
      <w:pPr>
        <w:pStyle w:val="4"/>
        <w:snapToGrid w:val="0"/>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地址：邮编：</w:t>
      </w:r>
    </w:p>
    <w:p w14:paraId="0467E9E8">
      <w:pPr>
        <w:pStyle w:val="4"/>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联系人：联系电话：</w:t>
      </w:r>
    </w:p>
    <w:p w14:paraId="11BAD6DE">
      <w:pPr>
        <w:pStyle w:val="4"/>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二、投诉项目基本情况：</w:t>
      </w:r>
    </w:p>
    <w:p w14:paraId="24E4C345">
      <w:pPr>
        <w:pStyle w:val="4"/>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项目的名称：</w:t>
      </w:r>
    </w:p>
    <w:p w14:paraId="273CAB43">
      <w:pPr>
        <w:pStyle w:val="4"/>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采购</w:t>
      </w:r>
      <w:r>
        <w:rPr>
          <w:rFonts w:hint="default" w:ascii="Times New Roman" w:hAnsi="Times New Roman" w:cs="Times New Roman"/>
          <w:color w:val="auto"/>
          <w:sz w:val="24"/>
          <w:szCs w:val="24"/>
          <w:highlight w:val="none"/>
        </w:rPr>
        <w:t>项目的编号：</w:t>
      </w:r>
    </w:p>
    <w:p w14:paraId="2B865916">
      <w:pPr>
        <w:pStyle w:val="4"/>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采购人名称：</w:t>
      </w:r>
    </w:p>
    <w:p w14:paraId="4DC7301C">
      <w:pPr>
        <w:pStyle w:val="4"/>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代理机构名称：</w:t>
      </w:r>
    </w:p>
    <w:p w14:paraId="62618CC2">
      <w:pPr>
        <w:pStyle w:val="4"/>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采购文件公告：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3A336F73">
      <w:pPr>
        <w:pStyle w:val="4"/>
        <w:spacing w:line="360" w:lineRule="auto"/>
        <w:ind w:left="25" w:leftChars="12" w:firstLine="472" w:firstLineChars="197"/>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采购结果公告：</w:t>
      </w:r>
      <w:r>
        <w:rPr>
          <w:rFonts w:hint="default" w:ascii="Times New Roman" w:hAnsi="Times New Roman" w:cs="Times New Roman"/>
          <w:bCs/>
          <w:color w:val="auto"/>
          <w:sz w:val="24"/>
          <w:szCs w:val="24"/>
          <w:highlight w:val="none"/>
          <w:u w:val="single"/>
        </w:rPr>
        <w:t>是/否</w:t>
      </w:r>
      <w:r>
        <w:rPr>
          <w:rFonts w:hint="default" w:ascii="Times New Roman" w:hAnsi="Times New Roman" w:cs="Times New Roman"/>
          <w:bCs/>
          <w:color w:val="auto"/>
          <w:sz w:val="24"/>
          <w:szCs w:val="24"/>
          <w:highlight w:val="none"/>
        </w:rPr>
        <w:t>公告期限：</w:t>
      </w:r>
    </w:p>
    <w:p w14:paraId="7BD03234">
      <w:pPr>
        <w:pStyle w:val="4"/>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三、质疑基本情况</w:t>
      </w:r>
    </w:p>
    <w:p w14:paraId="266D6043">
      <w:pPr>
        <w:pStyle w:val="4"/>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投诉人于年月日，向提出质疑，质疑事项为：</w:t>
      </w:r>
    </w:p>
    <w:p w14:paraId="749425F9">
      <w:pPr>
        <w:pStyle w:val="4"/>
        <w:spacing w:line="360" w:lineRule="auto"/>
        <w:ind w:firstLine="241"/>
        <w:rPr>
          <w:rFonts w:hint="default" w:ascii="Times New Roman" w:hAnsi="Times New Roman" w:cs="Times New Roman"/>
          <w:bCs/>
          <w:color w:val="auto"/>
          <w:sz w:val="24"/>
          <w:szCs w:val="24"/>
          <w:highlight w:val="none"/>
          <w:u w:val="single"/>
        </w:rPr>
      </w:pPr>
    </w:p>
    <w:p w14:paraId="445E8D02">
      <w:pPr>
        <w:pStyle w:val="4"/>
        <w:spacing w:line="360" w:lineRule="auto"/>
        <w:ind w:firstLine="241"/>
        <w:rPr>
          <w:rFonts w:hint="default" w:ascii="Times New Roman" w:hAnsi="Times New Roman" w:cs="Times New Roman"/>
          <w:bCs/>
          <w:color w:val="auto"/>
          <w:sz w:val="24"/>
          <w:szCs w:val="24"/>
          <w:highlight w:val="none"/>
          <w:u w:val="single"/>
        </w:rPr>
      </w:pPr>
    </w:p>
    <w:p w14:paraId="76414B72">
      <w:pPr>
        <w:pStyle w:val="4"/>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u w:val="single"/>
        </w:rPr>
        <w:t>采购人/代理机构</w:t>
      </w:r>
      <w:r>
        <w:rPr>
          <w:rFonts w:hint="default" w:ascii="Times New Roman" w:hAnsi="Times New Roman" w:cs="Times New Roman"/>
          <w:bCs/>
          <w:color w:val="auto"/>
          <w:sz w:val="24"/>
          <w:szCs w:val="24"/>
          <w:highlight w:val="none"/>
        </w:rPr>
        <w:t>于</w:t>
      </w:r>
      <w:r>
        <w:rPr>
          <w:rFonts w:hint="default" w:ascii="Times New Roman" w:hAnsi="Times New Roman" w:cs="Times New Roman"/>
          <w:color w:val="auto"/>
          <w:sz w:val="24"/>
          <w:szCs w:val="24"/>
          <w:highlight w:val="none"/>
        </w:rPr>
        <w:t>年月日，</w:t>
      </w:r>
      <w:r>
        <w:rPr>
          <w:rFonts w:hint="default" w:ascii="Times New Roman" w:hAnsi="Times New Roman" w:cs="Times New Roman"/>
          <w:bCs/>
          <w:color w:val="auto"/>
          <w:sz w:val="24"/>
          <w:szCs w:val="24"/>
          <w:highlight w:val="none"/>
        </w:rPr>
        <w:t>就质疑事项作出了答复/没有在法定期限内作出答复。</w:t>
      </w:r>
    </w:p>
    <w:p w14:paraId="0AA473DD">
      <w:pPr>
        <w:pStyle w:val="4"/>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四、投诉事项具体内容</w:t>
      </w:r>
    </w:p>
    <w:p w14:paraId="6A12A6FE">
      <w:pPr>
        <w:pStyle w:val="4"/>
        <w:spacing w:line="360" w:lineRule="auto"/>
        <w:ind w:left="25" w:leftChars="12" w:firstLine="472" w:firstLineChars="197"/>
        <w:rPr>
          <w:rFonts w:hint="default" w:ascii="Times New Roman" w:hAnsi="Times New Roman" w:cs="Times New Roman"/>
          <w:bCs/>
          <w:color w:val="auto"/>
          <w:sz w:val="24"/>
          <w:szCs w:val="24"/>
          <w:highlight w:val="none"/>
          <w:u w:val="single"/>
        </w:rPr>
      </w:pPr>
      <w:r>
        <w:rPr>
          <w:rFonts w:hint="default" w:ascii="Times New Roman" w:hAnsi="Times New Roman" w:cs="Times New Roman"/>
          <w:color w:val="auto"/>
          <w:sz w:val="24"/>
          <w:szCs w:val="24"/>
          <w:highlight w:val="none"/>
        </w:rPr>
        <w:t>投诉事项1：</w:t>
      </w:r>
    </w:p>
    <w:p w14:paraId="78296A7E">
      <w:pPr>
        <w:pStyle w:val="4"/>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事实依据：</w:t>
      </w:r>
    </w:p>
    <w:p w14:paraId="45540B55">
      <w:pPr>
        <w:pStyle w:val="4"/>
        <w:spacing w:line="360" w:lineRule="auto"/>
        <w:ind w:left="25" w:leftChars="12" w:firstLine="472" w:firstLineChars="197"/>
        <w:rPr>
          <w:rFonts w:hint="default" w:ascii="Times New Roman" w:hAnsi="Times New Roman" w:cs="Times New Roman"/>
          <w:color w:val="auto"/>
          <w:sz w:val="24"/>
          <w:szCs w:val="24"/>
          <w:highlight w:val="none"/>
        </w:rPr>
      </w:pPr>
    </w:p>
    <w:p w14:paraId="08DF4E82">
      <w:pPr>
        <w:pStyle w:val="4"/>
        <w:spacing w:line="360" w:lineRule="auto"/>
        <w:ind w:firstLine="480" w:firstLineChars="200"/>
        <w:rPr>
          <w:rFonts w:hint="default" w:ascii="Times New Roman" w:hAnsi="Times New Roman" w:cs="Times New Roman"/>
          <w:bCs/>
          <w:color w:val="auto"/>
          <w:sz w:val="24"/>
          <w:szCs w:val="24"/>
          <w:highlight w:val="none"/>
          <w:u w:val="single"/>
        </w:rPr>
      </w:pPr>
      <w:r>
        <w:rPr>
          <w:rFonts w:hint="default" w:ascii="Times New Roman" w:hAnsi="Times New Roman" w:cs="Times New Roman"/>
          <w:bCs/>
          <w:color w:val="auto"/>
          <w:sz w:val="24"/>
          <w:szCs w:val="24"/>
          <w:highlight w:val="none"/>
        </w:rPr>
        <w:t>法律依据：</w:t>
      </w:r>
    </w:p>
    <w:p w14:paraId="3F262AF8">
      <w:pPr>
        <w:pStyle w:val="4"/>
        <w:spacing w:line="360" w:lineRule="auto"/>
        <w:ind w:left="25" w:leftChars="12" w:firstLine="352" w:firstLineChars="147"/>
        <w:rPr>
          <w:rFonts w:hint="default" w:ascii="Times New Roman" w:hAnsi="Times New Roman" w:cs="Times New Roman"/>
          <w:bCs/>
          <w:color w:val="auto"/>
          <w:sz w:val="24"/>
          <w:szCs w:val="24"/>
          <w:highlight w:val="none"/>
          <w:u w:val="single"/>
        </w:rPr>
      </w:pPr>
    </w:p>
    <w:p w14:paraId="712A55CA">
      <w:pPr>
        <w:pStyle w:val="4"/>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 xml:space="preserve">投诉事项2  </w:t>
      </w:r>
    </w:p>
    <w:p w14:paraId="7755668A">
      <w:pPr>
        <w:pStyle w:val="4"/>
        <w:spacing w:line="360" w:lineRule="auto"/>
        <w:ind w:left="25" w:leftChars="12" w:firstLine="472" w:firstLineChars="197"/>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p>
    <w:p w14:paraId="5650F780">
      <w:pPr>
        <w:pStyle w:val="4"/>
        <w:spacing w:line="360" w:lineRule="auto"/>
        <w:ind w:left="25" w:leftChars="12"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五、与投诉事项相关的投诉请求：</w:t>
      </w:r>
    </w:p>
    <w:p w14:paraId="29EF59AF">
      <w:pPr>
        <w:pStyle w:val="4"/>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请求：</w:t>
      </w:r>
    </w:p>
    <w:p w14:paraId="64BA0045">
      <w:pPr>
        <w:pStyle w:val="4"/>
        <w:spacing w:line="360" w:lineRule="auto"/>
        <w:ind w:left="25" w:leftChars="12" w:firstLine="352" w:firstLineChars="147"/>
        <w:rPr>
          <w:rFonts w:hint="default" w:ascii="Times New Roman" w:hAnsi="Times New Roman" w:cs="Times New Roman"/>
          <w:color w:val="auto"/>
          <w:sz w:val="24"/>
          <w:szCs w:val="24"/>
          <w:highlight w:val="none"/>
        </w:rPr>
      </w:pPr>
    </w:p>
    <w:p w14:paraId="7A269352">
      <w:pPr>
        <w:pStyle w:val="4"/>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签字（签章）：公章：</w:t>
      </w:r>
    </w:p>
    <w:p w14:paraId="1F1CCAFA">
      <w:pPr>
        <w:pStyle w:val="4"/>
        <w:spacing w:line="360" w:lineRule="auto"/>
        <w:ind w:left="25" w:leftChars="12" w:firstLine="352" w:firstLineChars="147"/>
        <w:rPr>
          <w:rFonts w:hint="default" w:ascii="Times New Roman" w:hAnsi="Times New Roman" w:cs="Times New Roman"/>
          <w:color w:val="auto"/>
          <w:sz w:val="24"/>
          <w:szCs w:val="24"/>
          <w:highlight w:val="none"/>
        </w:rPr>
      </w:pPr>
    </w:p>
    <w:p w14:paraId="4096DD7B">
      <w:pPr>
        <w:pStyle w:val="4"/>
        <w:spacing w:line="360" w:lineRule="auto"/>
        <w:ind w:left="25" w:leftChars="12" w:firstLine="472" w:firstLineChars="19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日期：</w:t>
      </w:r>
    </w:p>
    <w:p w14:paraId="498441EB">
      <w:pPr>
        <w:pStyle w:val="4"/>
        <w:spacing w:line="360" w:lineRule="auto"/>
        <w:ind w:left="25" w:leftChars="12" w:firstLine="475" w:firstLineChars="197"/>
        <w:rPr>
          <w:rFonts w:hint="default" w:ascii="Times New Roman" w:hAnsi="Times New Roman" w:cs="Times New Roman"/>
          <w:b/>
          <w:color w:val="auto"/>
          <w:sz w:val="24"/>
          <w:szCs w:val="24"/>
          <w:highlight w:val="none"/>
        </w:rPr>
      </w:pPr>
    </w:p>
    <w:p w14:paraId="3C7A8F12">
      <w:pPr>
        <w:pStyle w:val="4"/>
        <w:snapToGrid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w:t>
      </w:r>
    </w:p>
    <w:p w14:paraId="14150386">
      <w:pPr>
        <w:pStyle w:val="4"/>
        <w:spacing w:line="360" w:lineRule="auto"/>
        <w:ind w:left="25" w:leftChars="12" w:firstLine="354" w:firstLineChars="147"/>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1.投诉人提起投诉时，应当提交投诉书和必要的证明材料，并按照被投诉人和与投诉事项有关的供应商数量提供投诉书副本</w:t>
      </w:r>
      <w:r>
        <w:rPr>
          <w:rFonts w:hint="default" w:ascii="Times New Roman" w:hAnsi="Times New Roman" w:cs="Times New Roman"/>
          <w:b/>
          <w:bCs/>
          <w:color w:val="auto"/>
          <w:sz w:val="24"/>
          <w:szCs w:val="24"/>
          <w:highlight w:val="none"/>
        </w:rPr>
        <w:t>。</w:t>
      </w:r>
    </w:p>
    <w:p w14:paraId="2480B3F1">
      <w:pPr>
        <w:pStyle w:val="4"/>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E6D398">
      <w:pPr>
        <w:pStyle w:val="4"/>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3.投诉书应简要列明质疑事项，质疑函、质疑答复等作为附件材料提供。</w:t>
      </w:r>
    </w:p>
    <w:p w14:paraId="0EDF09DB">
      <w:pPr>
        <w:pStyle w:val="4"/>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4.投诉书的投诉事项应具体、明确，并有必要的事实依据和法律依据。</w:t>
      </w:r>
    </w:p>
    <w:p w14:paraId="6DEA81A5">
      <w:pPr>
        <w:pStyle w:val="4"/>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5.投诉书的投诉请求应与投诉事项相关。</w:t>
      </w:r>
    </w:p>
    <w:p w14:paraId="68AD26C1">
      <w:pPr>
        <w:pStyle w:val="4"/>
        <w:spacing w:line="360" w:lineRule="auto"/>
        <w:ind w:left="25" w:leftChars="12" w:firstLine="354" w:firstLineChars="147"/>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6.投诉人为法人或者其他组织的，投诉书应由法定代表人、主要负责人，或者其授权代表签字或者盖章，并加盖公章。</w:t>
      </w:r>
      <w:bookmarkStart w:id="114" w:name="_Toc74323461"/>
    </w:p>
    <w:p w14:paraId="5590EBD3">
      <w:pPr>
        <w:pStyle w:val="4"/>
        <w:spacing w:line="360" w:lineRule="auto"/>
        <w:ind w:left="25" w:leftChars="12" w:firstLine="354" w:firstLineChars="147"/>
        <w:rPr>
          <w:rFonts w:hint="default" w:ascii="Times New Roman" w:hAnsi="Times New Roman" w:cs="Times New Roman"/>
          <w:b/>
          <w:color w:val="auto"/>
          <w:sz w:val="24"/>
          <w:szCs w:val="24"/>
          <w:highlight w:val="none"/>
        </w:rPr>
      </w:pPr>
    </w:p>
    <w:p w14:paraId="09405586">
      <w:pPr>
        <w:pStyle w:val="4"/>
        <w:spacing w:line="360" w:lineRule="auto"/>
        <w:ind w:left="25" w:leftChars="12" w:firstLine="354" w:firstLineChars="147"/>
        <w:rPr>
          <w:rFonts w:hint="default" w:ascii="Times New Roman" w:hAnsi="Times New Roman" w:cs="Times New Roman"/>
          <w:b/>
          <w:color w:val="auto"/>
          <w:sz w:val="24"/>
          <w:szCs w:val="24"/>
          <w:highlight w:val="none"/>
        </w:rPr>
      </w:pPr>
    </w:p>
    <w:p w14:paraId="464217EC">
      <w:pPr>
        <w:pStyle w:val="4"/>
        <w:spacing w:line="360" w:lineRule="auto"/>
        <w:ind w:left="25" w:leftChars="12" w:firstLine="354" w:firstLineChars="147"/>
        <w:rPr>
          <w:rFonts w:hint="default" w:ascii="Times New Roman" w:hAnsi="Times New Roman" w:cs="Times New Roman"/>
          <w:b/>
          <w:color w:val="auto"/>
          <w:sz w:val="24"/>
          <w:szCs w:val="24"/>
          <w:highlight w:val="none"/>
        </w:rPr>
      </w:pPr>
    </w:p>
    <w:p w14:paraId="0B515970">
      <w:pPr>
        <w:pStyle w:val="4"/>
        <w:spacing w:line="360" w:lineRule="auto"/>
        <w:ind w:left="25" w:leftChars="12" w:firstLine="354" w:firstLineChars="147"/>
        <w:rPr>
          <w:rFonts w:hint="default" w:ascii="Times New Roman" w:hAnsi="Times New Roman" w:cs="Times New Roman"/>
          <w:b/>
          <w:color w:val="auto"/>
          <w:sz w:val="24"/>
          <w:szCs w:val="24"/>
          <w:highlight w:val="none"/>
        </w:rPr>
      </w:pPr>
    </w:p>
    <w:p w14:paraId="4EA95DD1">
      <w:pPr>
        <w:pStyle w:val="4"/>
        <w:spacing w:line="360" w:lineRule="auto"/>
        <w:ind w:left="25" w:leftChars="12" w:firstLine="354" w:firstLineChars="147"/>
        <w:rPr>
          <w:rFonts w:hint="default" w:ascii="Times New Roman" w:hAnsi="Times New Roman" w:cs="Times New Roman"/>
          <w:b/>
          <w:color w:val="auto"/>
          <w:sz w:val="24"/>
          <w:szCs w:val="24"/>
          <w:highlight w:val="none"/>
        </w:rPr>
      </w:pPr>
    </w:p>
    <w:p w14:paraId="78599D18">
      <w:pPr>
        <w:pStyle w:val="4"/>
        <w:spacing w:line="360" w:lineRule="auto"/>
        <w:ind w:left="25" w:leftChars="12" w:firstLine="310" w:firstLineChars="147"/>
        <w:rPr>
          <w:rFonts w:hint="default" w:ascii="Times New Roman" w:hAnsi="Times New Roman" w:cs="Times New Roman"/>
          <w:b/>
          <w:color w:val="auto"/>
          <w:highlight w:val="none"/>
        </w:rPr>
      </w:pPr>
    </w:p>
    <w:p w14:paraId="2700FE79">
      <w:pPr>
        <w:pStyle w:val="63"/>
        <w:ind w:firstLine="480"/>
        <w:rPr>
          <w:rFonts w:hint="default" w:ascii="Times New Roman" w:hAnsi="Times New Roman" w:cs="Times New Roman"/>
          <w:color w:val="auto"/>
          <w:highlight w:val="none"/>
          <w:lang w:eastAsia="zh-CN"/>
        </w:rPr>
      </w:pPr>
    </w:p>
    <w:p w14:paraId="7DC6F44F">
      <w:pPr>
        <w:pStyle w:val="7"/>
        <w:jc w:val="center"/>
        <w:rPr>
          <w:rFonts w:hint="default" w:ascii="Times New Roman" w:hAnsi="Times New Roman" w:cs="Times New Roman"/>
          <w:color w:val="auto"/>
          <w:highlight w:val="none"/>
        </w:rPr>
      </w:pPr>
    </w:p>
    <w:p w14:paraId="206FB33B">
      <w:pPr>
        <w:pStyle w:val="7"/>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第七章合同文本</w:t>
      </w:r>
      <w:bookmarkEnd w:id="114"/>
    </w:p>
    <w:p w14:paraId="466B8985">
      <w:pPr>
        <w:spacing w:line="520" w:lineRule="exact"/>
        <w:rPr>
          <w:rFonts w:hint="default" w:ascii="Times New Roman" w:hAnsi="Times New Roman" w:cs="Times New Roman"/>
          <w:b/>
          <w:color w:val="auto"/>
          <w:sz w:val="32"/>
          <w:szCs w:val="32"/>
          <w:highlight w:val="none"/>
        </w:rPr>
      </w:pPr>
    </w:p>
    <w:p w14:paraId="69A52D3C">
      <w:pPr>
        <w:widowControl/>
        <w:jc w:val="center"/>
        <w:rPr>
          <w:rFonts w:hint="default" w:ascii="Times New Roman" w:hAnsi="Times New Roman" w:cs="Times New Roman"/>
          <w:b/>
          <w:color w:val="auto"/>
          <w:sz w:val="44"/>
          <w:szCs w:val="44"/>
          <w:highlight w:val="none"/>
        </w:rPr>
      </w:pPr>
      <w:r>
        <w:rPr>
          <w:rFonts w:hint="default" w:ascii="Times New Roman" w:hAnsi="Times New Roman" w:cs="Times New Roman"/>
          <w:color w:val="auto"/>
          <w:sz w:val="24"/>
          <w:highlight w:val="none"/>
        </w:rPr>
        <w:br w:type="page"/>
      </w:r>
    </w:p>
    <w:p w14:paraId="6F674883">
      <w:pPr>
        <w:jc w:val="center"/>
        <w:rPr>
          <w:rFonts w:ascii="宋体" w:hAnsi="宋体" w:eastAsia="宋体" w:cs="宋体"/>
          <w:b/>
          <w:sz w:val="48"/>
          <w:szCs w:val="48"/>
        </w:rPr>
      </w:pPr>
      <w:r>
        <w:rPr>
          <w:rFonts w:hint="eastAsia" w:ascii="宋体" w:hAnsi="宋体" w:eastAsia="宋体" w:cs="宋体"/>
          <w:b/>
          <w:sz w:val="48"/>
          <w:szCs w:val="48"/>
        </w:rPr>
        <w:t>建设工程施工合同</w:t>
      </w:r>
    </w:p>
    <w:p w14:paraId="7B13F757">
      <w:pPr>
        <w:spacing w:line="400" w:lineRule="exact"/>
        <w:rPr>
          <w:rFonts w:ascii="宋体" w:hAnsi="宋体" w:eastAsia="宋体" w:cs="宋体"/>
          <w:szCs w:val="21"/>
        </w:rPr>
      </w:pPr>
    </w:p>
    <w:p w14:paraId="478EFF60">
      <w:pPr>
        <w:spacing w:line="400" w:lineRule="exact"/>
        <w:rPr>
          <w:rFonts w:ascii="宋体" w:hAnsi="宋体" w:eastAsia="宋体" w:cs="宋体"/>
          <w:szCs w:val="21"/>
        </w:rPr>
      </w:pPr>
    </w:p>
    <w:p w14:paraId="6990FD37">
      <w:pPr>
        <w:spacing w:line="400" w:lineRule="exact"/>
        <w:rPr>
          <w:rFonts w:ascii="宋体" w:hAnsi="宋体" w:eastAsia="宋体" w:cs="宋体"/>
          <w:szCs w:val="21"/>
        </w:rPr>
      </w:pPr>
    </w:p>
    <w:p w14:paraId="7254B165">
      <w:pPr>
        <w:spacing w:line="400" w:lineRule="exact"/>
        <w:rPr>
          <w:rFonts w:ascii="宋体" w:hAnsi="宋体" w:eastAsia="宋体" w:cs="宋体"/>
          <w:szCs w:val="21"/>
        </w:rPr>
      </w:pPr>
    </w:p>
    <w:p w14:paraId="0F593645">
      <w:pPr>
        <w:spacing w:line="400" w:lineRule="exact"/>
        <w:rPr>
          <w:rFonts w:ascii="宋体" w:hAnsi="宋体" w:eastAsia="宋体" w:cs="宋体"/>
          <w:szCs w:val="21"/>
        </w:rPr>
      </w:pPr>
    </w:p>
    <w:p w14:paraId="52B70681">
      <w:pPr>
        <w:spacing w:line="400" w:lineRule="exact"/>
        <w:ind w:left="2558" w:leftChars="456" w:hanging="1600" w:hangingChars="500"/>
        <w:rPr>
          <w:rFonts w:hint="eastAsia" w:ascii="Times New Roman" w:hAnsi="Times New Roman" w:eastAsia="宋体" w:cs="Times New Roman"/>
          <w:sz w:val="32"/>
          <w:szCs w:val="32"/>
          <w:lang w:eastAsia="zh-CN"/>
        </w:rPr>
      </w:pPr>
      <w:r>
        <w:rPr>
          <w:rFonts w:hint="eastAsia" w:ascii="Times New Roman" w:hAnsi="Times New Roman" w:eastAsia="宋体" w:cs="Times New Roman"/>
          <w:color w:val="000000"/>
          <w:sz w:val="32"/>
          <w:szCs w:val="32"/>
        </w:rPr>
        <w:t>工程名称：</w:t>
      </w:r>
      <w:r>
        <w:rPr>
          <w:rFonts w:hint="eastAsia" w:ascii="宋体" w:hAnsi="宋体" w:eastAsia="宋体" w:cs="Times New Roman"/>
          <w:sz w:val="32"/>
          <w:szCs w:val="32"/>
          <w:lang w:val="en-US" w:eastAsia="zh-CN"/>
        </w:rPr>
        <w:t xml:space="preserve"> </w:t>
      </w:r>
    </w:p>
    <w:p w14:paraId="281DB733">
      <w:pPr>
        <w:spacing w:line="800" w:lineRule="exact"/>
        <w:ind w:firstLine="960" w:firstLineChars="3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p>
    <w:p w14:paraId="55E6803E">
      <w:pPr>
        <w:widowControl w:val="0"/>
        <w:spacing w:after="120"/>
        <w:jc w:val="both"/>
        <w:rPr>
          <w:rFonts w:ascii="Times New Roman" w:hAnsi="Times New Roman" w:eastAsia="宋体" w:cs="Times New Roman"/>
          <w:kern w:val="2"/>
          <w:sz w:val="21"/>
          <w:szCs w:val="24"/>
          <w:lang w:val="en-US" w:eastAsia="zh-CN" w:bidi="ar-SA"/>
        </w:rPr>
      </w:pPr>
    </w:p>
    <w:p w14:paraId="27241BAF">
      <w:pPr>
        <w:widowControl w:val="0"/>
        <w:spacing w:after="120"/>
        <w:jc w:val="both"/>
        <w:rPr>
          <w:rFonts w:ascii="Times New Roman" w:hAnsi="Times New Roman" w:eastAsia="宋体" w:cs="Times New Roman"/>
          <w:kern w:val="2"/>
          <w:sz w:val="21"/>
          <w:szCs w:val="24"/>
          <w:lang w:val="en-US" w:eastAsia="zh-CN" w:bidi="ar-SA"/>
        </w:rPr>
      </w:pPr>
    </w:p>
    <w:p w14:paraId="2FC46E34">
      <w:pPr>
        <w:spacing w:line="800" w:lineRule="exact"/>
        <w:rPr>
          <w:rFonts w:ascii="Times New Roman" w:hAnsi="Times New Roman" w:eastAsia="宋体" w:cs="Times New Roman"/>
          <w:sz w:val="32"/>
          <w:szCs w:val="32"/>
        </w:rPr>
      </w:pPr>
    </w:p>
    <w:p w14:paraId="586BE0CE">
      <w:pPr>
        <w:spacing w:line="800" w:lineRule="exact"/>
        <w:rPr>
          <w:rFonts w:ascii="Times New Roman" w:hAnsi="Times New Roman" w:eastAsia="宋体" w:cs="Times New Roman"/>
          <w:sz w:val="32"/>
          <w:szCs w:val="32"/>
        </w:rPr>
      </w:pPr>
    </w:p>
    <w:p w14:paraId="07E89468">
      <w:pPr>
        <w:widowControl w:val="0"/>
        <w:spacing w:after="120"/>
        <w:jc w:val="both"/>
        <w:rPr>
          <w:rFonts w:ascii="Times New Roman" w:hAnsi="Times New Roman" w:eastAsia="宋体" w:cs="Times New Roman"/>
          <w:kern w:val="2"/>
          <w:sz w:val="21"/>
          <w:szCs w:val="24"/>
          <w:lang w:val="en-US" w:eastAsia="zh-CN" w:bidi="ar-SA"/>
        </w:rPr>
      </w:pPr>
    </w:p>
    <w:p w14:paraId="3EBEFBD9">
      <w:pPr>
        <w:widowControl w:val="0"/>
        <w:spacing w:after="120"/>
        <w:jc w:val="both"/>
        <w:rPr>
          <w:rFonts w:ascii="Times New Roman" w:hAnsi="Times New Roman" w:eastAsia="宋体" w:cs="Times New Roman"/>
          <w:kern w:val="2"/>
          <w:sz w:val="21"/>
          <w:szCs w:val="24"/>
          <w:lang w:val="en-US" w:eastAsia="zh-CN" w:bidi="ar-SA"/>
        </w:rPr>
      </w:pPr>
    </w:p>
    <w:p w14:paraId="3820D1EF">
      <w:pPr>
        <w:spacing w:line="800" w:lineRule="exact"/>
        <w:ind w:firstLine="1760" w:firstLineChars="550"/>
        <w:rPr>
          <w:rFonts w:ascii="Times New Roman" w:hAnsi="Times New Roman" w:eastAsia="宋体" w:cs="Times New Roman"/>
          <w:sz w:val="32"/>
          <w:szCs w:val="32"/>
        </w:rPr>
      </w:pPr>
      <w:r>
        <w:rPr>
          <w:rFonts w:hint="eastAsia" w:ascii="Times New Roman" w:hAnsi="Times New Roman" w:eastAsia="宋体" w:cs="Times New Roman"/>
          <w:sz w:val="32"/>
          <w:szCs w:val="32"/>
        </w:rPr>
        <w:t>发包人：</w:t>
      </w:r>
      <w:r>
        <w:rPr>
          <w:rFonts w:hint="eastAsia" w:ascii="宋体" w:hAnsi="宋体" w:eastAsia="宋体" w:cs="宋体"/>
          <w:sz w:val="32"/>
          <w:szCs w:val="32"/>
        </w:rPr>
        <w:t>大新县民族宗教服务中心</w:t>
      </w:r>
    </w:p>
    <w:p w14:paraId="2E8EF549">
      <w:pPr>
        <w:spacing w:line="800" w:lineRule="exact"/>
        <w:ind w:firstLine="1760" w:firstLineChars="55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rPr>
        <w:t>承包人：</w:t>
      </w:r>
      <w:r>
        <w:rPr>
          <w:rFonts w:hint="eastAsia" w:ascii="Times New Roman" w:hAnsi="Times New Roman" w:eastAsia="宋体" w:cs="Times New Roman"/>
          <w:sz w:val="32"/>
          <w:szCs w:val="32"/>
          <w:lang w:val="en-US" w:eastAsia="zh-CN"/>
        </w:rPr>
        <w:t xml:space="preserve"> </w:t>
      </w:r>
    </w:p>
    <w:p w14:paraId="01226D50">
      <w:pPr>
        <w:spacing w:line="400" w:lineRule="exact"/>
        <w:rPr>
          <w:rFonts w:ascii="宋体" w:hAnsi="宋体" w:cs="宋体"/>
          <w:b/>
          <w:sz w:val="32"/>
          <w:szCs w:val="32"/>
        </w:rPr>
        <w:sectPr>
          <w:footerReference r:id="rId9" w:type="default"/>
          <w:endnotePr>
            <w:numFmt w:val="decimal"/>
          </w:endnotePr>
          <w:pgSz w:w="11906" w:h="16838"/>
          <w:pgMar w:top="1417" w:right="1418" w:bottom="1417" w:left="1418" w:header="567" w:footer="680" w:gutter="0"/>
          <w:pgNumType w:fmt="decimal"/>
          <w:cols w:space="720" w:num="1"/>
          <w:docGrid w:type="lines" w:linePitch="312" w:charSpace="0"/>
        </w:sectPr>
      </w:pPr>
    </w:p>
    <w:p w14:paraId="06A99C25">
      <w:pPr>
        <w:keepNext/>
        <w:keepLines/>
        <w:widowControl w:val="0"/>
        <w:spacing w:before="260" w:after="260" w:line="416" w:lineRule="auto"/>
        <w:jc w:val="center"/>
        <w:outlineLvl w:val="2"/>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第一部分 协议书</w:t>
      </w:r>
    </w:p>
    <w:p w14:paraId="4ED5D1B7">
      <w:pPr>
        <w:spacing w:line="360" w:lineRule="auto"/>
        <w:ind w:firstLine="475"/>
        <w:rPr>
          <w:rFonts w:ascii="Times New Roman" w:hAnsi="Times New Roman" w:eastAsia="宋体" w:cs="Times New Roman"/>
        </w:rPr>
      </w:pPr>
    </w:p>
    <w:p w14:paraId="5B2E18A1">
      <w:pPr>
        <w:spacing w:line="360" w:lineRule="auto"/>
        <w:ind w:firstLine="475"/>
        <w:rPr>
          <w:rFonts w:ascii="Times New Roman" w:hAnsi="Times New Roman" w:eastAsia="宋体" w:cs="Times New Roman"/>
          <w:szCs w:val="21"/>
          <w:u w:val="single"/>
        </w:rPr>
      </w:pPr>
      <w:r>
        <w:rPr>
          <w:rFonts w:hint="eastAsia" w:ascii="Times New Roman" w:hAnsi="Times New Roman" w:eastAsia="宋体" w:cs="Times New Roman"/>
          <w:szCs w:val="21"/>
        </w:rPr>
        <w:t>发包人（全称）</w:t>
      </w:r>
      <w:r>
        <w:rPr>
          <w:rFonts w:hint="eastAsia" w:ascii="Times New Roman" w:hAnsi="Times New Roman" w:eastAsia="宋体" w:cs="Times New Roman"/>
          <w:szCs w:val="21"/>
          <w:u w:val="single"/>
        </w:rPr>
        <w:t>：  大新县民族宗教服务中心</w:t>
      </w:r>
    </w:p>
    <w:p w14:paraId="7B954891">
      <w:pPr>
        <w:spacing w:line="360" w:lineRule="auto"/>
        <w:ind w:firstLine="475"/>
        <w:rPr>
          <w:rFonts w:ascii="Times New Roman" w:hAnsi="Times New Roman" w:eastAsia="宋体" w:cs="Times New Roman"/>
          <w:szCs w:val="21"/>
          <w:u w:val="single"/>
        </w:rPr>
      </w:pPr>
      <w:r>
        <w:rPr>
          <w:rFonts w:hint="eastAsia" w:ascii="Times New Roman" w:hAnsi="Times New Roman" w:eastAsia="宋体" w:cs="Times New Roman"/>
          <w:szCs w:val="21"/>
        </w:rPr>
        <w:t>承包人（全称）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 xml:space="preserve">  </w:t>
      </w:r>
    </w:p>
    <w:p w14:paraId="7234295D">
      <w:pPr>
        <w:spacing w:line="360" w:lineRule="auto"/>
        <w:ind w:firstLine="475"/>
        <w:rPr>
          <w:rFonts w:ascii="Times New Roman" w:hAnsi="Times New Roman" w:eastAsia="宋体" w:cs="Times New Roman"/>
          <w:szCs w:val="21"/>
        </w:rPr>
      </w:pPr>
      <w:r>
        <w:rPr>
          <w:rFonts w:hint="eastAsia" w:ascii="Times New Roman" w:hAnsi="Times New Roman" w:eastAsia="宋体" w:cs="Times New Roman"/>
          <w:szCs w:val="21"/>
        </w:rPr>
        <w:t>依照《</w:t>
      </w:r>
      <w:r>
        <w:rPr>
          <w:rFonts w:hint="eastAsia" w:ascii="Times New Roman" w:hAnsi="Times New Roman" w:eastAsia="宋体" w:cs="Times New Roman"/>
          <w:szCs w:val="21"/>
          <w:lang w:val="en-US" w:eastAsia="zh-CN"/>
        </w:rPr>
        <w:t>中</w:t>
      </w:r>
      <w:r>
        <w:rPr>
          <w:rFonts w:hint="eastAsia" w:ascii="Times New Roman" w:hAnsi="Times New Roman" w:eastAsia="宋体" w:cs="Times New Roman"/>
          <w:szCs w:val="21"/>
        </w:rPr>
        <w:t>华人民共和国民法典》、《中华人民共和国建筑法》及其他有关法律、行政法规，遵循平等、自愿、公平和诚实信用的原则，双方就建设工程施工事项协商一致，订立本合同。</w:t>
      </w:r>
    </w:p>
    <w:p w14:paraId="4C807B8D">
      <w:pPr>
        <w:spacing w:line="360" w:lineRule="auto"/>
        <w:ind w:firstLine="510"/>
        <w:outlineLvl w:val="0"/>
        <w:rPr>
          <w:rFonts w:ascii="Times New Roman" w:hAnsi="Times New Roman" w:eastAsia="宋体" w:cs="Times New Roman"/>
          <w:b/>
          <w:szCs w:val="21"/>
        </w:rPr>
      </w:pPr>
      <w:bookmarkStart w:id="115" w:name="_Toc459738620"/>
      <w:bookmarkStart w:id="116" w:name="_Toc16890"/>
      <w:r>
        <w:rPr>
          <w:rFonts w:hint="eastAsia" w:ascii="Times New Roman" w:hAnsi="Times New Roman" w:eastAsia="宋体" w:cs="Times New Roman"/>
          <w:b/>
          <w:szCs w:val="21"/>
        </w:rPr>
        <w:t>一、工程概况</w:t>
      </w:r>
      <w:bookmarkEnd w:id="115"/>
      <w:bookmarkEnd w:id="116"/>
    </w:p>
    <w:p w14:paraId="10F9DBB2">
      <w:pPr>
        <w:spacing w:line="360" w:lineRule="auto"/>
        <w:ind w:firstLine="510"/>
        <w:rPr>
          <w:rFonts w:hint="default" w:ascii="Times New Roman" w:hAnsi="Times New Roman" w:eastAsia="宋体" w:cs="Times New Roman"/>
          <w:szCs w:val="21"/>
          <w:u w:val="single"/>
          <w:lang w:val="en-US"/>
        </w:rPr>
      </w:pPr>
      <w:r>
        <w:rPr>
          <w:rFonts w:hint="eastAsia" w:ascii="Times New Roman" w:hAnsi="Times New Roman" w:eastAsia="宋体" w:cs="Times New Roman"/>
          <w:szCs w:val="21"/>
        </w:rPr>
        <w:t>工程名称：</w:t>
      </w:r>
      <w:r>
        <w:rPr>
          <w:rFonts w:hint="eastAsia" w:ascii="Times New Roman" w:hAnsi="Times New Roman" w:eastAsia="宋体" w:cs="Times New Roman"/>
          <w:u w:val="single"/>
          <w:lang w:val="en-US" w:eastAsia="zh-CN"/>
        </w:rPr>
        <w:t xml:space="preserve">                                                                 </w:t>
      </w:r>
    </w:p>
    <w:p w14:paraId="658F09A8">
      <w:pPr>
        <w:spacing w:line="360" w:lineRule="auto"/>
        <w:ind w:firstLine="510"/>
        <w:rPr>
          <w:rFonts w:ascii="Times New Roman" w:hAnsi="Times New Roman" w:eastAsia="宋体" w:cs="Times New Roman"/>
          <w:szCs w:val="21"/>
          <w:u w:val="single"/>
        </w:rPr>
      </w:pPr>
      <w:r>
        <w:rPr>
          <w:rFonts w:hint="eastAsia" w:ascii="Times New Roman" w:hAnsi="Times New Roman" w:eastAsia="宋体" w:cs="Times New Roman"/>
          <w:szCs w:val="21"/>
        </w:rPr>
        <w:t>工程地点：</w:t>
      </w:r>
      <w:r>
        <w:rPr>
          <w:rFonts w:hint="eastAsia" w:ascii="Times New Roman" w:hAnsi="Times New Roman" w:eastAsia="宋体"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p w14:paraId="0FDD8C80">
      <w:pPr>
        <w:spacing w:line="360" w:lineRule="auto"/>
        <w:ind w:firstLine="510"/>
        <w:rPr>
          <w:rFonts w:ascii="Times New Roman" w:hAnsi="Times New Roman" w:eastAsia="宋体" w:cs="Times New Roman"/>
          <w:szCs w:val="21"/>
          <w:u w:val="single"/>
        </w:rPr>
      </w:pPr>
      <w:r>
        <w:rPr>
          <w:rFonts w:hint="eastAsia" w:ascii="Times New Roman" w:hAnsi="Times New Roman" w:eastAsia="宋体" w:cs="Times New Roman"/>
          <w:szCs w:val="21"/>
        </w:rPr>
        <w:t>资金来源：</w:t>
      </w:r>
      <w:r>
        <w:rPr>
          <w:rFonts w:hint="eastAsia" w:ascii="Times New Roman" w:hAnsi="Times New Roman" w:eastAsia="宋体"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eastAsia="宋体" w:cs="Times New Roman"/>
          <w:szCs w:val="21"/>
          <w:u w:val="single"/>
        </w:rPr>
        <w:t xml:space="preserve">  </w:t>
      </w:r>
    </w:p>
    <w:p w14:paraId="14716389">
      <w:pPr>
        <w:spacing w:line="360" w:lineRule="auto"/>
        <w:ind w:firstLine="506" w:firstLineChars="240"/>
        <w:outlineLvl w:val="0"/>
        <w:rPr>
          <w:rFonts w:ascii="Times New Roman" w:hAnsi="Times New Roman" w:eastAsia="宋体" w:cs="Times New Roman"/>
          <w:b/>
          <w:szCs w:val="21"/>
        </w:rPr>
      </w:pPr>
      <w:bookmarkStart w:id="117" w:name="_Toc459738621"/>
      <w:bookmarkStart w:id="118" w:name="_Toc27150"/>
      <w:r>
        <w:rPr>
          <w:rFonts w:hint="eastAsia" w:ascii="Times New Roman" w:hAnsi="Times New Roman" w:eastAsia="宋体" w:cs="Times New Roman"/>
          <w:b/>
          <w:szCs w:val="21"/>
        </w:rPr>
        <w:t>二、工程承包范围</w:t>
      </w:r>
      <w:bookmarkEnd w:id="117"/>
      <w:bookmarkEnd w:id="118"/>
    </w:p>
    <w:p w14:paraId="68F319F0">
      <w:pPr>
        <w:spacing w:line="360" w:lineRule="auto"/>
        <w:ind w:firstLine="510"/>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rPr>
        <w:t>承包范围：</w:t>
      </w:r>
      <w:r>
        <w:rPr>
          <w:rFonts w:hint="eastAsia" w:ascii="宋体" w:hAnsi="宋体" w:eastAsia="宋体" w:cs="Times New Roman"/>
          <w:szCs w:val="21"/>
          <w:u w:val="single"/>
        </w:rPr>
        <w:t>主要建设内容：</w:t>
      </w:r>
      <w:r>
        <w:rPr>
          <w:rFonts w:hint="eastAsia" w:ascii="宋体" w:hAnsi="宋体" w:eastAsia="宋体" w:cs="Times New Roman"/>
          <w:szCs w:val="21"/>
          <w:u w:val="single"/>
          <w:lang w:val="en-US" w:eastAsia="zh-CN"/>
        </w:rPr>
        <w:t xml:space="preserve">                                                       </w:t>
      </w:r>
    </w:p>
    <w:p w14:paraId="794F186D">
      <w:pPr>
        <w:spacing w:line="360" w:lineRule="auto"/>
        <w:ind w:firstLine="510"/>
        <w:outlineLvl w:val="0"/>
        <w:rPr>
          <w:rFonts w:ascii="Times New Roman" w:hAnsi="Times New Roman" w:eastAsia="宋体" w:cs="Times New Roman"/>
          <w:b/>
          <w:szCs w:val="21"/>
        </w:rPr>
      </w:pPr>
      <w:bookmarkStart w:id="119" w:name="_Toc459738622"/>
      <w:bookmarkStart w:id="120" w:name="_Toc30581"/>
      <w:r>
        <w:rPr>
          <w:rFonts w:hint="eastAsia" w:ascii="Times New Roman" w:hAnsi="Times New Roman" w:eastAsia="宋体" w:cs="Times New Roman"/>
          <w:b/>
          <w:szCs w:val="21"/>
        </w:rPr>
        <w:t>三、合同工期</w:t>
      </w:r>
      <w:bookmarkEnd w:id="119"/>
      <w:bookmarkEnd w:id="120"/>
    </w:p>
    <w:p w14:paraId="005478D4">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开工日期：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5BCA8780">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竣工日期：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6300BFF0">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合同工期总日历天数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天。</w:t>
      </w:r>
    </w:p>
    <w:p w14:paraId="5217ACBB">
      <w:pPr>
        <w:widowControl/>
        <w:adjustRightInd w:val="0"/>
        <w:spacing w:after="156" w:afterLines="50" w:line="360" w:lineRule="auto"/>
        <w:ind w:firstLine="420" w:firstLineChars="200"/>
        <w:jc w:val="left"/>
        <w:textAlignment w:val="baseline"/>
        <w:rPr>
          <w:rFonts w:ascii="Arial" w:hAnsi="Arial" w:eastAsia="宋体" w:cs="Times New Roman"/>
          <w:kern w:val="0"/>
          <w:sz w:val="21"/>
          <w:szCs w:val="21"/>
          <w:lang w:val="en-US" w:eastAsia="zh-CN" w:bidi="ar-SA"/>
        </w:rPr>
      </w:pPr>
      <w:r>
        <w:rPr>
          <w:rFonts w:hint="eastAsia" w:ascii="Arial" w:hAnsi="Arial" w:eastAsia="宋体" w:cs="Times New Roman"/>
          <w:kern w:val="0"/>
          <w:sz w:val="21"/>
          <w:szCs w:val="21"/>
          <w:lang w:val="en-US" w:eastAsia="zh-CN" w:bidi="ar-SA"/>
        </w:rPr>
        <w:t>实际开工日期以甲方签发的开工令为准。</w:t>
      </w:r>
    </w:p>
    <w:p w14:paraId="7BEED3D0">
      <w:pPr>
        <w:spacing w:line="360" w:lineRule="auto"/>
        <w:ind w:firstLine="520"/>
        <w:outlineLvl w:val="0"/>
        <w:rPr>
          <w:rFonts w:ascii="Times New Roman" w:hAnsi="Times New Roman" w:eastAsia="宋体" w:cs="Times New Roman"/>
          <w:b/>
          <w:szCs w:val="21"/>
        </w:rPr>
      </w:pPr>
      <w:bookmarkStart w:id="121" w:name="_Toc20040"/>
      <w:bookmarkStart w:id="122" w:name="_Toc459738623"/>
      <w:r>
        <w:rPr>
          <w:rFonts w:hint="eastAsia" w:ascii="Times New Roman" w:hAnsi="Times New Roman" w:eastAsia="宋体" w:cs="Times New Roman"/>
          <w:b/>
          <w:szCs w:val="21"/>
        </w:rPr>
        <w:t>四、质量标准</w:t>
      </w:r>
      <w:bookmarkEnd w:id="121"/>
      <w:bookmarkEnd w:id="122"/>
    </w:p>
    <w:p w14:paraId="4965260F">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工程质量标准：</w:t>
      </w:r>
      <w:r>
        <w:rPr>
          <w:rFonts w:hint="eastAsia" w:ascii="Times New Roman" w:hAnsi="Times New Roman" w:eastAsia="宋体" w:cs="Times New Roman"/>
          <w:szCs w:val="21"/>
          <w:u w:val="single"/>
        </w:rPr>
        <w:t>合格。</w:t>
      </w:r>
    </w:p>
    <w:p w14:paraId="0276BE78">
      <w:pPr>
        <w:spacing w:line="360" w:lineRule="auto"/>
        <w:ind w:firstLine="510"/>
        <w:outlineLvl w:val="0"/>
        <w:rPr>
          <w:rFonts w:ascii="Times New Roman" w:hAnsi="Times New Roman" w:eastAsia="宋体" w:cs="Times New Roman"/>
          <w:b/>
          <w:szCs w:val="21"/>
        </w:rPr>
      </w:pPr>
      <w:bookmarkStart w:id="123" w:name="_Toc23789"/>
      <w:bookmarkStart w:id="124" w:name="_Toc459738624"/>
      <w:r>
        <w:rPr>
          <w:rFonts w:hint="eastAsia" w:ascii="Times New Roman" w:hAnsi="Times New Roman" w:eastAsia="宋体" w:cs="Times New Roman"/>
          <w:b/>
          <w:szCs w:val="21"/>
        </w:rPr>
        <w:t>五、合同价款</w:t>
      </w:r>
      <w:bookmarkEnd w:id="123"/>
      <w:bookmarkEnd w:id="124"/>
    </w:p>
    <w:p w14:paraId="010E9DBB">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金额（大写）：</w:t>
      </w:r>
      <w:r>
        <w:rPr>
          <w:rFonts w:hint="eastAsia" w:ascii="Times New Roman" w:hAnsi="Times New Roman" w:eastAsia="宋体" w:cs="Times New Roman"/>
          <w:b/>
          <w:bCs/>
          <w:szCs w:val="21"/>
          <w:u w:val="single"/>
        </w:rPr>
        <w:t xml:space="preserve"> </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佰</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拾</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万</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仟</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佰</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拾</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元</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角</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 xml:space="preserve">分 </w:t>
      </w:r>
      <w:r>
        <w:rPr>
          <w:rFonts w:hint="eastAsia" w:ascii="Times New Roman" w:hAnsi="Times New Roman" w:eastAsia="宋体" w:cs="Times New Roman"/>
          <w:b/>
          <w:bCs/>
          <w:szCs w:val="21"/>
        </w:rPr>
        <w:t>（人民币）</w:t>
      </w:r>
      <w:r>
        <w:rPr>
          <w:rFonts w:hint="eastAsia" w:ascii="Times New Roman" w:hAnsi="Times New Roman" w:eastAsia="宋体" w:cs="Times New Roman"/>
          <w:b/>
          <w:bCs/>
          <w:szCs w:val="21"/>
          <w:u w:val="single"/>
        </w:rPr>
        <w:t xml:space="preserve"> </w:t>
      </w:r>
      <w:r>
        <w:rPr>
          <w:rFonts w:hint="eastAsia" w:ascii="Times New Roman" w:hAnsi="Times New Roman" w:eastAsia="宋体" w:cs="Times New Roman"/>
          <w:b/>
          <w:bCs/>
          <w:szCs w:val="21"/>
          <w:u w:val="single"/>
          <w:lang w:val="en-US" w:eastAsia="zh-CN"/>
        </w:rPr>
        <w:t xml:space="preserve">         </w:t>
      </w:r>
      <w:r>
        <w:rPr>
          <w:rFonts w:hint="eastAsia" w:ascii="Times New Roman" w:hAnsi="Times New Roman" w:eastAsia="宋体" w:cs="Times New Roman"/>
          <w:b/>
          <w:bCs/>
          <w:szCs w:val="21"/>
          <w:u w:val="single"/>
        </w:rPr>
        <w:t>元</w:t>
      </w:r>
    </w:p>
    <w:p w14:paraId="18967821">
      <w:pPr>
        <w:spacing w:line="360" w:lineRule="auto"/>
        <w:ind w:firstLine="510"/>
        <w:outlineLvl w:val="0"/>
        <w:rPr>
          <w:rFonts w:ascii="Times New Roman" w:hAnsi="Times New Roman" w:eastAsia="宋体" w:cs="Times New Roman"/>
          <w:b/>
          <w:bCs/>
          <w:szCs w:val="21"/>
        </w:rPr>
      </w:pPr>
      <w:bookmarkStart w:id="125" w:name="_Toc459738625"/>
      <w:bookmarkStart w:id="126" w:name="_Toc1813"/>
      <w:r>
        <w:rPr>
          <w:rFonts w:hint="eastAsia" w:ascii="Times New Roman" w:hAnsi="Times New Roman" w:eastAsia="宋体" w:cs="Times New Roman"/>
          <w:b/>
          <w:bCs/>
          <w:szCs w:val="21"/>
        </w:rPr>
        <w:t>六、组成合同的文件</w:t>
      </w:r>
      <w:bookmarkEnd w:id="125"/>
      <w:bookmarkEnd w:id="126"/>
    </w:p>
    <w:p w14:paraId="54CCC1FE">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组成本合同的文件包括：</w:t>
      </w:r>
    </w:p>
    <w:p w14:paraId="349E0C7B">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1、本合同协议书</w:t>
      </w:r>
    </w:p>
    <w:p w14:paraId="6EA36CCC">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2、成交通知书</w:t>
      </w:r>
    </w:p>
    <w:p w14:paraId="564DFF0F">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3、磋商文件及其附件</w:t>
      </w:r>
    </w:p>
    <w:p w14:paraId="23AE641F">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4、本合同专用条款</w:t>
      </w:r>
    </w:p>
    <w:p w14:paraId="0DB0C295">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5、本合同通用条款</w:t>
      </w:r>
    </w:p>
    <w:p w14:paraId="2299434C">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6、标准、规范及有关技术文件</w:t>
      </w:r>
    </w:p>
    <w:p w14:paraId="70D5B3FD">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7、工程量清单</w:t>
      </w:r>
    </w:p>
    <w:p w14:paraId="3F21A171">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双方有关工程听洽商、变更等书面协议或文件视为本合同的组成部分。</w:t>
      </w:r>
    </w:p>
    <w:p w14:paraId="1B47D635">
      <w:pPr>
        <w:spacing w:line="360" w:lineRule="auto"/>
        <w:ind w:firstLine="520"/>
        <w:outlineLvl w:val="0"/>
        <w:rPr>
          <w:rFonts w:ascii="Times New Roman" w:hAnsi="Times New Roman" w:eastAsia="宋体" w:cs="Times New Roman"/>
          <w:b/>
          <w:szCs w:val="21"/>
        </w:rPr>
      </w:pPr>
      <w:bookmarkStart w:id="127" w:name="_Toc6146"/>
      <w:bookmarkStart w:id="128" w:name="_Toc459738626"/>
      <w:r>
        <w:rPr>
          <w:rFonts w:hint="eastAsia" w:ascii="Times New Roman" w:hAnsi="Times New Roman" w:eastAsia="宋体" w:cs="Times New Roman"/>
          <w:b/>
          <w:szCs w:val="21"/>
        </w:rPr>
        <w:t>七、本协议书中有关词语定义与本合同第二部分《通用条款》中分别赋予它们的定义相同。</w:t>
      </w:r>
      <w:bookmarkEnd w:id="127"/>
      <w:bookmarkEnd w:id="128"/>
    </w:p>
    <w:p w14:paraId="70E84048">
      <w:pPr>
        <w:spacing w:line="360" w:lineRule="auto"/>
        <w:ind w:firstLine="520"/>
        <w:outlineLvl w:val="0"/>
        <w:rPr>
          <w:rFonts w:ascii="Times New Roman" w:hAnsi="Times New Roman" w:eastAsia="宋体" w:cs="Times New Roman"/>
          <w:b/>
          <w:szCs w:val="21"/>
        </w:rPr>
      </w:pPr>
      <w:bookmarkStart w:id="129" w:name="_Toc16889"/>
      <w:bookmarkStart w:id="130" w:name="_Toc459738627"/>
      <w:r>
        <w:rPr>
          <w:rFonts w:hint="eastAsia" w:ascii="Times New Roman" w:hAnsi="Times New Roman" w:eastAsia="宋体" w:cs="Times New Roman"/>
          <w:b/>
          <w:szCs w:val="21"/>
        </w:rPr>
        <w:t>八、承包人向发包人承诺按照合同约定进行施工、竣工并在质量保修期内承担工程质量保修责任。</w:t>
      </w:r>
      <w:bookmarkEnd w:id="129"/>
      <w:bookmarkEnd w:id="130"/>
    </w:p>
    <w:p w14:paraId="3EB5DD8E">
      <w:pPr>
        <w:spacing w:line="360" w:lineRule="auto"/>
        <w:ind w:firstLine="510"/>
        <w:outlineLvl w:val="0"/>
        <w:rPr>
          <w:rFonts w:ascii="Times New Roman" w:hAnsi="Times New Roman" w:eastAsia="宋体" w:cs="Times New Roman"/>
          <w:b/>
          <w:szCs w:val="21"/>
        </w:rPr>
      </w:pPr>
      <w:bookmarkStart w:id="131" w:name="_Toc19723"/>
      <w:bookmarkStart w:id="132" w:name="_Toc459738628"/>
      <w:r>
        <w:rPr>
          <w:rFonts w:hint="eastAsia" w:ascii="Times New Roman" w:hAnsi="Times New Roman" w:eastAsia="宋体" w:cs="Times New Roman"/>
          <w:b/>
          <w:szCs w:val="21"/>
        </w:rPr>
        <w:t>九、发包人向承包人承诺按照合同约定的期限和方式支付合同价款及其他应当支付的款项。</w:t>
      </w:r>
      <w:bookmarkEnd w:id="131"/>
      <w:bookmarkEnd w:id="132"/>
    </w:p>
    <w:p w14:paraId="62448AA8">
      <w:pPr>
        <w:spacing w:line="360" w:lineRule="auto"/>
        <w:ind w:firstLine="510"/>
        <w:outlineLvl w:val="0"/>
        <w:rPr>
          <w:rFonts w:ascii="Times New Roman" w:hAnsi="Times New Roman" w:eastAsia="宋体" w:cs="Times New Roman"/>
          <w:b/>
          <w:szCs w:val="21"/>
        </w:rPr>
      </w:pPr>
      <w:bookmarkStart w:id="133" w:name="_Toc29540"/>
      <w:bookmarkStart w:id="134" w:name="_Toc459738629"/>
      <w:r>
        <w:rPr>
          <w:rFonts w:hint="eastAsia" w:ascii="Times New Roman" w:hAnsi="Times New Roman" w:eastAsia="宋体" w:cs="Times New Roman"/>
          <w:b/>
          <w:szCs w:val="21"/>
        </w:rPr>
        <w:t>十、合同生效</w:t>
      </w:r>
      <w:bookmarkEnd w:id="133"/>
      <w:bookmarkEnd w:id="134"/>
    </w:p>
    <w:p w14:paraId="30295028">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合同订立时间：________年________月________日</w:t>
      </w:r>
    </w:p>
    <w:p w14:paraId="3F4EDC15">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合同订立地点：</w:t>
      </w:r>
      <w:r>
        <w:rPr>
          <w:rFonts w:hint="eastAsia" w:ascii="Times New Roman" w:hAnsi="Times New Roman" w:eastAsia="宋体" w:cs="Times New Roman"/>
          <w:szCs w:val="21"/>
          <w:u w:val="single"/>
        </w:rPr>
        <w:t xml:space="preserve">                  </w:t>
      </w:r>
    </w:p>
    <w:p w14:paraId="00D8E0ED">
      <w:pPr>
        <w:spacing w:line="360" w:lineRule="auto"/>
        <w:ind w:firstLine="510"/>
        <w:rPr>
          <w:rFonts w:ascii="Times New Roman" w:hAnsi="Times New Roman" w:eastAsia="宋体" w:cs="Times New Roman"/>
          <w:szCs w:val="21"/>
        </w:rPr>
      </w:pPr>
      <w:r>
        <w:rPr>
          <w:rFonts w:hint="eastAsia" w:ascii="Times New Roman" w:hAnsi="Times New Roman" w:eastAsia="宋体" w:cs="Times New Roman"/>
          <w:szCs w:val="21"/>
        </w:rPr>
        <w:t>本合同双方约定__</w:t>
      </w:r>
      <w:r>
        <w:rPr>
          <w:rFonts w:hint="eastAsia" w:ascii="Times New Roman" w:hAnsi="Times New Roman" w:eastAsia="宋体" w:cs="Times New Roman"/>
          <w:szCs w:val="21"/>
          <w:u w:val="single"/>
        </w:rPr>
        <w:t>双方法定代表人或其授权代理人签字或盖章并加盖单位公章</w:t>
      </w:r>
      <w:r>
        <w:rPr>
          <w:rFonts w:hint="eastAsia" w:ascii="Times New Roman" w:hAnsi="Times New Roman" w:eastAsia="宋体" w:cs="Times New Roman"/>
          <w:szCs w:val="21"/>
        </w:rPr>
        <w:t>__后生效。</w:t>
      </w:r>
    </w:p>
    <w:p w14:paraId="791D912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发  包  人：（公章）                            承  包  人：（公章）</w:t>
      </w:r>
    </w:p>
    <w:p w14:paraId="759F752D">
      <w:pPr>
        <w:spacing w:line="360" w:lineRule="auto"/>
        <w:rPr>
          <w:rFonts w:hint="eastAsia" w:ascii="Times New Roman" w:hAnsi="Times New Roman" w:eastAsia="宋体" w:cs="Times New Roman"/>
          <w:szCs w:val="21"/>
          <w:u w:val="single"/>
          <w:lang w:eastAsia="zh-CN"/>
        </w:rPr>
      </w:pPr>
      <w:r>
        <w:rPr>
          <w:rFonts w:hint="eastAsia" w:ascii="Times New Roman" w:hAnsi="宋体" w:eastAsia="宋体" w:cs="Times New Roman"/>
          <w:szCs w:val="21"/>
        </w:rPr>
        <w:t>大新县民族宗教服务中心</w:t>
      </w:r>
      <w:r>
        <w:rPr>
          <w:rFonts w:ascii="Times New Roman" w:hAnsi="宋体" w:eastAsia="宋体" w:cs="Times New Roman"/>
          <w:szCs w:val="21"/>
        </w:rPr>
        <w:t xml:space="preserve"> </w:t>
      </w:r>
      <w:r>
        <w:rPr>
          <w:rFonts w:hint="eastAsia" w:ascii="Times New Roman" w:hAnsi="宋体" w:eastAsia="宋体" w:cs="Times New Roman"/>
          <w:szCs w:val="21"/>
        </w:rPr>
        <w:t xml:space="preserve">                        </w:t>
      </w:r>
      <w:r>
        <w:rPr>
          <w:rFonts w:hint="eastAsia" w:ascii="Times New Roman" w:hAnsi="宋体" w:eastAsia="宋体" w:cs="Times New Roman"/>
          <w:szCs w:val="21"/>
          <w:lang w:val="en-US" w:eastAsia="zh-CN"/>
        </w:rPr>
        <w:t xml:space="preserve"> </w:t>
      </w:r>
    </w:p>
    <w:p w14:paraId="58C97988">
      <w:pPr>
        <w:spacing w:line="360" w:lineRule="auto"/>
        <w:rPr>
          <w:rFonts w:ascii="Times New Roman" w:hAnsi="宋体" w:eastAsia="宋体" w:cs="宋体"/>
          <w:szCs w:val="21"/>
        </w:rPr>
      </w:pPr>
      <w:r>
        <w:rPr>
          <w:rFonts w:hint="eastAsia" w:ascii="Times New Roman" w:hAnsi="宋体" w:eastAsia="宋体" w:cs="宋体"/>
          <w:szCs w:val="21"/>
        </w:rPr>
        <w:t xml:space="preserve">地  址：                                       </w:t>
      </w:r>
      <w:r>
        <w:rPr>
          <w:rFonts w:hint="eastAsia" w:ascii="Times New Roman" w:hAnsi="Times New Roman" w:eastAsia="宋体" w:cs="Times New Roman"/>
          <w:szCs w:val="21"/>
        </w:rPr>
        <w:t xml:space="preserve">  </w:t>
      </w:r>
      <w:r>
        <w:rPr>
          <w:rFonts w:hint="eastAsia" w:ascii="Times New Roman" w:hAnsi="宋体" w:eastAsia="宋体" w:cs="宋体"/>
          <w:szCs w:val="21"/>
        </w:rPr>
        <w:t>地址：</w:t>
      </w:r>
      <w:r>
        <w:rPr>
          <w:rFonts w:hint="eastAsia" w:ascii="Times New Roman" w:hAnsi="宋体" w:eastAsia="宋体" w:cs="宋体"/>
          <w:szCs w:val="21"/>
          <w:lang w:val="en-US" w:eastAsia="zh-CN"/>
        </w:rPr>
        <w:t xml:space="preserve"> </w:t>
      </w:r>
      <w:r>
        <w:rPr>
          <w:rFonts w:hint="eastAsia" w:ascii="Times New Roman" w:hAnsi="宋体" w:eastAsia="宋体" w:cs="宋体"/>
          <w:szCs w:val="21"/>
        </w:rPr>
        <w:t xml:space="preserve">     </w:t>
      </w:r>
    </w:p>
    <w:p w14:paraId="2C8B8AF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法定代表人：                                     法定代表人：</w:t>
      </w:r>
    </w:p>
    <w:p w14:paraId="26689379">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委托代理人：                                     委托代理人：</w:t>
      </w:r>
    </w:p>
    <w:p w14:paraId="6035ACA4">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rPr>
        <w:t>电      话：</w:t>
      </w:r>
      <w:r>
        <w:rPr>
          <w:rFonts w:hint="eastAsia" w:ascii="Times New Roman" w:hAnsi="宋体" w:eastAsia="宋体" w:cs="宋体"/>
          <w:szCs w:val="21"/>
        </w:rPr>
        <w:t xml:space="preserve">            </w:t>
      </w:r>
      <w:r>
        <w:rPr>
          <w:rFonts w:hint="eastAsia" w:ascii="Times New Roman" w:hAnsi="Times New Roman" w:eastAsia="宋体" w:cs="Times New Roman"/>
          <w:szCs w:val="21"/>
        </w:rPr>
        <w:t xml:space="preserve">                         电      话</w:t>
      </w:r>
      <w:r>
        <w:rPr>
          <w:rFonts w:hint="eastAsia" w:ascii="Times New Roman" w:hAnsi="Times New Roman" w:eastAsia="宋体" w:cs="Times New Roman"/>
          <w:szCs w:val="21"/>
          <w:lang w:val="en-US" w:eastAsia="zh-CN"/>
        </w:rPr>
        <w:t xml:space="preserve"> </w:t>
      </w:r>
    </w:p>
    <w:p w14:paraId="2A800ED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传      真：                                     传      真：</w:t>
      </w:r>
    </w:p>
    <w:p w14:paraId="11E2667C">
      <w:pPr>
        <w:spacing w:line="360" w:lineRule="auto"/>
        <w:rPr>
          <w:rFonts w:ascii="Times New Roman" w:hAnsi="Times New Roman" w:eastAsia="宋体" w:cs="Times New Roman"/>
          <w:spacing w:val="-12"/>
          <w:szCs w:val="21"/>
        </w:rPr>
      </w:pPr>
      <w:r>
        <w:rPr>
          <w:rFonts w:hint="eastAsia" w:ascii="Times New Roman" w:hAnsi="Times New Roman" w:eastAsia="宋体" w:cs="Times New Roman"/>
          <w:spacing w:val="-12"/>
          <w:szCs w:val="21"/>
        </w:rPr>
        <w:t>开 户 银 行：                                                 开 户 银 行：</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p>
    <w:p w14:paraId="18B83799">
      <w:pPr>
        <w:spacing w:line="360" w:lineRule="auto"/>
        <w:rPr>
          <w:rFonts w:hint="eastAsia" w:ascii="Times New Roman" w:hAnsi="Times New Roman" w:eastAsia="宋体" w:cs="Times New Roman"/>
          <w:spacing w:val="-12"/>
          <w:szCs w:val="21"/>
          <w:lang w:eastAsia="zh-CN"/>
        </w:rPr>
      </w:pPr>
      <w:r>
        <w:rPr>
          <w:rFonts w:hint="eastAsia" w:ascii="Times New Roman" w:hAnsi="Times New Roman" w:eastAsia="宋体" w:cs="Times New Roman"/>
          <w:spacing w:val="-12"/>
          <w:szCs w:val="21"/>
        </w:rPr>
        <w:t>账       号：                                                  账        号：</w:t>
      </w:r>
      <w:r>
        <w:rPr>
          <w:rFonts w:hint="eastAsia" w:ascii="宋体" w:hAnsi="宋体" w:eastAsia="宋体" w:cs="Times New Roman"/>
          <w:szCs w:val="21"/>
          <w:lang w:val="en-US" w:eastAsia="zh-CN"/>
        </w:rPr>
        <w:t xml:space="preserve"> </w:t>
      </w:r>
    </w:p>
    <w:p w14:paraId="5212FE1E">
      <w:pPr>
        <w:spacing w:line="360" w:lineRule="auto"/>
        <w:rPr>
          <w:rFonts w:ascii="Times New Roman" w:hAnsi="Times New Roman" w:eastAsia="宋体" w:cs="Times New Roman"/>
          <w:spacing w:val="-12"/>
          <w:szCs w:val="21"/>
        </w:rPr>
      </w:pPr>
      <w:r>
        <w:rPr>
          <w:rFonts w:hint="eastAsia" w:ascii="Times New Roman" w:hAnsi="Times New Roman" w:eastAsia="宋体" w:cs="Times New Roman"/>
          <w:spacing w:val="-12"/>
          <w:szCs w:val="21"/>
        </w:rPr>
        <w:t xml:space="preserve">邮 政 编 号：                                                  邮 政 编 号：                                </w:t>
      </w:r>
    </w:p>
    <w:p w14:paraId="7A7D0A9F">
      <w:pPr>
        <w:keepNext/>
        <w:keepLines/>
        <w:widowControl w:val="0"/>
        <w:spacing w:before="260" w:after="260" w:line="416" w:lineRule="auto"/>
        <w:jc w:val="center"/>
        <w:outlineLvl w:val="2"/>
        <w:rPr>
          <w:rFonts w:hint="eastAsia" w:ascii="Times New Roman" w:hAnsi="Times New Roman" w:eastAsia="宋体" w:cs="Times New Roman"/>
          <w:b/>
          <w:bCs/>
          <w:kern w:val="2"/>
          <w:sz w:val="32"/>
          <w:szCs w:val="32"/>
          <w:lang w:val="en-US" w:eastAsia="zh-CN" w:bidi="ar-SA"/>
        </w:rPr>
      </w:pPr>
      <w:bookmarkStart w:id="135" w:name="_Toc198464830"/>
      <w:bookmarkStart w:id="136" w:name="_Toc134096509"/>
      <w:bookmarkStart w:id="137" w:name="_Toc459738630"/>
    </w:p>
    <w:p w14:paraId="5103CD34">
      <w:pPr>
        <w:keepNext/>
        <w:keepLines/>
        <w:widowControl w:val="0"/>
        <w:spacing w:before="260" w:after="260" w:line="416" w:lineRule="auto"/>
        <w:jc w:val="center"/>
        <w:outlineLvl w:val="2"/>
        <w:rPr>
          <w:rFonts w:ascii="Times New Roman" w:hAnsi="Times New Roman" w:eastAsia="宋体" w:cs="Times New Roman"/>
          <w:b w:val="0"/>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br w:type="page"/>
      </w:r>
      <w:r>
        <w:rPr>
          <w:rFonts w:hint="eastAsia" w:ascii="Times New Roman" w:hAnsi="Times New Roman" w:eastAsia="宋体" w:cs="Times New Roman"/>
          <w:b/>
          <w:bCs/>
          <w:kern w:val="2"/>
          <w:sz w:val="32"/>
          <w:szCs w:val="32"/>
          <w:lang w:val="en-US" w:eastAsia="zh-CN" w:bidi="ar-SA"/>
        </w:rPr>
        <w:t>第二部分：合同通用条款</w:t>
      </w:r>
      <w:bookmarkEnd w:id="135"/>
      <w:bookmarkEnd w:id="136"/>
      <w:bookmarkEnd w:id="137"/>
    </w:p>
    <w:p w14:paraId="6E826810">
      <w:pPr>
        <w:snapToGrid w:val="0"/>
        <w:spacing w:line="288" w:lineRule="auto"/>
        <w:rPr>
          <w:rFonts w:ascii="Times New Roman" w:hAnsi="宋体" w:eastAsia="宋体" w:cs="Times New Roman"/>
        </w:rPr>
      </w:pPr>
      <w:r>
        <w:rPr>
          <w:rFonts w:hint="eastAsia" w:ascii="Times New Roman" w:hAnsi="宋体" w:eastAsia="宋体" w:cs="Times New Roman"/>
          <w:b/>
          <w:sz w:val="24"/>
        </w:rPr>
        <w:t xml:space="preserve">   </w:t>
      </w:r>
      <w:r>
        <w:rPr>
          <w:rFonts w:hint="eastAsia" w:ascii="Times New Roman" w:hAnsi="宋体" w:eastAsia="宋体" w:cs="Times New Roman"/>
          <w:sz w:val="24"/>
        </w:rPr>
        <w:t xml:space="preserve"> </w:t>
      </w:r>
      <w:r>
        <w:rPr>
          <w:rFonts w:hint="eastAsia" w:ascii="Times New Roman" w:hAnsi="宋体" w:eastAsia="宋体" w:cs="Times New Roman"/>
          <w:szCs w:val="21"/>
        </w:rPr>
        <w:t>《建设工程施工竞争性磋商文件》的“合同通用条款”，采用国家工商行政管理局和建设部颁发的《建设工程施工合同（示范文本）》（GF-2017-0201）的“合同通用条款”</w:t>
      </w:r>
      <w:r>
        <w:rPr>
          <w:rFonts w:hint="eastAsia" w:ascii="Times New Roman" w:hAnsi="宋体" w:eastAsia="宋体" w:cs="Times New Roman"/>
          <w:sz w:val="24"/>
        </w:rPr>
        <w:t>。</w:t>
      </w:r>
    </w:p>
    <w:p w14:paraId="518AD036">
      <w:pPr>
        <w:keepNext/>
        <w:keepLines/>
        <w:widowControl w:val="0"/>
        <w:spacing w:before="260" w:after="260" w:line="416" w:lineRule="auto"/>
        <w:jc w:val="center"/>
        <w:outlineLvl w:val="2"/>
        <w:rPr>
          <w:rFonts w:hint="eastAsia" w:ascii="Times New Roman" w:hAnsi="Times New Roman" w:eastAsia="宋体" w:cs="Times New Roman"/>
          <w:b/>
          <w:bCs/>
          <w:kern w:val="2"/>
          <w:sz w:val="32"/>
          <w:szCs w:val="32"/>
          <w:lang w:val="en-US" w:eastAsia="zh-CN" w:bidi="ar-SA"/>
        </w:rPr>
      </w:pPr>
      <w:bookmarkStart w:id="138" w:name="_Toc198464831"/>
      <w:bookmarkStart w:id="139" w:name="_Toc134096510"/>
      <w:bookmarkStart w:id="140" w:name="_Toc459738631"/>
    </w:p>
    <w:p w14:paraId="5F0CCFAD">
      <w:pPr>
        <w:keepNext/>
        <w:keepLines/>
        <w:widowControl w:val="0"/>
        <w:spacing w:before="260" w:after="260" w:line="416" w:lineRule="auto"/>
        <w:jc w:val="center"/>
        <w:outlineLvl w:val="2"/>
        <w:rPr>
          <w:rFonts w:hint="eastAsia" w:ascii="Times New Roman" w:hAnsi="Times New Roman" w:eastAsia="宋体" w:cs="Times New Roman"/>
          <w:b/>
          <w:bCs/>
          <w:kern w:val="2"/>
          <w:sz w:val="32"/>
          <w:szCs w:val="32"/>
          <w:lang w:val="en-US" w:eastAsia="zh-CN" w:bidi="ar-SA"/>
        </w:rPr>
      </w:pPr>
    </w:p>
    <w:p w14:paraId="27AACC2F">
      <w:pPr>
        <w:rPr>
          <w:rFonts w:hint="eastAsia" w:ascii="Times New Roman" w:hAnsi="Times New Roman" w:eastAsia="宋体" w:cs="Times New Roman"/>
        </w:rPr>
      </w:pPr>
      <w:r>
        <w:rPr>
          <w:rFonts w:hint="eastAsia" w:ascii="Times New Roman" w:hAnsi="Times New Roman" w:eastAsia="宋体" w:cs="Times New Roman"/>
        </w:rPr>
        <w:br w:type="page"/>
      </w:r>
    </w:p>
    <w:p w14:paraId="403EB3C2">
      <w:pPr>
        <w:keepNext/>
        <w:keepLines/>
        <w:widowControl w:val="0"/>
        <w:spacing w:before="260" w:after="260" w:line="416" w:lineRule="auto"/>
        <w:jc w:val="center"/>
        <w:outlineLvl w:val="2"/>
        <w:rPr>
          <w:rFonts w:ascii="Times New Roman" w:hAnsi="Times New Roman" w:eastAsia="宋体" w:cs="Times New Roman"/>
          <w:b/>
          <w:bCs/>
          <w:kern w:val="2"/>
          <w:sz w:val="32"/>
          <w:szCs w:val="32"/>
          <w:lang w:val="en-US" w:eastAsia="zh-CN" w:bidi="ar-SA"/>
        </w:rPr>
      </w:pPr>
      <w:r>
        <w:rPr>
          <w:rFonts w:hint="eastAsia" w:ascii="Times New Roman" w:hAnsi="Times New Roman" w:eastAsia="宋体" w:cs="Times New Roman"/>
          <w:b/>
          <w:bCs/>
          <w:kern w:val="2"/>
          <w:sz w:val="32"/>
          <w:szCs w:val="32"/>
          <w:lang w:val="en-US" w:eastAsia="zh-CN" w:bidi="ar-SA"/>
        </w:rPr>
        <w:t>第三部分：合同专用条款</w:t>
      </w:r>
      <w:bookmarkEnd w:id="138"/>
      <w:bookmarkEnd w:id="139"/>
      <w:bookmarkEnd w:id="140"/>
    </w:p>
    <w:p w14:paraId="25D8FD25">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41" w:name="_Toc118023777"/>
      <w:bookmarkStart w:id="142" w:name="_Toc43044940"/>
      <w:r>
        <w:rPr>
          <w:rFonts w:hint="eastAsia" w:ascii="宋体" w:hAnsi="宋体" w:eastAsia="宋体" w:cs="Times New Roman"/>
          <w:b/>
          <w:kern w:val="2"/>
          <w:sz w:val="21"/>
          <w:szCs w:val="21"/>
          <w:lang w:val="en-US" w:eastAsia="zh-CN" w:bidi="ar-SA"/>
        </w:rPr>
        <w:t>一、词语定义及合同文件</w:t>
      </w:r>
      <w:bookmarkEnd w:id="141"/>
      <w:bookmarkEnd w:id="142"/>
    </w:p>
    <w:p w14:paraId="3A405DA8">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43" w:name="_Toc118023778"/>
      <w:bookmarkStart w:id="144" w:name="_Toc43044942"/>
      <w:r>
        <w:rPr>
          <w:rFonts w:hint="eastAsia" w:ascii="宋体" w:hAnsi="宋体" w:eastAsia="宋体" w:cs="Times New Roman"/>
          <w:b/>
          <w:kern w:val="2"/>
          <w:sz w:val="21"/>
          <w:szCs w:val="21"/>
          <w:lang w:val="en-US" w:eastAsia="zh-CN" w:bidi="ar-SA"/>
        </w:rPr>
        <w:t>1、语言文字和适用法律、标准及规范</w:t>
      </w:r>
      <w:bookmarkEnd w:id="143"/>
      <w:bookmarkEnd w:id="144"/>
    </w:p>
    <w:p w14:paraId="2A854E8F">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本合同除使用汉语外，无其它语言文字。</w:t>
      </w:r>
    </w:p>
    <w:p w14:paraId="4A2D6163">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 适用法律和法规</w:t>
      </w:r>
    </w:p>
    <w:p w14:paraId="6D4B8B68">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需要明示的法律、行政法规：</w:t>
      </w:r>
      <w:r>
        <w:rPr>
          <w:rFonts w:hint="eastAsia" w:ascii="宋体" w:hAnsi="宋体" w:eastAsia="宋体" w:cs="Times New Roman"/>
          <w:kern w:val="2"/>
          <w:sz w:val="21"/>
          <w:szCs w:val="21"/>
          <w:u w:val="single"/>
          <w:lang w:val="en-US" w:eastAsia="zh-CN" w:bidi="ar-SA"/>
        </w:rPr>
        <w:t>现行的国家法律和行政法规，工程所在地政府的有关法规和规章。</w:t>
      </w:r>
    </w:p>
    <w:p w14:paraId="249418BD">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 适用标准、规范</w:t>
      </w:r>
    </w:p>
    <w:p w14:paraId="5782B407">
      <w:pPr>
        <w:spacing w:line="380" w:lineRule="exact"/>
        <w:ind w:firstLine="441" w:firstLineChars="210"/>
        <w:rPr>
          <w:rFonts w:ascii="Times New Roman" w:hAnsi="宋体" w:eastAsia="宋体" w:cs="Times New Roman"/>
          <w:szCs w:val="21"/>
        </w:rPr>
      </w:pPr>
      <w:r>
        <w:rPr>
          <w:rFonts w:hint="eastAsia" w:ascii="Times New Roman" w:hAnsi="宋体" w:eastAsia="宋体" w:cs="Times New Roman"/>
          <w:szCs w:val="21"/>
        </w:rPr>
        <w:t>适用标准、规范的名称：</w:t>
      </w:r>
      <w:r>
        <w:rPr>
          <w:rFonts w:hint="eastAsia" w:ascii="Times New Roman" w:hAnsi="宋体" w:eastAsia="宋体" w:cs="Times New Roman"/>
          <w:szCs w:val="21"/>
          <w:u w:val="single"/>
        </w:rPr>
        <w:t>现行的国家标准、规范、行业标准、规范等。</w:t>
      </w:r>
    </w:p>
    <w:p w14:paraId="1729A4FE">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发包人提供标准、规范的时间：</w:t>
      </w:r>
      <w:r>
        <w:rPr>
          <w:rFonts w:hint="eastAsia" w:ascii="宋体" w:hAnsi="宋体" w:eastAsia="宋体" w:cs="Times New Roman"/>
          <w:kern w:val="2"/>
          <w:sz w:val="21"/>
          <w:szCs w:val="21"/>
          <w:u w:val="single"/>
          <w:lang w:val="en-US" w:eastAsia="zh-CN" w:bidi="ar-SA"/>
        </w:rPr>
        <w:t xml:space="preserve">  无。</w:t>
      </w:r>
    </w:p>
    <w:p w14:paraId="507E88A8">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国内没有相应标准、规范时的约定：</w:t>
      </w:r>
      <w:r>
        <w:rPr>
          <w:rFonts w:hint="eastAsia" w:ascii="宋体" w:hAnsi="宋体" w:eastAsia="宋体" w:cs="Times New Roman"/>
          <w:kern w:val="2"/>
          <w:sz w:val="21"/>
          <w:szCs w:val="21"/>
          <w:u w:val="single"/>
          <w:lang w:val="en-US" w:eastAsia="zh-CN" w:bidi="ar-SA"/>
        </w:rPr>
        <w:t xml:space="preserve">  无。 </w:t>
      </w:r>
    </w:p>
    <w:p w14:paraId="61C09FEF">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45" w:name="_Toc118023779"/>
      <w:bookmarkStart w:id="146" w:name="_Toc43044943"/>
      <w:r>
        <w:rPr>
          <w:rFonts w:hint="eastAsia" w:ascii="宋体" w:hAnsi="宋体" w:eastAsia="宋体" w:cs="Times New Roman"/>
          <w:b/>
          <w:kern w:val="2"/>
          <w:sz w:val="21"/>
          <w:szCs w:val="21"/>
          <w:lang w:val="en-US" w:eastAsia="zh-CN" w:bidi="ar-SA"/>
        </w:rPr>
        <w:t>2、图纸</w:t>
      </w:r>
      <w:bookmarkEnd w:id="145"/>
      <w:bookmarkEnd w:id="146"/>
    </w:p>
    <w:p w14:paraId="022A3333">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2.1 发包人向承包人提供图纸日期和套数：合同签定</w:t>
      </w:r>
      <w:r>
        <w:rPr>
          <w:rFonts w:hint="eastAsia" w:ascii="宋体" w:hAnsi="宋体" w:eastAsia="宋体" w:cs="Times New Roman"/>
          <w:kern w:val="2"/>
          <w:sz w:val="21"/>
          <w:szCs w:val="21"/>
          <w:u w:val="single"/>
          <w:lang w:val="en-US" w:eastAsia="zh-CN" w:bidi="ar-SA"/>
        </w:rPr>
        <w:t xml:space="preserve"> 5 </w:t>
      </w:r>
      <w:r>
        <w:rPr>
          <w:rFonts w:hint="eastAsia" w:ascii="宋体" w:hAnsi="宋体" w:eastAsia="宋体" w:cs="Times New Roman"/>
          <w:kern w:val="2"/>
          <w:sz w:val="21"/>
          <w:szCs w:val="21"/>
          <w:lang w:val="en-US" w:eastAsia="zh-CN" w:bidi="ar-SA"/>
        </w:rPr>
        <w:t>天后提供一式</w:t>
      </w:r>
      <w:r>
        <w:rPr>
          <w:rFonts w:hint="eastAsia" w:ascii="宋体" w:hAnsi="宋体" w:eastAsia="宋体" w:cs="Times New Roman"/>
          <w:kern w:val="2"/>
          <w:sz w:val="21"/>
          <w:szCs w:val="21"/>
          <w:u w:val="single"/>
          <w:lang w:val="en-US" w:eastAsia="zh-CN" w:bidi="ar-SA"/>
        </w:rPr>
        <w:t xml:space="preserve"> 二 </w:t>
      </w:r>
      <w:r>
        <w:rPr>
          <w:rFonts w:hint="eastAsia" w:ascii="宋体" w:hAnsi="宋体" w:eastAsia="宋体" w:cs="Times New Roman"/>
          <w:kern w:val="2"/>
          <w:sz w:val="21"/>
          <w:szCs w:val="21"/>
          <w:lang w:val="en-US" w:eastAsia="zh-CN" w:bidi="ar-SA"/>
        </w:rPr>
        <w:t>份图纸。</w:t>
      </w:r>
    </w:p>
    <w:p w14:paraId="7B0B0BEB">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发包人对图纸的保密要求：</w:t>
      </w:r>
      <w:r>
        <w:rPr>
          <w:rFonts w:hint="eastAsia" w:ascii="宋体" w:hAnsi="宋体" w:eastAsia="宋体" w:cs="Times New Roman"/>
          <w:kern w:val="2"/>
          <w:sz w:val="21"/>
          <w:szCs w:val="21"/>
          <w:u w:val="single"/>
          <w:lang w:val="en-US" w:eastAsia="zh-CN" w:bidi="ar-SA"/>
        </w:rPr>
        <w:t xml:space="preserve">  无。</w:t>
      </w:r>
    </w:p>
    <w:p w14:paraId="544F9247">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使用国外图纸的要求及费用承担：</w:t>
      </w:r>
      <w:r>
        <w:rPr>
          <w:rFonts w:hint="eastAsia" w:ascii="宋体" w:hAnsi="宋体" w:eastAsia="宋体" w:cs="Times New Roman"/>
          <w:kern w:val="2"/>
          <w:sz w:val="21"/>
          <w:szCs w:val="21"/>
          <w:u w:val="single"/>
          <w:lang w:val="en-US" w:eastAsia="zh-CN" w:bidi="ar-SA"/>
        </w:rPr>
        <w:t xml:space="preserve">  无。</w:t>
      </w:r>
    </w:p>
    <w:p w14:paraId="01B3D4EC">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47" w:name="_Toc118023780"/>
      <w:bookmarkStart w:id="148" w:name="_Toc43044944"/>
      <w:r>
        <w:rPr>
          <w:rFonts w:hint="eastAsia" w:ascii="宋体" w:hAnsi="宋体" w:eastAsia="宋体" w:cs="Times New Roman"/>
          <w:b/>
          <w:kern w:val="2"/>
          <w:sz w:val="21"/>
          <w:szCs w:val="21"/>
          <w:lang w:val="en-US" w:eastAsia="zh-CN" w:bidi="ar-SA"/>
        </w:rPr>
        <w:t>二、双方一般权利和义务</w:t>
      </w:r>
      <w:bookmarkEnd w:id="147"/>
      <w:bookmarkEnd w:id="148"/>
    </w:p>
    <w:p w14:paraId="316BF6E0">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49" w:name="_Toc118023781"/>
      <w:bookmarkStart w:id="150" w:name="_Toc43044945"/>
      <w:r>
        <w:rPr>
          <w:rFonts w:hint="eastAsia" w:ascii="宋体" w:hAnsi="宋体" w:eastAsia="宋体" w:cs="Times New Roman"/>
          <w:b/>
          <w:kern w:val="2"/>
          <w:sz w:val="21"/>
          <w:szCs w:val="21"/>
          <w:lang w:val="en-US" w:eastAsia="zh-CN" w:bidi="ar-SA"/>
        </w:rPr>
        <w:t>1、工程师</w:t>
      </w:r>
      <w:bookmarkEnd w:id="149"/>
      <w:bookmarkEnd w:id="150"/>
    </w:p>
    <w:p w14:paraId="55FBB33F">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监理单位委派的工程师</w:t>
      </w:r>
    </w:p>
    <w:p w14:paraId="172546D7">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姓名：</w:t>
      </w:r>
      <w:r>
        <w:rPr>
          <w:rFonts w:hint="eastAsia" w:ascii="宋体" w:hAnsi="宋体" w:eastAsia="宋体" w:cs="Times New Roman"/>
          <w:kern w:val="2"/>
          <w:sz w:val="21"/>
          <w:szCs w:val="21"/>
          <w:u w:val="single"/>
          <w:lang w:val="en-US" w:eastAsia="zh-CN" w:bidi="ar-SA"/>
        </w:rPr>
        <w:t xml:space="preserve">   /      </w:t>
      </w:r>
      <w:r>
        <w:rPr>
          <w:rFonts w:hint="eastAsia" w:ascii="宋体" w:hAnsi="宋体" w:eastAsia="宋体" w:cs="Times New Roman"/>
          <w:kern w:val="2"/>
          <w:sz w:val="21"/>
          <w:szCs w:val="21"/>
          <w:lang w:val="en-US" w:eastAsia="zh-CN" w:bidi="ar-SA"/>
        </w:rPr>
        <w:t xml:space="preserve"> 职务：</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w:t>
      </w:r>
    </w:p>
    <w:p w14:paraId="030A8FB7">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发包人委托的职权</w:t>
      </w:r>
      <w:r>
        <w:rPr>
          <w:rFonts w:hint="eastAsia" w:ascii="宋体" w:hAnsi="宋体" w:eastAsia="宋体" w:cs="Times New Roman"/>
          <w:kern w:val="2"/>
          <w:sz w:val="21"/>
          <w:szCs w:val="21"/>
          <w:u w:val="single"/>
          <w:lang w:val="en-US" w:eastAsia="zh-CN" w:bidi="ar-SA"/>
        </w:rPr>
        <w:t>：   按本工程的监理合同中的有关条款。</w:t>
      </w:r>
    </w:p>
    <w:p w14:paraId="734B68F1">
      <w:pPr>
        <w:widowControl w:val="0"/>
        <w:spacing w:line="380" w:lineRule="exact"/>
        <w:ind w:firstLine="441" w:firstLineChars="210"/>
        <w:jc w:val="both"/>
        <w:rPr>
          <w:rFonts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需要取得发包人批准才能行使的职权：</w:t>
      </w:r>
      <w:r>
        <w:rPr>
          <w:rFonts w:hint="eastAsia" w:ascii="宋体" w:hAnsi="宋体" w:eastAsia="宋体" w:cs="Times New Roman"/>
          <w:kern w:val="2"/>
          <w:sz w:val="21"/>
          <w:szCs w:val="21"/>
          <w:u w:val="single"/>
          <w:lang w:val="en-US" w:eastAsia="zh-CN" w:bidi="ar-SA"/>
        </w:rPr>
        <w:t xml:space="preserve">  按本工程的监理合同中的有关条款</w:t>
      </w:r>
      <w:r>
        <w:rPr>
          <w:rFonts w:hint="eastAsia" w:ascii="宋体" w:hAnsi="宋体" w:eastAsia="宋体" w:cs="Times New Roman"/>
          <w:b/>
          <w:bCs/>
          <w:kern w:val="2"/>
          <w:sz w:val="21"/>
          <w:szCs w:val="21"/>
          <w:u w:val="single"/>
          <w:lang w:val="en-US" w:eastAsia="zh-CN" w:bidi="ar-SA"/>
        </w:rPr>
        <w:t>。</w:t>
      </w:r>
    </w:p>
    <w:p w14:paraId="77FCE974">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 发包人派驻的工程师</w:t>
      </w:r>
    </w:p>
    <w:p w14:paraId="1B804097">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姓名：</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职务：</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w:t>
      </w:r>
    </w:p>
    <w:p w14:paraId="633D18D8">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职权： 发包人委派的职权范围 。</w:t>
      </w:r>
    </w:p>
    <w:p w14:paraId="41FC77D1">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1.3 不实行监理的，工程师的职权：</w:t>
      </w:r>
      <w:r>
        <w:rPr>
          <w:rFonts w:hint="eastAsia" w:ascii="宋体" w:hAnsi="宋体" w:eastAsia="宋体" w:cs="Times New Roman"/>
          <w:kern w:val="2"/>
          <w:sz w:val="21"/>
          <w:szCs w:val="21"/>
          <w:u w:val="single"/>
          <w:lang w:val="en-US" w:eastAsia="zh-CN" w:bidi="ar-SA"/>
        </w:rPr>
        <w:t xml:space="preserve">  无  。  </w:t>
      </w:r>
    </w:p>
    <w:p w14:paraId="1A097D16">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51" w:name="_Toc43044946"/>
      <w:bookmarkStart w:id="152" w:name="_Toc118023782"/>
      <w:r>
        <w:rPr>
          <w:rFonts w:hint="eastAsia" w:ascii="宋体" w:hAnsi="宋体" w:eastAsia="宋体" w:cs="Times New Roman"/>
          <w:b/>
          <w:kern w:val="2"/>
          <w:sz w:val="21"/>
          <w:szCs w:val="21"/>
          <w:lang w:val="en-US" w:eastAsia="zh-CN" w:bidi="ar-SA"/>
        </w:rPr>
        <w:t>2、项目经理</w:t>
      </w:r>
      <w:bookmarkEnd w:id="151"/>
      <w:bookmarkEnd w:id="152"/>
    </w:p>
    <w:p w14:paraId="6AF778E9">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2.1  姓名：</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职务：</w:t>
      </w:r>
      <w:r>
        <w:rPr>
          <w:rFonts w:hint="eastAsia" w:ascii="宋体" w:hAnsi="宋体" w:eastAsia="宋体" w:cs="Times New Roman"/>
          <w:kern w:val="2"/>
          <w:sz w:val="21"/>
          <w:szCs w:val="21"/>
          <w:u w:val="single"/>
          <w:lang w:val="en-US" w:eastAsia="zh-CN" w:bidi="ar-SA"/>
        </w:rPr>
        <w:t xml:space="preserve"> 项目经理 </w:t>
      </w:r>
    </w:p>
    <w:p w14:paraId="2EEAB437">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仿宋"/>
          <w:kern w:val="2"/>
          <w:sz w:val="21"/>
          <w:szCs w:val="21"/>
          <w:lang w:val="zh-CN" w:eastAsia="zh-CN" w:bidi="ar-SA"/>
        </w:rPr>
        <w:t>要求承包人必须按照磋商文件承诺拟派驻本工程项目的项目经理、施工员、安全员、质检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14:paraId="237502DD">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53" w:name="_Toc118023783"/>
      <w:bookmarkStart w:id="154" w:name="_Toc43044947"/>
      <w:r>
        <w:rPr>
          <w:rFonts w:hint="eastAsia" w:ascii="宋体" w:hAnsi="宋体" w:eastAsia="宋体" w:cs="Times New Roman"/>
          <w:b/>
          <w:kern w:val="2"/>
          <w:sz w:val="21"/>
          <w:szCs w:val="21"/>
          <w:lang w:val="en-US" w:eastAsia="zh-CN" w:bidi="ar-SA"/>
        </w:rPr>
        <w:t>3、发包人工作</w:t>
      </w:r>
      <w:bookmarkEnd w:id="153"/>
      <w:bookmarkEnd w:id="154"/>
    </w:p>
    <w:p w14:paraId="610AF629">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3.1 发包人应按约定的时间和要求完成以下工作：</w:t>
      </w:r>
    </w:p>
    <w:p w14:paraId="37A605B7">
      <w:pPr>
        <w:widowControl w:val="0"/>
        <w:spacing w:line="380" w:lineRule="exact"/>
        <w:ind w:firstLine="651" w:firstLineChars="3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(l)施工场地具备施工条件的要求及完成的时间</w:t>
      </w:r>
      <w:r>
        <w:rPr>
          <w:rFonts w:hint="eastAsia" w:ascii="宋体" w:hAnsi="宋体" w:eastAsia="宋体" w:cs="Times New Roman"/>
          <w:kern w:val="2"/>
          <w:sz w:val="21"/>
          <w:szCs w:val="21"/>
          <w:u w:val="single"/>
          <w:lang w:val="en-US" w:eastAsia="zh-CN" w:bidi="ar-SA"/>
        </w:rPr>
        <w:t>：于开工前7天。</w:t>
      </w:r>
      <w:r>
        <w:rPr>
          <w:rFonts w:hint="eastAsia" w:ascii="宋体" w:hAnsi="宋体" w:eastAsia="宋体" w:cs="Times New Roman"/>
          <w:kern w:val="2"/>
          <w:sz w:val="21"/>
          <w:szCs w:val="21"/>
          <w:lang w:val="en-US" w:eastAsia="zh-CN" w:bidi="ar-SA"/>
        </w:rPr>
        <w:t xml:space="preserve">   </w:t>
      </w:r>
    </w:p>
    <w:p w14:paraId="683D49E4">
      <w:pPr>
        <w:widowControl w:val="0"/>
        <w:spacing w:line="380" w:lineRule="exact"/>
        <w:ind w:firstLine="443" w:firstLineChars="210"/>
        <w:jc w:val="both"/>
        <w:rPr>
          <w:rFonts w:ascii="宋体" w:hAnsi="宋体" w:eastAsia="宋体" w:cs="Times New Roman"/>
          <w:b/>
          <w:bCs/>
          <w:kern w:val="2"/>
          <w:sz w:val="21"/>
          <w:szCs w:val="21"/>
          <w:u w:val="single"/>
          <w:lang w:val="en-US" w:eastAsia="zh-CN" w:bidi="ar-SA"/>
        </w:rPr>
      </w:pPr>
      <w:r>
        <w:rPr>
          <w:rFonts w:hint="eastAsia" w:ascii="宋体" w:hAnsi="宋体" w:eastAsia="宋体" w:cs="Times New Roman"/>
          <w:b/>
          <w:bCs/>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(2)将施工所需的水、电、电讯线路接至施工场地的时间、地点和供应要求：由承包人在磋商报价中自行考虑。</w:t>
      </w:r>
      <w:r>
        <w:rPr>
          <w:rFonts w:hint="eastAsia" w:ascii="宋体" w:hAnsi="宋体" w:eastAsia="宋体" w:cs="Times New Roman"/>
          <w:kern w:val="2"/>
          <w:sz w:val="21"/>
          <w:szCs w:val="21"/>
          <w:u w:val="single"/>
          <w:lang w:val="en-US" w:eastAsia="zh-CN" w:bidi="ar-SA"/>
        </w:rPr>
        <w:t>若供电部门的原因造成停电，承包人必须自行解决施工用电，费用自理。</w:t>
      </w:r>
    </w:p>
    <w:p w14:paraId="444A38F6">
      <w:pPr>
        <w:widowControl w:val="0"/>
        <w:spacing w:line="380" w:lineRule="exact"/>
        <w:ind w:firstLine="577" w:firstLineChars="275"/>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lang w:val="en-US" w:eastAsia="zh-CN" w:bidi="ar-SA"/>
        </w:rPr>
        <w:t>(3)施工场地与公共道路的通道开通时间和要求：</w:t>
      </w:r>
      <w:r>
        <w:rPr>
          <w:rFonts w:hint="eastAsia" w:ascii="宋体" w:hAnsi="宋体" w:eastAsia="宋体" w:cs="Times New Roman"/>
          <w:bCs/>
          <w:kern w:val="2"/>
          <w:sz w:val="21"/>
          <w:szCs w:val="21"/>
          <w:u w:val="single"/>
          <w:lang w:val="en-US" w:eastAsia="zh-CN" w:bidi="ar-SA"/>
        </w:rPr>
        <w:t xml:space="preserve"> 已开通。</w:t>
      </w:r>
    </w:p>
    <w:p w14:paraId="7AEAA8D2">
      <w:pPr>
        <w:widowControl w:val="0"/>
        <w:spacing w:line="380" w:lineRule="exact"/>
        <w:ind w:firstLine="443"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b/>
          <w:bCs/>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(4)工程地质和地下管线资料的提供时间：</w:t>
      </w:r>
      <w:r>
        <w:rPr>
          <w:rFonts w:hint="eastAsia" w:ascii="宋体" w:hAnsi="宋体" w:eastAsia="宋体" w:cs="Times New Roman"/>
          <w:kern w:val="2"/>
          <w:sz w:val="21"/>
          <w:szCs w:val="21"/>
          <w:u w:val="single"/>
          <w:lang w:val="en-US" w:eastAsia="zh-CN" w:bidi="ar-SA"/>
        </w:rPr>
        <w:t>由承包人现场勘测，费用自理。</w:t>
      </w:r>
    </w:p>
    <w:p w14:paraId="0A082942">
      <w:pPr>
        <w:widowControl w:val="0"/>
        <w:spacing w:line="380" w:lineRule="exact"/>
        <w:ind w:firstLine="443" w:firstLineChars="210"/>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
          <w:bCs/>
          <w:kern w:val="2"/>
          <w:sz w:val="21"/>
          <w:szCs w:val="21"/>
          <w:lang w:val="en-US" w:eastAsia="zh-CN" w:bidi="ar-SA"/>
        </w:rPr>
        <w:t xml:space="preserve"> </w:t>
      </w:r>
      <w:r>
        <w:rPr>
          <w:rFonts w:hint="eastAsia" w:ascii="宋体" w:hAnsi="宋体" w:eastAsia="宋体" w:cs="Times New Roman"/>
          <w:bCs/>
          <w:kern w:val="2"/>
          <w:sz w:val="21"/>
          <w:szCs w:val="21"/>
          <w:lang w:val="en-US" w:eastAsia="zh-CN" w:bidi="ar-SA"/>
        </w:rPr>
        <w:t>(5)由发包人办理的施工所需证件、批件的名称和完成时间：</w:t>
      </w:r>
      <w:r>
        <w:rPr>
          <w:rFonts w:hint="eastAsia" w:ascii="宋体" w:hAnsi="宋体" w:eastAsia="宋体" w:cs="Times New Roman"/>
          <w:bCs/>
          <w:kern w:val="2"/>
          <w:sz w:val="21"/>
          <w:szCs w:val="21"/>
          <w:u w:val="single"/>
          <w:lang w:val="en-US" w:eastAsia="zh-CN" w:bidi="ar-SA"/>
        </w:rPr>
        <w:t xml:space="preserve">  由承包人负责办理。</w:t>
      </w:r>
    </w:p>
    <w:p w14:paraId="5E1B82E9">
      <w:pPr>
        <w:widowControl w:val="0"/>
        <w:spacing w:line="380" w:lineRule="exact"/>
        <w:ind w:firstLine="441" w:firstLineChars="210"/>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lang w:val="en-US" w:eastAsia="zh-CN" w:bidi="ar-SA"/>
        </w:rPr>
        <w:t xml:space="preserve"> (6)水准点与座标控制点交验要求：</w:t>
      </w:r>
      <w:r>
        <w:rPr>
          <w:rFonts w:hint="eastAsia" w:ascii="宋体" w:hAnsi="宋体" w:eastAsia="宋体" w:cs="Times New Roman"/>
          <w:bCs/>
          <w:kern w:val="2"/>
          <w:sz w:val="21"/>
          <w:szCs w:val="21"/>
          <w:u w:val="single"/>
          <w:lang w:val="en-US" w:eastAsia="zh-CN" w:bidi="ar-SA"/>
        </w:rPr>
        <w:t xml:space="preserve"> 于开工前3日内现场交验，双方做好签认工作。</w:t>
      </w:r>
    </w:p>
    <w:p w14:paraId="6D6383F9">
      <w:pPr>
        <w:widowControl w:val="0"/>
        <w:spacing w:line="380" w:lineRule="exact"/>
        <w:ind w:firstLine="546" w:firstLineChars="260"/>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lang w:val="en-US" w:eastAsia="zh-CN" w:bidi="ar-SA"/>
        </w:rPr>
        <w:t>(7)图纸会审和设计交底时间：</w:t>
      </w:r>
      <w:r>
        <w:rPr>
          <w:rFonts w:hint="eastAsia" w:ascii="宋体" w:hAnsi="宋体" w:eastAsia="宋体" w:cs="Times New Roman"/>
          <w:bCs/>
          <w:kern w:val="2"/>
          <w:sz w:val="21"/>
          <w:szCs w:val="21"/>
          <w:u w:val="single"/>
          <w:lang w:val="en-US" w:eastAsia="zh-CN" w:bidi="ar-SA"/>
        </w:rPr>
        <w:t xml:space="preserve"> 于开工前7天。</w:t>
      </w:r>
    </w:p>
    <w:p w14:paraId="1C5970CC">
      <w:pPr>
        <w:widowControl w:val="0"/>
        <w:spacing w:line="380" w:lineRule="exact"/>
        <w:ind w:firstLine="443" w:firstLineChars="210"/>
        <w:jc w:val="both"/>
        <w:rPr>
          <w:rFonts w:ascii="宋体" w:hAnsi="宋体" w:eastAsia="宋体" w:cs="Times New Roman"/>
          <w:b/>
          <w:kern w:val="2"/>
          <w:sz w:val="21"/>
          <w:szCs w:val="21"/>
          <w:u w:val="single"/>
          <w:lang w:val="en-US" w:eastAsia="zh-CN" w:bidi="ar-SA"/>
        </w:rPr>
      </w:pPr>
      <w:r>
        <w:rPr>
          <w:rFonts w:hint="eastAsia" w:ascii="宋体" w:hAnsi="宋体" w:eastAsia="宋体" w:cs="Times New Roman"/>
          <w:b/>
          <w:bCs/>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(8)协调处理施工场地周围地下管线和邻近建筑物、构筑物(含文物保护建筑)、古树名木的保护工作：</w:t>
      </w:r>
      <w:r>
        <w:rPr>
          <w:rFonts w:hint="eastAsia" w:ascii="宋体" w:hAnsi="宋体" w:eastAsia="宋体" w:cs="Times New Roman"/>
          <w:kern w:val="2"/>
          <w:sz w:val="21"/>
          <w:szCs w:val="21"/>
          <w:u w:val="single"/>
          <w:lang w:val="en-US" w:eastAsia="zh-CN" w:bidi="ar-SA"/>
        </w:rPr>
        <w:t xml:space="preserve"> 由发包人协调，相应费用由承包人承担。</w:t>
      </w:r>
    </w:p>
    <w:p w14:paraId="1E15D204">
      <w:pPr>
        <w:widowControl w:val="0"/>
        <w:numPr>
          <w:ilvl w:val="0"/>
          <w:numId w:val="3"/>
        </w:numPr>
        <w:spacing w:line="380" w:lineRule="exact"/>
        <w:ind w:firstLine="546" w:firstLineChars="26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双方约定发包人应做的其他工作：</w:t>
      </w:r>
      <w:r>
        <w:rPr>
          <w:rFonts w:hint="eastAsia" w:ascii="宋体" w:hAnsi="宋体" w:eastAsia="宋体" w:cs="Times New Roman"/>
          <w:kern w:val="2"/>
          <w:sz w:val="21"/>
          <w:szCs w:val="21"/>
          <w:u w:val="single"/>
          <w:lang w:val="en-US" w:eastAsia="zh-CN" w:bidi="ar-SA"/>
        </w:rPr>
        <w:t xml:space="preserve">  为承包人提供施工用水电 。 </w:t>
      </w:r>
    </w:p>
    <w:p w14:paraId="69B098D8">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3.2 发包人委托承包人办理的工作： </w:t>
      </w:r>
    </w:p>
    <w:p w14:paraId="69672803">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55" w:name="_Toc43044948"/>
      <w:bookmarkStart w:id="156" w:name="_Toc118023784"/>
      <w:r>
        <w:rPr>
          <w:rFonts w:hint="eastAsia" w:ascii="宋体" w:hAnsi="宋体" w:eastAsia="宋体" w:cs="Times New Roman"/>
          <w:b/>
          <w:kern w:val="2"/>
          <w:sz w:val="21"/>
          <w:szCs w:val="21"/>
          <w:lang w:val="en-US" w:eastAsia="zh-CN" w:bidi="ar-SA"/>
        </w:rPr>
        <w:t>4、承包人工作</w:t>
      </w:r>
      <w:bookmarkEnd w:id="155"/>
      <w:bookmarkEnd w:id="156"/>
    </w:p>
    <w:p w14:paraId="78BB564B">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 承包人应按约定时间和要求，完成以下工作：</w:t>
      </w:r>
    </w:p>
    <w:p w14:paraId="13C1966D">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(1)需由设计资质等级和业务范围允许的承包人完成的设计文件提交时间：</w:t>
      </w:r>
      <w:r>
        <w:rPr>
          <w:rFonts w:hint="eastAsia" w:ascii="宋体" w:hAnsi="宋体" w:eastAsia="宋体" w:cs="Times New Roman"/>
          <w:kern w:val="2"/>
          <w:sz w:val="21"/>
          <w:szCs w:val="21"/>
          <w:u w:val="single"/>
          <w:lang w:val="en-US" w:eastAsia="zh-CN" w:bidi="ar-SA"/>
        </w:rPr>
        <w:t xml:space="preserve">  待定。  </w:t>
      </w:r>
    </w:p>
    <w:p w14:paraId="16DB81E4">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(2)应提供计划、报表的名称及完成时问：</w:t>
      </w:r>
      <w:r>
        <w:rPr>
          <w:rFonts w:hint="eastAsia" w:ascii="宋体" w:hAnsi="宋体" w:eastAsia="宋体" w:cs="Times New Roman"/>
          <w:kern w:val="2"/>
          <w:sz w:val="21"/>
          <w:szCs w:val="21"/>
          <w:u w:val="single"/>
          <w:lang w:val="en-US" w:eastAsia="zh-CN" w:bidi="ar-SA"/>
        </w:rPr>
        <w:t xml:space="preserve"> 发包人提供当月工程进度报表以及下月进度计划各一式两份。</w:t>
      </w:r>
    </w:p>
    <w:p w14:paraId="2BFC9581">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﹡(3)承担施工安全保卫工作及非夜间施工照明的责任和要求：</w:t>
      </w:r>
      <w:r>
        <w:rPr>
          <w:rFonts w:hint="eastAsia" w:ascii="宋体" w:hAnsi="宋体" w:eastAsia="宋体" w:cs="Times New Roman"/>
          <w:kern w:val="2"/>
          <w:sz w:val="21"/>
          <w:szCs w:val="21"/>
          <w:u w:val="single"/>
          <w:lang w:val="en-US" w:eastAsia="zh-CN" w:bidi="ar-SA"/>
        </w:rPr>
        <w:t xml:space="preserve">  承包人应采取一切合理的预防措施，防止人员伤亡、财产损失事故，费用由承包人承担。  </w:t>
      </w:r>
    </w:p>
    <w:p w14:paraId="475DB625">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(4)向发包人提供的办公和生活房屋及设施的要求：</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b/>
          <w:kern w:val="2"/>
          <w:sz w:val="21"/>
          <w:szCs w:val="21"/>
          <w:u w:val="single"/>
          <w:lang w:val="en-US" w:eastAsia="zh-CN" w:bidi="ar-SA"/>
        </w:rPr>
        <w:t>无   。</w:t>
      </w:r>
    </w:p>
    <w:p w14:paraId="65CA7F4F">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 (5)需承包人办理的有关施工场地交通、环卫和施工噪音管理等手续：</w:t>
      </w:r>
      <w:r>
        <w:rPr>
          <w:rFonts w:hint="eastAsia" w:ascii="宋体" w:hAnsi="宋体" w:eastAsia="宋体" w:cs="Times New Roman"/>
          <w:kern w:val="2"/>
          <w:sz w:val="21"/>
          <w:szCs w:val="21"/>
          <w:u w:val="single"/>
          <w:lang w:val="en-US" w:eastAsia="zh-CN" w:bidi="ar-SA"/>
        </w:rPr>
        <w:t>因施工需要，经发包人批准，由承包人办理和负责费用。</w:t>
      </w:r>
    </w:p>
    <w:p w14:paraId="485E8FA6">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 xml:space="preserve">(6)已完工程成品保护的特殊要求及费用承担： </w:t>
      </w:r>
      <w:r>
        <w:rPr>
          <w:rFonts w:hint="eastAsia" w:ascii="宋体" w:hAnsi="宋体" w:eastAsia="宋体" w:cs="Times New Roman"/>
          <w:kern w:val="2"/>
          <w:sz w:val="21"/>
          <w:szCs w:val="21"/>
          <w:u w:val="single"/>
          <w:lang w:val="en-US" w:eastAsia="zh-CN" w:bidi="ar-SA"/>
        </w:rPr>
        <w:t xml:space="preserve"> 按通用条款第9.1（6）条执行。 </w:t>
      </w:r>
    </w:p>
    <w:p w14:paraId="0F7F04B2">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﹡(7)施工场地周围地下管线和邻近建筑物、构筑物(含文物保护建筑)、古树名木的保护要求及费用承担：</w:t>
      </w:r>
      <w:r>
        <w:rPr>
          <w:rFonts w:hint="eastAsia" w:ascii="宋体" w:hAnsi="宋体" w:eastAsia="宋体" w:cs="Times New Roman"/>
          <w:kern w:val="2"/>
          <w:sz w:val="21"/>
          <w:szCs w:val="21"/>
          <w:u w:val="single"/>
          <w:lang w:val="en-US" w:eastAsia="zh-CN" w:bidi="ar-SA"/>
        </w:rPr>
        <w:t>承包人施工时应探明并负责保护且承担费用，施工时如损坏地下管线、邻近建筑物、构筑物，所发生费用由承包人承担。</w:t>
      </w:r>
    </w:p>
    <w:p w14:paraId="2D4C69F8">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﹡(8)施工场地清洁卫生的要求：</w:t>
      </w:r>
      <w:r>
        <w:rPr>
          <w:rFonts w:hint="eastAsia" w:ascii="宋体" w:hAnsi="宋体" w:eastAsia="宋体" w:cs="Times New Roman"/>
          <w:kern w:val="2"/>
          <w:sz w:val="21"/>
          <w:szCs w:val="21"/>
          <w:u w:val="single"/>
          <w:lang w:val="en-US" w:eastAsia="zh-CN" w:bidi="ar-SA"/>
        </w:rPr>
        <w:t>由于施工造成的环境污染，其责任和费用均由承包人承担。</w:t>
      </w:r>
    </w:p>
    <w:p w14:paraId="4444DC99">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(9)双方约定承包人应做的其他工作：</w:t>
      </w:r>
    </w:p>
    <w:p w14:paraId="5F330837">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1)配合发包人做好安全文明宣传、领导检查宣传等工作，相关费用由承包人承担。</w:t>
      </w:r>
    </w:p>
    <w:p w14:paraId="7257A571">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2)承包人生活设施及施工场地，应自费配备消防设备，防止火灾发生。</w:t>
      </w:r>
    </w:p>
    <w:p w14:paraId="6C33AAF0">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3)承包人的临时用地（含项目部驻地等）租用费（含拆迁补偿）、临时用地的环保、恢复、临时用地的青苗补偿及地面附着物拆除等费用均由承包人负责，以上费用在磋商报价中综合考虑。</w:t>
      </w:r>
    </w:p>
    <w:p w14:paraId="39968410">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4)取土场及弃土场由承包人自行解决，但不得违反相关管理规定，并承担相关费用。</w:t>
      </w:r>
    </w:p>
    <w:p w14:paraId="10AFED40">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5）经过城市道路的施工车辆，必须按交警、城管、运输等部门相关规定执行。由于施工车辆造成的道路、环境等污染，其责任和费用均由承包人承担。</w:t>
      </w:r>
    </w:p>
    <w:p w14:paraId="6DDB626F">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6）承包人负责合同实施期间其合同段内临时交通道路（含场内外连接公共交通道路）和交通设施的修建、维修、养护和交通管理工作，并承担一切费用。</w:t>
      </w:r>
    </w:p>
    <w:p w14:paraId="1329C17B">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0B0008">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57" w:name="_Toc118023785"/>
      <w:bookmarkStart w:id="158" w:name="_Toc43044949"/>
      <w:r>
        <w:rPr>
          <w:rFonts w:hint="eastAsia" w:ascii="宋体" w:hAnsi="宋体" w:eastAsia="宋体" w:cs="Times New Roman"/>
          <w:b/>
          <w:kern w:val="2"/>
          <w:sz w:val="21"/>
          <w:szCs w:val="21"/>
          <w:lang w:val="en-US" w:eastAsia="zh-CN" w:bidi="ar-SA"/>
        </w:rPr>
        <w:t>三、施工组织设计和工期</w:t>
      </w:r>
      <w:bookmarkEnd w:id="157"/>
      <w:bookmarkEnd w:id="158"/>
    </w:p>
    <w:p w14:paraId="3DCD94A4">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59" w:name="_Toc43044950"/>
      <w:bookmarkStart w:id="160" w:name="_Toc118023786"/>
      <w:r>
        <w:rPr>
          <w:rFonts w:hint="eastAsia" w:ascii="宋体" w:hAnsi="宋体" w:eastAsia="宋体" w:cs="Times New Roman"/>
          <w:b/>
          <w:kern w:val="2"/>
          <w:sz w:val="21"/>
          <w:szCs w:val="21"/>
          <w:lang w:val="en-US" w:eastAsia="zh-CN" w:bidi="ar-SA"/>
        </w:rPr>
        <w:t>1、进度计划</w:t>
      </w:r>
      <w:bookmarkEnd w:id="159"/>
      <w:bookmarkEnd w:id="160"/>
    </w:p>
    <w:p w14:paraId="55602795">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 承包人提供施工组织设计(施工方案)和进度计划的时间：</w:t>
      </w:r>
      <w:r>
        <w:rPr>
          <w:rFonts w:hint="eastAsia" w:ascii="宋体" w:hAnsi="宋体" w:eastAsia="宋体" w:cs="Times New Roman"/>
          <w:bCs/>
          <w:kern w:val="2"/>
          <w:sz w:val="21"/>
          <w:szCs w:val="21"/>
          <w:u w:val="single"/>
          <w:lang w:val="en-US" w:eastAsia="zh-CN" w:bidi="ar-SA"/>
        </w:rPr>
        <w:t xml:space="preserve"> 于开工前7日内</w:t>
      </w:r>
      <w:r>
        <w:rPr>
          <w:rFonts w:hint="eastAsia" w:ascii="宋体" w:hAnsi="宋体" w:eastAsia="宋体" w:cs="Times New Roman"/>
          <w:bCs/>
          <w:kern w:val="2"/>
          <w:sz w:val="21"/>
          <w:szCs w:val="21"/>
          <w:lang w:val="en-US" w:eastAsia="zh-CN" w:bidi="ar-SA"/>
        </w:rPr>
        <w:t>。</w:t>
      </w:r>
    </w:p>
    <w:p w14:paraId="62EF0E6E">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bCs/>
          <w:kern w:val="2"/>
          <w:sz w:val="21"/>
          <w:szCs w:val="21"/>
          <w:lang w:val="en-US" w:eastAsia="zh-CN" w:bidi="ar-SA"/>
        </w:rPr>
        <w:t>工程师确认的时间：</w:t>
      </w:r>
      <w:r>
        <w:rPr>
          <w:rFonts w:hint="eastAsia" w:ascii="宋体" w:hAnsi="宋体" w:eastAsia="宋体" w:cs="Times New Roman"/>
          <w:bCs/>
          <w:kern w:val="2"/>
          <w:sz w:val="21"/>
          <w:szCs w:val="21"/>
          <w:u w:val="single"/>
          <w:lang w:val="en-US" w:eastAsia="zh-CN" w:bidi="ar-SA"/>
        </w:rPr>
        <w:t xml:space="preserve"> 收到后5日内予以批复</w:t>
      </w:r>
      <w:r>
        <w:rPr>
          <w:rFonts w:hint="eastAsia" w:ascii="宋体" w:hAnsi="宋体" w:eastAsia="宋体" w:cs="Times New Roman"/>
          <w:bCs/>
          <w:kern w:val="2"/>
          <w:sz w:val="21"/>
          <w:szCs w:val="21"/>
          <w:lang w:val="en-US" w:eastAsia="zh-CN" w:bidi="ar-SA"/>
        </w:rPr>
        <w:t>。</w:t>
      </w:r>
    </w:p>
    <w:p w14:paraId="2904FAA7">
      <w:pPr>
        <w:widowControl w:val="0"/>
        <w:spacing w:line="380" w:lineRule="exact"/>
        <w:ind w:firstLine="441" w:firstLineChars="210"/>
        <w:jc w:val="both"/>
        <w:rPr>
          <w:rFonts w:ascii="宋体" w:hAnsi="宋体" w:eastAsia="宋体" w:cs="Times New Roman"/>
          <w:b/>
          <w:kern w:val="2"/>
          <w:sz w:val="21"/>
          <w:szCs w:val="21"/>
          <w:u w:val="single"/>
          <w:lang w:val="en-US" w:eastAsia="zh-CN" w:bidi="ar-SA"/>
        </w:rPr>
      </w:pPr>
      <w:r>
        <w:rPr>
          <w:rFonts w:hint="eastAsia" w:ascii="宋体" w:hAnsi="宋体" w:eastAsia="宋体" w:cs="Times New Roman"/>
          <w:bCs/>
          <w:kern w:val="2"/>
          <w:sz w:val="21"/>
          <w:szCs w:val="21"/>
          <w:lang w:val="en-US" w:eastAsia="zh-CN" w:bidi="ar-SA"/>
        </w:rPr>
        <w:t>1.2 群体工程中有关进度计划的要求：</w:t>
      </w:r>
      <w:r>
        <w:rPr>
          <w:rFonts w:hint="eastAsia" w:ascii="宋体" w:hAnsi="宋体" w:eastAsia="宋体" w:cs="Times New Roman"/>
          <w:b/>
          <w:kern w:val="2"/>
          <w:sz w:val="21"/>
          <w:szCs w:val="21"/>
          <w:lang w:val="en-US" w:eastAsia="zh-CN" w:bidi="ar-SA"/>
        </w:rPr>
        <w:t xml:space="preserve"> </w:t>
      </w:r>
      <w:r>
        <w:rPr>
          <w:rFonts w:hint="eastAsia" w:ascii="宋体" w:hAnsi="宋体" w:eastAsia="宋体" w:cs="Times New Roman"/>
          <w:b/>
          <w:kern w:val="2"/>
          <w:sz w:val="21"/>
          <w:szCs w:val="21"/>
          <w:u w:val="single"/>
          <w:lang w:val="en-US" w:eastAsia="zh-CN" w:bidi="ar-SA"/>
        </w:rPr>
        <w:t xml:space="preserve">                 </w:t>
      </w:r>
    </w:p>
    <w:p w14:paraId="10BF197D">
      <w:pPr>
        <w:widowControl w:val="0"/>
        <w:spacing w:line="380" w:lineRule="exact"/>
        <w:ind w:firstLine="443" w:firstLineChars="21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2、工期延误</w:t>
      </w:r>
    </w:p>
    <w:p w14:paraId="50E83000">
      <w:pPr>
        <w:spacing w:line="380" w:lineRule="exact"/>
        <w:ind w:firstLine="441" w:firstLineChars="210"/>
        <w:rPr>
          <w:rFonts w:ascii="Times New Roman" w:hAnsi="宋体" w:eastAsia="宋体" w:cs="Times New Roman"/>
          <w:szCs w:val="21"/>
          <w:u w:val="single"/>
        </w:rPr>
      </w:pPr>
      <w:r>
        <w:rPr>
          <w:rFonts w:hint="eastAsia" w:ascii="Times New Roman" w:hAnsi="宋体" w:eastAsia="宋体" w:cs="Times New Roman"/>
          <w:szCs w:val="21"/>
        </w:rPr>
        <w:t>2.1 对以下原因造成工期延误；经工程师确认，工期相应顺延：</w:t>
      </w:r>
      <w:r>
        <w:rPr>
          <w:rFonts w:hint="eastAsia" w:ascii="Times New Roman" w:hAnsi="宋体" w:eastAsia="宋体" w:cs="Times New Roman"/>
          <w:szCs w:val="21"/>
          <w:u w:val="single"/>
        </w:rPr>
        <w:t>按通用条款第13条执行。</w:t>
      </w:r>
    </w:p>
    <w:p w14:paraId="0CF00FD1">
      <w:pPr>
        <w:spacing w:line="380" w:lineRule="exact"/>
        <w:ind w:firstLine="441" w:firstLineChars="210"/>
        <w:rPr>
          <w:rFonts w:ascii="Times New Roman" w:hAnsi="宋体" w:eastAsia="宋体" w:cs="Times New Roman"/>
          <w:szCs w:val="21"/>
          <w:u w:val="single"/>
        </w:rPr>
      </w:pPr>
      <w:r>
        <w:rPr>
          <w:rFonts w:hint="eastAsia" w:ascii="Times New Roman" w:hAnsi="宋体" w:eastAsia="宋体" w:cs="Times New Roman"/>
          <w:szCs w:val="21"/>
        </w:rPr>
        <w:t>2.1.1 双方约定工期顺延的其他情况：</w:t>
      </w:r>
      <w:r>
        <w:rPr>
          <w:rFonts w:hint="eastAsia" w:ascii="Times New Roman" w:hAnsi="宋体" w:eastAsia="宋体" w:cs="Times New Roman"/>
          <w:szCs w:val="21"/>
          <w:u w:val="single"/>
        </w:rPr>
        <w:t xml:space="preserve">  不可抗力的原因。   </w:t>
      </w:r>
    </w:p>
    <w:p w14:paraId="7E29FE38">
      <w:pPr>
        <w:spacing w:line="380" w:lineRule="exact"/>
        <w:ind w:firstLine="441" w:firstLineChars="210"/>
        <w:rPr>
          <w:rFonts w:ascii="Times New Roman" w:hAnsi="宋体" w:eastAsia="宋体" w:cs="Times New Roman"/>
          <w:szCs w:val="21"/>
        </w:rPr>
      </w:pPr>
      <w:r>
        <w:rPr>
          <w:rFonts w:hint="eastAsia" w:ascii="Times New Roman" w:hAnsi="宋体" w:eastAsia="宋体" w:cs="Times New Roman"/>
          <w:szCs w:val="21"/>
        </w:rPr>
        <w:t>2.2 非上述原因，承包人不能按合同约定的时间竣工，承包人应承担违约责任。应向发包人支付误期赔偿费（每天赔偿金额为合同价款的万分之</w:t>
      </w:r>
      <w:r>
        <w:rPr>
          <w:rFonts w:hint="eastAsia" w:ascii="Times New Roman" w:hAnsi="宋体" w:eastAsia="宋体" w:cs="Times New Roman"/>
          <w:szCs w:val="21"/>
          <w:u w:val="single"/>
        </w:rPr>
        <w:t xml:space="preserve"> 四 </w:t>
      </w:r>
      <w:r>
        <w:rPr>
          <w:rFonts w:hint="eastAsia" w:ascii="Times New Roman" w:hAnsi="宋体" w:eastAsia="宋体" w:cs="Times New Roman"/>
          <w:szCs w:val="21"/>
        </w:rPr>
        <w:t>），误期时间从规定竣工日期起直到全部工程或相应部分工程竣工验收各方签章日期之间的天数（扣除发包人批准顺延的工期），其极限为合同价的</w:t>
      </w:r>
      <w:r>
        <w:rPr>
          <w:rFonts w:hint="eastAsia" w:ascii="Times New Roman" w:hAnsi="宋体" w:eastAsia="宋体" w:cs="Times New Roman"/>
          <w:szCs w:val="21"/>
          <w:u w:val="single"/>
        </w:rPr>
        <w:t xml:space="preserve"> 5 %</w:t>
      </w:r>
      <w:r>
        <w:rPr>
          <w:rFonts w:hint="eastAsia" w:ascii="Times New Roman" w:hAnsi="宋体" w:eastAsia="宋体" w:cs="Times New Roman"/>
          <w:szCs w:val="21"/>
        </w:rPr>
        <w:t>。发包人可从应向承包人支付的任何金额中扣除此项赔款费或其他方式收回此款，此赔偿款的支付并不能解除承包人应完成工程的责任或合同规定的其他责任。</w:t>
      </w:r>
    </w:p>
    <w:p w14:paraId="090747B3">
      <w:pPr>
        <w:spacing w:line="380" w:lineRule="exact"/>
        <w:ind w:firstLine="441" w:firstLineChars="210"/>
        <w:rPr>
          <w:rFonts w:ascii="Times New Roman" w:hAnsi="宋体" w:eastAsia="宋体" w:cs="Times New Roman"/>
          <w:szCs w:val="21"/>
        </w:rPr>
      </w:pPr>
      <w:r>
        <w:rPr>
          <w:rFonts w:hint="eastAsia" w:ascii="Times New Roman" w:hAnsi="宋体" w:eastAsia="宋体" w:cs="Times New Roman"/>
          <w:szCs w:val="21"/>
        </w:rPr>
        <w:t>2.3 因工程量变化和设计变更的工期予以顺延，即工期相应变化，质量要求不变。</w:t>
      </w:r>
    </w:p>
    <w:p w14:paraId="0CF77BB2">
      <w:pPr>
        <w:spacing w:line="380" w:lineRule="exact"/>
        <w:ind w:firstLine="441" w:firstLineChars="210"/>
        <w:rPr>
          <w:rFonts w:ascii="Times New Roman" w:hAnsi="宋体" w:eastAsia="宋体" w:cs="Times New Roman"/>
          <w:szCs w:val="21"/>
        </w:rPr>
      </w:pPr>
      <w:r>
        <w:rPr>
          <w:rFonts w:hint="eastAsia" w:ascii="Times New Roman" w:hAnsi="宋体" w:eastAsia="宋体" w:cs="Times New Roman"/>
          <w:szCs w:val="21"/>
        </w:rPr>
        <w:t>2.4 承包人必须按照合同工期或发包人同意顺延的工期竣工。</w:t>
      </w:r>
    </w:p>
    <w:p w14:paraId="71CA563F">
      <w:pPr>
        <w:widowControl w:val="0"/>
        <w:spacing w:line="380" w:lineRule="exact"/>
        <w:ind w:firstLine="348" w:firstLineChars="165"/>
        <w:jc w:val="both"/>
        <w:rPr>
          <w:rFonts w:ascii="宋体" w:hAnsi="宋体" w:eastAsia="宋体" w:cs="Times New Roman"/>
          <w:b/>
          <w:kern w:val="2"/>
          <w:sz w:val="21"/>
          <w:szCs w:val="21"/>
          <w:lang w:val="en-US" w:eastAsia="zh-CN" w:bidi="ar-SA"/>
        </w:rPr>
      </w:pPr>
      <w:bookmarkStart w:id="161" w:name="_Toc43044952"/>
      <w:bookmarkStart w:id="162" w:name="_Toc118023788"/>
      <w:r>
        <w:rPr>
          <w:rFonts w:hint="eastAsia" w:ascii="宋体" w:hAnsi="宋体" w:eastAsia="宋体" w:cs="Times New Roman"/>
          <w:b/>
          <w:kern w:val="2"/>
          <w:sz w:val="21"/>
          <w:szCs w:val="21"/>
          <w:lang w:val="en-US" w:eastAsia="zh-CN" w:bidi="ar-SA"/>
        </w:rPr>
        <w:t>四、质量与验收</w:t>
      </w:r>
      <w:bookmarkEnd w:id="161"/>
      <w:bookmarkEnd w:id="162"/>
    </w:p>
    <w:p w14:paraId="651A2590">
      <w:pPr>
        <w:widowControl w:val="0"/>
        <w:spacing w:line="380" w:lineRule="exact"/>
        <w:ind w:firstLine="348" w:firstLineChars="165"/>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1. 工程质量</w:t>
      </w:r>
    </w:p>
    <w:p w14:paraId="5EBA5D06">
      <w:pPr>
        <w:spacing w:line="380" w:lineRule="exact"/>
        <w:ind w:firstLine="346" w:firstLineChars="165"/>
        <w:rPr>
          <w:rFonts w:ascii="Times New Roman" w:hAnsi="宋体" w:eastAsia="宋体" w:cs="Times New Roman"/>
          <w:szCs w:val="21"/>
        </w:rPr>
      </w:pPr>
      <w:r>
        <w:rPr>
          <w:rFonts w:hint="eastAsia" w:ascii="Times New Roman" w:hAnsi="宋体" w:eastAsia="宋体" w:cs="Times New Roman"/>
          <w:szCs w:val="21"/>
        </w:rPr>
        <w:t>1.1 发包人对工程质量的要求：</w:t>
      </w:r>
      <w:r>
        <w:rPr>
          <w:rFonts w:hint="eastAsia" w:ascii="Times New Roman" w:hAnsi="宋体" w:eastAsia="宋体" w:cs="Times New Roman"/>
          <w:szCs w:val="21"/>
          <w:u w:val="single"/>
        </w:rPr>
        <w:t xml:space="preserve">  </w:t>
      </w:r>
      <w:r>
        <w:rPr>
          <w:rFonts w:hint="eastAsia" w:ascii="Times New Roman" w:hAnsi="宋体" w:eastAsia="宋体" w:cs="Times New Roman"/>
          <w:bCs/>
          <w:szCs w:val="21"/>
          <w:u w:val="single"/>
        </w:rPr>
        <w:t>合格。</w:t>
      </w:r>
      <w:r>
        <w:rPr>
          <w:rFonts w:hint="eastAsia" w:ascii="Times New Roman" w:hAnsi="宋体" w:eastAsia="宋体" w:cs="Times New Roman"/>
          <w:bCs/>
          <w:szCs w:val="21"/>
        </w:rPr>
        <w:t xml:space="preserve"> </w:t>
      </w:r>
      <w:r>
        <w:rPr>
          <w:rFonts w:hint="eastAsia" w:ascii="Times New Roman" w:hAnsi="宋体" w:eastAsia="宋体" w:cs="Times New Roman"/>
          <w:szCs w:val="21"/>
        </w:rPr>
        <w:t xml:space="preserve">   </w:t>
      </w:r>
    </w:p>
    <w:p w14:paraId="15519DDA">
      <w:pPr>
        <w:spacing w:line="380" w:lineRule="exact"/>
        <w:ind w:firstLine="346" w:firstLineChars="165"/>
        <w:rPr>
          <w:rFonts w:ascii="Times New Roman" w:hAnsi="宋体" w:eastAsia="宋体" w:cs="Times New Roman"/>
          <w:szCs w:val="21"/>
        </w:rPr>
      </w:pPr>
      <w:r>
        <w:rPr>
          <w:rFonts w:hint="eastAsia" w:ascii="Times New Roman" w:hAnsi="宋体" w:eastAsia="宋体" w:cs="Times New Roman"/>
          <w:szCs w:val="21"/>
        </w:rPr>
        <w:t>1.2 双方对工程质量有争议时，请</w:t>
      </w:r>
      <w:r>
        <w:rPr>
          <w:rFonts w:hint="eastAsia" w:ascii="Times New Roman" w:hAnsi="宋体" w:eastAsia="宋体" w:cs="宋体"/>
          <w:szCs w:val="21"/>
          <w:u w:val="single"/>
        </w:rPr>
        <w:t>大新县</w:t>
      </w:r>
      <w:r>
        <w:rPr>
          <w:rFonts w:hint="eastAsia" w:ascii="Times New Roman" w:hAnsi="宋体" w:eastAsia="宋体" w:cs="宋体"/>
          <w:szCs w:val="21"/>
        </w:rPr>
        <w:t>仲裁委员会</w:t>
      </w:r>
      <w:r>
        <w:rPr>
          <w:rFonts w:hint="eastAsia" w:ascii="Times New Roman" w:hAnsi="宋体" w:eastAsia="宋体" w:cs="Times New Roman"/>
          <w:szCs w:val="21"/>
        </w:rPr>
        <w:t xml:space="preserve">仲裁。 </w:t>
      </w:r>
    </w:p>
    <w:p w14:paraId="6DAB2FD8">
      <w:pPr>
        <w:widowControl w:val="0"/>
        <w:spacing w:line="380" w:lineRule="exact"/>
        <w:ind w:firstLine="443" w:firstLineChars="21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2、隐蔽工程和中间验收</w:t>
      </w:r>
    </w:p>
    <w:p w14:paraId="1907DE75">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2.1 双方约定中间验收部位：</w:t>
      </w:r>
      <w:r>
        <w:rPr>
          <w:rFonts w:hint="eastAsia" w:ascii="宋体" w:hAnsi="宋体" w:eastAsia="宋体" w:cs="Times New Roman"/>
          <w:bCs/>
          <w:kern w:val="2"/>
          <w:sz w:val="21"/>
          <w:szCs w:val="21"/>
          <w:u w:val="single"/>
          <w:lang w:val="en-US" w:eastAsia="zh-CN" w:bidi="ar-SA"/>
        </w:rPr>
        <w:t xml:space="preserve">  待定。</w:t>
      </w:r>
    </w:p>
    <w:p w14:paraId="3BF44ACF">
      <w:pPr>
        <w:widowControl w:val="0"/>
        <w:spacing w:line="380" w:lineRule="exact"/>
        <w:ind w:firstLine="438" w:firstLineChars="209"/>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DD9E160">
      <w:pPr>
        <w:widowControl w:val="0"/>
        <w:spacing w:line="380" w:lineRule="exact"/>
        <w:ind w:firstLine="438" w:firstLineChars="209"/>
        <w:jc w:val="both"/>
        <w:rPr>
          <w:rFonts w:ascii="宋体" w:hAnsi="宋体" w:eastAsia="宋体" w:cs="Times New Roman"/>
          <w:kern w:val="2"/>
          <w:sz w:val="21"/>
          <w:szCs w:val="21"/>
          <w:lang w:val="en-US" w:eastAsia="zh-CN" w:bidi="ar-SA"/>
        </w:rPr>
      </w:pPr>
      <w:r>
        <w:rPr>
          <w:rFonts w:hint="eastAsia" w:ascii="宋体" w:hAnsi="宋体" w:eastAsia="宋体" w:cs="Times New Roman"/>
          <w:bCs/>
          <w:kern w:val="2"/>
          <w:sz w:val="21"/>
          <w:szCs w:val="21"/>
          <w:lang w:val="en-US" w:eastAsia="zh-CN" w:bidi="ar-SA"/>
        </w:rPr>
        <w:t>2.3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582FB095">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63" w:name="_Toc118023792"/>
      <w:bookmarkStart w:id="164" w:name="_Toc43044956"/>
      <w:r>
        <w:rPr>
          <w:rFonts w:hint="eastAsia" w:ascii="宋体" w:hAnsi="宋体" w:eastAsia="宋体" w:cs="Times New Roman"/>
          <w:b/>
          <w:kern w:val="2"/>
          <w:sz w:val="21"/>
          <w:szCs w:val="21"/>
          <w:lang w:val="en-US" w:eastAsia="zh-CN" w:bidi="ar-SA"/>
        </w:rPr>
        <w:t>五、合同价款与支付</w:t>
      </w:r>
      <w:bookmarkEnd w:id="163"/>
      <w:bookmarkEnd w:id="164"/>
    </w:p>
    <w:p w14:paraId="1709B334">
      <w:pPr>
        <w:widowControl w:val="0"/>
        <w:spacing w:line="380" w:lineRule="exact"/>
        <w:ind w:firstLine="443" w:firstLineChars="21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1、合同价款与调整</w:t>
      </w:r>
    </w:p>
    <w:p w14:paraId="268076F4">
      <w:pPr>
        <w:widowControl w:val="0"/>
        <w:spacing w:line="380" w:lineRule="exact"/>
        <w:ind w:firstLine="363" w:firstLineChars="173"/>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lang w:val="en-US" w:eastAsia="zh-CN" w:bidi="ar-SA"/>
        </w:rPr>
        <w:t>1.1 本合同价款采用</w:t>
      </w:r>
      <w:r>
        <w:rPr>
          <w:rFonts w:hint="eastAsia" w:ascii="宋体" w:hAnsi="宋体" w:eastAsia="宋体" w:cs="Times New Roman"/>
          <w:bCs/>
          <w:kern w:val="2"/>
          <w:sz w:val="21"/>
          <w:szCs w:val="21"/>
          <w:u w:val="single"/>
          <w:lang w:val="en-US" w:eastAsia="zh-CN" w:bidi="ar-SA"/>
        </w:rPr>
        <w:t xml:space="preserve">  固定综合单价合同  </w:t>
      </w:r>
      <w:r>
        <w:rPr>
          <w:rFonts w:hint="eastAsia" w:ascii="宋体" w:hAnsi="宋体" w:eastAsia="宋体" w:cs="Times New Roman"/>
          <w:bCs/>
          <w:kern w:val="2"/>
          <w:sz w:val="21"/>
          <w:szCs w:val="21"/>
          <w:lang w:val="en-US" w:eastAsia="zh-CN" w:bidi="ar-SA"/>
        </w:rPr>
        <w:t>方式确定</w:t>
      </w:r>
      <w:r>
        <w:rPr>
          <w:rFonts w:hint="eastAsia" w:ascii="宋体" w:hAnsi="宋体" w:eastAsia="宋体" w:cs="Times New Roman"/>
          <w:kern w:val="2"/>
          <w:sz w:val="21"/>
          <w:szCs w:val="21"/>
          <w:lang w:val="en-US" w:eastAsia="zh-CN" w:bidi="ar-SA"/>
        </w:rPr>
        <w:t>。</w:t>
      </w:r>
    </w:p>
    <w:p w14:paraId="45350F78">
      <w:pPr>
        <w:widowControl w:val="0"/>
        <w:spacing w:line="380" w:lineRule="exact"/>
        <w:ind w:firstLine="363" w:firstLineChars="173"/>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合同价款中包括的风险范围：</w:t>
      </w:r>
      <w:r>
        <w:rPr>
          <w:rFonts w:hint="eastAsia" w:ascii="宋体" w:hAnsi="宋体" w:eastAsia="宋体" w:cs="Times New Roman"/>
          <w:bCs/>
          <w:kern w:val="2"/>
          <w:sz w:val="21"/>
          <w:szCs w:val="21"/>
          <w:u w:val="single"/>
          <w:lang w:val="en-US" w:eastAsia="zh-CN" w:bidi="ar-SA"/>
        </w:rPr>
        <w:t xml:space="preserve"> 除工程变更和政策性调整以外的其他风险。 </w:t>
      </w:r>
    </w:p>
    <w:p w14:paraId="437EFA36">
      <w:pPr>
        <w:widowControl w:val="0"/>
        <w:spacing w:line="380" w:lineRule="exact"/>
        <w:ind w:firstLine="363" w:firstLineChars="173"/>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xml:space="preserve">风险范围以外合同价款调整方法： </w:t>
      </w:r>
    </w:p>
    <w:p w14:paraId="38093B2E">
      <w:pPr>
        <w:widowControl w:val="0"/>
        <w:spacing w:line="380" w:lineRule="exact"/>
        <w:ind w:firstLine="363" w:firstLineChars="173"/>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u w:val="single"/>
          <w:lang w:val="en-US" w:eastAsia="zh-CN" w:bidi="ar-SA"/>
        </w:rPr>
        <w:t>（一）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的信息价进行计算，无信息的按市场价；无定额可套的，根据市场价格协商；新增项目的单价必须经财政部门审定。</w:t>
      </w:r>
    </w:p>
    <w:p w14:paraId="1273EF41">
      <w:pPr>
        <w:widowControl w:val="0"/>
        <w:spacing w:line="380" w:lineRule="exact"/>
        <w:ind w:firstLine="363" w:firstLineChars="173"/>
        <w:jc w:val="both"/>
        <w:rPr>
          <w:rFonts w:ascii="宋体" w:hAnsi="宋体" w:eastAsia="宋体" w:cs="Times New Roman"/>
          <w:b/>
          <w:bCs/>
          <w:kern w:val="2"/>
          <w:sz w:val="21"/>
          <w:szCs w:val="21"/>
          <w:lang w:val="en-US" w:eastAsia="zh-CN" w:bidi="ar-SA"/>
        </w:rPr>
      </w:pPr>
      <w:r>
        <w:rPr>
          <w:rFonts w:hint="eastAsia" w:ascii="宋体" w:hAnsi="宋体" w:eastAsia="宋体" w:cs="Times New Roman"/>
          <w:bCs/>
          <w:kern w:val="2"/>
          <w:sz w:val="21"/>
          <w:szCs w:val="21"/>
          <w:u w:val="single"/>
          <w:lang w:val="en-US" w:eastAsia="zh-CN" w:bidi="ar-SA"/>
        </w:rPr>
        <w:t>（二）国家和自治区政策性调整有关费用标准的，按文件规定执行。</w:t>
      </w:r>
    </w:p>
    <w:p w14:paraId="477B3158">
      <w:pPr>
        <w:widowControl w:val="0"/>
        <w:spacing w:line="380" w:lineRule="exact"/>
        <w:ind w:firstLine="441" w:firstLineChars="209"/>
        <w:jc w:val="both"/>
        <w:rPr>
          <w:rFonts w:ascii="宋体" w:hAnsi="宋体" w:eastAsia="宋体" w:cs="Times New Roman"/>
          <w:b/>
          <w:kern w:val="2"/>
          <w:sz w:val="21"/>
          <w:szCs w:val="21"/>
          <w:lang w:val="en-US" w:eastAsia="zh-CN" w:bidi="ar-SA"/>
        </w:rPr>
      </w:pPr>
      <w:bookmarkStart w:id="165" w:name="_Toc118023795"/>
      <w:bookmarkStart w:id="166" w:name="_Toc43044959"/>
      <w:r>
        <w:rPr>
          <w:rFonts w:hint="eastAsia" w:ascii="宋体" w:hAnsi="宋体" w:eastAsia="宋体" w:cs="Times New Roman"/>
          <w:b/>
          <w:kern w:val="2"/>
          <w:sz w:val="21"/>
          <w:szCs w:val="21"/>
          <w:lang w:val="en-US" w:eastAsia="zh-CN" w:bidi="ar-SA"/>
        </w:rPr>
        <w:t>2、工程量确认</w:t>
      </w:r>
      <w:bookmarkEnd w:id="165"/>
      <w:bookmarkEnd w:id="166"/>
    </w:p>
    <w:p w14:paraId="543419B0">
      <w:pPr>
        <w:widowControl w:val="0"/>
        <w:spacing w:line="380" w:lineRule="exact"/>
        <w:ind w:firstLine="438" w:firstLineChars="209"/>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2.1 承包人向工程师提交已完工程量报告的时间：</w:t>
      </w:r>
      <w:r>
        <w:rPr>
          <w:rFonts w:hint="eastAsia" w:ascii="宋体" w:hAnsi="宋体" w:eastAsia="宋体" w:cs="Times New Roman"/>
          <w:kern w:val="2"/>
          <w:sz w:val="21"/>
          <w:szCs w:val="21"/>
          <w:u w:val="single"/>
          <w:lang w:val="en-US" w:eastAsia="zh-CN" w:bidi="ar-SA"/>
        </w:rPr>
        <w:t xml:space="preserve">     每月25日前    。 </w:t>
      </w:r>
      <w:r>
        <w:rPr>
          <w:rFonts w:hint="eastAsia" w:ascii="宋体" w:hAnsi="宋体" w:eastAsia="宋体" w:cs="Times New Roman"/>
          <w:kern w:val="2"/>
          <w:sz w:val="21"/>
          <w:szCs w:val="21"/>
          <w:lang w:val="en-US" w:eastAsia="zh-CN" w:bidi="ar-SA"/>
        </w:rPr>
        <w:t xml:space="preserve">   </w:t>
      </w:r>
    </w:p>
    <w:p w14:paraId="600712EE">
      <w:pPr>
        <w:spacing w:line="380" w:lineRule="exact"/>
        <w:ind w:firstLine="438" w:firstLineChars="209"/>
        <w:rPr>
          <w:rFonts w:ascii="Times New Roman" w:hAnsi="宋体" w:eastAsia="宋体" w:cs="Times New Roman"/>
          <w:szCs w:val="21"/>
        </w:rPr>
      </w:pPr>
      <w:r>
        <w:rPr>
          <w:rFonts w:hint="eastAsia" w:ascii="Times New Roman" w:hAnsi="宋体" w:eastAsia="宋体" w:cs="Times New Roman"/>
          <w:szCs w:val="21"/>
        </w:rPr>
        <w:t>2.1.1 工程量清单所列的工程量，不能作为承包人按合同履行其责任依据，实际施工中发生的工程量增加或减少并不影响承包人履行合同的责任，工程结算以完成的实际工程量为准。</w:t>
      </w:r>
    </w:p>
    <w:p w14:paraId="5F020199">
      <w:pPr>
        <w:spacing w:line="380" w:lineRule="exact"/>
        <w:ind w:firstLine="438" w:firstLineChars="209"/>
        <w:rPr>
          <w:rFonts w:ascii="Times New Roman" w:hAnsi="宋体" w:eastAsia="宋体" w:cs="Times New Roman"/>
          <w:szCs w:val="21"/>
        </w:rPr>
      </w:pPr>
      <w:r>
        <w:rPr>
          <w:rFonts w:hint="eastAsia" w:ascii="Times New Roman" w:hAnsi="宋体" w:eastAsia="宋体" w:cs="Times New Roman"/>
          <w:szCs w:val="21"/>
        </w:rPr>
        <w:t>2.2 除另有规定外，工程师应按照合同通过计量来核实确定已完成的工程量和价值，承包人应得到该价值扣除保留金后的价款。当工程师要对已完工的工程量进行计量时，应适时地通知承包人参加。</w:t>
      </w:r>
    </w:p>
    <w:p w14:paraId="4B0C19DE">
      <w:pPr>
        <w:spacing w:line="380" w:lineRule="exact"/>
        <w:ind w:firstLine="438" w:firstLineChars="209"/>
        <w:rPr>
          <w:rFonts w:ascii="Times New Roman" w:hAnsi="宋体" w:eastAsia="宋体" w:cs="Times New Roman"/>
          <w:szCs w:val="21"/>
        </w:rPr>
      </w:pPr>
      <w:r>
        <w:rPr>
          <w:rFonts w:hint="eastAsia" w:ascii="Times New Roman" w:hAnsi="宋体" w:eastAsia="宋体" w:cs="Times New Roman"/>
          <w:szCs w:val="21"/>
        </w:rPr>
        <w:t>2.3 计量方法</w:t>
      </w:r>
    </w:p>
    <w:p w14:paraId="36E6C977">
      <w:pPr>
        <w:spacing w:line="380" w:lineRule="exact"/>
        <w:ind w:firstLine="438" w:firstLineChars="209"/>
        <w:rPr>
          <w:rFonts w:ascii="Times New Roman" w:hAnsi="宋体" w:eastAsia="宋体" w:cs="Times New Roman"/>
          <w:i/>
          <w:iCs/>
          <w:szCs w:val="21"/>
          <w:u w:val="single"/>
        </w:rPr>
      </w:pPr>
      <w:r>
        <w:rPr>
          <w:rFonts w:hint="eastAsia" w:ascii="Times New Roman" w:hAnsi="宋体" w:eastAsia="宋体" w:cs="Times New Roman"/>
          <w:szCs w:val="21"/>
        </w:rPr>
        <w:t>工程的计量均以国家标准《建设工程工程量清单计价规范》（GB5050－2008）和《建设工程工程量清单计价规范（GB50500-2008）广西壮族自治区实施细则》计算的净值为准，如有不明之处，应以监理工程师或造价管理部门指定的计量方法为准。</w:t>
      </w:r>
    </w:p>
    <w:p w14:paraId="558CB645">
      <w:pPr>
        <w:spacing w:line="380" w:lineRule="exact"/>
        <w:ind w:firstLine="438" w:firstLineChars="209"/>
        <w:rPr>
          <w:rFonts w:ascii="Times New Roman" w:hAnsi="宋体" w:eastAsia="宋体" w:cs="Times New Roman"/>
          <w:szCs w:val="21"/>
        </w:rPr>
      </w:pPr>
      <w:r>
        <w:rPr>
          <w:rFonts w:hint="eastAsia" w:ascii="Times New Roman" w:hAnsi="宋体" w:eastAsia="宋体" w:cs="Times New Roman"/>
          <w:szCs w:val="21"/>
        </w:rPr>
        <w:t xml:space="preserve">2.4 计量单位  </w:t>
      </w:r>
    </w:p>
    <w:p w14:paraId="0254C097">
      <w:pPr>
        <w:widowControl w:val="0"/>
        <w:spacing w:line="380" w:lineRule="exact"/>
        <w:ind w:firstLine="424" w:firstLineChars="210"/>
        <w:jc w:val="both"/>
        <w:rPr>
          <w:rFonts w:ascii="宋体" w:hAnsi="宋体" w:eastAsia="宋体" w:cs="Times New Roman"/>
          <w:spacing w:val="-4"/>
          <w:kern w:val="2"/>
          <w:sz w:val="21"/>
          <w:szCs w:val="21"/>
          <w:lang w:val="en-US" w:eastAsia="zh-CN" w:bidi="ar-SA"/>
        </w:rPr>
      </w:pPr>
      <w:r>
        <w:rPr>
          <w:rFonts w:hint="eastAsia" w:ascii="宋体" w:hAnsi="Courier New" w:eastAsia="宋体" w:cs="Times New Roman"/>
          <w:spacing w:val="-4"/>
          <w:kern w:val="2"/>
          <w:sz w:val="21"/>
          <w:szCs w:val="21"/>
          <w:lang w:val="en-US" w:eastAsia="zh-CN" w:bidi="ar-SA"/>
        </w:rPr>
        <w:t>除了合同另有规定外，所有计量单位均应符合本工程的工程量清单。</w:t>
      </w:r>
    </w:p>
    <w:p w14:paraId="30D29D26">
      <w:pPr>
        <w:widowControl w:val="0"/>
        <w:spacing w:line="380" w:lineRule="exact"/>
        <w:ind w:firstLine="443" w:firstLineChars="210"/>
        <w:jc w:val="both"/>
        <w:rPr>
          <w:rFonts w:ascii="宋体" w:hAnsi="宋体" w:eastAsia="宋体" w:cs="Times New Roman"/>
          <w:b/>
          <w:bCs/>
          <w:kern w:val="2"/>
          <w:sz w:val="21"/>
          <w:szCs w:val="21"/>
          <w:lang w:val="en-US" w:eastAsia="zh-CN" w:bidi="ar-SA"/>
        </w:rPr>
      </w:pPr>
      <w:bookmarkStart w:id="167" w:name="_Toc43044961"/>
      <w:bookmarkStart w:id="168" w:name="_Toc118023797"/>
      <w:r>
        <w:rPr>
          <w:rFonts w:hint="eastAsia" w:ascii="宋体" w:hAnsi="宋体" w:eastAsia="宋体" w:cs="Times New Roman"/>
          <w:b/>
          <w:bCs/>
          <w:kern w:val="2"/>
          <w:sz w:val="21"/>
          <w:szCs w:val="21"/>
          <w:lang w:val="en-US" w:eastAsia="zh-CN" w:bidi="ar-SA"/>
        </w:rPr>
        <w:t>3、工程款（预付款、进度款）支付</w:t>
      </w:r>
    </w:p>
    <w:p w14:paraId="69CEDF78">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3.1 预付款的支付</w:t>
      </w:r>
    </w:p>
    <w:p w14:paraId="166644AB">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预付款支付比例或金额：合同总价的30%  。</w:t>
      </w:r>
    </w:p>
    <w:p w14:paraId="1F16FA8B">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预付款支付期限：合同签订后，甲方在收到乙方开具响应发票的10个工作日内。</w:t>
      </w:r>
    </w:p>
    <w:p w14:paraId="45320780">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预付款扣回的方式：按每次支付工程进度款扣回，直至扣回全部预付款数为止。</w:t>
      </w:r>
    </w:p>
    <w:p w14:paraId="02FAD17F">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工程款分次支付：</w:t>
      </w:r>
    </w:p>
    <w:p w14:paraId="03051644">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1.工程款原则上按月支付，合同内进度款支付额为已完成工程量的</w:t>
      </w:r>
      <w:r>
        <w:rPr>
          <w:rFonts w:hint="eastAsia" w:ascii="宋体" w:hAnsi="宋体" w:cs="Times New Roman"/>
          <w:kern w:val="2"/>
          <w:sz w:val="21"/>
          <w:szCs w:val="21"/>
          <w:highlight w:val="none"/>
          <w:lang w:val="en-US" w:eastAsia="zh-CN" w:bidi="ar-SA"/>
        </w:rPr>
        <w:t>80</w:t>
      </w:r>
      <w:r>
        <w:rPr>
          <w:rFonts w:hint="eastAsia" w:ascii="宋体" w:hAnsi="宋体" w:eastAsia="宋体" w:cs="Times New Roman"/>
          <w:kern w:val="2"/>
          <w:sz w:val="21"/>
          <w:szCs w:val="21"/>
          <w:highlight w:val="none"/>
          <w:lang w:val="en-US" w:eastAsia="zh-CN" w:bidi="ar-SA"/>
        </w:rPr>
        <w:t>%。</w:t>
      </w:r>
    </w:p>
    <w:p w14:paraId="5DF0D5A0">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2.工程竣工并经县级验收合格后，甲方可拨付90%工程款给乙方（扣除预付款项和已拨付的工程进度款）；</w:t>
      </w:r>
    </w:p>
    <w:p w14:paraId="13C75402">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3.县审计部门结算造价审计后，按审计部门审定的结算造价金额预留3%作为工程质保金后一次性结清工程款（扣除预付款项和已拨付的工程进度款）；</w:t>
      </w:r>
    </w:p>
    <w:p w14:paraId="0DDD6399">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4.如未发生工程质量保修行为的，竣工验收满1年后，由甲方及有关技术人员签证后退还工程质保金给乙方；</w:t>
      </w:r>
    </w:p>
    <w:p w14:paraId="03C0AD8D">
      <w:pPr>
        <w:widowControl w:val="0"/>
        <w:spacing w:line="380" w:lineRule="exact"/>
        <w:ind w:firstLine="441" w:firstLineChars="210"/>
        <w:jc w:val="both"/>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工程竣工验收合格并经审计或具备工程造价资质的第三方公司审定工程造价，审计金额超过合同价的，以政府批复金额为最终价格。经过甲方签字确认，在收到乙方《请款函》及发票等相关资料后，经甲方申请大新县人民政府及财政部门审批同意后，向乙方支付工程价款总额100%的工程款(含预付款和已拨付的工程进度款)。</w:t>
      </w:r>
    </w:p>
    <w:p w14:paraId="08B88139">
      <w:pPr>
        <w:widowControl w:val="0"/>
        <w:spacing w:line="380" w:lineRule="exact"/>
        <w:ind w:firstLine="443" w:firstLineChars="21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六、材料设备供应</w:t>
      </w:r>
      <w:bookmarkEnd w:id="167"/>
      <w:bookmarkEnd w:id="168"/>
    </w:p>
    <w:p w14:paraId="5A79FAB6">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69" w:name="_Toc118023799"/>
      <w:bookmarkStart w:id="170" w:name="_Toc43044963"/>
      <w:r>
        <w:rPr>
          <w:rFonts w:hint="eastAsia" w:ascii="宋体" w:hAnsi="宋体" w:eastAsia="宋体" w:cs="Times New Roman"/>
          <w:b/>
          <w:kern w:val="2"/>
          <w:sz w:val="21"/>
          <w:szCs w:val="21"/>
          <w:lang w:val="en-US" w:eastAsia="zh-CN" w:bidi="ar-SA"/>
        </w:rPr>
        <w:t>1、承包人采购材料设备</w:t>
      </w:r>
      <w:bookmarkEnd w:id="169"/>
      <w:bookmarkEnd w:id="170"/>
    </w:p>
    <w:p w14:paraId="59E8725E">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7DB4DB2F">
      <w:pPr>
        <w:widowControl w:val="0"/>
        <w:spacing w:line="380" w:lineRule="exact"/>
        <w:ind w:firstLine="443" w:firstLineChars="210"/>
        <w:jc w:val="both"/>
        <w:rPr>
          <w:rFonts w:ascii="宋体" w:hAnsi="宋体" w:eastAsia="宋体" w:cs="Times New Roman"/>
          <w:b/>
          <w:kern w:val="2"/>
          <w:sz w:val="21"/>
          <w:szCs w:val="21"/>
          <w:lang w:val="en-US" w:eastAsia="zh-CN" w:bidi="ar-SA"/>
        </w:rPr>
      </w:pPr>
      <w:bookmarkStart w:id="171" w:name="_Toc118023800"/>
      <w:bookmarkStart w:id="172" w:name="_Toc43044964"/>
      <w:r>
        <w:rPr>
          <w:rFonts w:hint="eastAsia" w:ascii="宋体" w:hAnsi="宋体" w:eastAsia="宋体" w:cs="Times New Roman"/>
          <w:b/>
          <w:kern w:val="2"/>
          <w:sz w:val="21"/>
          <w:szCs w:val="21"/>
          <w:lang w:val="en-US" w:eastAsia="zh-CN" w:bidi="ar-SA"/>
        </w:rPr>
        <w:t>七、工程变更</w:t>
      </w:r>
      <w:bookmarkEnd w:id="171"/>
      <w:bookmarkEnd w:id="172"/>
    </w:p>
    <w:p w14:paraId="1F2A8B59">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1.工程设计变更</w:t>
      </w:r>
    </w:p>
    <w:p w14:paraId="22AC78A7">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1.1.1设计变更和工程签证，按政策规定办理。属不可抗力（自然灾害、突发事件等）造成变更的，按特事特办原则予以办理。</w:t>
      </w:r>
    </w:p>
    <w:p w14:paraId="600DCBB3">
      <w:pPr>
        <w:spacing w:line="380" w:lineRule="exact"/>
        <w:ind w:firstLine="441" w:firstLineChars="210"/>
        <w:rPr>
          <w:rFonts w:ascii="Times New Roman" w:hAnsi="宋体" w:eastAsia="宋体" w:cs="Times New Roman"/>
          <w:bCs/>
          <w:szCs w:val="21"/>
        </w:rPr>
      </w:pPr>
      <w:r>
        <w:rPr>
          <w:rFonts w:hint="eastAsia" w:ascii="宋体" w:hAnsi="宋体" w:eastAsia="宋体" w:cs="Times New Roman"/>
          <w:bCs/>
          <w:szCs w:val="21"/>
        </w:rPr>
        <w:t>1.1.2 工程设计变</w:t>
      </w:r>
      <w:r>
        <w:rPr>
          <w:rFonts w:hint="eastAsia" w:ascii="Times New Roman" w:hAnsi="宋体" w:eastAsia="宋体" w:cs="Times New Roman"/>
          <w:bCs/>
          <w:szCs w:val="21"/>
        </w:rPr>
        <w:t>更和签证工程发生后10个工作日内，由建设单位将有关变更文件、签证单审批件、工程联系单、预算书等工程资料送财政部门备案，并作为进度款支付、事后抽查和工程结算的主要依据。</w:t>
      </w:r>
    </w:p>
    <w:p w14:paraId="20888004">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1.1.3 建设单位在实施项目过程中，若发生单价变动，由建设单位、监理单位或财政部门投资评审中心与施工单位共同商定并签字确认。</w:t>
      </w:r>
    </w:p>
    <w:p w14:paraId="267633DB">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1.1.4建设单位在工程设计变更和工程签证过程中必须认真负责、实事求是，不得弄虚作假，凡因上述问题所造成的损失，相应等额扣除建设单位项目管理费或其他银行贷款。</w:t>
      </w:r>
    </w:p>
    <w:p w14:paraId="2E7FAFA8">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49626301">
      <w:pPr>
        <w:widowControl w:val="0"/>
        <w:spacing w:line="380" w:lineRule="exact"/>
        <w:ind w:firstLine="441" w:firstLineChars="210"/>
        <w:jc w:val="both"/>
        <w:rPr>
          <w:rFonts w:ascii="宋体" w:hAnsi="宋体" w:eastAsia="宋体" w:cs="Times New Roman"/>
          <w:b/>
          <w:bCs/>
          <w:kern w:val="2"/>
          <w:sz w:val="21"/>
          <w:szCs w:val="21"/>
          <w:lang w:val="en-US" w:eastAsia="zh-CN" w:bidi="ar-SA"/>
        </w:rPr>
      </w:pPr>
      <w:r>
        <w:rPr>
          <w:rFonts w:hint="eastAsia" w:ascii="宋体" w:hAnsi="宋体" w:eastAsia="宋体" w:cs="Times New Roman"/>
          <w:bCs/>
          <w:kern w:val="2"/>
          <w:sz w:val="21"/>
          <w:szCs w:val="21"/>
          <w:lang w:val="en-US" w:eastAsia="zh-CN" w:bidi="ar-SA"/>
        </w:rPr>
        <w:t>1.1.6 当合同规定的调整合同价款的调整情况发生后，承包人未在规定时间内通知发包人，或者未在规定时间内提出调整报告，发包人可以根据有关资料，决定是否调整和调整的金额，并书面通知承包人。</w:t>
      </w:r>
    </w:p>
    <w:p w14:paraId="36C0968A">
      <w:pPr>
        <w:widowControl w:val="0"/>
        <w:spacing w:line="380" w:lineRule="exact"/>
        <w:ind w:firstLine="443" w:firstLineChars="210"/>
        <w:jc w:val="both"/>
        <w:rPr>
          <w:rFonts w:ascii="宋体" w:hAnsi="宋体" w:eastAsia="宋体" w:cs="Times New Roman"/>
          <w:b/>
          <w:bCs/>
          <w:kern w:val="2"/>
          <w:sz w:val="21"/>
          <w:szCs w:val="21"/>
          <w:lang w:val="en-US" w:eastAsia="zh-CN" w:bidi="ar-SA"/>
        </w:rPr>
      </w:pPr>
      <w:bookmarkStart w:id="173" w:name="_Toc43044965"/>
      <w:bookmarkStart w:id="174" w:name="_Toc118023801"/>
      <w:r>
        <w:rPr>
          <w:rFonts w:hint="eastAsia" w:ascii="宋体" w:hAnsi="宋体" w:eastAsia="宋体" w:cs="Times New Roman"/>
          <w:b/>
          <w:bCs/>
          <w:kern w:val="2"/>
          <w:sz w:val="21"/>
          <w:szCs w:val="21"/>
          <w:lang w:val="en-US" w:eastAsia="zh-CN" w:bidi="ar-SA"/>
        </w:rPr>
        <w:t>八、竣工验收与结算</w:t>
      </w:r>
      <w:bookmarkEnd w:id="173"/>
      <w:bookmarkEnd w:id="174"/>
    </w:p>
    <w:p w14:paraId="2F9C32F8">
      <w:pPr>
        <w:widowControl w:val="0"/>
        <w:spacing w:line="380" w:lineRule="exact"/>
        <w:ind w:firstLine="441" w:firstLineChars="210"/>
        <w:jc w:val="both"/>
        <w:rPr>
          <w:rFonts w:ascii="宋体" w:hAnsi="宋体" w:eastAsia="宋体" w:cs="Times New Roman"/>
          <w:kern w:val="2"/>
          <w:sz w:val="21"/>
          <w:szCs w:val="21"/>
          <w:lang w:val="en-US" w:eastAsia="zh-CN" w:bidi="ar-SA"/>
        </w:rPr>
      </w:pPr>
      <w:bookmarkStart w:id="175" w:name="_Toc43044966"/>
      <w:bookmarkStart w:id="176" w:name="_Toc118023802"/>
      <w:r>
        <w:rPr>
          <w:rFonts w:hint="eastAsia" w:ascii="宋体" w:hAnsi="宋体" w:eastAsia="宋体" w:cs="Times New Roman"/>
          <w:kern w:val="2"/>
          <w:sz w:val="21"/>
          <w:szCs w:val="21"/>
          <w:lang w:val="en-US" w:eastAsia="zh-CN" w:bidi="ar-SA"/>
        </w:rPr>
        <w:t>1、竣工验收</w:t>
      </w:r>
      <w:bookmarkEnd w:id="175"/>
      <w:bookmarkEnd w:id="176"/>
    </w:p>
    <w:p w14:paraId="7097E9F1">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 承包人提供竣工图的约定：竣工验收正式通过后5天（工程造价在500万元以下含500万元）、10天（工程造价在500万元至1000万元之间含1000万元）、15天（工程造价在1000万元以上），提供竣工图的数量分别为2套、4套、6套。</w:t>
      </w:r>
    </w:p>
    <w:p w14:paraId="2F326666">
      <w:pPr>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szCs w:val="21"/>
        </w:rPr>
        <w:t>1.2 中间交工工程的范围和竣工时间：</w:t>
      </w:r>
      <w:r>
        <w:rPr>
          <w:rFonts w:hint="eastAsia" w:ascii="Times New Roman" w:hAnsi="宋体" w:eastAsia="宋体" w:cs="Times New Roman"/>
          <w:szCs w:val="21"/>
          <w:u w:val="single"/>
        </w:rPr>
        <w:t xml:space="preserve">         </w:t>
      </w:r>
    </w:p>
    <w:p w14:paraId="4D541EFB">
      <w:pPr>
        <w:widowControl w:val="0"/>
        <w:spacing w:line="38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2.竣工结算</w:t>
      </w:r>
    </w:p>
    <w:p w14:paraId="41F1326E">
      <w:pPr>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 xml:space="preserve"> 为降低结算造价编制的差错率，确保送审工程结算造价的真实性和完整性，避免出现不负责任的高估虚报行为，工程开工前与施工单位约定，并在施工合同中明确：（1）工程结算审减率≤6%时，结算审核费由建设单位全额承担;6%＜工程结算审减率＜10%时，结算审核费由建设单位、施工单位各承担50%；工程结算审减率≥10%，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14:paraId="219631DD">
      <w:pPr>
        <w:widowControl w:val="0"/>
        <w:spacing w:line="380" w:lineRule="exact"/>
        <w:ind w:firstLine="443" w:firstLineChars="210"/>
        <w:jc w:val="both"/>
        <w:rPr>
          <w:rFonts w:ascii="宋体" w:hAnsi="宋体" w:eastAsia="宋体" w:cs="Times New Roman"/>
          <w:b/>
          <w:bCs/>
          <w:kern w:val="2"/>
          <w:sz w:val="21"/>
          <w:szCs w:val="21"/>
          <w:lang w:val="en-US" w:eastAsia="zh-CN" w:bidi="ar-SA"/>
        </w:rPr>
      </w:pPr>
      <w:bookmarkStart w:id="177" w:name="_Toc118023804"/>
      <w:bookmarkStart w:id="178" w:name="_Toc43044967"/>
      <w:r>
        <w:rPr>
          <w:rFonts w:hint="eastAsia" w:ascii="宋体" w:hAnsi="宋体" w:eastAsia="宋体" w:cs="Times New Roman"/>
          <w:b/>
          <w:bCs/>
          <w:kern w:val="2"/>
          <w:sz w:val="21"/>
          <w:szCs w:val="21"/>
          <w:lang w:val="en-US" w:eastAsia="zh-CN" w:bidi="ar-SA"/>
        </w:rPr>
        <w:t>九、违约、索赔和争议</w:t>
      </w:r>
      <w:bookmarkEnd w:id="177"/>
      <w:bookmarkEnd w:id="178"/>
    </w:p>
    <w:p w14:paraId="36F1F010">
      <w:pPr>
        <w:widowControl w:val="0"/>
        <w:spacing w:line="380" w:lineRule="exact"/>
        <w:ind w:firstLine="443" w:firstLineChars="210"/>
        <w:jc w:val="both"/>
        <w:rPr>
          <w:rFonts w:ascii="宋体" w:hAnsi="宋体" w:eastAsia="宋体" w:cs="Times New Roman"/>
          <w:b/>
          <w:bCs/>
          <w:kern w:val="2"/>
          <w:sz w:val="21"/>
          <w:szCs w:val="21"/>
          <w:lang w:val="en-US" w:eastAsia="zh-CN" w:bidi="ar-SA"/>
        </w:rPr>
      </w:pPr>
      <w:bookmarkStart w:id="179" w:name="_Toc118023805"/>
      <w:bookmarkStart w:id="180" w:name="_Toc43044968"/>
      <w:r>
        <w:rPr>
          <w:rFonts w:hint="eastAsia" w:ascii="宋体" w:hAnsi="宋体" w:eastAsia="宋体" w:cs="Times New Roman"/>
          <w:b/>
          <w:bCs/>
          <w:kern w:val="2"/>
          <w:sz w:val="21"/>
          <w:szCs w:val="21"/>
          <w:lang w:val="en-US" w:eastAsia="zh-CN" w:bidi="ar-SA"/>
        </w:rPr>
        <w:t>1、违约</w:t>
      </w:r>
      <w:bookmarkEnd w:id="179"/>
      <w:bookmarkEnd w:id="180"/>
    </w:p>
    <w:p w14:paraId="07EC0C4F">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1.1 本合同中关于发包人违约的具体责任如下：</w:t>
      </w:r>
    </w:p>
    <w:p w14:paraId="743047B8">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本合同通用条款第24条约定发包人违约应承担的违约责任：</w:t>
      </w:r>
      <w:r>
        <w:rPr>
          <w:rFonts w:hint="eastAsia" w:ascii="宋体" w:hAnsi="宋体" w:eastAsia="宋体" w:cs="Times New Roman"/>
          <w:bCs/>
          <w:kern w:val="2"/>
          <w:sz w:val="21"/>
          <w:szCs w:val="21"/>
          <w:u w:val="single"/>
          <w:lang w:val="en-US" w:eastAsia="zh-CN" w:bidi="ar-SA"/>
        </w:rPr>
        <w:t xml:space="preserve"> 按通用条款24条规定 </w:t>
      </w:r>
    </w:p>
    <w:p w14:paraId="7687DF8C">
      <w:pPr>
        <w:widowControl w:val="0"/>
        <w:spacing w:line="380" w:lineRule="exact"/>
        <w:ind w:firstLine="441" w:firstLineChars="210"/>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bCs/>
          <w:kern w:val="2"/>
          <w:sz w:val="21"/>
          <w:szCs w:val="21"/>
          <w:lang w:val="en-US" w:eastAsia="zh-CN" w:bidi="ar-SA"/>
        </w:rPr>
        <w:t>* 本合同通用条款第26.4款约定发包人违约应承担的违约责任</w:t>
      </w:r>
      <w:r>
        <w:rPr>
          <w:rFonts w:hint="eastAsia" w:ascii="宋体" w:hAnsi="宋体" w:eastAsia="宋体" w:cs="Times New Roman"/>
          <w:bCs/>
          <w:kern w:val="2"/>
          <w:sz w:val="21"/>
          <w:szCs w:val="21"/>
          <w:u w:val="single"/>
          <w:lang w:val="en-US" w:eastAsia="zh-CN" w:bidi="ar-SA"/>
        </w:rPr>
        <w:t xml:space="preserve">：  /   。   </w:t>
      </w:r>
    </w:p>
    <w:p w14:paraId="4E4827B5">
      <w:pPr>
        <w:widowControl w:val="0"/>
        <w:spacing w:line="38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双方约定的发包人其他违约责任：</w:t>
      </w:r>
      <w:r>
        <w:rPr>
          <w:rFonts w:hint="eastAsia" w:ascii="宋体" w:hAnsi="宋体" w:eastAsia="宋体" w:cs="Times New Roman"/>
          <w:kern w:val="2"/>
          <w:sz w:val="21"/>
          <w:szCs w:val="21"/>
          <w:u w:val="single"/>
          <w:lang w:val="en-US" w:eastAsia="zh-CN" w:bidi="ar-SA"/>
        </w:rPr>
        <w:t xml:space="preserve">            </w:t>
      </w:r>
    </w:p>
    <w:p w14:paraId="6A71BBC3">
      <w:pPr>
        <w:widowControl w:val="0"/>
        <w:spacing w:line="380" w:lineRule="exact"/>
        <w:ind w:firstLine="441" w:firstLineChars="21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 xml:space="preserve">1.2 本合同中关于承包人违约的具体责任如下：  </w:t>
      </w:r>
    </w:p>
    <w:p w14:paraId="0796F36F">
      <w:pPr>
        <w:snapToGrid w:val="0"/>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1.2.1 本合同通用条款第14.2款约定承包人违约应承担的违约责任：承包人向发包人支付每延误一天，按合同价款万分之四的违约赔偿费，其限额为中标价的5％。延误天数按本专用条款第13.3条计算。</w:t>
      </w:r>
    </w:p>
    <w:p w14:paraId="6C1BC4DE">
      <w:pPr>
        <w:snapToGrid w:val="0"/>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1.2.2 承包人未按本合同通用条款第15.1条内容完成：承包人无条件返工处理，修复至工程质量要求并承担相关费用，并在发包人规定的时间内完成返工，否则，发包人有权扣罚该分项工程10％的工程款作为处罚。</w:t>
      </w:r>
    </w:p>
    <w:p w14:paraId="62D38A50">
      <w:pPr>
        <w:snapToGrid w:val="0"/>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双方约定的承包人其他违约责任：</w:t>
      </w:r>
    </w:p>
    <w:p w14:paraId="467C2CF7">
      <w:pPr>
        <w:numPr>
          <w:ilvl w:val="2"/>
          <w:numId w:val="4"/>
        </w:numPr>
        <w:snapToGrid w:val="0"/>
        <w:spacing w:line="380" w:lineRule="exact"/>
        <w:ind w:left="1160" w:hanging="720"/>
        <w:rPr>
          <w:rFonts w:ascii="Times New Roman" w:hAnsi="宋体" w:eastAsia="宋体" w:cs="Times New Roman"/>
          <w:bCs/>
          <w:szCs w:val="21"/>
        </w:rPr>
      </w:pPr>
      <w:r>
        <w:rPr>
          <w:rFonts w:hint="eastAsia" w:ascii="Times New Roman" w:hAnsi="宋体" w:eastAsia="宋体" w:cs="Times New Roman"/>
          <w:bCs/>
          <w:szCs w:val="21"/>
        </w:rPr>
        <w:t>承包人如违反了以下情况之一者，发包人有权解除合同，并没收其全部履约保证金。</w:t>
      </w:r>
    </w:p>
    <w:p w14:paraId="13EF1B05">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1）</w:t>
      </w:r>
      <w:r>
        <w:rPr>
          <w:rFonts w:hint="eastAsia" w:ascii="Times New Roman" w:hAnsi="宋体" w:eastAsia="宋体" w:cs="Times New Roman"/>
          <w:bCs/>
          <w:szCs w:val="21"/>
        </w:rPr>
        <w:t>承包人无正当理由不按开工通知的要求及时进点组织施工和不按签订协议书时商订的进度计划有效地开展施工准备，造成工期延误。</w:t>
      </w:r>
    </w:p>
    <w:p w14:paraId="35EC39A4">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2）</w:t>
      </w:r>
      <w:r>
        <w:rPr>
          <w:rFonts w:hint="eastAsia" w:ascii="Times New Roman" w:hAnsi="宋体" w:eastAsia="宋体" w:cs="Times New Roman"/>
          <w:bCs/>
          <w:szCs w:val="21"/>
        </w:rPr>
        <w:t>承包人违反第38.1条规定私自将合同或合同的任何部分或任何权利转让给其他人，或私自将工程或工程的一部分分包出去。</w:t>
      </w:r>
    </w:p>
    <w:p w14:paraId="6B1F0446">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3）</w:t>
      </w:r>
      <w:r>
        <w:rPr>
          <w:rFonts w:hint="eastAsia" w:ascii="Times New Roman" w:hAnsi="宋体" w:eastAsia="宋体" w:cs="Times New Roman"/>
          <w:bCs/>
          <w:szCs w:val="21"/>
        </w:rPr>
        <w:t>未经监理人批准，承包人私自将已按磋商文件承诺进入工地的工程设备、施工设备、临时工程或材料撤离工地。</w:t>
      </w:r>
    </w:p>
    <w:p w14:paraId="0F0E58A4">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4）</w:t>
      </w:r>
      <w:r>
        <w:rPr>
          <w:rFonts w:hint="eastAsia" w:ascii="Times New Roman" w:hAnsi="宋体" w:eastAsia="宋体" w:cs="Times New Roman"/>
          <w:bCs/>
          <w:szCs w:val="21"/>
        </w:rPr>
        <w:t>由于承包人原因拒绝按合同进度计划及时完成合同规定的工程，而又未采取有效措施赶上进度，造成工期延误。</w:t>
      </w:r>
    </w:p>
    <w:p w14:paraId="5A8F79C3">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5）</w:t>
      </w:r>
      <w:r>
        <w:rPr>
          <w:rFonts w:hint="eastAsia" w:ascii="Times New Roman" w:hAnsi="宋体" w:eastAsia="宋体" w:cs="Times New Roman"/>
          <w:bCs/>
          <w:szCs w:val="21"/>
        </w:rPr>
        <w:t>承包人否认合同有效或拒绝履行合同规定的承包人义务，或由于法律、财务等原因导致承包人无法继续履行或实质上已停止履行合同的义务。</w:t>
      </w:r>
    </w:p>
    <w:p w14:paraId="794526FA">
      <w:pPr>
        <w:tabs>
          <w:tab w:val="left" w:pos="246"/>
        </w:tabs>
        <w:snapToGrid w:val="0"/>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1.2.4 承包人在保修期内拒绝按通用条款第34.1条的规定进行修复，或经监理人检验认为修复质量不合格而承包人拒绝再进行修补的，发包人将扣除承包人全部质量保修金。</w:t>
      </w:r>
    </w:p>
    <w:p w14:paraId="080499D5">
      <w:pPr>
        <w:tabs>
          <w:tab w:val="left" w:pos="246"/>
        </w:tabs>
        <w:snapToGrid w:val="0"/>
        <w:spacing w:line="380" w:lineRule="exact"/>
        <w:ind w:firstLine="441" w:firstLineChars="210"/>
        <w:rPr>
          <w:rFonts w:ascii="Times New Roman" w:hAnsi="宋体" w:eastAsia="宋体" w:cs="Times New Roman"/>
          <w:bCs/>
          <w:szCs w:val="21"/>
        </w:rPr>
      </w:pPr>
      <w:r>
        <w:rPr>
          <w:rFonts w:hint="eastAsia" w:ascii="Times New Roman" w:hAnsi="宋体" w:eastAsia="宋体" w:cs="Times New Roman"/>
          <w:bCs/>
          <w:szCs w:val="21"/>
        </w:rPr>
        <w:t>1.2.5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48871EDD">
      <w:pPr>
        <w:tabs>
          <w:tab w:val="left" w:pos="246"/>
        </w:tabs>
        <w:adjustRightInd w:val="0"/>
        <w:snapToGrid w:val="0"/>
        <w:spacing w:line="38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1）</w:t>
      </w:r>
      <w:r>
        <w:rPr>
          <w:rFonts w:hint="eastAsia" w:ascii="Times New Roman" w:hAnsi="宋体" w:eastAsia="宋体" w:cs="Times New Roman"/>
          <w:bCs/>
          <w:szCs w:val="21"/>
        </w:rPr>
        <w:t>承包人必须按照磋商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14:paraId="071A9488">
      <w:pPr>
        <w:tabs>
          <w:tab w:val="left" w:pos="246"/>
        </w:tabs>
        <w:adjustRightInd w:val="0"/>
        <w:snapToGrid w:val="0"/>
        <w:spacing w:line="36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2）</w:t>
      </w:r>
      <w:r>
        <w:rPr>
          <w:rFonts w:hint="eastAsia" w:ascii="Times New Roman" w:hAnsi="宋体" w:eastAsia="宋体" w:cs="Times New Roman"/>
          <w:bCs/>
          <w:szCs w:val="21"/>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C71E222">
      <w:pPr>
        <w:tabs>
          <w:tab w:val="left" w:pos="246"/>
        </w:tabs>
        <w:adjustRightInd w:val="0"/>
        <w:snapToGrid w:val="0"/>
        <w:spacing w:line="360" w:lineRule="exact"/>
        <w:ind w:firstLine="420" w:firstLineChars="200"/>
        <w:textAlignment w:val="baseline"/>
        <w:rPr>
          <w:rFonts w:ascii="Times New Roman" w:hAnsi="宋体" w:eastAsia="宋体" w:cs="Times New Roman"/>
          <w:bCs/>
          <w:szCs w:val="21"/>
        </w:rPr>
      </w:pPr>
      <w:r>
        <w:rPr>
          <w:rFonts w:hint="eastAsia" w:ascii="Times New Roman" w:hAnsi="宋体" w:eastAsia="宋体" w:cs="宋体"/>
          <w:bCs/>
          <w:szCs w:val="21"/>
        </w:rPr>
        <w:t>3）</w:t>
      </w:r>
      <w:r>
        <w:rPr>
          <w:rFonts w:hint="eastAsia" w:ascii="Times New Roman" w:hAnsi="宋体" w:eastAsia="宋体" w:cs="Times New Roman"/>
          <w:bCs/>
          <w:szCs w:val="21"/>
        </w:rPr>
        <w:t>未经监理工程师审查批准，施工期内自行调走主要施工机械，经发现不及时调回的，视为承包人违约，发包人有权处违约金为履约保证金金额的10-50％（视情节严重而定）。</w:t>
      </w:r>
    </w:p>
    <w:p w14:paraId="224916AD">
      <w:pPr>
        <w:spacing w:line="360" w:lineRule="exact"/>
        <w:ind w:firstLine="420" w:firstLineChars="200"/>
        <w:rPr>
          <w:rFonts w:ascii="Times New Roman" w:hAnsi="宋体" w:eastAsia="宋体" w:cs="宋体"/>
          <w:bCs/>
          <w:szCs w:val="21"/>
        </w:rPr>
      </w:pPr>
      <w:r>
        <w:rPr>
          <w:rFonts w:hint="eastAsia" w:ascii="Times New Roman" w:hAnsi="宋体" w:eastAsia="宋体" w:cs="宋体"/>
          <w:bCs/>
          <w:szCs w:val="21"/>
        </w:rPr>
        <w:t>4）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14:paraId="4629CD82">
      <w:pPr>
        <w:widowControl w:val="0"/>
        <w:tabs>
          <w:tab w:val="left" w:pos="246"/>
        </w:tabs>
        <w:spacing w:line="360" w:lineRule="exact"/>
        <w:ind w:firstLine="420" w:firstLineChars="200"/>
        <w:jc w:val="both"/>
        <w:rPr>
          <w:rFonts w:ascii="宋体" w:hAnsi="宋体" w:eastAsia="宋体" w:cs="Times New Roman"/>
          <w:b/>
          <w:bCs/>
          <w:kern w:val="2"/>
          <w:sz w:val="21"/>
          <w:szCs w:val="21"/>
          <w:lang w:val="en-US" w:eastAsia="zh-CN" w:bidi="ar-SA"/>
        </w:rPr>
      </w:pPr>
      <w:r>
        <w:rPr>
          <w:rFonts w:hint="eastAsia" w:ascii="宋体" w:hAnsi="宋体" w:eastAsia="宋体" w:cs="Times New Roman"/>
          <w:bCs/>
          <w:kern w:val="2"/>
          <w:sz w:val="21"/>
          <w:szCs w:val="21"/>
          <w:lang w:val="en-US" w:eastAsia="zh-CN" w:bidi="ar-SA"/>
        </w:rPr>
        <w:t>1.2.6 承包人有违反其他规定的，按规定给予处罚。</w:t>
      </w:r>
    </w:p>
    <w:p w14:paraId="00165C67">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81" w:name="_Toc43044969"/>
      <w:bookmarkStart w:id="182" w:name="_Toc118023806"/>
      <w:r>
        <w:rPr>
          <w:rFonts w:hint="eastAsia" w:ascii="宋体" w:hAnsi="宋体" w:eastAsia="宋体" w:cs="Times New Roman"/>
          <w:b/>
          <w:kern w:val="2"/>
          <w:sz w:val="21"/>
          <w:szCs w:val="21"/>
          <w:lang w:val="en-US" w:eastAsia="zh-CN" w:bidi="ar-SA"/>
        </w:rPr>
        <w:t>2、争议</w:t>
      </w:r>
      <w:bookmarkEnd w:id="181"/>
      <w:bookmarkEnd w:id="182"/>
    </w:p>
    <w:p w14:paraId="1966962B">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37.1 双方约定，在履行合同过程中产生争议时：</w:t>
      </w:r>
    </w:p>
    <w:p w14:paraId="5881CD33">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(1)请项目管辖</w:t>
      </w:r>
      <w:r>
        <w:rPr>
          <w:rFonts w:hint="eastAsia" w:ascii="宋体" w:hAnsi="宋体" w:eastAsia="宋体" w:cs="Times New Roman"/>
          <w:kern w:val="2"/>
          <w:sz w:val="21"/>
          <w:szCs w:val="21"/>
          <w:u w:val="single"/>
          <w:lang w:val="en-US" w:eastAsia="zh-CN" w:bidi="ar-SA"/>
        </w:rPr>
        <w:t xml:space="preserve">建设行政主管有关部门 </w:t>
      </w:r>
      <w:r>
        <w:rPr>
          <w:rFonts w:hint="eastAsia" w:ascii="宋体" w:hAnsi="宋体" w:eastAsia="宋体" w:cs="Times New Roman"/>
          <w:kern w:val="2"/>
          <w:sz w:val="21"/>
          <w:szCs w:val="21"/>
          <w:lang w:val="en-US" w:eastAsia="zh-CN" w:bidi="ar-SA"/>
        </w:rPr>
        <w:t>调解。</w:t>
      </w:r>
    </w:p>
    <w:p w14:paraId="61B4E5E6">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(2提交</w:t>
      </w:r>
      <w:r>
        <w:rPr>
          <w:rFonts w:hint="eastAsia" w:ascii="宋体" w:hAnsi="宋体" w:eastAsia="宋体" w:cs="Times New Roman"/>
          <w:kern w:val="2"/>
          <w:sz w:val="21"/>
          <w:szCs w:val="21"/>
          <w:u w:val="single"/>
          <w:lang w:val="en-US" w:eastAsia="zh-CN" w:bidi="ar-SA"/>
        </w:rPr>
        <w:t xml:space="preserve"> 大新县仲裁委员会 </w:t>
      </w:r>
      <w:r>
        <w:rPr>
          <w:rFonts w:hint="eastAsia" w:ascii="宋体" w:hAnsi="宋体" w:eastAsia="宋体" w:cs="Times New Roman"/>
          <w:kern w:val="2"/>
          <w:sz w:val="21"/>
          <w:szCs w:val="21"/>
          <w:lang w:val="en-US" w:eastAsia="zh-CN" w:bidi="ar-SA"/>
        </w:rPr>
        <w:t>仲裁。</w:t>
      </w:r>
    </w:p>
    <w:p w14:paraId="74DD864A">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83" w:name="_Toc43044970"/>
      <w:bookmarkStart w:id="184" w:name="_Toc118023807"/>
      <w:r>
        <w:rPr>
          <w:rFonts w:hint="eastAsia" w:ascii="宋体" w:hAnsi="宋体" w:eastAsia="宋体" w:cs="Times New Roman"/>
          <w:b/>
          <w:kern w:val="2"/>
          <w:sz w:val="21"/>
          <w:szCs w:val="21"/>
          <w:lang w:val="en-US" w:eastAsia="zh-CN" w:bidi="ar-SA"/>
        </w:rPr>
        <w:t>十、其他</w:t>
      </w:r>
      <w:bookmarkEnd w:id="183"/>
      <w:bookmarkEnd w:id="184"/>
    </w:p>
    <w:p w14:paraId="10AB7DA7">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85" w:name="_Toc43044971"/>
      <w:bookmarkStart w:id="186" w:name="_Toc118023808"/>
      <w:r>
        <w:rPr>
          <w:rFonts w:hint="eastAsia" w:ascii="宋体" w:hAnsi="宋体" w:eastAsia="宋体" w:cs="Times New Roman"/>
          <w:b/>
          <w:kern w:val="2"/>
          <w:sz w:val="21"/>
          <w:szCs w:val="21"/>
          <w:lang w:val="en-US" w:eastAsia="zh-CN" w:bidi="ar-SA"/>
        </w:rPr>
        <w:t>1、工程分包</w:t>
      </w:r>
      <w:bookmarkEnd w:id="185"/>
      <w:bookmarkEnd w:id="186"/>
    </w:p>
    <w:p w14:paraId="48610016">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38.1本工程的各分标不允许分包。</w:t>
      </w:r>
    </w:p>
    <w:p w14:paraId="3DD9620C">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87" w:name="_Toc118023809"/>
      <w:bookmarkStart w:id="188" w:name="_Toc43044972"/>
      <w:r>
        <w:rPr>
          <w:rFonts w:hint="eastAsia" w:ascii="宋体" w:hAnsi="宋体" w:eastAsia="宋体" w:cs="Times New Roman"/>
          <w:b/>
          <w:kern w:val="2"/>
          <w:sz w:val="21"/>
          <w:szCs w:val="21"/>
          <w:lang w:val="en-US" w:eastAsia="zh-CN" w:bidi="ar-SA"/>
        </w:rPr>
        <w:t>2、不可抗力</w:t>
      </w:r>
      <w:bookmarkEnd w:id="187"/>
      <w:bookmarkEnd w:id="188"/>
    </w:p>
    <w:p w14:paraId="34B2E1EE">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39.1 双方关于不可抗力的约定:以有关部门发布的文告或文件为准。</w:t>
      </w:r>
    </w:p>
    <w:p w14:paraId="0730342B">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89" w:name="_Toc43044973"/>
      <w:bookmarkStart w:id="190" w:name="_Toc118023810"/>
      <w:r>
        <w:rPr>
          <w:rFonts w:hint="eastAsia" w:ascii="宋体" w:hAnsi="宋体" w:eastAsia="宋体" w:cs="Times New Roman"/>
          <w:b/>
          <w:kern w:val="2"/>
          <w:sz w:val="21"/>
          <w:szCs w:val="21"/>
          <w:lang w:val="en-US" w:eastAsia="zh-CN" w:bidi="ar-SA"/>
        </w:rPr>
        <w:t>3、保险</w:t>
      </w:r>
      <w:bookmarkEnd w:id="189"/>
      <w:bookmarkEnd w:id="190"/>
    </w:p>
    <w:p w14:paraId="283EAE5E">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40.6 本工程双方约定投保内容如下：</w:t>
      </w:r>
    </w:p>
    <w:p w14:paraId="7C7C64BD">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(1)发包人投保内容:自行负责办理。</w:t>
      </w:r>
    </w:p>
    <w:p w14:paraId="6890BCDC">
      <w:pPr>
        <w:widowControl w:val="0"/>
        <w:spacing w:line="360" w:lineRule="exact"/>
        <w:ind w:firstLine="441" w:firstLineChars="21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发包人委托承包人办理的保险事项：</w:t>
      </w:r>
      <w:r>
        <w:rPr>
          <w:rFonts w:hint="eastAsia" w:ascii="宋体" w:hAnsi="宋体" w:eastAsia="宋体" w:cs="Times New Roman"/>
          <w:kern w:val="2"/>
          <w:sz w:val="21"/>
          <w:szCs w:val="21"/>
          <w:u w:val="single"/>
          <w:lang w:val="en-US" w:eastAsia="zh-CN" w:bidi="ar-SA"/>
        </w:rPr>
        <w:t xml:space="preserve"> 无。</w:t>
      </w:r>
    </w:p>
    <w:p w14:paraId="0E2B9F0D">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(2)承包人投保内容：</w:t>
      </w:r>
    </w:p>
    <w:p w14:paraId="61A02DEF">
      <w:pPr>
        <w:widowControl w:val="0"/>
        <w:spacing w:line="360" w:lineRule="exact"/>
        <w:ind w:firstLine="443" w:firstLineChars="210"/>
        <w:jc w:val="both"/>
        <w:rPr>
          <w:rFonts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﹡承包人必须为施工现场从事施工的所有作业人员和管理人员办理意外伤害保险，并支付保险费。</w:t>
      </w:r>
    </w:p>
    <w:p w14:paraId="7AE4028D">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91" w:name="_Toc43044974"/>
      <w:bookmarkStart w:id="192" w:name="_Toc118023811"/>
      <w:r>
        <w:rPr>
          <w:rFonts w:hint="eastAsia" w:ascii="宋体" w:hAnsi="宋体" w:eastAsia="宋体" w:cs="Times New Roman"/>
          <w:b/>
          <w:kern w:val="2"/>
          <w:sz w:val="21"/>
          <w:szCs w:val="21"/>
          <w:lang w:val="en-US" w:eastAsia="zh-CN" w:bidi="ar-SA"/>
        </w:rPr>
        <w:t>4、担保</w:t>
      </w:r>
      <w:bookmarkEnd w:id="191"/>
      <w:bookmarkEnd w:id="192"/>
    </w:p>
    <w:p w14:paraId="4C350876">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本工程双方约定担保事项如下：</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w:t>
      </w:r>
    </w:p>
    <w:p w14:paraId="5D12BA5A">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 双方约定的其他担保事项：</w:t>
      </w:r>
    </w:p>
    <w:p w14:paraId="3C872380">
      <w:pPr>
        <w:widowControl w:val="0"/>
        <w:tabs>
          <w:tab w:val="left" w:pos="-16"/>
          <w:tab w:val="left" w:pos="750"/>
          <w:tab w:val="left" w:pos="780"/>
          <w:tab w:val="left" w:pos="826"/>
          <w:tab w:val="left" w:pos="870"/>
          <w:tab w:val="left" w:pos="976"/>
        </w:tabs>
        <w:adjustRightInd w:val="0"/>
        <w:spacing w:line="360" w:lineRule="exact"/>
        <w:ind w:left="420"/>
        <w:jc w:val="both"/>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（1）双方约定的其他担保事项：</w:t>
      </w:r>
      <w:r>
        <w:rPr>
          <w:rFonts w:hint="eastAsia" w:ascii="宋体" w:hAnsi="宋体" w:eastAsia="宋体" w:cs="Times New Roman"/>
          <w:kern w:val="2"/>
          <w:sz w:val="21"/>
          <w:szCs w:val="21"/>
          <w:u w:val="single"/>
          <w:lang w:val="en-US" w:eastAsia="zh-CN" w:bidi="ar-SA"/>
        </w:rPr>
        <w:t>承包人在中标后7个工作日内，按规定将农民工工资保证金存入财政部门指定的帐户。</w:t>
      </w:r>
    </w:p>
    <w:p w14:paraId="0C389F72">
      <w:pPr>
        <w:widowControl w:val="0"/>
        <w:tabs>
          <w:tab w:val="left" w:pos="-16"/>
          <w:tab w:val="left" w:pos="750"/>
          <w:tab w:val="left" w:pos="780"/>
          <w:tab w:val="left" w:pos="826"/>
          <w:tab w:val="left" w:pos="870"/>
          <w:tab w:val="left" w:pos="976"/>
        </w:tabs>
        <w:adjustRightInd w:val="0"/>
        <w:spacing w:line="360" w:lineRule="exact"/>
        <w:ind w:firstLine="420" w:firstLineChars="200"/>
        <w:jc w:val="both"/>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（2）农民工工资保证金的退还：</w:t>
      </w:r>
      <w:r>
        <w:rPr>
          <w:rFonts w:hint="eastAsia" w:ascii="宋体" w:hAnsi="宋体" w:eastAsia="宋体" w:cs="Times New Roman"/>
          <w:kern w:val="2"/>
          <w:sz w:val="21"/>
          <w:szCs w:val="21"/>
          <w:u w:val="single"/>
          <w:lang w:val="en-US" w:eastAsia="zh-CN" w:bidi="ar-SA"/>
        </w:rPr>
        <w:t>工程竣工验收结算经审定后，按照规定程序，将农民工工资保证金没有使用或剩余的金额退还给承包人。</w:t>
      </w:r>
    </w:p>
    <w:p w14:paraId="38427158">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93" w:name="_Toc43044975"/>
      <w:bookmarkStart w:id="194" w:name="_Toc118023812"/>
      <w:r>
        <w:rPr>
          <w:rFonts w:hint="eastAsia" w:ascii="宋体" w:hAnsi="宋体" w:eastAsia="宋体" w:cs="Times New Roman"/>
          <w:b/>
          <w:kern w:val="2"/>
          <w:sz w:val="21"/>
          <w:szCs w:val="21"/>
          <w:lang w:val="en-US" w:eastAsia="zh-CN" w:bidi="ar-SA"/>
        </w:rPr>
        <w:t>5、合同份数</w:t>
      </w:r>
      <w:bookmarkEnd w:id="193"/>
      <w:bookmarkEnd w:id="194"/>
    </w:p>
    <w:p w14:paraId="19573FDA">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双方约定合同副本份数：</w:t>
      </w:r>
      <w:r>
        <w:rPr>
          <w:rFonts w:hint="eastAsia" w:ascii="宋体" w:hAnsi="宋体" w:eastAsia="宋体" w:cs="Times New Roman"/>
          <w:b/>
          <w:bCs/>
          <w:kern w:val="2"/>
          <w:sz w:val="21"/>
          <w:szCs w:val="21"/>
          <w:u w:val="single"/>
          <w:lang w:val="en-US" w:eastAsia="zh-CN" w:bidi="ar-SA"/>
        </w:rPr>
        <w:t>两份正本、肆份副本</w:t>
      </w:r>
      <w:r>
        <w:rPr>
          <w:rFonts w:hint="eastAsia" w:ascii="宋体" w:hAnsi="宋体" w:eastAsia="宋体" w:cs="Times New Roman"/>
          <w:kern w:val="2"/>
          <w:sz w:val="21"/>
          <w:szCs w:val="21"/>
          <w:u w:val="single"/>
          <w:lang w:val="en-US" w:eastAsia="zh-CN" w:bidi="ar-SA"/>
        </w:rPr>
        <w:t>。</w:t>
      </w:r>
    </w:p>
    <w:p w14:paraId="43E337FF">
      <w:pPr>
        <w:widowControl w:val="0"/>
        <w:spacing w:line="360" w:lineRule="exact"/>
        <w:ind w:firstLine="443" w:firstLineChars="210"/>
        <w:jc w:val="both"/>
        <w:rPr>
          <w:rFonts w:ascii="宋体" w:hAnsi="宋体" w:eastAsia="宋体" w:cs="Times New Roman"/>
          <w:b/>
          <w:kern w:val="2"/>
          <w:sz w:val="21"/>
          <w:szCs w:val="21"/>
          <w:lang w:val="en-US" w:eastAsia="zh-CN" w:bidi="ar-SA"/>
        </w:rPr>
      </w:pPr>
      <w:bookmarkStart w:id="195" w:name="_Toc68452840"/>
      <w:bookmarkStart w:id="196" w:name="_Toc68547804"/>
      <w:bookmarkStart w:id="197" w:name="_Toc69654573"/>
      <w:r>
        <w:rPr>
          <w:rFonts w:hint="eastAsia" w:ascii="宋体" w:hAnsi="宋体" w:eastAsia="宋体" w:cs="Times New Roman"/>
          <w:b/>
          <w:kern w:val="2"/>
          <w:sz w:val="21"/>
          <w:szCs w:val="21"/>
          <w:lang w:val="en-US" w:eastAsia="zh-CN" w:bidi="ar-SA"/>
        </w:rPr>
        <w:t>6. 补充条款</w:t>
      </w:r>
      <w:bookmarkEnd w:id="195"/>
      <w:bookmarkEnd w:id="196"/>
      <w:bookmarkEnd w:id="197"/>
    </w:p>
    <w:p w14:paraId="0EA152A2">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承包人有以下情况之一者，将视为违约，发包人有权采取以下措施处理，并视情节轻重处予违约处罚金。</w:t>
      </w:r>
    </w:p>
    <w:p w14:paraId="54F05577">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1.1.1合同签订之日起15日内，承包人无法按合同规定及磋商文件的承诺进场经监理工程师认可的全部人员和机械时，视为违约，发包人有权解除合同，没收其全部履约保证金，发包人有权另行发包工程。</w:t>
      </w:r>
    </w:p>
    <w:p w14:paraId="51CF6625">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1.1.2主要机械的数量、型号，应与合同相符，若监理工程师认为合同规定的进场机械不能满足施工进度要求，有权指令承包人增加机械投入，承包人不得拒绝。</w:t>
      </w:r>
    </w:p>
    <w:p w14:paraId="0AC8E0B4">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1.1.5 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468E614E">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1.1.6 承包人在合同期内，完成合同规定的全部工程，且质量合格，竣工验收后十五天内可申请返还全部或部分违约处罚金（不包括利息）。</w:t>
      </w:r>
    </w:p>
    <w:p w14:paraId="39C75607">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 工程款的使用</w:t>
      </w:r>
    </w:p>
    <w:p w14:paraId="24BB0CB4">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1.2.1 本工程资金属地方财政、业主贷款等，承包人在施工期间必须保证资金的专项使用，不得挪作他用，并自觉接受业主和银行的监督，否则将视为承包人违约。</w:t>
      </w:r>
    </w:p>
    <w:p w14:paraId="5A10B858">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1.2.2 承包人（项目部）帐户必须在业主指定的银行开户，否则业主将不支付任何工程款。</w:t>
      </w:r>
    </w:p>
    <w:p w14:paraId="39C3ADF5">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1.2.3承包人对外支付其他工程款，必须按以下规定报批，违者将视情节轻重，给予罚（等额）款、没收履约保证金、终止合同等。</w:t>
      </w:r>
    </w:p>
    <w:p w14:paraId="5586CEAD">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1.2.4承包人购买用于本工程的各种材料，施工机械设备、配件等，凡是每次支付的货款金额在贰万元以上，拾万元以下者，须凭购货发票或购（订）货合同、协议。</w:t>
      </w:r>
    </w:p>
    <w:p w14:paraId="1D0926F3">
      <w:pPr>
        <w:widowControl w:val="0"/>
        <w:spacing w:line="360" w:lineRule="exact"/>
        <w:ind w:firstLine="441" w:firstLineChars="21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1.2.5对外支付额≥10万元人民币的，必须报经业主批准，承包人的开户银行才给予受理。</w:t>
      </w:r>
    </w:p>
    <w:p w14:paraId="05791BCF">
      <w:pPr>
        <w:spacing w:line="360" w:lineRule="exact"/>
        <w:ind w:firstLine="441" w:firstLineChars="210"/>
        <w:rPr>
          <w:rFonts w:ascii="Times New Roman" w:hAnsi="宋体" w:eastAsia="宋体" w:cs="Times New Roman"/>
          <w:b/>
          <w:szCs w:val="21"/>
          <w:u w:val="single"/>
        </w:rPr>
      </w:pPr>
      <w:r>
        <w:rPr>
          <w:rFonts w:hint="eastAsia" w:ascii="Times New Roman" w:hAnsi="宋体" w:eastAsia="宋体" w:cs="Times New Roman"/>
          <w:szCs w:val="21"/>
        </w:rPr>
        <w:t>1.3凡进入本工程工作的妇女应持有计生证，否则不准安排工作，禁止使用童工。</w:t>
      </w:r>
    </w:p>
    <w:p w14:paraId="6CF8A2F3">
      <w:pPr>
        <w:spacing w:line="360" w:lineRule="exact"/>
        <w:ind w:firstLine="420" w:firstLineChars="200"/>
        <w:jc w:val="left"/>
        <w:rPr>
          <w:rFonts w:ascii="Times New Roman" w:hAnsi="宋体" w:eastAsia="宋体" w:cs="Times New Roman"/>
          <w:spacing w:val="-4"/>
          <w:szCs w:val="21"/>
        </w:rPr>
      </w:pPr>
      <w:r>
        <w:rPr>
          <w:rFonts w:hint="eastAsia" w:ascii="Times New Roman" w:hAnsi="宋体" w:eastAsia="宋体" w:cs="Times New Roman"/>
          <w:szCs w:val="21"/>
        </w:rPr>
        <w:t>1.4 本</w:t>
      </w:r>
      <w:r>
        <w:rPr>
          <w:rFonts w:hint="eastAsia" w:ascii="Times New Roman" w:hAnsi="宋体" w:eastAsia="宋体" w:cs="Times New Roman"/>
          <w:spacing w:val="-4"/>
          <w:szCs w:val="21"/>
        </w:rPr>
        <w:t>工程合同价款已包含安全防护、文明施工措施费</w:t>
      </w:r>
      <w:r>
        <w:rPr>
          <w:rFonts w:hint="eastAsia" w:ascii="Times New Roman" w:hAnsi="宋体" w:eastAsia="宋体" w:cs="Times New Roman"/>
          <w:spacing w:val="-4"/>
          <w:szCs w:val="21"/>
          <w:u w:val="single"/>
        </w:rPr>
        <w:t xml:space="preserve">     </w:t>
      </w:r>
      <w:r>
        <w:rPr>
          <w:rFonts w:hint="eastAsia" w:ascii="Times New Roman" w:hAnsi="宋体" w:eastAsia="宋体" w:cs="Times New Roman"/>
          <w:spacing w:val="-4"/>
          <w:szCs w:val="21"/>
        </w:rPr>
        <w:t>元。使用要求：专款专用，具体按桂建质安[2006]22号文《广西壮族自治区建筑工程安全防护、文明施工措施费及使用管理细则》要求执行。</w:t>
      </w:r>
    </w:p>
    <w:p w14:paraId="5AC44E8D">
      <w:pPr>
        <w:autoSpaceDE w:val="0"/>
        <w:autoSpaceDN w:val="0"/>
        <w:adjustRightInd w:val="0"/>
        <w:spacing w:line="360" w:lineRule="exact"/>
        <w:ind w:firstLine="360"/>
        <w:rPr>
          <w:rFonts w:ascii="Times New Roman" w:hAnsi="宋体" w:eastAsia="宋体" w:cs="仿宋"/>
          <w:szCs w:val="21"/>
          <w:lang w:val="zh-CN"/>
        </w:rPr>
      </w:pPr>
      <w:r>
        <w:rPr>
          <w:rFonts w:hint="eastAsia" w:ascii="Times New Roman" w:hAnsi="宋体" w:eastAsia="宋体" w:cs="仿宋"/>
          <w:szCs w:val="21"/>
        </w:rPr>
        <w:t>2</w:t>
      </w:r>
      <w:r>
        <w:rPr>
          <w:rFonts w:hint="eastAsia" w:ascii="Times New Roman" w:hAnsi="宋体" w:eastAsia="宋体" w:cs="仿宋"/>
          <w:szCs w:val="21"/>
          <w:lang w:val="zh-CN"/>
        </w:rPr>
        <w:t>.农民工工资支付</w:t>
      </w:r>
    </w:p>
    <w:p w14:paraId="400A4C8A">
      <w:pPr>
        <w:autoSpaceDE w:val="0"/>
        <w:autoSpaceDN w:val="0"/>
        <w:adjustRightInd w:val="0"/>
        <w:spacing w:line="360" w:lineRule="exact"/>
        <w:ind w:firstLine="360"/>
        <w:rPr>
          <w:rFonts w:ascii="Times New Roman" w:hAnsi="宋体" w:eastAsia="宋体" w:cs="仿宋"/>
          <w:szCs w:val="21"/>
          <w:lang w:val="zh-CN"/>
        </w:rPr>
      </w:pPr>
      <w:r>
        <w:rPr>
          <w:rFonts w:hint="eastAsia" w:ascii="Times New Roman" w:hAnsi="宋体" w:eastAsia="宋体" w:cs="仿宋"/>
          <w:szCs w:val="21"/>
        </w:rPr>
        <w:t>2</w:t>
      </w:r>
      <w:r>
        <w:rPr>
          <w:rFonts w:hint="eastAsia" w:ascii="Times New Roman" w:hAnsi="宋体" w:eastAsia="宋体" w:cs="仿宋"/>
          <w:szCs w:val="21"/>
          <w:lang w:val="zh-CN"/>
        </w:rPr>
        <w:t>.1工程竣工结算经有关单位审定后，施工单位凭在广西法制报或左江日报关于该项目材料款及农民工工资结清公告，甲方才支付剩余工程结算款（质保金除外）及退还农民工资保证金。农民工工资必须每月足额发放，农民工工资发放表及发包人批复的月进度支付报告必须在农民工居住的地方公示一周以上，否则发包人有权拒绝支付下月进度款。</w:t>
      </w:r>
    </w:p>
    <w:p w14:paraId="363B0354">
      <w:pPr>
        <w:autoSpaceDE w:val="0"/>
        <w:autoSpaceDN w:val="0"/>
        <w:adjustRightInd w:val="0"/>
        <w:spacing w:line="360" w:lineRule="exact"/>
        <w:ind w:firstLine="360"/>
        <w:rPr>
          <w:rFonts w:ascii="Times New Roman" w:hAnsi="宋体" w:eastAsia="宋体" w:cs="仿宋"/>
          <w:szCs w:val="21"/>
          <w:lang w:val="zh-CN"/>
        </w:rPr>
      </w:pPr>
      <w:r>
        <w:rPr>
          <w:rFonts w:hint="eastAsia" w:ascii="Times New Roman" w:hAnsi="宋体" w:eastAsia="宋体" w:cs="仿宋"/>
          <w:szCs w:val="21"/>
        </w:rPr>
        <w:t>2</w:t>
      </w:r>
      <w:r>
        <w:rPr>
          <w:rFonts w:hint="eastAsia" w:ascii="Times New Roman" w:hAnsi="宋体" w:eastAsia="宋体" w:cs="仿宋"/>
          <w:szCs w:val="21"/>
          <w:lang w:val="zh-CN"/>
        </w:rPr>
        <w:t>.2发包人有权监督农民工工资支付情况，如果承包人未能及时支付农民工工资的，发包人有权用进度款优先支付农民工工资。</w:t>
      </w:r>
    </w:p>
    <w:p w14:paraId="65E17E89">
      <w:pPr>
        <w:spacing w:line="360" w:lineRule="exact"/>
        <w:ind w:firstLine="420" w:firstLineChars="200"/>
        <w:rPr>
          <w:rFonts w:ascii="Times New Roman" w:hAnsi="宋体" w:eastAsia="宋体" w:cs="Times New Roman"/>
          <w:b/>
          <w:bCs/>
          <w:sz w:val="24"/>
        </w:rPr>
      </w:pPr>
      <w:r>
        <w:rPr>
          <w:rFonts w:hint="eastAsia" w:ascii="Times New Roman" w:hAnsi="宋体" w:eastAsia="宋体" w:cs="仿宋"/>
          <w:szCs w:val="21"/>
        </w:rPr>
        <w:t>2</w:t>
      </w:r>
      <w:r>
        <w:rPr>
          <w:rFonts w:hint="eastAsia" w:ascii="Times New Roman" w:hAnsi="宋体" w:eastAsia="宋体" w:cs="仿宋"/>
          <w:szCs w:val="21"/>
          <w:lang w:val="zh-CN"/>
        </w:rPr>
        <w:t>.3发包人按本合同的约定按时足额支付工程款，承包人未能按照合同支付材料款或农民工工资造成材料商或农民工催讨款项的，经核实，承包人每次向发包人赔偿壹万元。赔偿金直接从工程款中扣除。</w:t>
      </w:r>
    </w:p>
    <w:p w14:paraId="5619D2A8">
      <w:pPr>
        <w:spacing w:line="44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br w:type="page"/>
      </w:r>
    </w:p>
    <w:p w14:paraId="022B5B83">
      <w:pPr>
        <w:spacing w:line="440" w:lineRule="exact"/>
        <w:jc w:val="center"/>
        <w:rPr>
          <w:rFonts w:ascii="Times New Roman" w:hAnsi="Times New Roman" w:eastAsia="宋体" w:cs="Times New Roman"/>
          <w:sz w:val="24"/>
        </w:rPr>
      </w:pPr>
      <w:r>
        <w:rPr>
          <w:rFonts w:hint="eastAsia" w:ascii="Times New Roman" w:hAnsi="宋体" w:eastAsia="宋体" w:cs="Times New Roman"/>
          <w:b/>
          <w:bCs/>
          <w:sz w:val="32"/>
          <w:szCs w:val="32"/>
        </w:rPr>
        <w:t>工程质量保修书</w:t>
      </w:r>
    </w:p>
    <w:p w14:paraId="4D61DD41">
      <w:pPr>
        <w:widowControl w:val="0"/>
        <w:spacing w:line="440" w:lineRule="exact"/>
        <w:ind w:firstLine="480" w:firstLineChars="200"/>
        <w:jc w:val="both"/>
        <w:rPr>
          <w:rFonts w:ascii="宋体" w:hAnsi="宋体" w:eastAsia="宋体" w:cs="Times New Roman"/>
          <w:kern w:val="2"/>
          <w:sz w:val="24"/>
          <w:szCs w:val="24"/>
          <w:lang w:val="en-US" w:eastAsia="zh-CN" w:bidi="ar-SA"/>
        </w:rPr>
      </w:pPr>
    </w:p>
    <w:p w14:paraId="53C01AD9">
      <w:pPr>
        <w:widowControl w:val="0"/>
        <w:spacing w:line="440" w:lineRule="exact"/>
        <w:ind w:firstLine="420" w:firstLineChars="200"/>
        <w:jc w:val="both"/>
        <w:rPr>
          <w:rFonts w:ascii="宋体" w:hAnsi="宋体" w:eastAsia="宋体" w:cs="Times New Roman"/>
          <w:bCs/>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发包人（全称）：</w:t>
      </w:r>
      <w:r>
        <w:rPr>
          <w:rFonts w:hint="eastAsia" w:ascii="宋体" w:hAnsi="宋体" w:eastAsia="宋体" w:cs="Times New Roman"/>
          <w:kern w:val="2"/>
          <w:sz w:val="21"/>
          <w:szCs w:val="21"/>
          <w:u w:val="single"/>
          <w:lang w:val="en-US" w:eastAsia="zh-CN" w:bidi="ar-SA"/>
        </w:rPr>
        <w:t>大新县民族宗教服务中心</w:t>
      </w:r>
    </w:p>
    <w:p w14:paraId="00CFEE3D">
      <w:pPr>
        <w:widowControl w:val="0"/>
        <w:spacing w:line="440" w:lineRule="exact"/>
        <w:ind w:firstLine="420" w:firstLineChars="200"/>
        <w:jc w:val="both"/>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承包人（全称）：</w:t>
      </w:r>
      <w:r>
        <w:rPr>
          <w:rFonts w:hint="eastAsia" w:ascii="Times New Roman" w:hAnsi="Times New Roman" w:eastAsia="宋体" w:cs="Times New Roman"/>
          <w:bCs/>
          <w:kern w:val="2"/>
          <w:sz w:val="21"/>
          <w:szCs w:val="21"/>
          <w:u w:val="single"/>
          <w:lang w:val="en-US" w:eastAsia="zh-CN" w:bidi="ar-SA"/>
        </w:rPr>
        <w:t xml:space="preserve">                          </w:t>
      </w:r>
    </w:p>
    <w:p w14:paraId="22FEAAFE">
      <w:pPr>
        <w:widowControl w:val="0"/>
        <w:spacing w:line="440" w:lineRule="exact"/>
        <w:jc w:val="both"/>
        <w:rPr>
          <w:rFonts w:ascii="宋体" w:hAnsi="宋体" w:eastAsia="宋体" w:cs="Times New Roman"/>
          <w:kern w:val="2"/>
          <w:sz w:val="21"/>
          <w:szCs w:val="21"/>
          <w:lang w:val="en-US" w:eastAsia="zh-CN" w:bidi="ar-SA"/>
        </w:rPr>
      </w:pPr>
    </w:p>
    <w:p w14:paraId="4DE3324D">
      <w:pPr>
        <w:widowControl w:val="0"/>
        <w:spacing w:line="360" w:lineRule="auto"/>
        <w:ind w:firstLine="420"/>
        <w:jc w:val="both"/>
        <w:rPr>
          <w:rFonts w:ascii="宋体" w:hAnsi="Times New Roman"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发包人和承包人根据《中华人民共和国建筑法》和《建设工程质量管理条例》，经协商一致就</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（工程全称）签订工程质量保修书。</w:t>
      </w:r>
    </w:p>
    <w:p w14:paraId="05F7B377">
      <w:pPr>
        <w:widowControl w:val="0"/>
        <w:spacing w:line="360" w:lineRule="auto"/>
        <w:ind w:left="4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一、工程质量保修范围和内容</w:t>
      </w:r>
    </w:p>
    <w:p w14:paraId="3BED65AA">
      <w:pPr>
        <w:widowControl w:val="0"/>
        <w:spacing w:line="360" w:lineRule="auto"/>
        <w:ind w:firstLine="4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承包人在质量保修期内，按照有关法律规定和合同约定，承担工程质量保修责任。</w:t>
      </w:r>
    </w:p>
    <w:p w14:paraId="2FF3D98E">
      <w:pPr>
        <w:widowControl w:val="0"/>
        <w:spacing w:line="360" w:lineRule="auto"/>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质量保修范围包括，以及双方约定的其他项目。具体保修的内容，双方约定如下：</w:t>
      </w:r>
      <w:r>
        <w:rPr>
          <w:rFonts w:hint="eastAsia" w:ascii="宋体" w:hAnsi="宋体" w:eastAsia="宋体" w:cs="Times New Roman"/>
          <w:kern w:val="2"/>
          <w:sz w:val="21"/>
          <w:szCs w:val="21"/>
          <w:u w:val="single"/>
          <w:lang w:val="en-US" w:eastAsia="zh-CN" w:bidi="ar-SA"/>
        </w:rPr>
        <w:t>属承包人承包范围内的质量缺陷　</w:t>
      </w:r>
      <w:r>
        <w:rPr>
          <w:rFonts w:hint="eastAsia" w:ascii="宋体" w:hAnsi="宋体" w:eastAsia="宋体" w:cs="Times New Roman"/>
          <w:kern w:val="2"/>
          <w:sz w:val="21"/>
          <w:szCs w:val="21"/>
          <w:lang w:val="en-US" w:eastAsia="zh-CN" w:bidi="ar-SA"/>
        </w:rPr>
        <w:t>。</w:t>
      </w:r>
    </w:p>
    <w:p w14:paraId="328DB62A">
      <w:pPr>
        <w:widowControl w:val="0"/>
        <w:spacing w:line="360" w:lineRule="auto"/>
        <w:ind w:left="405"/>
        <w:jc w:val="both"/>
        <w:rPr>
          <w:rFonts w:ascii="宋体" w:hAnsi="宋体" w:eastAsia="宋体" w:cs="Times New Roman"/>
          <w:kern w:val="2"/>
          <w:sz w:val="21"/>
          <w:szCs w:val="21"/>
          <w:lang w:val="en-US" w:eastAsia="zh-CN" w:bidi="ar-SA"/>
        </w:rPr>
      </w:pPr>
      <w:bookmarkStart w:id="198" w:name="_Toc465940340"/>
      <w:bookmarkStart w:id="199" w:name="_Toc455679495"/>
      <w:bookmarkStart w:id="200" w:name="_Toc468097268"/>
      <w:r>
        <w:rPr>
          <w:rFonts w:hint="eastAsia" w:ascii="宋体" w:hAnsi="宋体" w:eastAsia="宋体" w:cs="Times New Roman"/>
          <w:kern w:val="2"/>
          <w:sz w:val="21"/>
          <w:szCs w:val="21"/>
          <w:lang w:val="en-US" w:eastAsia="zh-CN" w:bidi="ar-SA"/>
        </w:rPr>
        <w:t>二、质量保修期</w:t>
      </w:r>
      <w:bookmarkEnd w:id="198"/>
      <w:bookmarkEnd w:id="199"/>
      <w:bookmarkEnd w:id="200"/>
    </w:p>
    <w:p w14:paraId="7B9DD273">
      <w:pPr>
        <w:widowControl w:val="0"/>
        <w:spacing w:line="360" w:lineRule="auto"/>
        <w:ind w:firstLine="420" w:firstLineChars="20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工程的质量保修期为</w:t>
      </w:r>
      <w:r>
        <w:rPr>
          <w:rFonts w:hint="eastAsia" w:ascii="宋体" w:hAnsi="宋体" w:eastAsia="宋体" w:cs="Times New Roman"/>
          <w:kern w:val="2"/>
          <w:sz w:val="21"/>
          <w:szCs w:val="21"/>
          <w:u w:val="single"/>
          <w:lang w:val="en-US" w:eastAsia="zh-CN" w:bidi="ar-SA"/>
        </w:rPr>
        <w:t>12</w:t>
      </w:r>
      <w:r>
        <w:rPr>
          <w:rFonts w:hint="eastAsia" w:ascii="宋体" w:hAnsi="宋体" w:eastAsia="宋体" w:cs="Times New Roman"/>
          <w:kern w:val="2"/>
          <w:sz w:val="21"/>
          <w:szCs w:val="21"/>
          <w:lang w:val="en-US" w:eastAsia="zh-CN" w:bidi="ar-SA"/>
        </w:rPr>
        <w:t>个月，质量保修期自工程竣工验收合格之日起计算。</w:t>
      </w:r>
    </w:p>
    <w:p w14:paraId="7B28BA8B">
      <w:pPr>
        <w:widowControl w:val="0"/>
        <w:spacing w:line="360" w:lineRule="auto"/>
        <w:ind w:left="405"/>
        <w:jc w:val="both"/>
        <w:rPr>
          <w:rFonts w:ascii="宋体" w:hAnsi="宋体" w:eastAsia="宋体" w:cs="Times New Roman"/>
          <w:kern w:val="2"/>
          <w:sz w:val="21"/>
          <w:szCs w:val="21"/>
          <w:lang w:val="en-US" w:eastAsia="zh-CN" w:bidi="ar-SA"/>
        </w:rPr>
      </w:pPr>
      <w:bookmarkStart w:id="201" w:name="_Toc468097269"/>
      <w:bookmarkStart w:id="202" w:name="_Toc465940341"/>
      <w:bookmarkStart w:id="203" w:name="_Toc455679496"/>
      <w:r>
        <w:rPr>
          <w:rFonts w:hint="eastAsia" w:ascii="宋体" w:hAnsi="宋体" w:eastAsia="宋体" w:cs="Times New Roman"/>
          <w:kern w:val="2"/>
          <w:sz w:val="21"/>
          <w:szCs w:val="21"/>
          <w:lang w:val="en-US" w:eastAsia="zh-CN" w:bidi="ar-SA"/>
        </w:rPr>
        <w:t>三、缺陷责任期</w:t>
      </w:r>
      <w:bookmarkEnd w:id="201"/>
      <w:bookmarkEnd w:id="202"/>
      <w:bookmarkEnd w:id="203"/>
    </w:p>
    <w:p w14:paraId="0AC2B917">
      <w:pPr>
        <w:widowControl w:val="0"/>
        <w:spacing w:line="360" w:lineRule="auto"/>
        <w:ind w:firstLine="420" w:firstLineChars="20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工程缺陷责任期为</w:t>
      </w:r>
      <w:r>
        <w:rPr>
          <w:rFonts w:hint="eastAsia" w:ascii="宋体" w:hAnsi="宋体" w:eastAsia="宋体" w:cs="Times New Roman"/>
          <w:kern w:val="2"/>
          <w:sz w:val="21"/>
          <w:szCs w:val="21"/>
          <w:u w:val="single"/>
          <w:lang w:val="en-US" w:eastAsia="zh-CN" w:bidi="ar-SA"/>
        </w:rPr>
        <w:t xml:space="preserve"> 12 </w:t>
      </w:r>
      <w:r>
        <w:rPr>
          <w:rFonts w:hint="eastAsia" w:ascii="宋体" w:hAnsi="宋体" w:eastAsia="宋体" w:cs="Times New Roman"/>
          <w:kern w:val="2"/>
          <w:sz w:val="21"/>
          <w:szCs w:val="21"/>
          <w:lang w:val="en-US" w:eastAsia="zh-CN" w:bidi="ar-SA"/>
        </w:rPr>
        <w:t>个月，缺陷责任期自工程竣工验收合格之日起计算。单位工程先于全部工程进行验收，单位工程缺陷责任期自单位工程验收合格之日起算。</w:t>
      </w:r>
    </w:p>
    <w:p w14:paraId="5F1A8426">
      <w:pPr>
        <w:widowControl w:val="0"/>
        <w:spacing w:line="360" w:lineRule="auto"/>
        <w:ind w:firstLine="420" w:firstLineChars="20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缺陷责任期终止后，发包人应退还剩余的质量保证金</w:t>
      </w:r>
      <w:r>
        <w:rPr>
          <w:rFonts w:hint="eastAsia" w:ascii="宋体" w:hAnsi="宋体" w:eastAsia="宋体" w:cs="Times New Roman"/>
          <w:b/>
          <w:bCs/>
          <w:kern w:val="2"/>
          <w:sz w:val="21"/>
          <w:szCs w:val="21"/>
          <w:u w:val="single"/>
          <w:lang w:val="en-US" w:eastAsia="zh-CN" w:bidi="ar-SA"/>
        </w:rPr>
        <w:t>（如工程缺陷责任期满时，仍有部分项目保修期未满时，则将按造价比例扣留该工程质量保修期未满项目的质量保修金）</w:t>
      </w:r>
      <w:r>
        <w:rPr>
          <w:rFonts w:hint="eastAsia" w:ascii="宋体" w:hAnsi="宋体" w:eastAsia="宋体" w:cs="Times New Roman"/>
          <w:kern w:val="2"/>
          <w:sz w:val="21"/>
          <w:szCs w:val="21"/>
          <w:lang w:val="en-US" w:eastAsia="zh-CN" w:bidi="ar-SA"/>
        </w:rPr>
        <w:t>。</w:t>
      </w:r>
    </w:p>
    <w:p w14:paraId="4E1494B1">
      <w:pPr>
        <w:widowControl w:val="0"/>
        <w:spacing w:line="360" w:lineRule="auto"/>
        <w:ind w:left="405"/>
        <w:jc w:val="both"/>
        <w:rPr>
          <w:rFonts w:ascii="宋体" w:hAnsi="宋体" w:eastAsia="宋体" w:cs="Times New Roman"/>
          <w:kern w:val="2"/>
          <w:sz w:val="21"/>
          <w:szCs w:val="21"/>
          <w:lang w:val="en-US" w:eastAsia="zh-CN" w:bidi="ar-SA"/>
        </w:rPr>
      </w:pPr>
      <w:bookmarkStart w:id="204" w:name="_Toc455679497"/>
      <w:bookmarkStart w:id="205" w:name="_Toc468097270"/>
      <w:bookmarkStart w:id="206" w:name="_Toc465940342"/>
      <w:r>
        <w:rPr>
          <w:rFonts w:hint="eastAsia" w:ascii="宋体" w:hAnsi="宋体" w:eastAsia="宋体" w:cs="Times New Roman"/>
          <w:kern w:val="2"/>
          <w:sz w:val="21"/>
          <w:szCs w:val="21"/>
          <w:lang w:val="en-US" w:eastAsia="zh-CN" w:bidi="ar-SA"/>
        </w:rPr>
        <w:t>四、质量保修责任</w:t>
      </w:r>
      <w:bookmarkEnd w:id="204"/>
      <w:bookmarkEnd w:id="205"/>
      <w:bookmarkEnd w:id="206"/>
    </w:p>
    <w:p w14:paraId="74FA1ACC">
      <w:pPr>
        <w:widowControl w:val="0"/>
        <w:spacing w:line="360" w:lineRule="auto"/>
        <w:ind w:left="105" w:leftChars="50" w:firstLine="430" w:firstLineChars="2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1．属于保修范围、内容的项目，承包人应当在接到保修通知之日起7天内派人保修。承包人不在约定期限内派人保修的，发包人可以委托他人修理。</w:t>
      </w:r>
    </w:p>
    <w:p w14:paraId="4F912D8C">
      <w:pPr>
        <w:widowControl w:val="0"/>
        <w:spacing w:line="360" w:lineRule="auto"/>
        <w:ind w:left="105" w:leftChars="50" w:firstLine="430" w:firstLineChars="2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2．发生紧急事故需抢修的，承包人在接到事故通知后，应当立即到达事故现场抢修。</w:t>
      </w:r>
    </w:p>
    <w:p w14:paraId="05BC4BF8">
      <w:pPr>
        <w:widowControl w:val="0"/>
        <w:spacing w:line="360" w:lineRule="auto"/>
        <w:ind w:left="105" w:leftChars="50" w:firstLine="430" w:firstLineChars="2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CA1271">
      <w:pPr>
        <w:widowControl w:val="0"/>
        <w:spacing w:line="360" w:lineRule="auto"/>
        <w:ind w:left="420" w:leftChars="200" w:firstLine="105" w:firstLineChars="5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4．质量保修完成后，由发包人组织验收。</w:t>
      </w:r>
    </w:p>
    <w:p w14:paraId="65FB5381">
      <w:pPr>
        <w:widowControl w:val="0"/>
        <w:spacing w:line="360" w:lineRule="auto"/>
        <w:ind w:left="405"/>
        <w:jc w:val="both"/>
        <w:rPr>
          <w:rFonts w:ascii="宋体" w:hAnsi="宋体" w:eastAsia="宋体" w:cs="Times New Roman"/>
          <w:kern w:val="2"/>
          <w:sz w:val="21"/>
          <w:szCs w:val="21"/>
          <w:lang w:val="en-US" w:eastAsia="zh-CN" w:bidi="ar-SA"/>
        </w:rPr>
      </w:pPr>
      <w:bookmarkStart w:id="207" w:name="_Toc455679498"/>
      <w:bookmarkStart w:id="208" w:name="_Toc468097271"/>
      <w:bookmarkStart w:id="209" w:name="_Toc465940343"/>
      <w:r>
        <w:rPr>
          <w:rFonts w:hint="eastAsia" w:ascii="宋体" w:hAnsi="宋体" w:eastAsia="宋体" w:cs="Times New Roman"/>
          <w:kern w:val="2"/>
          <w:sz w:val="21"/>
          <w:szCs w:val="21"/>
          <w:lang w:val="en-US" w:eastAsia="zh-CN" w:bidi="ar-SA"/>
        </w:rPr>
        <w:t>五、保修费用</w:t>
      </w:r>
      <w:bookmarkEnd w:id="207"/>
      <w:bookmarkEnd w:id="208"/>
      <w:bookmarkEnd w:id="209"/>
    </w:p>
    <w:p w14:paraId="10C15B3F">
      <w:pPr>
        <w:widowControl w:val="0"/>
        <w:spacing w:line="360" w:lineRule="auto"/>
        <w:ind w:firstLine="405"/>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保修费用由造成质量缺陷的责任方承担。</w:t>
      </w:r>
    </w:p>
    <w:p w14:paraId="20BE8AE0">
      <w:pPr>
        <w:widowControl w:val="0"/>
        <w:spacing w:line="360" w:lineRule="auto"/>
        <w:ind w:firstLine="420" w:firstLineChars="200"/>
        <w:jc w:val="both"/>
        <w:rPr>
          <w:rFonts w:ascii="宋体" w:hAnsi="宋体" w:eastAsia="宋体" w:cs="Times New Roman"/>
          <w:kern w:val="2"/>
          <w:sz w:val="21"/>
          <w:szCs w:val="21"/>
          <w:lang w:val="en-US" w:eastAsia="zh-CN" w:bidi="ar-SA"/>
        </w:rPr>
      </w:pPr>
      <w:bookmarkStart w:id="210" w:name="_Toc468097272"/>
      <w:bookmarkStart w:id="211" w:name="_Toc455679499"/>
      <w:bookmarkStart w:id="212" w:name="_Toc465940344"/>
      <w:r>
        <w:rPr>
          <w:rFonts w:hint="eastAsia" w:ascii="宋体" w:hAnsi="宋体" w:eastAsia="宋体" w:cs="Times New Roman"/>
          <w:kern w:val="2"/>
          <w:sz w:val="21"/>
          <w:szCs w:val="21"/>
          <w:lang w:val="en-US" w:eastAsia="zh-CN" w:bidi="ar-SA"/>
        </w:rPr>
        <w:t>六、双方约定的其他工程质量保修事项：本工程约定的工程质量保修金为工程价款结算总额的 2%。质量保修金不计利息（如工程缺陷责任期满时，仍有部分项目保修期未满时，则将按造价比例扣留该工程质量保修期未满项目的质量保修金）：①发包人在工程竣工验收合格之日起满二年后14天内将保修期满部分的保修金的返还承包人；本工程在保修期有质量问题的，且保修期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bookmarkEnd w:id="210"/>
      <w:bookmarkEnd w:id="211"/>
      <w:bookmarkEnd w:id="212"/>
    </w:p>
    <w:p w14:paraId="44CA79BE">
      <w:pPr>
        <w:widowControl w:val="0"/>
        <w:spacing w:line="360" w:lineRule="auto"/>
        <w:ind w:firstLine="399" w:firstLineChars="19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工程质量保修书由发包人、承包人在工程竣工验收前共同签署，作为施工合同附件，其有效期限至保修期满。</w:t>
      </w:r>
    </w:p>
    <w:p w14:paraId="2B40DD17">
      <w:pPr>
        <w:widowControl w:val="0"/>
        <w:spacing w:line="360" w:lineRule="auto"/>
        <w:ind w:firstLine="420"/>
        <w:jc w:val="both"/>
        <w:rPr>
          <w:rFonts w:ascii="宋体" w:hAnsi="Times New Roman" w:eastAsia="宋体" w:cs="Times New Roman"/>
          <w:kern w:val="2"/>
          <w:sz w:val="21"/>
          <w:szCs w:val="21"/>
          <w:lang w:val="en-US" w:eastAsia="zh-CN" w:bidi="ar-SA"/>
        </w:rPr>
      </w:pPr>
    </w:p>
    <w:p w14:paraId="4AB084B4">
      <w:pPr>
        <w:widowControl w:val="0"/>
        <w:spacing w:line="360" w:lineRule="auto"/>
        <w:ind w:left="6510" w:hanging="6510" w:hangingChars="3100"/>
        <w:jc w:val="both"/>
        <w:rPr>
          <w:rFonts w:hint="default" w:ascii="宋体" w:hAnsi="Times New Roman"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发包人(公章)：</w:t>
      </w:r>
      <w:r>
        <w:rPr>
          <w:rFonts w:hint="eastAsia" w:ascii="宋体" w:hAnsi="宋体" w:eastAsia="宋体" w:cs="Times New Roman"/>
          <w:bCs/>
          <w:kern w:val="2"/>
          <w:sz w:val="21"/>
          <w:szCs w:val="21"/>
          <w:u w:val="single"/>
          <w:lang w:val="en-US" w:eastAsia="zh-CN" w:bidi="ar-SA"/>
        </w:rPr>
        <w:t xml:space="preserve"> 大新县民族宗教服务中心</w:t>
      </w:r>
      <w:r>
        <w:rPr>
          <w:rFonts w:hint="eastAsia" w:ascii="宋体" w:hAnsi="宋体" w:eastAsia="宋体" w:cs="Times New Roman"/>
          <w:bCs/>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承包人(公章)：</w:t>
      </w:r>
      <w:r>
        <w:rPr>
          <w:rFonts w:hint="eastAsia" w:ascii="Times New Roman" w:hAnsi="Times New Roman" w:eastAsia="宋体" w:cs="Times New Roman"/>
          <w:bCs/>
          <w:kern w:val="2"/>
          <w:sz w:val="21"/>
          <w:szCs w:val="21"/>
          <w:u w:val="single"/>
          <w:lang w:val="en-US" w:eastAsia="zh-CN" w:bidi="ar-SA"/>
        </w:rPr>
        <w:t xml:space="preserve">                    </w:t>
      </w:r>
    </w:p>
    <w:p w14:paraId="684E029A">
      <w:pPr>
        <w:widowControl w:val="0"/>
        <w:spacing w:line="360" w:lineRule="auto"/>
        <w:ind w:firstLine="1365" w:firstLineChars="650"/>
        <w:jc w:val="both"/>
        <w:rPr>
          <w:rFonts w:ascii="宋体" w:hAnsi="Times New Roman" w:eastAsia="宋体" w:cs="Times New Roman"/>
          <w:kern w:val="2"/>
          <w:sz w:val="21"/>
          <w:szCs w:val="21"/>
          <w:lang w:val="en-US" w:eastAsia="zh-CN" w:bidi="ar-SA"/>
        </w:rPr>
      </w:pPr>
    </w:p>
    <w:p w14:paraId="49A1FEC4">
      <w:pPr>
        <w:widowControl w:val="0"/>
        <w:spacing w:line="360" w:lineRule="auto"/>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 xml:space="preserve">地址：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 xml:space="preserve">      地址：</w:t>
      </w:r>
      <w:r>
        <w:rPr>
          <w:rFonts w:hint="eastAsia" w:ascii="宋体" w:hAnsi="宋体" w:eastAsia="宋体" w:cs="Times New Roman"/>
          <w:kern w:val="2"/>
          <w:sz w:val="21"/>
          <w:szCs w:val="21"/>
          <w:u w:val="single"/>
          <w:lang w:val="en-US" w:eastAsia="zh-CN" w:bidi="ar-SA"/>
        </w:rPr>
        <w:t xml:space="preserve">                          </w:t>
      </w:r>
    </w:p>
    <w:p w14:paraId="5EE70295">
      <w:pPr>
        <w:widowControl w:val="0"/>
        <w:spacing w:line="360" w:lineRule="auto"/>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法定代表人(签章)：                              法定代表人(签章)：</w:t>
      </w:r>
    </w:p>
    <w:p w14:paraId="5F7EED85">
      <w:pPr>
        <w:rPr>
          <w:rFonts w:ascii="Times New Roman" w:hAnsi="宋体" w:eastAsia="宋体" w:cs="Times New Roman"/>
          <w:sz w:val="24"/>
        </w:rPr>
      </w:pPr>
      <w:r>
        <w:rPr>
          <w:rFonts w:hint="eastAsia" w:ascii="Times New Roman" w:hAnsi="宋体" w:eastAsia="宋体" w:cs="Times New Roman"/>
          <w:szCs w:val="21"/>
        </w:rPr>
        <w:t>委托代理人(签字)：                               委托代理人(签字)：</w:t>
      </w:r>
    </w:p>
    <w:p w14:paraId="66E75F9C">
      <w:pPr>
        <w:spacing w:line="360" w:lineRule="auto"/>
        <w:rPr>
          <w:rFonts w:hint="default" w:ascii="Times New Roman" w:hAnsi="Times New Roman" w:cs="Times New Roman"/>
          <w:color w:val="auto"/>
          <w:szCs w:val="21"/>
          <w:highlight w:val="none"/>
        </w:rPr>
      </w:pPr>
    </w:p>
    <w:p w14:paraId="72C7D549">
      <w:pPr>
        <w:widowControl/>
        <w:jc w:val="left"/>
        <w:rPr>
          <w:rFonts w:hint="default" w:ascii="Times New Roman" w:hAnsi="Times New Roman" w:cs="Times New Roman"/>
          <w:b/>
          <w:color w:val="auto"/>
          <w:sz w:val="32"/>
          <w:szCs w:val="20"/>
          <w:highlight w:val="none"/>
        </w:rPr>
      </w:pPr>
      <w:r>
        <w:rPr>
          <w:rFonts w:hint="default" w:ascii="Times New Roman" w:hAnsi="Times New Roman" w:cs="Times New Roman"/>
          <w:color w:val="auto"/>
          <w:highlight w:val="none"/>
        </w:rPr>
        <w:br w:type="page"/>
      </w:r>
    </w:p>
    <w:p w14:paraId="0B315B19">
      <w:pPr>
        <w:jc w:val="center"/>
        <w:rPr>
          <w:rFonts w:hint="default" w:ascii="Times New Roman" w:hAnsi="Times New Roman" w:cs="Times New Roman"/>
          <w:b/>
          <w:color w:val="auto"/>
          <w:sz w:val="84"/>
          <w:szCs w:val="84"/>
          <w:highlight w:val="none"/>
        </w:rPr>
      </w:pPr>
      <w:r>
        <w:rPr>
          <w:rFonts w:hint="default" w:ascii="Times New Roman" w:hAnsi="Times New Roman" w:cs="Times New Roman"/>
          <w:b/>
          <w:color w:val="auto"/>
          <w:spacing w:val="92"/>
          <w:kern w:val="0"/>
          <w:sz w:val="84"/>
          <w:szCs w:val="84"/>
          <w:highlight w:val="none"/>
          <w:fitText w:val="8009" w:id="-1176741631"/>
        </w:rPr>
        <w:t>崇左市财政局文</w:t>
      </w:r>
      <w:r>
        <w:rPr>
          <w:rFonts w:hint="default" w:ascii="Times New Roman" w:hAnsi="Times New Roman" w:cs="Times New Roman"/>
          <w:b/>
          <w:color w:val="auto"/>
          <w:spacing w:val="0"/>
          <w:kern w:val="0"/>
          <w:sz w:val="84"/>
          <w:szCs w:val="84"/>
          <w:highlight w:val="none"/>
          <w:fitText w:val="8009" w:id="-1176741631"/>
        </w:rPr>
        <w:t>件</w:t>
      </w:r>
    </w:p>
    <w:p w14:paraId="3A8E8E69">
      <w:pPr>
        <w:rPr>
          <w:rFonts w:hint="default" w:ascii="Times New Roman" w:hAnsi="Times New Roman" w:cs="Times New Roman"/>
          <w:b/>
          <w:color w:val="auto"/>
          <w:sz w:val="24"/>
          <w:highlight w:val="none"/>
        </w:rPr>
      </w:pPr>
    </w:p>
    <w:p w14:paraId="60F511E6">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崇财采〔2023〕10号</w:t>
      </w:r>
    </w:p>
    <w:p w14:paraId="50F9E704">
      <w:pPr>
        <w:ind w:left="-283" w:leftChars="-135" w:right="-197" w:rightChars="-94"/>
        <w:jc w:val="center"/>
        <w:rPr>
          <w:rFonts w:hint="default" w:ascii="Times New Roman" w:hAnsi="Times New Roman" w:cs="Times New Roman"/>
          <w:b/>
          <w:color w:val="auto"/>
          <w:w w:val="150"/>
          <w:sz w:val="18"/>
          <w:szCs w:val="18"/>
          <w:highlight w:val="none"/>
        </w:rPr>
      </w:pPr>
      <w:r>
        <w:rPr>
          <w:rFonts w:hint="default" w:ascii="Times New Roman" w:hAnsi="Times New Roman" w:cs="Times New Roman"/>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7610FEDE">
      <w:pPr>
        <w:spacing w:line="440" w:lineRule="exact"/>
        <w:jc w:val="center"/>
        <w:rPr>
          <w:rFonts w:hint="default" w:ascii="Times New Roman" w:hAnsi="Times New Roman" w:eastAsia="方正小标宋简体" w:cs="Times New Roman"/>
          <w:color w:val="auto"/>
          <w:sz w:val="44"/>
          <w:szCs w:val="44"/>
          <w:highlight w:val="none"/>
        </w:rPr>
      </w:pPr>
    </w:p>
    <w:p w14:paraId="3BEC7E84">
      <w:pPr>
        <w:spacing w:line="56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崇左市财政局关于进一步做好线上“政采贷”融资业务工作的通知</w:t>
      </w:r>
    </w:p>
    <w:p w14:paraId="45F1611C">
      <w:pPr>
        <w:spacing w:line="540" w:lineRule="exact"/>
        <w:jc w:val="center"/>
        <w:rPr>
          <w:rFonts w:hint="default" w:ascii="Times New Roman" w:hAnsi="Times New Roman" w:eastAsia="方正小标宋_GBK" w:cs="Times New Roman"/>
          <w:color w:val="auto"/>
          <w:sz w:val="44"/>
          <w:szCs w:val="44"/>
          <w:highlight w:val="none"/>
        </w:rPr>
      </w:pPr>
    </w:p>
    <w:p w14:paraId="3AEF6A73">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市直各预算单位、</w:t>
      </w:r>
      <w:r>
        <w:rPr>
          <w:rFonts w:hint="default" w:ascii="Times New Roman" w:hAnsi="Times New Roman" w:eastAsia="仿宋_GB2312" w:cs="Times New Roman"/>
          <w:color w:val="auto"/>
          <w:spacing w:val="16"/>
          <w:sz w:val="32"/>
          <w:szCs w:val="32"/>
          <w:highlight w:val="none"/>
          <w:lang w:eastAsia="zh-Hans"/>
        </w:rPr>
        <w:t>各县（</w:t>
      </w:r>
      <w:r>
        <w:rPr>
          <w:rFonts w:hint="default" w:ascii="Times New Roman" w:hAnsi="Times New Roman" w:eastAsia="仿宋_GB2312" w:cs="Times New Roman"/>
          <w:color w:val="auto"/>
          <w:spacing w:val="16"/>
          <w:sz w:val="32"/>
          <w:szCs w:val="32"/>
          <w:highlight w:val="none"/>
        </w:rPr>
        <w:t>市、</w:t>
      </w:r>
      <w:r>
        <w:rPr>
          <w:rFonts w:hint="default" w:ascii="Times New Roman" w:hAnsi="Times New Roman" w:eastAsia="仿宋_GB2312" w:cs="Times New Roman"/>
          <w:color w:val="auto"/>
          <w:spacing w:val="16"/>
          <w:sz w:val="32"/>
          <w:szCs w:val="32"/>
          <w:highlight w:val="none"/>
          <w:lang w:eastAsia="zh-Hans"/>
        </w:rPr>
        <w:t>区）财政局</w:t>
      </w:r>
      <w:r>
        <w:rPr>
          <w:rFonts w:hint="default" w:ascii="Times New Roman" w:hAnsi="Times New Roman" w:eastAsia="仿宋_GB2312" w:cs="Times New Roman"/>
          <w:color w:val="auto"/>
          <w:spacing w:val="16"/>
          <w:sz w:val="32"/>
          <w:szCs w:val="32"/>
          <w:highlight w:val="none"/>
        </w:rPr>
        <w:t>、</w:t>
      </w:r>
      <w:r>
        <w:rPr>
          <w:rFonts w:hint="default" w:ascii="Times New Roman" w:hAnsi="Times New Roman" w:eastAsia="仿宋_GB2312" w:cs="Times New Roman"/>
          <w:color w:val="auto"/>
          <w:sz w:val="32"/>
          <w:szCs w:val="32"/>
          <w:highlight w:val="none"/>
        </w:rPr>
        <w:t>各采购代理机构：</w:t>
      </w:r>
    </w:p>
    <w:p w14:paraId="01CDCCA8">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为加大政府采购支持中小企业力度，帮助</w:t>
      </w:r>
      <w:r>
        <w:rPr>
          <w:rFonts w:hint="default" w:ascii="Times New Roman" w:hAnsi="Times New Roman" w:eastAsia="仿宋_GB2312" w:cs="Times New Roman"/>
          <w:color w:val="auto"/>
          <w:sz w:val="32"/>
          <w:szCs w:val="32"/>
          <w:highlight w:val="none"/>
          <w:shd w:val="clear" w:color="auto" w:fill="FFFFFF"/>
        </w:rPr>
        <w:t>政府采购中标（成交）供应商解决融资难、融资贵的问题，进一步做好线上“政采贷”融资业务工作。经研究，现将有关事项通知如下：</w:t>
      </w:r>
    </w:p>
    <w:p w14:paraId="5162E79E">
      <w:pPr>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一、采购人、采购代理机构在编制政府采购文件时，应将《崇左市线上“政采贷”政策告知函》、《崇左市线上“政采贷”业务流程图》、《崇左市金融机构线上“政采贷”业务办理联络表》作为政策宣传材料排入文件显眼版块中。（详见：附件2至附件4）。</w:t>
      </w:r>
    </w:p>
    <w:p w14:paraId="79F430B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3B3297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采购人应将中标（成交）供应商与金融机构签订《“政采贷”融资协议》的“融资回款账户”做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642E4BDF">
      <w:pPr>
        <w:spacing w:line="560" w:lineRule="exact"/>
        <w:ind w:firstLine="640" w:firstLineChars="200"/>
        <w:rPr>
          <w:rFonts w:hint="default" w:ascii="Times New Roman" w:hAnsi="Times New Roman" w:eastAsia="仿宋_GB2312" w:cs="Times New Roman"/>
          <w:color w:val="auto"/>
          <w:sz w:val="32"/>
          <w:szCs w:val="32"/>
          <w:highlight w:val="none"/>
        </w:rPr>
      </w:pPr>
    </w:p>
    <w:p w14:paraId="108C4EA4">
      <w:pPr>
        <w:spacing w:line="560" w:lineRule="exact"/>
        <w:ind w:left="1700" w:leftChars="200" w:hanging="1280" w:hangingChars="4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附件：1.中国人民银行崇左市中心支行 崇左市财政局转发关于推广线上“政采贷”融资模式文件的通知</w:t>
      </w:r>
    </w:p>
    <w:p w14:paraId="3D17F9F6">
      <w:pPr>
        <w:spacing w:line="560" w:lineRule="exact"/>
        <w:ind w:firstLine="1600" w:firstLineChars="5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2.崇左市线上“政采贷”政策告知函</w:t>
      </w:r>
    </w:p>
    <w:p w14:paraId="70236172">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3.崇左市线上“政采贷”业务流程图</w:t>
      </w:r>
    </w:p>
    <w:p w14:paraId="1F87A03F">
      <w:pPr>
        <w:spacing w:line="560" w:lineRule="exact"/>
        <w:ind w:firstLine="640" w:firstLineChars="200"/>
        <w:jc w:val="left"/>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 xml:space="preserve">      4.崇左市金融机构线上“政采贷”业务办理联络表</w:t>
      </w:r>
    </w:p>
    <w:p w14:paraId="64245A47">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1193F256">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4D1639C2">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540BAF0E">
      <w:pPr>
        <w:spacing w:line="560" w:lineRule="exact"/>
        <w:ind w:firstLine="640" w:firstLineChars="200"/>
        <w:jc w:val="left"/>
        <w:rPr>
          <w:rFonts w:hint="default" w:ascii="Times New Roman" w:hAnsi="Times New Roman" w:eastAsia="仿宋_GB2312" w:cs="Times New Roman"/>
          <w:color w:val="auto"/>
          <w:kern w:val="0"/>
          <w:sz w:val="32"/>
          <w:highlight w:val="none"/>
        </w:rPr>
      </w:pPr>
    </w:p>
    <w:p w14:paraId="4D7FACCF">
      <w:pPr>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崇左市财政局 </w:t>
      </w:r>
    </w:p>
    <w:p w14:paraId="7DA2BE5B">
      <w:pPr>
        <w:spacing w:line="560" w:lineRule="exact"/>
        <w:ind w:firstLine="5120" w:firstLineChars="1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2023年7月31日</w:t>
      </w:r>
    </w:p>
    <w:p w14:paraId="0808E2C6">
      <w:pPr>
        <w:adjustRightInd w:val="0"/>
        <w:spacing w:before="156" w:after="158" w:line="560" w:lineRule="exact"/>
        <w:ind w:firstLine="480" w:firstLineChars="200"/>
        <w:rPr>
          <w:rFonts w:hint="default" w:ascii="Times New Roman" w:hAnsi="Times New Roman" w:eastAsia="仿宋_GB2312" w:cs="Times New Roman"/>
          <w:color w:val="auto"/>
          <w:sz w:val="24"/>
          <w:szCs w:val="20"/>
          <w:highlight w:val="none"/>
        </w:rPr>
      </w:pPr>
    </w:p>
    <w:p w14:paraId="6A56B182">
      <w:pPr>
        <w:spacing w:line="56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公开方式：主动公开</w:t>
      </w:r>
      <w:r>
        <w:rPr>
          <w:rFonts w:hint="default" w:ascii="Times New Roman" w:hAnsi="Times New Roman" w:eastAsia="仿宋_GB2312" w:cs="Times New Roman"/>
          <w:color w:val="auto"/>
          <w:sz w:val="28"/>
          <w:szCs w:val="28"/>
          <w:highlight w:val="none"/>
        </w:rPr>
        <w:t xml:space="preserve">                                     </w:t>
      </w:r>
    </w:p>
    <w:p w14:paraId="56ADAC73">
      <w:pPr>
        <w:spacing w:line="560" w:lineRule="exact"/>
        <w:ind w:firstLine="280" w:firstLineChars="100"/>
        <w:jc w:val="left"/>
        <w:rPr>
          <w:rFonts w:hint="default" w:ascii="Times New Roman" w:hAnsi="Times New Roman" w:eastAsia="仿宋_GB2312" w:cs="Times New Roman"/>
          <w:color w:val="auto"/>
          <w:sz w:val="28"/>
          <w:szCs w:val="28"/>
          <w:highlight w:val="none"/>
          <w:shd w:val="clear" w:color="auto" w:fill="FFFFFF"/>
          <w:lang w:bidi="ar"/>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379730</wp:posOffset>
                </wp:positionV>
                <wp:extent cx="5615940" cy="0"/>
                <wp:effectExtent l="0" t="0" r="22860" b="1905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pt;height:0pt;width:442.2pt;z-index:251660288;mso-width-relative:page;mso-height-relative:page;" filled="f" stroked="t" coordsize="21600,21600" o:gfxdata="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KgyfWAAAABwEAAA8AAAAAAAAAAQAgAAAAIgAAAGRycy9kb3ducmV2Lnht&#10;bFBLAQIUABQAAAAIAIdO4kAIPZMJ+wEAAM4DAAAOAAAAAAAAAAEAIAAAACU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46355</wp:posOffset>
                </wp:positionV>
                <wp:extent cx="5615940" cy="0"/>
                <wp:effectExtent l="0" t="0" r="22860" b="1905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65pt;height:0pt;width:442.2pt;z-index:251659264;mso-width-relative:page;mso-height-relative:page;" filled="f" stroked="t" coordsize="21600,21600" o:gfxdata="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Eztf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auto"/>
          <w:sz w:val="28"/>
          <w:szCs w:val="28"/>
          <w:highlight w:val="none"/>
        </w:rPr>
        <w:t>崇左市财政局办公室                       2023年7月31日印发</w:t>
      </w:r>
    </w:p>
    <w:p w14:paraId="10ABCC79">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2</w:t>
      </w:r>
    </w:p>
    <w:p w14:paraId="18027000">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73533A94">
      <w:pPr>
        <w:spacing w:line="58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崇左市线上“政采贷”政策告知函</w:t>
      </w:r>
    </w:p>
    <w:p w14:paraId="009BA36B">
      <w:pPr>
        <w:spacing w:line="580" w:lineRule="exact"/>
        <w:ind w:firstLine="420" w:firstLineChars="200"/>
        <w:rPr>
          <w:rFonts w:hint="default" w:ascii="Times New Roman" w:hAnsi="Times New Roman" w:cs="Times New Roman"/>
          <w:color w:val="auto"/>
          <w:szCs w:val="32"/>
          <w:highlight w:val="none"/>
        </w:rPr>
      </w:pPr>
    </w:p>
    <w:p w14:paraId="0F2DDEEF">
      <w:pPr>
        <w:spacing w:line="58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各供应商：</w:t>
      </w:r>
    </w:p>
    <w:p w14:paraId="09A2C0CF">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欢迎贵公司参与崇左市政府采购活动！</w:t>
      </w:r>
    </w:p>
    <w:p w14:paraId="5DC1B8F8">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2C7ED8B">
      <w:pPr>
        <w:spacing w:line="58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相关金融产品和银行业金融机构联系方式，可在中征应收账款融资服务平台查询（网址：</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"https://www.crcrfsp.com/"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u w:val="single"/>
        </w:rPr>
        <w:t>https://www.crcrfsp.com/</w:t>
      </w:r>
      <w:r>
        <w:rPr>
          <w:rFonts w:hint="default" w:ascii="Times New Roman" w:hAnsi="Times New Roman" w:eastAsia="仿宋_GB2312" w:cs="Times New Roman"/>
          <w:color w:val="auto"/>
          <w:sz w:val="32"/>
          <w:szCs w:val="32"/>
          <w:highlight w:val="none"/>
          <w:u w:val="single"/>
        </w:rPr>
        <w:fldChar w:fldCharType="end"/>
      </w:r>
      <w:r>
        <w:rPr>
          <w:rFonts w:hint="default" w:ascii="Times New Roman" w:hAnsi="Times New Roman" w:eastAsia="仿宋_GB2312" w:cs="Times New Roman"/>
          <w:color w:val="auto"/>
          <w:sz w:val="32"/>
          <w:szCs w:val="32"/>
          <w:highlight w:val="none"/>
        </w:rPr>
        <w:t>，客服电话：400-009-0001）。</w:t>
      </w:r>
    </w:p>
    <w:p w14:paraId="457F50A3">
      <w:pPr>
        <w:adjustRightInd w:val="0"/>
        <w:spacing w:before="156" w:after="158" w:line="360" w:lineRule="auto"/>
        <w:ind w:firstLine="480" w:firstLineChars="200"/>
        <w:rPr>
          <w:rFonts w:hint="default" w:ascii="Times New Roman" w:hAnsi="Times New Roman" w:eastAsia="仿宋_GB2312" w:cs="Times New Roman"/>
          <w:color w:val="auto"/>
          <w:sz w:val="24"/>
          <w:szCs w:val="32"/>
          <w:highlight w:val="none"/>
        </w:rPr>
      </w:pPr>
    </w:p>
    <w:p w14:paraId="467EF834">
      <w:pPr>
        <w:spacing w:line="540" w:lineRule="exact"/>
        <w:rPr>
          <w:rFonts w:hint="default" w:ascii="Times New Roman" w:hAnsi="Times New Roman" w:eastAsia="黑体" w:cs="Times New Roman"/>
          <w:color w:val="auto"/>
          <w:szCs w:val="32"/>
          <w:highlight w:val="none"/>
        </w:rPr>
      </w:pPr>
    </w:p>
    <w:p w14:paraId="7BDAD4BD">
      <w:pPr>
        <w:widowControl/>
        <w:spacing w:line="720" w:lineRule="exact"/>
        <w:jc w:val="left"/>
        <w:rPr>
          <w:rFonts w:hint="default" w:ascii="Times New Roman" w:hAnsi="Times New Roman" w:eastAsia="黑体" w:cs="Times New Roman"/>
          <w:color w:val="auto"/>
          <w:szCs w:val="32"/>
          <w:highlight w:val="none"/>
        </w:rPr>
      </w:pPr>
      <w:r>
        <w:rPr>
          <w:rFonts w:hint="default" w:ascii="Times New Roman" w:hAnsi="Times New Roman" w:eastAsia="黑体" w:cs="Times New Roman"/>
          <w:color w:val="auto"/>
          <w:szCs w:val="32"/>
          <w:highlight w:val="none"/>
        </w:rPr>
        <w:br w:type="page"/>
      </w:r>
      <w:r>
        <w:rPr>
          <w:rFonts w:hint="default" w:ascii="Times New Roman" w:hAnsi="Times New Roman" w:eastAsia="黑体" w:cs="Times New Roman"/>
          <w:color w:val="auto"/>
          <w:sz w:val="32"/>
          <w:szCs w:val="32"/>
          <w:highlight w:val="none"/>
          <w:lang w:val="zh-CN"/>
        </w:rPr>
        <w:t>附件3</w:t>
      </w:r>
    </w:p>
    <w:p w14:paraId="7E44C338">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70EED5E2">
      <w:pPr>
        <w:spacing w:line="600" w:lineRule="exact"/>
        <w:jc w:val="center"/>
        <w:rPr>
          <w:rFonts w:hint="default" w:ascii="Times New Roman" w:hAnsi="Times New Roman" w:eastAsia="黑体" w:cs="Times New Roman"/>
          <w:color w:val="auto"/>
          <w:sz w:val="44"/>
          <w:szCs w:val="44"/>
          <w:highlight w:val="none"/>
        </w:rPr>
      </w:pPr>
      <w:r>
        <w:rPr>
          <w:rFonts w:hint="default" w:ascii="Times New Roman" w:hAnsi="Times New Roman" w:eastAsia="方正小标宋_GBK" w:cs="Times New Roman"/>
          <w:color w:val="auto"/>
          <w:sz w:val="44"/>
          <w:szCs w:val="44"/>
          <w:highlight w:val="none"/>
        </w:rPr>
        <w:t>崇左市线上“政采贷”业务流程图</w:t>
      </w:r>
    </w:p>
    <w:p w14:paraId="4CABBCCD">
      <w:pPr>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drawing>
          <wp:inline distT="0" distB="0" distL="0" distR="0">
            <wp:extent cx="4924425" cy="7000875"/>
            <wp:effectExtent l="0" t="0" r="0" b="0"/>
            <wp:docPr id="2"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24425" cy="7000875"/>
                    </a:xfrm>
                    <a:prstGeom prst="rect">
                      <a:avLst/>
                    </a:prstGeom>
                    <a:noFill/>
                    <a:ln>
                      <a:noFill/>
                    </a:ln>
                  </pic:spPr>
                </pic:pic>
              </a:graphicData>
            </a:graphic>
          </wp:inline>
        </w:drawing>
      </w:r>
    </w:p>
    <w:p w14:paraId="74BCDC29">
      <w:pPr>
        <w:widowControl/>
        <w:ind w:firstLine="420" w:firstLineChars="200"/>
        <w:rPr>
          <w:rFonts w:hint="default" w:ascii="Times New Roman" w:hAnsi="Times New Roman" w:cs="Times New Roman"/>
          <w:color w:val="auto"/>
          <w:highlight w:val="none"/>
        </w:rPr>
      </w:pPr>
    </w:p>
    <w:p w14:paraId="092CFC38">
      <w:pPr>
        <w:widowControl/>
        <w:spacing w:line="72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zh-CN"/>
        </w:rPr>
        <w:br w:type="page"/>
      </w:r>
      <w:r>
        <w:rPr>
          <w:rFonts w:hint="default" w:ascii="Times New Roman" w:hAnsi="Times New Roman" w:eastAsia="黑体" w:cs="Times New Roman"/>
          <w:color w:val="auto"/>
          <w:sz w:val="32"/>
          <w:szCs w:val="32"/>
          <w:highlight w:val="none"/>
          <w:lang w:val="zh-CN"/>
        </w:rPr>
        <w:t>附件</w:t>
      </w:r>
      <w:r>
        <w:rPr>
          <w:rFonts w:hint="default" w:ascii="Times New Roman" w:hAnsi="Times New Roman" w:eastAsia="黑体" w:cs="Times New Roman"/>
          <w:color w:val="auto"/>
          <w:sz w:val="32"/>
          <w:szCs w:val="32"/>
          <w:highlight w:val="none"/>
        </w:rPr>
        <w:t>4</w:t>
      </w:r>
    </w:p>
    <w:p w14:paraId="48906EB6">
      <w:pPr>
        <w:adjustRightInd w:val="0"/>
        <w:spacing w:before="156" w:after="158" w:line="360" w:lineRule="auto"/>
        <w:ind w:firstLine="480" w:firstLineChars="200"/>
        <w:rPr>
          <w:rFonts w:hint="default" w:ascii="Times New Roman" w:hAnsi="Times New Roman" w:cs="Times New Roman"/>
          <w:color w:val="auto"/>
          <w:sz w:val="24"/>
          <w:szCs w:val="20"/>
          <w:highlight w:val="none"/>
        </w:rPr>
      </w:pPr>
    </w:p>
    <w:p w14:paraId="798EF2B8">
      <w:pPr>
        <w:adjustRightInd w:val="0"/>
        <w:spacing w:before="156" w:after="158" w:line="360" w:lineRule="auto"/>
        <w:ind w:firstLine="720" w:firstLineChars="200"/>
        <w:jc w:val="center"/>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崇左市金融机构线上“政采贷”业务办理联络表</w:t>
      </w:r>
    </w:p>
    <w:tbl>
      <w:tblPr>
        <w:tblStyle w:val="45"/>
        <w:tblW w:w="8943" w:type="dxa"/>
        <w:tblInd w:w="96" w:type="dxa"/>
        <w:tblLayout w:type="fixed"/>
        <w:tblCellMar>
          <w:top w:w="0" w:type="dxa"/>
          <w:left w:w="108" w:type="dxa"/>
          <w:bottom w:w="0" w:type="dxa"/>
          <w:right w:w="108" w:type="dxa"/>
        </w:tblCellMar>
      </w:tblPr>
      <w:tblGrid>
        <w:gridCol w:w="2674"/>
        <w:gridCol w:w="3515"/>
        <w:gridCol w:w="2754"/>
      </w:tblGrid>
      <w:tr w14:paraId="1687F8B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27DE645">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5353BAF9">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地址</w:t>
            </w:r>
          </w:p>
        </w:tc>
        <w:tc>
          <w:tcPr>
            <w:tcW w:w="2754" w:type="dxa"/>
            <w:tcBorders>
              <w:top w:val="single" w:color="000000" w:sz="4" w:space="0"/>
              <w:left w:val="single" w:color="000000" w:sz="4" w:space="0"/>
              <w:bottom w:val="single" w:color="000000" w:sz="4" w:space="0"/>
              <w:right w:val="single" w:color="000000" w:sz="4" w:space="0"/>
            </w:tcBorders>
            <w:vAlign w:val="center"/>
          </w:tcPr>
          <w:p w14:paraId="2D44E20C">
            <w:pPr>
              <w:widowControl/>
              <w:spacing w:line="400" w:lineRule="exact"/>
              <w:jc w:val="center"/>
              <w:textAlignment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lang w:bidi="ar"/>
              </w:rPr>
              <w:t>业务咨询电话</w:t>
            </w:r>
          </w:p>
        </w:tc>
      </w:tr>
      <w:tr w14:paraId="5A7FEFDA">
        <w:tblPrEx>
          <w:tblCellMar>
            <w:top w:w="0" w:type="dxa"/>
            <w:left w:w="108" w:type="dxa"/>
            <w:bottom w:w="0" w:type="dxa"/>
            <w:right w:w="108" w:type="dxa"/>
          </w:tblCellMar>
        </w:tblPrEx>
        <w:trPr>
          <w:trHeight w:val="36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03B04B4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崇左市本级及江州区</w:t>
            </w:r>
          </w:p>
        </w:tc>
      </w:tr>
      <w:tr w14:paraId="588A956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BE1DE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0D91A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崇左市骆越大道6号（东盟国际城）裙楼2号楼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2E4CBA9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0771-7820436 0771-7820439</w:t>
            </w:r>
          </w:p>
        </w:tc>
      </w:tr>
      <w:tr w14:paraId="5693DBF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7933E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34A3C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江州区友谊大道26号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A833F7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0771-7917212</w:t>
            </w:r>
          </w:p>
        </w:tc>
      </w:tr>
      <w:tr w14:paraId="4DBFBEB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AB1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665A6A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江州区江南路48号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A40BCC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0771-7917054</w:t>
            </w:r>
          </w:p>
        </w:tc>
      </w:tr>
      <w:tr w14:paraId="7287281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2BCB1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FAE96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崇左市江州区江南路73号建行大厦</w:t>
            </w:r>
          </w:p>
        </w:tc>
        <w:tc>
          <w:tcPr>
            <w:tcW w:w="2754" w:type="dxa"/>
            <w:tcBorders>
              <w:top w:val="single" w:color="000000" w:sz="4" w:space="0"/>
              <w:left w:val="single" w:color="000000" w:sz="4" w:space="0"/>
              <w:bottom w:val="single" w:color="000000" w:sz="4" w:space="0"/>
              <w:right w:val="single" w:color="000000" w:sz="4" w:space="0"/>
            </w:tcBorders>
            <w:vAlign w:val="center"/>
          </w:tcPr>
          <w:p w14:paraId="5664435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0771-7831103</w:t>
            </w:r>
          </w:p>
        </w:tc>
      </w:tr>
      <w:tr w14:paraId="3A705DC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44C61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C6FE6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崇左市江州区龙胤大厦五楼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73EEA06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0771-7928650 0771-7920613</w:t>
            </w:r>
          </w:p>
        </w:tc>
      </w:tr>
      <w:tr w14:paraId="4E909EF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00FB0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7C9F8B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崇左市城西路109号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6EDAA1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0771-7925660</w:t>
            </w:r>
          </w:p>
        </w:tc>
      </w:tr>
      <w:tr w14:paraId="7B326D8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21231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42A3E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崇左市江州区骆越大道2号中国邮政储蓄银行崇左市分行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6F034B9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0771-7968699</w:t>
            </w:r>
          </w:p>
        </w:tc>
      </w:tr>
      <w:tr w14:paraId="0B9665B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7053B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F36D49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广西壮族自治区崇左市江州区友谊大道中段龙胤·财富广场101商铺（龙胤大厦六楼营业部）</w:t>
            </w:r>
          </w:p>
        </w:tc>
        <w:tc>
          <w:tcPr>
            <w:tcW w:w="2754" w:type="dxa"/>
            <w:tcBorders>
              <w:top w:val="single" w:color="000000" w:sz="4" w:space="0"/>
              <w:left w:val="single" w:color="000000" w:sz="4" w:space="0"/>
              <w:bottom w:val="single" w:color="000000" w:sz="4" w:space="0"/>
              <w:right w:val="single" w:color="000000" w:sz="4" w:space="0"/>
            </w:tcBorders>
            <w:vAlign w:val="center"/>
          </w:tcPr>
          <w:p w14:paraId="0050B72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0771-7916636</w:t>
            </w:r>
          </w:p>
        </w:tc>
      </w:tr>
      <w:tr w14:paraId="7C07C6C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7AF35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4EE7CC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崇左市江州区建设路41号桂林银行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17F7C87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0771-7988895</w:t>
            </w:r>
          </w:p>
        </w:tc>
      </w:tr>
      <w:tr w14:paraId="1CB08F4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4F522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91473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崇左市友谊大道中段西侧龙胤财富广场三期财富中心122号商铺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06A21BE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0771-7960855</w:t>
            </w:r>
          </w:p>
        </w:tc>
      </w:tr>
      <w:tr w14:paraId="7FE535D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21913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31365D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广西壮族自治区崇左市江州区中泰产业园企业总部基地企业服务中心一楼</w:t>
            </w:r>
          </w:p>
        </w:tc>
        <w:tc>
          <w:tcPr>
            <w:tcW w:w="2754" w:type="dxa"/>
            <w:tcBorders>
              <w:top w:val="single" w:color="000000" w:sz="4" w:space="0"/>
              <w:left w:val="single" w:color="000000" w:sz="4" w:space="0"/>
              <w:bottom w:val="single" w:color="000000" w:sz="4" w:space="0"/>
              <w:right w:val="single" w:color="000000" w:sz="4" w:space="0"/>
            </w:tcBorders>
            <w:vAlign w:val="center"/>
          </w:tcPr>
          <w:p w14:paraId="4DA804E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0771-7821126</w:t>
            </w:r>
          </w:p>
        </w:tc>
      </w:tr>
      <w:tr w14:paraId="7F710DE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11D06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5300C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崇左市江州区丽江路丽江明珠滨江花苑三期106-109号商铺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5292A2D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0771-7831866</w:t>
            </w:r>
          </w:p>
        </w:tc>
      </w:tr>
      <w:tr w14:paraId="783E72EB">
        <w:tblPrEx>
          <w:tblCellMar>
            <w:top w:w="0" w:type="dxa"/>
            <w:left w:w="108" w:type="dxa"/>
            <w:bottom w:w="0" w:type="dxa"/>
            <w:right w:w="108" w:type="dxa"/>
          </w:tblCellMar>
        </w:tblPrEx>
        <w:trPr>
          <w:trHeight w:val="350"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3947D9B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扶绥县</w:t>
            </w:r>
          </w:p>
        </w:tc>
      </w:tr>
      <w:tr w14:paraId="682CC92B">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75BE7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AB7AB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扶绥县新宁镇同正大道94号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5EB28B1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0771-7535612</w:t>
            </w:r>
          </w:p>
        </w:tc>
      </w:tr>
      <w:tr w14:paraId="70EB64DC">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3739F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38AE1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扶绥县新宁镇新华路126号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99FACF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0771-7917330</w:t>
            </w:r>
          </w:p>
        </w:tc>
      </w:tr>
      <w:tr w14:paraId="2D313455">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8F315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C75C3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扶绥县南密路6号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F4B082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0771-7516511 0771-7531157</w:t>
            </w:r>
          </w:p>
        </w:tc>
      </w:tr>
      <w:tr w14:paraId="26442C1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CC163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7194C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扶绥县双拥路3号东信华府18号楼一层</w:t>
            </w:r>
          </w:p>
        </w:tc>
        <w:tc>
          <w:tcPr>
            <w:tcW w:w="2754" w:type="dxa"/>
            <w:tcBorders>
              <w:top w:val="single" w:color="000000" w:sz="4" w:space="0"/>
              <w:left w:val="single" w:color="000000" w:sz="4" w:space="0"/>
              <w:bottom w:val="single" w:color="000000" w:sz="4" w:space="0"/>
              <w:right w:val="single" w:color="000000" w:sz="4" w:space="0"/>
            </w:tcBorders>
            <w:vAlign w:val="center"/>
          </w:tcPr>
          <w:p w14:paraId="17E42C34">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0771-7525822</w:t>
            </w:r>
          </w:p>
        </w:tc>
      </w:tr>
      <w:tr w14:paraId="4AAFB4D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EB179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AEAA8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扶绥县-扶绥大道16号山水城市广场一层商铺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05F3BE9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0771-5025887</w:t>
            </w:r>
          </w:p>
        </w:tc>
      </w:tr>
      <w:tr w14:paraId="03A2706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B047E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FCC5BA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扶绥县新宁镇永宁路2-1号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E99093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0771-7533041</w:t>
            </w:r>
          </w:p>
        </w:tc>
      </w:tr>
      <w:tr w14:paraId="61606EE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954B7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72B7E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扶绥县松江路138号中国邮政储蓄银行扶绥县支行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530905A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0771-7536178 0771-7536177</w:t>
            </w:r>
          </w:p>
        </w:tc>
      </w:tr>
      <w:tr w14:paraId="4510413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11B3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01C72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广西崇左市扶绥县新宁镇松江路20号（桂林银行崇左扶绥支行）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0D296B5B">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0771-7661101</w:t>
            </w:r>
          </w:p>
        </w:tc>
      </w:tr>
      <w:tr w14:paraId="350DE86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FD0A6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686D3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崇左市扶绥县新宁镇同正大道333号碧园·未来城商业综合体13号楼一楼1050、1051号商铺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4C8A52D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0771-7500768</w:t>
            </w:r>
          </w:p>
        </w:tc>
      </w:tr>
      <w:tr w14:paraId="77C24C8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B4D7E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01B099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扶绥县大景城1号楼正门旁</w:t>
            </w:r>
          </w:p>
        </w:tc>
        <w:tc>
          <w:tcPr>
            <w:tcW w:w="2754" w:type="dxa"/>
            <w:tcBorders>
              <w:top w:val="single" w:color="000000" w:sz="4" w:space="0"/>
              <w:left w:val="single" w:color="000000" w:sz="4" w:space="0"/>
              <w:bottom w:val="single" w:color="000000" w:sz="4" w:space="0"/>
              <w:right w:val="single" w:color="000000" w:sz="4" w:space="0"/>
            </w:tcBorders>
            <w:vAlign w:val="center"/>
          </w:tcPr>
          <w:p w14:paraId="08FA4DB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0771-7525678</w:t>
            </w:r>
          </w:p>
        </w:tc>
      </w:tr>
      <w:tr w14:paraId="4C641F7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22A3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D2D0C17">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DA5D904">
            <w:pPr>
              <w:widowControl/>
              <w:jc w:val="center"/>
              <w:textAlignment w:val="center"/>
              <w:rPr>
                <w:rFonts w:hint="default" w:ascii="Times New Roman" w:hAnsi="Times New Roman" w:cs="Times New Roman"/>
                <w:color w:val="auto"/>
                <w:szCs w:val="21"/>
                <w:highlight w:val="none"/>
              </w:rPr>
            </w:pPr>
          </w:p>
        </w:tc>
      </w:tr>
      <w:tr w14:paraId="0508E96C">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8199A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F9D19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宁明县城中镇兴远街70号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F979B8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0771-8620729</w:t>
            </w:r>
          </w:p>
        </w:tc>
      </w:tr>
      <w:tr w14:paraId="6C58E02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AE8A2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0781A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宁明县城中镇明阳街11号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5CC773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0771-7917093</w:t>
            </w:r>
          </w:p>
        </w:tc>
      </w:tr>
      <w:tr w14:paraId="31741E5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BC65A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C30011">
            <w:pPr>
              <w:widowControl/>
              <w:spacing w:after="90" w:line="23"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宁明县城中镇兴宁大道77号明江财富广场一层1-13号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A91D0A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0771-8629006</w:t>
            </w:r>
          </w:p>
        </w:tc>
      </w:tr>
      <w:tr w14:paraId="1BF02DFC">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B1318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A69A099">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宁明县城中镇明阳街3号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B27A8F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0771-8628166</w:t>
            </w:r>
          </w:p>
        </w:tc>
      </w:tr>
      <w:tr w14:paraId="20D5EE17">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381D8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97FAB3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宁明县城中镇兴宁大道中70号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483CCC8">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0771-8630787</w:t>
            </w:r>
          </w:p>
        </w:tc>
      </w:tr>
      <w:tr w14:paraId="5770E8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9E434B">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FF2BDC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崇左市宁明县城中镇兴宁大道中79号（明都大酒店）A幢楼1楼铺面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1DD4DED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0771-8622237</w:t>
            </w:r>
          </w:p>
        </w:tc>
      </w:tr>
      <w:tr w14:paraId="527FB48F">
        <w:tblPrEx>
          <w:tblCellMar>
            <w:top w:w="0" w:type="dxa"/>
            <w:left w:w="108" w:type="dxa"/>
            <w:bottom w:w="0" w:type="dxa"/>
            <w:right w:w="108" w:type="dxa"/>
          </w:tblCellMar>
        </w:tblPrEx>
        <w:trPr>
          <w:trHeight w:val="377"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72A016C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大新县</w:t>
            </w:r>
          </w:p>
        </w:tc>
      </w:tr>
      <w:tr w14:paraId="6722A091">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D4CD53">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9346031">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大新县桃城镇民生街98号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78C7A8D">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0771-3628078</w:t>
            </w:r>
          </w:p>
        </w:tc>
      </w:tr>
      <w:tr w14:paraId="576BEDB7">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4F81B0">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5EB622">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大新县桃城镇伦理路223号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A5115F9">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w:t>
            </w:r>
            <w:r>
              <w:rPr>
                <w:rFonts w:hint="default" w:ascii="Times New Roman" w:hAnsi="Times New Roman" w:cs="Times New Roman"/>
                <w:color w:val="auto"/>
                <w:szCs w:val="21"/>
                <w:highlight w:val="none"/>
              </w:rPr>
              <w:t>7917015</w:t>
            </w:r>
          </w:p>
        </w:tc>
      </w:tr>
      <w:tr w14:paraId="11CE19D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82D2C2">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B6342C3">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大新县民生街7号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8A71EC0">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0771-3689766</w:t>
            </w:r>
          </w:p>
        </w:tc>
      </w:tr>
      <w:tr w14:paraId="4D533B0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1BEF65">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45060A4">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大新县城养利路131号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87E7C0E">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0771-3623887</w:t>
            </w:r>
          </w:p>
        </w:tc>
      </w:tr>
      <w:tr w14:paraId="65C29FA0">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A15232">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075AFD">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崇左市大新县桃城镇民生街7号东盟商业广场1楼桂林银行</w:t>
            </w:r>
          </w:p>
        </w:tc>
        <w:tc>
          <w:tcPr>
            <w:tcW w:w="2754" w:type="dxa"/>
            <w:tcBorders>
              <w:top w:val="single" w:color="000000" w:sz="4" w:space="0"/>
              <w:left w:val="single" w:color="000000" w:sz="4" w:space="0"/>
              <w:bottom w:val="single" w:color="000000" w:sz="4" w:space="0"/>
              <w:right w:val="single" w:color="000000" w:sz="4" w:space="0"/>
            </w:tcBorders>
            <w:vAlign w:val="center"/>
          </w:tcPr>
          <w:p w14:paraId="609AFC4D">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0771-3621996</w:t>
            </w:r>
          </w:p>
        </w:tc>
      </w:tr>
      <w:tr w14:paraId="04679C1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7D1BBD">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CC769CD">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崇左市大新县桃城镇伦理路230号1楼铺面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1B59A7D2">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rPr>
              <w:t>0771-3628366</w:t>
            </w:r>
          </w:p>
        </w:tc>
      </w:tr>
      <w:tr w14:paraId="7457496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5593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E488AD7">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大新县桃城镇德天大道74-1号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46798BD">
            <w:pPr>
              <w:widowControl/>
              <w:jc w:val="center"/>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0771-3698002</w:t>
            </w:r>
          </w:p>
        </w:tc>
      </w:tr>
      <w:tr w14:paraId="62C5A40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D18E94">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CD3F2F">
            <w:pPr>
              <w:widowControl/>
              <w:jc w:val="left"/>
              <w:textAlignment w:val="center"/>
              <w:rPr>
                <w:rFonts w:hint="default" w:ascii="Times New Roman" w:hAnsi="Times New Roman" w:cs="Times New Roman"/>
                <w:color w:val="auto"/>
                <w:szCs w:val="21"/>
                <w:highlight w:val="none"/>
                <w:lang w:bidi="ar"/>
              </w:rPr>
            </w:pPr>
            <w:r>
              <w:rPr>
                <w:rFonts w:hint="default" w:ascii="Times New Roman" w:hAnsi="Times New Roman" w:cs="Times New Roman"/>
                <w:color w:val="auto"/>
                <w:szCs w:val="21"/>
                <w:highlight w:val="none"/>
                <w:lang w:bidi="ar"/>
              </w:rPr>
              <w:t>大新县桃城镇伦那路8号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5F071B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bidi="ar"/>
              </w:rPr>
              <w:t>0771-3626199</w:t>
            </w:r>
          </w:p>
        </w:tc>
      </w:tr>
      <w:tr w14:paraId="02CBEDF5">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6F35A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2AA2BB0">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6E3D4E87">
            <w:pPr>
              <w:widowControl/>
              <w:jc w:val="center"/>
              <w:textAlignment w:val="center"/>
              <w:rPr>
                <w:rFonts w:hint="default" w:ascii="Times New Roman" w:hAnsi="Times New Roman" w:cs="Times New Roman"/>
                <w:color w:val="auto"/>
                <w:szCs w:val="21"/>
                <w:highlight w:val="none"/>
              </w:rPr>
            </w:pPr>
          </w:p>
        </w:tc>
      </w:tr>
      <w:tr w14:paraId="0AF4241A">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BD5C5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8FFF26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龙州县龙江街60号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1EBC8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0771-8868619</w:t>
            </w:r>
          </w:p>
        </w:tc>
      </w:tr>
      <w:tr w14:paraId="420018E6">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E2744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220E5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龙州县龙州镇康平街26号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312F86C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0771-8812504</w:t>
            </w:r>
          </w:p>
        </w:tc>
      </w:tr>
      <w:tr w14:paraId="11DD297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219A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8CEE4D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龙州县龙夏路2号龙州商业广场D栋1号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60EBE09">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0771-8820525</w:t>
            </w:r>
          </w:p>
        </w:tc>
      </w:tr>
      <w:tr w14:paraId="758729A9">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BA55F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AB265B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龙州县龙州镇独山路172号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CAA7FED">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0771-8813013</w:t>
            </w:r>
          </w:p>
        </w:tc>
      </w:tr>
      <w:tr w14:paraId="6B74344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E974A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807C08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龙州县龙州镇同顾大道1号同顾·中央公园20栋10号—13号房</w:t>
            </w:r>
          </w:p>
        </w:tc>
        <w:tc>
          <w:tcPr>
            <w:tcW w:w="2754" w:type="dxa"/>
            <w:tcBorders>
              <w:top w:val="single" w:color="000000" w:sz="4" w:space="0"/>
              <w:left w:val="single" w:color="000000" w:sz="4" w:space="0"/>
              <w:bottom w:val="single" w:color="000000" w:sz="4" w:space="0"/>
              <w:right w:val="single" w:color="000000" w:sz="4" w:space="0"/>
            </w:tcBorders>
            <w:vAlign w:val="center"/>
          </w:tcPr>
          <w:p w14:paraId="1A71D42F">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0771-8871021</w:t>
            </w:r>
          </w:p>
        </w:tc>
      </w:tr>
      <w:tr w14:paraId="2E39B5F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B6C28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5070B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崇左市龙州县龙州镇龙夏路1号、3号、5号（南湖商务酒店）一楼铺面</w:t>
            </w:r>
          </w:p>
        </w:tc>
        <w:tc>
          <w:tcPr>
            <w:tcW w:w="2754" w:type="dxa"/>
            <w:tcBorders>
              <w:top w:val="single" w:color="000000" w:sz="4" w:space="0"/>
              <w:left w:val="single" w:color="000000" w:sz="4" w:space="0"/>
              <w:bottom w:val="single" w:color="000000" w:sz="4" w:space="0"/>
              <w:right w:val="single" w:color="000000" w:sz="4" w:space="0"/>
            </w:tcBorders>
            <w:vAlign w:val="center"/>
          </w:tcPr>
          <w:p w14:paraId="0FB41F2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0771-8811533</w:t>
            </w:r>
          </w:p>
        </w:tc>
      </w:tr>
      <w:tr w14:paraId="6EEB4B1C">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9B2CB4">
            <w:pPr>
              <w:widowControl/>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C39F30F">
            <w:pPr>
              <w:widowControl/>
              <w:jc w:val="left"/>
              <w:textAlignment w:val="center"/>
              <w:rPr>
                <w:rFonts w:hint="default" w:ascii="Times New Roman" w:hAnsi="Times New Roman" w:cs="Times New Roman"/>
                <w:color w:val="auto"/>
                <w:szCs w:val="21"/>
                <w:highlight w:val="none"/>
              </w:rPr>
            </w:pPr>
          </w:p>
        </w:tc>
        <w:tc>
          <w:tcPr>
            <w:tcW w:w="2754" w:type="dxa"/>
            <w:tcBorders>
              <w:top w:val="single" w:color="000000" w:sz="4" w:space="0"/>
              <w:left w:val="single" w:color="000000" w:sz="4" w:space="0"/>
              <w:bottom w:val="single" w:color="000000" w:sz="4" w:space="0"/>
              <w:right w:val="single" w:color="000000" w:sz="4" w:space="0"/>
            </w:tcBorders>
            <w:vAlign w:val="center"/>
          </w:tcPr>
          <w:p w14:paraId="250E5EE1">
            <w:pPr>
              <w:widowControl/>
              <w:jc w:val="center"/>
              <w:textAlignment w:val="center"/>
              <w:rPr>
                <w:rFonts w:hint="default" w:ascii="Times New Roman" w:hAnsi="Times New Roman" w:cs="Times New Roman"/>
                <w:color w:val="auto"/>
                <w:szCs w:val="21"/>
                <w:highlight w:val="none"/>
              </w:rPr>
            </w:pPr>
          </w:p>
        </w:tc>
      </w:tr>
      <w:tr w14:paraId="3BEFE02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BFFF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164D15">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天等县天等镇朝阳东路054号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4B7CA14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0771-3532211</w:t>
            </w:r>
          </w:p>
        </w:tc>
      </w:tr>
      <w:tr w14:paraId="4AE0E48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BBF85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3701FD">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天等县天等镇天宝北路007号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C6EB81C">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0771-7917046</w:t>
            </w:r>
          </w:p>
        </w:tc>
      </w:tr>
      <w:tr w14:paraId="015C9E5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AF3D1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FE4231C">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天等县天等镇仕民路48号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6531CEF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0771-3521361</w:t>
            </w:r>
          </w:p>
        </w:tc>
      </w:tr>
      <w:tr w14:paraId="48FDAB9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7DF9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9F2F74">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广西崇左市天等县天等镇天宝北路天府中央城5号楼115号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B3C2C4A">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0771-3522157</w:t>
            </w:r>
          </w:p>
        </w:tc>
      </w:tr>
      <w:tr w14:paraId="6D19962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74EF1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AFD5F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崇左市天等县天宝南路002号天富商业广场28栋一层商铺6-17号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911925">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0771-3528688</w:t>
            </w:r>
          </w:p>
        </w:tc>
      </w:tr>
      <w:tr w14:paraId="7211673B">
        <w:tblPrEx>
          <w:tblCellMar>
            <w:top w:w="0" w:type="dxa"/>
            <w:left w:w="108" w:type="dxa"/>
            <w:bottom w:w="0" w:type="dxa"/>
            <w:right w:w="108" w:type="dxa"/>
          </w:tblCellMar>
        </w:tblPrEx>
        <w:trPr>
          <w:trHeight w:val="335" w:hRule="atLeast"/>
        </w:trPr>
        <w:tc>
          <w:tcPr>
            <w:tcW w:w="8943" w:type="dxa"/>
            <w:gridSpan w:val="3"/>
            <w:tcBorders>
              <w:top w:val="single" w:color="000000" w:sz="4" w:space="0"/>
              <w:left w:val="single" w:color="000000" w:sz="4" w:space="0"/>
              <w:bottom w:val="single" w:color="000000" w:sz="4" w:space="0"/>
              <w:right w:val="single" w:color="000000" w:sz="4" w:space="0"/>
            </w:tcBorders>
            <w:noWrap/>
            <w:vAlign w:val="center"/>
          </w:tcPr>
          <w:p w14:paraId="3E03F123">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凭祥市</w:t>
            </w:r>
          </w:p>
        </w:tc>
      </w:tr>
      <w:tr w14:paraId="2D34672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CA29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5B0D2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凭祥市新华路5号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F4A048B">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0771-8529259</w:t>
            </w:r>
          </w:p>
        </w:tc>
      </w:tr>
      <w:tr w14:paraId="50DA751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29B3BE">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77370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凭祥市北大路216号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6471E2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0771-7917258</w:t>
            </w:r>
          </w:p>
        </w:tc>
      </w:tr>
      <w:tr w14:paraId="5140A9A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7A816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2F4BF3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凭祥市屏山路138号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C4E3B2E">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0771-8525068 0771-8536852</w:t>
            </w:r>
          </w:p>
        </w:tc>
      </w:tr>
      <w:tr w14:paraId="3F8F617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29FC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D7588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凭祥市金象大道香格里拉3幢3-01至3-03号商铺</w:t>
            </w:r>
          </w:p>
        </w:tc>
        <w:tc>
          <w:tcPr>
            <w:tcW w:w="2754" w:type="dxa"/>
            <w:tcBorders>
              <w:top w:val="single" w:color="000000" w:sz="4" w:space="0"/>
              <w:left w:val="single" w:color="000000" w:sz="4" w:space="0"/>
              <w:bottom w:val="single" w:color="000000" w:sz="4" w:space="0"/>
              <w:right w:val="single" w:color="000000" w:sz="4" w:space="0"/>
            </w:tcBorders>
            <w:vAlign w:val="center"/>
          </w:tcPr>
          <w:p w14:paraId="7F4A8C41">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0771-8551161</w:t>
            </w:r>
          </w:p>
        </w:tc>
      </w:tr>
      <w:tr w14:paraId="1980026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454980">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96DCC2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凭祥市浦寨商业城万泰一楼8-9号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6EA43C7">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0771-8561665</w:t>
            </w:r>
          </w:p>
        </w:tc>
      </w:tr>
      <w:tr w14:paraId="30A6EB6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78BE6">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1A339F">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凭祥市-北环路112号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2ECD6E96">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0771-8520356</w:t>
            </w:r>
          </w:p>
        </w:tc>
      </w:tr>
      <w:tr w14:paraId="329BB09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C14F91">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A8994E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凭祥市友谊关大道13号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766C226B">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0771-8535667</w:t>
            </w:r>
          </w:p>
        </w:tc>
      </w:tr>
      <w:tr w14:paraId="0EED9F8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30EB8A">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3D8837">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凭祥市北大路一支40号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18285C62">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0771-8520550</w:t>
            </w:r>
          </w:p>
        </w:tc>
      </w:tr>
      <w:tr w14:paraId="1CBE635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836D68">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5BB0B52">
            <w:pPr>
              <w:widowControl/>
              <w:jc w:val="left"/>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凭祥市北大路一支60-1号</w:t>
            </w:r>
          </w:p>
        </w:tc>
        <w:tc>
          <w:tcPr>
            <w:tcW w:w="2754" w:type="dxa"/>
            <w:tcBorders>
              <w:top w:val="single" w:color="000000" w:sz="4" w:space="0"/>
              <w:left w:val="single" w:color="000000" w:sz="4" w:space="0"/>
              <w:bottom w:val="single" w:color="000000" w:sz="4" w:space="0"/>
              <w:right w:val="single" w:color="000000" w:sz="4" w:space="0"/>
            </w:tcBorders>
            <w:vAlign w:val="center"/>
          </w:tcPr>
          <w:p w14:paraId="06836543">
            <w:pPr>
              <w:widowControl/>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0771-8556667</w:t>
            </w:r>
          </w:p>
        </w:tc>
      </w:tr>
    </w:tbl>
    <w:p w14:paraId="08E268C4">
      <w:pPr>
        <w:pStyle w:val="8"/>
        <w:rPr>
          <w:rFonts w:hint="default" w:ascii="Times New Roman" w:hAnsi="Times New Roman" w:cs="Times New Roman"/>
          <w:color w:val="auto"/>
          <w:highlight w:val="none"/>
        </w:rPr>
      </w:pPr>
    </w:p>
    <w:sectPr>
      <w:footerReference r:id="rId11" w:type="first"/>
      <w:footerReference r:id="rId10"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A370">
    <w:pPr>
      <w:pStyle w:val="30"/>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3C6D">
    <w:pPr>
      <w:pStyle w:val="30"/>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4EA278FF"/>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BU+a0AAAAAMBAAAPAAAAAAAAAAEAIAAAACIAAABkcnMvZG93bnJldi54bWxQSwECFAAU&#10;AAAACACHTuJAaPNz6vkBAAABBAAADgAAAAAAAAABACAAAAAfAQAAZHJzL2Uyb0RvYy54bWxQSwUG&#10;AAAAAAYABgBZAQAAigUAAAAA&#10;">
              <v:fill on="f" focussize="0,0"/>
              <v:stroke on="f"/>
              <v:imagedata o:title=""/>
              <o:lock v:ext="edit" aspectratio="f"/>
              <v:textbox inset="0mm,0mm,0mm,0mm" style="mso-fit-shape-to-text:t;">
                <w:txbxContent>
                  <w:p w14:paraId="4EA278FF"/>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9B99">
    <w:pPr>
      <w:pStyle w:val="30"/>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F3E83">
                          <w:pPr>
                            <w:pStyle w:val="3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FF3E83">
                    <w:pPr>
                      <w:pStyle w:val="3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6D97">
    <w:pPr>
      <w:pStyle w:val="30"/>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FE246">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FE246">
                    <w:pPr>
                      <w:pStyle w:val="3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18415" b="1841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34879023"/>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kFT5rQAAAAAwEAAA8AAAAAAAAAAQAgAAAAIgAAAGRycy9kb3ducmV2LnhtbFBLAQIUABQA&#10;AAAIAIdO4kBDutmH+AEAAAEEAAAOAAAAAAAAAAEAIAAAAB8BAABkcnMvZTJvRG9jLnhtbFBLBQYA&#10;AAAABgAGAFkBAACJBQAAAAA=&#10;">
              <v:fill on="f" focussize="0,0"/>
              <v:stroke on="f"/>
              <v:imagedata o:title=""/>
              <o:lock v:ext="edit" aspectratio="f"/>
              <v:textbox inset="0mm,0mm,0mm,0mm" style="mso-fit-shape-to-text:t;">
                <w:txbxContent>
                  <w:p w14:paraId="3487902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5474">
    <w:pPr>
      <w:widowControl w:val="0"/>
      <w:tabs>
        <w:tab w:val="center" w:pos="4153"/>
        <w:tab w:val="right" w:pos="8306"/>
      </w:tabs>
      <w:snapToGrid w:val="0"/>
      <w:jc w:val="left"/>
      <w:rPr>
        <w:rFonts w:ascii="宋体" w:hAnsi="Courier New" w:eastAsia="宋体" w:cs="Times New Roman"/>
        <w:kern w:val="2"/>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BE575">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D3BE575">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5D3A">
    <w:pPr>
      <w:pStyle w:val="3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65BC8">
                          <w:pPr>
                            <w:pStyle w:val="3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665BC8">
                    <w:pPr>
                      <w:pStyle w:val="30"/>
                    </w:pPr>
                    <w:r>
                      <w:fldChar w:fldCharType="begin"/>
                    </w:r>
                    <w:r>
                      <w:instrText xml:space="preserve"> PAGE  \* MERGEFORMAT </w:instrText>
                    </w:r>
                    <w:r>
                      <w:fldChar w:fldCharType="separate"/>
                    </w:r>
                    <w:r>
                      <w:t>77</w:t>
                    </w:r>
                    <w:r>
                      <w:fldChar w:fldCharType="end"/>
                    </w:r>
                  </w:p>
                </w:txbxContent>
              </v:textbox>
            </v:shape>
          </w:pict>
        </mc:Fallback>
      </mc:AlternateContent>
    </w:r>
  </w:p>
  <w:p w14:paraId="229CBEF9">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1023">
    <w:pPr>
      <w:pStyle w:val="3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A2E71">
                          <w:pPr>
                            <w:pStyle w:val="3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3A2E71">
                    <w:pPr>
                      <w:pStyle w:val="3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24F5F">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96A6">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D373B"/>
    <w:multiLevelType w:val="singleLevel"/>
    <w:tmpl w:val="97ED373B"/>
    <w:lvl w:ilvl="0" w:tentative="0">
      <w:start w:val="9"/>
      <w:numFmt w:val="decimal"/>
      <w:lvlText w:val="(%1)"/>
      <w:lvlJc w:val="left"/>
      <w:pPr>
        <w:tabs>
          <w:tab w:val="left" w:pos="312"/>
        </w:tabs>
        <w:ind w:left="0" w:firstLine="0"/>
      </w:pPr>
    </w:lvl>
  </w:abstractNum>
  <w:abstractNum w:abstractNumId="1">
    <w:nsid w:val="324499CC"/>
    <w:multiLevelType w:val="singleLevel"/>
    <w:tmpl w:val="324499CC"/>
    <w:lvl w:ilvl="0" w:tentative="0">
      <w:start w:val="2"/>
      <w:numFmt w:val="decimal"/>
      <w:suff w:val="nothing"/>
      <w:lvlText w:val="（%1）"/>
      <w:lvlJc w:val="left"/>
      <w:rPr>
        <w:rFonts w:cs="Times New Roman"/>
      </w:rPr>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3">
    <w:nsid w:val="5023193E"/>
    <w:multiLevelType w:val="multilevel"/>
    <w:tmpl w:val="5023193E"/>
    <w:lvl w:ilvl="0" w:tentative="0">
      <w:start w:val="1"/>
      <w:numFmt w:val="decimal"/>
      <w:lvlText w:val="%1"/>
      <w:lvlJc w:val="left"/>
      <w:pPr>
        <w:ind w:left="525" w:hanging="525"/>
      </w:pPr>
      <w:rPr>
        <w:rFonts w:hint="default"/>
      </w:rPr>
    </w:lvl>
    <w:lvl w:ilvl="1" w:tentative="0">
      <w:start w:val="2"/>
      <w:numFmt w:val="decimal"/>
      <w:lvlText w:val="%1.%2"/>
      <w:lvlJc w:val="left"/>
      <w:pPr>
        <w:ind w:left="745" w:hanging="525"/>
      </w:pPr>
      <w:rPr>
        <w:rFonts w:hint="default"/>
      </w:rPr>
    </w:lvl>
    <w:lvl w:ilvl="2" w:tentative="0">
      <w:start w:val="3"/>
      <w:numFmt w:val="decimal"/>
      <w:lvlText w:val="%1.%2.%3"/>
      <w:lvlJc w:val="left"/>
      <w:pPr>
        <w:ind w:left="1160" w:hanging="720"/>
      </w:pPr>
      <w:rPr>
        <w:rFonts w:hint="default"/>
      </w:rPr>
    </w:lvl>
    <w:lvl w:ilvl="3" w:tentative="0">
      <w:start w:val="1"/>
      <w:numFmt w:val="decimal"/>
      <w:lvlText w:val="%1.%2.%3.%4"/>
      <w:lvlJc w:val="left"/>
      <w:pPr>
        <w:ind w:left="1740" w:hanging="1080"/>
      </w:pPr>
      <w:rPr>
        <w:rFonts w:hint="default"/>
      </w:rPr>
    </w:lvl>
    <w:lvl w:ilvl="4" w:tentative="0">
      <w:start w:val="1"/>
      <w:numFmt w:val="decimal"/>
      <w:lvlText w:val="%1.%2.%3.%4.%5"/>
      <w:lvlJc w:val="left"/>
      <w:pPr>
        <w:ind w:left="1960" w:hanging="1080"/>
      </w:pPr>
      <w:rPr>
        <w:rFonts w:hint="default"/>
      </w:rPr>
    </w:lvl>
    <w:lvl w:ilvl="5" w:tentative="0">
      <w:start w:val="1"/>
      <w:numFmt w:val="decimal"/>
      <w:lvlText w:val="%1.%2.%3.%4.%5.%6"/>
      <w:lvlJc w:val="left"/>
      <w:pPr>
        <w:ind w:left="2540" w:hanging="1440"/>
      </w:pPr>
      <w:rPr>
        <w:rFonts w:hint="default"/>
      </w:rPr>
    </w:lvl>
    <w:lvl w:ilvl="6" w:tentative="0">
      <w:start w:val="1"/>
      <w:numFmt w:val="decimal"/>
      <w:lvlText w:val="%1.%2.%3.%4.%5.%6.%7"/>
      <w:lvlJc w:val="left"/>
      <w:pPr>
        <w:ind w:left="2760" w:hanging="1440"/>
      </w:pPr>
      <w:rPr>
        <w:rFonts w:hint="default"/>
      </w:rPr>
    </w:lvl>
    <w:lvl w:ilvl="7" w:tentative="0">
      <w:start w:val="1"/>
      <w:numFmt w:val="decimal"/>
      <w:lvlText w:val="%1.%2.%3.%4.%5.%6.%7.%8"/>
      <w:lvlJc w:val="left"/>
      <w:pPr>
        <w:ind w:left="3340" w:hanging="1800"/>
      </w:pPr>
      <w:rPr>
        <w:rFonts w:hint="default"/>
      </w:rPr>
    </w:lvl>
    <w:lvl w:ilvl="8" w:tentative="0">
      <w:start w:val="1"/>
      <w:numFmt w:val="decimal"/>
      <w:lvlText w:val="%1.%2.%3.%4.%5.%6.%7.%8.%9"/>
      <w:lvlJc w:val="left"/>
      <w:pPr>
        <w:ind w:left="3560" w:hanging="1800"/>
      </w:pPr>
      <w:rPr>
        <w:rFonts w:hint="default"/>
      </w:rPr>
    </w:lvl>
  </w:abstractNum>
  <w:num w:numId="1">
    <w:abstractNumId w:val="1"/>
  </w:num>
  <w:num w:numId="2">
    <w:abstractNumId w:val="2"/>
  </w:num>
  <w:num w:numId="3">
    <w:abstractNumId w:val="0"/>
    <w:lvlOverride w:ilvl="0">
      <w:startOverride w:val="9"/>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OGY4ZWMyNTkwMDlmNjRiOWUxMDEyNjFiMTI2OGYifQ=="/>
  </w:docVars>
  <w:rsids>
    <w:rsidRoot w:val="00F34B14"/>
    <w:rsid w:val="000002E0"/>
    <w:rsid w:val="00000672"/>
    <w:rsid w:val="00000A35"/>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000"/>
    <w:rsid w:val="000215D0"/>
    <w:rsid w:val="00021F52"/>
    <w:rsid w:val="00021FCF"/>
    <w:rsid w:val="000220B2"/>
    <w:rsid w:val="0002264C"/>
    <w:rsid w:val="00022731"/>
    <w:rsid w:val="00022792"/>
    <w:rsid w:val="00023287"/>
    <w:rsid w:val="00023A6D"/>
    <w:rsid w:val="00024292"/>
    <w:rsid w:val="00024463"/>
    <w:rsid w:val="00025461"/>
    <w:rsid w:val="00025636"/>
    <w:rsid w:val="00025C92"/>
    <w:rsid w:val="00025E36"/>
    <w:rsid w:val="000260F7"/>
    <w:rsid w:val="000260FF"/>
    <w:rsid w:val="00026855"/>
    <w:rsid w:val="00026886"/>
    <w:rsid w:val="000273DE"/>
    <w:rsid w:val="0002754F"/>
    <w:rsid w:val="0002785D"/>
    <w:rsid w:val="00027C8A"/>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5DFB"/>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198"/>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313"/>
    <w:rsid w:val="0008473C"/>
    <w:rsid w:val="00084E4F"/>
    <w:rsid w:val="00085193"/>
    <w:rsid w:val="0008520B"/>
    <w:rsid w:val="0008527B"/>
    <w:rsid w:val="000857DE"/>
    <w:rsid w:val="000860BD"/>
    <w:rsid w:val="000871B8"/>
    <w:rsid w:val="00087B0A"/>
    <w:rsid w:val="00090339"/>
    <w:rsid w:val="00090ADF"/>
    <w:rsid w:val="00091373"/>
    <w:rsid w:val="000916DA"/>
    <w:rsid w:val="00091AAB"/>
    <w:rsid w:val="00092442"/>
    <w:rsid w:val="000929EF"/>
    <w:rsid w:val="00092C26"/>
    <w:rsid w:val="00092EC0"/>
    <w:rsid w:val="000933BE"/>
    <w:rsid w:val="00093E88"/>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487"/>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6C0"/>
    <w:rsid w:val="000C67C7"/>
    <w:rsid w:val="000C6DE4"/>
    <w:rsid w:val="000C7202"/>
    <w:rsid w:val="000C7432"/>
    <w:rsid w:val="000C7926"/>
    <w:rsid w:val="000C7FC6"/>
    <w:rsid w:val="000D0A89"/>
    <w:rsid w:val="000D10F1"/>
    <w:rsid w:val="000D1317"/>
    <w:rsid w:val="000D1389"/>
    <w:rsid w:val="000D1798"/>
    <w:rsid w:val="000D1A3F"/>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3DD"/>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694"/>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0A83"/>
    <w:rsid w:val="00141455"/>
    <w:rsid w:val="0014190C"/>
    <w:rsid w:val="00141C9C"/>
    <w:rsid w:val="0014277F"/>
    <w:rsid w:val="00142AD2"/>
    <w:rsid w:val="00143233"/>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253"/>
    <w:rsid w:val="0017267A"/>
    <w:rsid w:val="0017286C"/>
    <w:rsid w:val="00172CA8"/>
    <w:rsid w:val="00173256"/>
    <w:rsid w:val="00173B0E"/>
    <w:rsid w:val="00173D86"/>
    <w:rsid w:val="00173E03"/>
    <w:rsid w:val="0017405A"/>
    <w:rsid w:val="001741C9"/>
    <w:rsid w:val="0017420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873"/>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EBF"/>
    <w:rsid w:val="00193F6A"/>
    <w:rsid w:val="00195117"/>
    <w:rsid w:val="00195424"/>
    <w:rsid w:val="001955FF"/>
    <w:rsid w:val="001972F8"/>
    <w:rsid w:val="00197EDD"/>
    <w:rsid w:val="001A02B3"/>
    <w:rsid w:val="001A04BB"/>
    <w:rsid w:val="001A06CC"/>
    <w:rsid w:val="001A0889"/>
    <w:rsid w:val="001A08D0"/>
    <w:rsid w:val="001A17B2"/>
    <w:rsid w:val="001A184E"/>
    <w:rsid w:val="001A18EA"/>
    <w:rsid w:val="001A1B39"/>
    <w:rsid w:val="001A1D4A"/>
    <w:rsid w:val="001A2120"/>
    <w:rsid w:val="001A21DD"/>
    <w:rsid w:val="001A28C6"/>
    <w:rsid w:val="001A2E69"/>
    <w:rsid w:val="001A3140"/>
    <w:rsid w:val="001A3C34"/>
    <w:rsid w:val="001A3EDE"/>
    <w:rsid w:val="001A41CD"/>
    <w:rsid w:val="001A4222"/>
    <w:rsid w:val="001A4235"/>
    <w:rsid w:val="001A43BE"/>
    <w:rsid w:val="001A48B2"/>
    <w:rsid w:val="001A4CFA"/>
    <w:rsid w:val="001A50EA"/>
    <w:rsid w:val="001A55A9"/>
    <w:rsid w:val="001A5BAA"/>
    <w:rsid w:val="001A5E24"/>
    <w:rsid w:val="001A619E"/>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0154"/>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6F47"/>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37FD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0FC"/>
    <w:rsid w:val="00254EAB"/>
    <w:rsid w:val="00255794"/>
    <w:rsid w:val="002557AF"/>
    <w:rsid w:val="0025589C"/>
    <w:rsid w:val="00255B62"/>
    <w:rsid w:val="002566B1"/>
    <w:rsid w:val="002575E3"/>
    <w:rsid w:val="00257A74"/>
    <w:rsid w:val="00257C5D"/>
    <w:rsid w:val="002602B3"/>
    <w:rsid w:val="002603C1"/>
    <w:rsid w:val="002609A1"/>
    <w:rsid w:val="002612B1"/>
    <w:rsid w:val="00261997"/>
    <w:rsid w:val="00262B14"/>
    <w:rsid w:val="00263FE8"/>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467"/>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00D"/>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5EAC"/>
    <w:rsid w:val="002B612E"/>
    <w:rsid w:val="002B69CC"/>
    <w:rsid w:val="002B6D71"/>
    <w:rsid w:val="002B773F"/>
    <w:rsid w:val="002B7DC4"/>
    <w:rsid w:val="002C0389"/>
    <w:rsid w:val="002C03AE"/>
    <w:rsid w:val="002C0C1C"/>
    <w:rsid w:val="002C102A"/>
    <w:rsid w:val="002C10A7"/>
    <w:rsid w:val="002C1190"/>
    <w:rsid w:val="002C2CC9"/>
    <w:rsid w:val="002C34F1"/>
    <w:rsid w:val="002C41BF"/>
    <w:rsid w:val="002C4B7E"/>
    <w:rsid w:val="002C5023"/>
    <w:rsid w:val="002C5424"/>
    <w:rsid w:val="002C54C2"/>
    <w:rsid w:val="002C5D34"/>
    <w:rsid w:val="002C60BB"/>
    <w:rsid w:val="002C6355"/>
    <w:rsid w:val="002C661A"/>
    <w:rsid w:val="002C6D99"/>
    <w:rsid w:val="002D047B"/>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9E9"/>
    <w:rsid w:val="00306F32"/>
    <w:rsid w:val="003074C5"/>
    <w:rsid w:val="00307633"/>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A7A"/>
    <w:rsid w:val="00317BA7"/>
    <w:rsid w:val="00317CAE"/>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0CF2"/>
    <w:rsid w:val="003411D1"/>
    <w:rsid w:val="003416BA"/>
    <w:rsid w:val="00342148"/>
    <w:rsid w:val="00342658"/>
    <w:rsid w:val="003427BE"/>
    <w:rsid w:val="00342F99"/>
    <w:rsid w:val="00343016"/>
    <w:rsid w:val="003432EE"/>
    <w:rsid w:val="00343749"/>
    <w:rsid w:val="00343AEA"/>
    <w:rsid w:val="003444BF"/>
    <w:rsid w:val="00344D99"/>
    <w:rsid w:val="00345747"/>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61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BB"/>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705"/>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325"/>
    <w:rsid w:val="003C4580"/>
    <w:rsid w:val="003C51C0"/>
    <w:rsid w:val="003C553C"/>
    <w:rsid w:val="003C5C5E"/>
    <w:rsid w:val="003C6436"/>
    <w:rsid w:val="003C65C0"/>
    <w:rsid w:val="003C65D3"/>
    <w:rsid w:val="003C6692"/>
    <w:rsid w:val="003C6746"/>
    <w:rsid w:val="003C7555"/>
    <w:rsid w:val="003C7898"/>
    <w:rsid w:val="003C7A17"/>
    <w:rsid w:val="003D0FF5"/>
    <w:rsid w:val="003D11A3"/>
    <w:rsid w:val="003D1537"/>
    <w:rsid w:val="003D183C"/>
    <w:rsid w:val="003D2A1F"/>
    <w:rsid w:val="003D2D1B"/>
    <w:rsid w:val="003D2F09"/>
    <w:rsid w:val="003D3558"/>
    <w:rsid w:val="003D36C0"/>
    <w:rsid w:val="003D40E5"/>
    <w:rsid w:val="003D48C7"/>
    <w:rsid w:val="003D4C27"/>
    <w:rsid w:val="003D572F"/>
    <w:rsid w:val="003D594C"/>
    <w:rsid w:val="003D6BEB"/>
    <w:rsid w:val="003D7109"/>
    <w:rsid w:val="003D71D7"/>
    <w:rsid w:val="003D7223"/>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4D"/>
    <w:rsid w:val="003E59BB"/>
    <w:rsid w:val="003E6225"/>
    <w:rsid w:val="003E65AC"/>
    <w:rsid w:val="003E66AE"/>
    <w:rsid w:val="003E6CFE"/>
    <w:rsid w:val="003E7160"/>
    <w:rsid w:val="003E72B9"/>
    <w:rsid w:val="003E7612"/>
    <w:rsid w:val="003E7ED4"/>
    <w:rsid w:val="003F0102"/>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DF2"/>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757"/>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FD5"/>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5AB4"/>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A9D"/>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5C59"/>
    <w:rsid w:val="00496350"/>
    <w:rsid w:val="00496F9C"/>
    <w:rsid w:val="0049765E"/>
    <w:rsid w:val="00497843"/>
    <w:rsid w:val="0049797C"/>
    <w:rsid w:val="004A0DFE"/>
    <w:rsid w:val="004A1405"/>
    <w:rsid w:val="004A15BD"/>
    <w:rsid w:val="004A1E28"/>
    <w:rsid w:val="004A1FC6"/>
    <w:rsid w:val="004A2E5F"/>
    <w:rsid w:val="004A38C2"/>
    <w:rsid w:val="004A3968"/>
    <w:rsid w:val="004A3C03"/>
    <w:rsid w:val="004A3DB7"/>
    <w:rsid w:val="004A463B"/>
    <w:rsid w:val="004A5088"/>
    <w:rsid w:val="004A50E5"/>
    <w:rsid w:val="004A5255"/>
    <w:rsid w:val="004A5AD2"/>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F44"/>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71C"/>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3B"/>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3E6"/>
    <w:rsid w:val="0055745C"/>
    <w:rsid w:val="00557F60"/>
    <w:rsid w:val="005604F6"/>
    <w:rsid w:val="00560D81"/>
    <w:rsid w:val="00561730"/>
    <w:rsid w:val="00561913"/>
    <w:rsid w:val="00561B97"/>
    <w:rsid w:val="00561F49"/>
    <w:rsid w:val="00562149"/>
    <w:rsid w:val="00562285"/>
    <w:rsid w:val="0056248C"/>
    <w:rsid w:val="005640EB"/>
    <w:rsid w:val="00565559"/>
    <w:rsid w:val="005666A4"/>
    <w:rsid w:val="00567B5D"/>
    <w:rsid w:val="00570593"/>
    <w:rsid w:val="00570757"/>
    <w:rsid w:val="005708E7"/>
    <w:rsid w:val="0057257D"/>
    <w:rsid w:val="00572DBE"/>
    <w:rsid w:val="00573293"/>
    <w:rsid w:val="00573733"/>
    <w:rsid w:val="00573DBC"/>
    <w:rsid w:val="00573E08"/>
    <w:rsid w:val="00573F8B"/>
    <w:rsid w:val="005743E0"/>
    <w:rsid w:val="00574554"/>
    <w:rsid w:val="00574DEB"/>
    <w:rsid w:val="00574E06"/>
    <w:rsid w:val="005751BB"/>
    <w:rsid w:val="00575713"/>
    <w:rsid w:val="00576089"/>
    <w:rsid w:val="005764B1"/>
    <w:rsid w:val="00576852"/>
    <w:rsid w:val="00576D06"/>
    <w:rsid w:val="005779E4"/>
    <w:rsid w:val="00577E82"/>
    <w:rsid w:val="00580B89"/>
    <w:rsid w:val="00580EC7"/>
    <w:rsid w:val="00581EA9"/>
    <w:rsid w:val="005826D2"/>
    <w:rsid w:val="00582738"/>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2FC7"/>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4818"/>
    <w:rsid w:val="005D4F85"/>
    <w:rsid w:val="005D6B59"/>
    <w:rsid w:val="005D71C3"/>
    <w:rsid w:val="005D74D2"/>
    <w:rsid w:val="005D784B"/>
    <w:rsid w:val="005D7B90"/>
    <w:rsid w:val="005E00AF"/>
    <w:rsid w:val="005E03E4"/>
    <w:rsid w:val="005E0454"/>
    <w:rsid w:val="005E05F6"/>
    <w:rsid w:val="005E19CF"/>
    <w:rsid w:val="005E1B9D"/>
    <w:rsid w:val="005E1BDA"/>
    <w:rsid w:val="005E1C2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BE5"/>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5595"/>
    <w:rsid w:val="00606302"/>
    <w:rsid w:val="006076FD"/>
    <w:rsid w:val="0061036A"/>
    <w:rsid w:val="00610470"/>
    <w:rsid w:val="006107B1"/>
    <w:rsid w:val="00610811"/>
    <w:rsid w:val="0061143F"/>
    <w:rsid w:val="006114D8"/>
    <w:rsid w:val="00611800"/>
    <w:rsid w:val="00612685"/>
    <w:rsid w:val="00613553"/>
    <w:rsid w:val="00613601"/>
    <w:rsid w:val="00613791"/>
    <w:rsid w:val="00613DDD"/>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9C1"/>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185"/>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4D20"/>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011"/>
    <w:rsid w:val="006B21DC"/>
    <w:rsid w:val="006B224E"/>
    <w:rsid w:val="006B2349"/>
    <w:rsid w:val="006B25FA"/>
    <w:rsid w:val="006B2943"/>
    <w:rsid w:val="006B2C00"/>
    <w:rsid w:val="006B307B"/>
    <w:rsid w:val="006B351F"/>
    <w:rsid w:val="006B376E"/>
    <w:rsid w:val="006B4128"/>
    <w:rsid w:val="006B4589"/>
    <w:rsid w:val="006B4CFA"/>
    <w:rsid w:val="006B5157"/>
    <w:rsid w:val="006B5E49"/>
    <w:rsid w:val="006B610E"/>
    <w:rsid w:val="006B6805"/>
    <w:rsid w:val="006B6C07"/>
    <w:rsid w:val="006B6DE0"/>
    <w:rsid w:val="006B723D"/>
    <w:rsid w:val="006B7843"/>
    <w:rsid w:val="006B7DEE"/>
    <w:rsid w:val="006C1337"/>
    <w:rsid w:val="006C16C3"/>
    <w:rsid w:val="006C1FA6"/>
    <w:rsid w:val="006C1FEE"/>
    <w:rsid w:val="006C2187"/>
    <w:rsid w:val="006C2588"/>
    <w:rsid w:val="006C27D9"/>
    <w:rsid w:val="006C32F4"/>
    <w:rsid w:val="006C3C54"/>
    <w:rsid w:val="006C3CA5"/>
    <w:rsid w:val="006C3CAA"/>
    <w:rsid w:val="006C4B6B"/>
    <w:rsid w:val="006C4CE1"/>
    <w:rsid w:val="006C4F9F"/>
    <w:rsid w:val="006C54B1"/>
    <w:rsid w:val="006C71A2"/>
    <w:rsid w:val="006C73EC"/>
    <w:rsid w:val="006D0028"/>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2FA2"/>
    <w:rsid w:val="006F3231"/>
    <w:rsid w:val="006F3DE3"/>
    <w:rsid w:val="006F41E4"/>
    <w:rsid w:val="006F4787"/>
    <w:rsid w:val="006F4B8F"/>
    <w:rsid w:val="006F57E6"/>
    <w:rsid w:val="006F5E2E"/>
    <w:rsid w:val="006F61D8"/>
    <w:rsid w:val="006F62B7"/>
    <w:rsid w:val="006F63E7"/>
    <w:rsid w:val="006F70BC"/>
    <w:rsid w:val="006F726C"/>
    <w:rsid w:val="006F7A22"/>
    <w:rsid w:val="006F7E7C"/>
    <w:rsid w:val="006F7FEA"/>
    <w:rsid w:val="00700337"/>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7AF"/>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0F14"/>
    <w:rsid w:val="0076106D"/>
    <w:rsid w:val="007610DA"/>
    <w:rsid w:val="007618A5"/>
    <w:rsid w:val="007623FB"/>
    <w:rsid w:val="00762517"/>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489"/>
    <w:rsid w:val="007A27DD"/>
    <w:rsid w:val="007A2D2A"/>
    <w:rsid w:val="007A3C3F"/>
    <w:rsid w:val="007A41BF"/>
    <w:rsid w:val="007A490A"/>
    <w:rsid w:val="007A4F24"/>
    <w:rsid w:val="007A549E"/>
    <w:rsid w:val="007A54DC"/>
    <w:rsid w:val="007A5D50"/>
    <w:rsid w:val="007A5F90"/>
    <w:rsid w:val="007A6811"/>
    <w:rsid w:val="007A7289"/>
    <w:rsid w:val="007A7A78"/>
    <w:rsid w:val="007A7B95"/>
    <w:rsid w:val="007B0297"/>
    <w:rsid w:val="007B02FA"/>
    <w:rsid w:val="007B0F53"/>
    <w:rsid w:val="007B110A"/>
    <w:rsid w:val="007B1A4D"/>
    <w:rsid w:val="007B1DA9"/>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2CE"/>
    <w:rsid w:val="007D7A0D"/>
    <w:rsid w:val="007E03B4"/>
    <w:rsid w:val="007E066C"/>
    <w:rsid w:val="007E0D59"/>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1BC"/>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213"/>
    <w:rsid w:val="00823FC6"/>
    <w:rsid w:val="00824306"/>
    <w:rsid w:val="00824B1F"/>
    <w:rsid w:val="008253ED"/>
    <w:rsid w:val="00825C74"/>
    <w:rsid w:val="00825CFA"/>
    <w:rsid w:val="00825F10"/>
    <w:rsid w:val="00826AB9"/>
    <w:rsid w:val="00826E0E"/>
    <w:rsid w:val="00826EB7"/>
    <w:rsid w:val="00827BF8"/>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C6F"/>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30F"/>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9C7"/>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197"/>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1EC3"/>
    <w:rsid w:val="008D2050"/>
    <w:rsid w:val="008D21DD"/>
    <w:rsid w:val="008D2D79"/>
    <w:rsid w:val="008D35CA"/>
    <w:rsid w:val="008D3B2D"/>
    <w:rsid w:val="008D5433"/>
    <w:rsid w:val="008D58D9"/>
    <w:rsid w:val="008D5AD4"/>
    <w:rsid w:val="008D5E1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ACC"/>
    <w:rsid w:val="008F6B67"/>
    <w:rsid w:val="008F6F4C"/>
    <w:rsid w:val="008F7012"/>
    <w:rsid w:val="008F7576"/>
    <w:rsid w:val="008F7ADA"/>
    <w:rsid w:val="008F7B17"/>
    <w:rsid w:val="00900042"/>
    <w:rsid w:val="0090034B"/>
    <w:rsid w:val="00900585"/>
    <w:rsid w:val="009005D7"/>
    <w:rsid w:val="0090087C"/>
    <w:rsid w:val="00900B90"/>
    <w:rsid w:val="00900D2F"/>
    <w:rsid w:val="00901121"/>
    <w:rsid w:val="00901B50"/>
    <w:rsid w:val="00901D36"/>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2E8"/>
    <w:rsid w:val="009314B1"/>
    <w:rsid w:val="009321B1"/>
    <w:rsid w:val="0093236E"/>
    <w:rsid w:val="009327F0"/>
    <w:rsid w:val="00932A42"/>
    <w:rsid w:val="00932DF6"/>
    <w:rsid w:val="00932ECE"/>
    <w:rsid w:val="00932ED7"/>
    <w:rsid w:val="00933278"/>
    <w:rsid w:val="00933E30"/>
    <w:rsid w:val="0093422D"/>
    <w:rsid w:val="0093483B"/>
    <w:rsid w:val="00934CF9"/>
    <w:rsid w:val="00934DD7"/>
    <w:rsid w:val="00934F9C"/>
    <w:rsid w:val="00934FEB"/>
    <w:rsid w:val="009357C9"/>
    <w:rsid w:val="00935B3A"/>
    <w:rsid w:val="00935CB2"/>
    <w:rsid w:val="00936898"/>
    <w:rsid w:val="009369A9"/>
    <w:rsid w:val="00936CF7"/>
    <w:rsid w:val="00937783"/>
    <w:rsid w:val="00937EAD"/>
    <w:rsid w:val="00937F28"/>
    <w:rsid w:val="009401F5"/>
    <w:rsid w:val="00940FE1"/>
    <w:rsid w:val="0094117A"/>
    <w:rsid w:val="009412D5"/>
    <w:rsid w:val="00941474"/>
    <w:rsid w:val="00942306"/>
    <w:rsid w:val="009424B8"/>
    <w:rsid w:val="0094286B"/>
    <w:rsid w:val="0094297F"/>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C06"/>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4B16"/>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97C94"/>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2938"/>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2E0"/>
    <w:rsid w:val="009C6606"/>
    <w:rsid w:val="009C6CE5"/>
    <w:rsid w:val="009C6D50"/>
    <w:rsid w:val="009C72B2"/>
    <w:rsid w:val="009C7547"/>
    <w:rsid w:val="009D05EC"/>
    <w:rsid w:val="009D18D4"/>
    <w:rsid w:val="009D1E82"/>
    <w:rsid w:val="009D1FCF"/>
    <w:rsid w:val="009D294A"/>
    <w:rsid w:val="009D2F60"/>
    <w:rsid w:val="009D388C"/>
    <w:rsid w:val="009D3A2E"/>
    <w:rsid w:val="009D3E61"/>
    <w:rsid w:val="009D4C2E"/>
    <w:rsid w:val="009D507D"/>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6E43"/>
    <w:rsid w:val="009E794A"/>
    <w:rsid w:val="009E7B26"/>
    <w:rsid w:val="009E7C14"/>
    <w:rsid w:val="009F0494"/>
    <w:rsid w:val="009F0CD9"/>
    <w:rsid w:val="009F1A79"/>
    <w:rsid w:val="009F1F57"/>
    <w:rsid w:val="009F249F"/>
    <w:rsid w:val="009F2DDD"/>
    <w:rsid w:val="009F32B4"/>
    <w:rsid w:val="009F3447"/>
    <w:rsid w:val="009F5847"/>
    <w:rsid w:val="009F59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364"/>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2CD"/>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2AB"/>
    <w:rsid w:val="00A3551A"/>
    <w:rsid w:val="00A3588F"/>
    <w:rsid w:val="00A36015"/>
    <w:rsid w:val="00A366A0"/>
    <w:rsid w:val="00A36952"/>
    <w:rsid w:val="00A37196"/>
    <w:rsid w:val="00A37209"/>
    <w:rsid w:val="00A37381"/>
    <w:rsid w:val="00A37584"/>
    <w:rsid w:val="00A376E8"/>
    <w:rsid w:val="00A37F8E"/>
    <w:rsid w:val="00A4037B"/>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006"/>
    <w:rsid w:val="00AA75F0"/>
    <w:rsid w:val="00AA7931"/>
    <w:rsid w:val="00AA7BE1"/>
    <w:rsid w:val="00AB03FD"/>
    <w:rsid w:val="00AB09B8"/>
    <w:rsid w:val="00AB1678"/>
    <w:rsid w:val="00AB199F"/>
    <w:rsid w:val="00AB1C40"/>
    <w:rsid w:val="00AB2000"/>
    <w:rsid w:val="00AB21CC"/>
    <w:rsid w:val="00AB2BE2"/>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1DE4"/>
    <w:rsid w:val="00AD21D4"/>
    <w:rsid w:val="00AD23EF"/>
    <w:rsid w:val="00AD2662"/>
    <w:rsid w:val="00AD307B"/>
    <w:rsid w:val="00AD355F"/>
    <w:rsid w:val="00AD36D2"/>
    <w:rsid w:val="00AD381C"/>
    <w:rsid w:val="00AD3992"/>
    <w:rsid w:val="00AD4014"/>
    <w:rsid w:val="00AD41B3"/>
    <w:rsid w:val="00AD5721"/>
    <w:rsid w:val="00AD69F0"/>
    <w:rsid w:val="00AD7127"/>
    <w:rsid w:val="00AD730C"/>
    <w:rsid w:val="00AE04FD"/>
    <w:rsid w:val="00AE0F90"/>
    <w:rsid w:val="00AE123A"/>
    <w:rsid w:val="00AE1539"/>
    <w:rsid w:val="00AE1FB8"/>
    <w:rsid w:val="00AE261E"/>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363"/>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16E"/>
    <w:rsid w:val="00B12263"/>
    <w:rsid w:val="00B12944"/>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17F"/>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1AC2"/>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1F6D"/>
    <w:rsid w:val="00B721D8"/>
    <w:rsid w:val="00B730CA"/>
    <w:rsid w:val="00B732EA"/>
    <w:rsid w:val="00B73747"/>
    <w:rsid w:val="00B747C5"/>
    <w:rsid w:val="00B74F2F"/>
    <w:rsid w:val="00B753ED"/>
    <w:rsid w:val="00B75C6D"/>
    <w:rsid w:val="00B76596"/>
    <w:rsid w:val="00B7665F"/>
    <w:rsid w:val="00B769BC"/>
    <w:rsid w:val="00B770F7"/>
    <w:rsid w:val="00B77349"/>
    <w:rsid w:val="00B7761E"/>
    <w:rsid w:val="00B8020C"/>
    <w:rsid w:val="00B80A3D"/>
    <w:rsid w:val="00B80B04"/>
    <w:rsid w:val="00B80EB7"/>
    <w:rsid w:val="00B82052"/>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47C"/>
    <w:rsid w:val="00BB078D"/>
    <w:rsid w:val="00BB079C"/>
    <w:rsid w:val="00BB0D7A"/>
    <w:rsid w:val="00BB10E1"/>
    <w:rsid w:val="00BB23BF"/>
    <w:rsid w:val="00BB2471"/>
    <w:rsid w:val="00BB3035"/>
    <w:rsid w:val="00BB39C1"/>
    <w:rsid w:val="00BB3DF5"/>
    <w:rsid w:val="00BB3EA7"/>
    <w:rsid w:val="00BB45BC"/>
    <w:rsid w:val="00BB4653"/>
    <w:rsid w:val="00BB5C3E"/>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6E6"/>
    <w:rsid w:val="00BE77A7"/>
    <w:rsid w:val="00BF01C5"/>
    <w:rsid w:val="00BF061A"/>
    <w:rsid w:val="00BF066A"/>
    <w:rsid w:val="00BF0771"/>
    <w:rsid w:val="00BF0EDE"/>
    <w:rsid w:val="00BF1256"/>
    <w:rsid w:val="00BF14CC"/>
    <w:rsid w:val="00BF1821"/>
    <w:rsid w:val="00BF214F"/>
    <w:rsid w:val="00BF22E9"/>
    <w:rsid w:val="00BF3FE4"/>
    <w:rsid w:val="00BF4342"/>
    <w:rsid w:val="00BF465E"/>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D1"/>
    <w:rsid w:val="00C24AED"/>
    <w:rsid w:val="00C250D0"/>
    <w:rsid w:val="00C252AC"/>
    <w:rsid w:val="00C25C0F"/>
    <w:rsid w:val="00C26567"/>
    <w:rsid w:val="00C26923"/>
    <w:rsid w:val="00C271C9"/>
    <w:rsid w:val="00C27214"/>
    <w:rsid w:val="00C27597"/>
    <w:rsid w:val="00C27E5E"/>
    <w:rsid w:val="00C30382"/>
    <w:rsid w:val="00C303C8"/>
    <w:rsid w:val="00C30772"/>
    <w:rsid w:val="00C30D6F"/>
    <w:rsid w:val="00C31063"/>
    <w:rsid w:val="00C311E7"/>
    <w:rsid w:val="00C31492"/>
    <w:rsid w:val="00C31B7E"/>
    <w:rsid w:val="00C320D1"/>
    <w:rsid w:val="00C320E8"/>
    <w:rsid w:val="00C322D1"/>
    <w:rsid w:val="00C323E6"/>
    <w:rsid w:val="00C3242A"/>
    <w:rsid w:val="00C33201"/>
    <w:rsid w:val="00C3328B"/>
    <w:rsid w:val="00C33950"/>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11F"/>
    <w:rsid w:val="00C712AC"/>
    <w:rsid w:val="00C7158C"/>
    <w:rsid w:val="00C71C15"/>
    <w:rsid w:val="00C71F3D"/>
    <w:rsid w:val="00C72767"/>
    <w:rsid w:val="00C72AA4"/>
    <w:rsid w:val="00C72F53"/>
    <w:rsid w:val="00C74035"/>
    <w:rsid w:val="00C748EA"/>
    <w:rsid w:val="00C74921"/>
    <w:rsid w:val="00C76FB0"/>
    <w:rsid w:val="00C77818"/>
    <w:rsid w:val="00C77A42"/>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63C"/>
    <w:rsid w:val="00C95745"/>
    <w:rsid w:val="00C95813"/>
    <w:rsid w:val="00C95902"/>
    <w:rsid w:val="00C95999"/>
    <w:rsid w:val="00C95CCD"/>
    <w:rsid w:val="00C961E8"/>
    <w:rsid w:val="00C962E3"/>
    <w:rsid w:val="00C968C9"/>
    <w:rsid w:val="00C978E2"/>
    <w:rsid w:val="00C97997"/>
    <w:rsid w:val="00CA10A2"/>
    <w:rsid w:val="00CA1D83"/>
    <w:rsid w:val="00CA1FEB"/>
    <w:rsid w:val="00CA25C0"/>
    <w:rsid w:val="00CA2BFB"/>
    <w:rsid w:val="00CA3451"/>
    <w:rsid w:val="00CA35C6"/>
    <w:rsid w:val="00CA40FD"/>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3FCE"/>
    <w:rsid w:val="00D147BE"/>
    <w:rsid w:val="00D148A0"/>
    <w:rsid w:val="00D158D5"/>
    <w:rsid w:val="00D15D77"/>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6A40"/>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239A"/>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0225"/>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8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02"/>
    <w:rsid w:val="00DE5E82"/>
    <w:rsid w:val="00DE5EC5"/>
    <w:rsid w:val="00DE5F7F"/>
    <w:rsid w:val="00DE5FA6"/>
    <w:rsid w:val="00DE5FC9"/>
    <w:rsid w:val="00DE6535"/>
    <w:rsid w:val="00DE6792"/>
    <w:rsid w:val="00DE6AA1"/>
    <w:rsid w:val="00DE77A3"/>
    <w:rsid w:val="00DE7EF7"/>
    <w:rsid w:val="00DF015B"/>
    <w:rsid w:val="00DF02EC"/>
    <w:rsid w:val="00DF0AA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28"/>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78C"/>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5D99"/>
    <w:rsid w:val="00E2656E"/>
    <w:rsid w:val="00E2710C"/>
    <w:rsid w:val="00E272BD"/>
    <w:rsid w:val="00E27428"/>
    <w:rsid w:val="00E305B4"/>
    <w:rsid w:val="00E305DE"/>
    <w:rsid w:val="00E31813"/>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10"/>
    <w:rsid w:val="00E405F1"/>
    <w:rsid w:val="00E4076D"/>
    <w:rsid w:val="00E40913"/>
    <w:rsid w:val="00E417DB"/>
    <w:rsid w:val="00E41998"/>
    <w:rsid w:val="00E423C5"/>
    <w:rsid w:val="00E427A0"/>
    <w:rsid w:val="00E43054"/>
    <w:rsid w:val="00E432D1"/>
    <w:rsid w:val="00E433B4"/>
    <w:rsid w:val="00E434D0"/>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086"/>
    <w:rsid w:val="00E7159E"/>
    <w:rsid w:val="00E7161E"/>
    <w:rsid w:val="00E71BE3"/>
    <w:rsid w:val="00E72004"/>
    <w:rsid w:val="00E7207B"/>
    <w:rsid w:val="00E722CF"/>
    <w:rsid w:val="00E72880"/>
    <w:rsid w:val="00E7347A"/>
    <w:rsid w:val="00E73798"/>
    <w:rsid w:val="00E7384D"/>
    <w:rsid w:val="00E73DC4"/>
    <w:rsid w:val="00E7549B"/>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99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4C7"/>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2C1"/>
    <w:rsid w:val="00ED3688"/>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3DE"/>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276F2"/>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10"/>
    <w:rsid w:val="00F65171"/>
    <w:rsid w:val="00F6533A"/>
    <w:rsid w:val="00F6560D"/>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0E4"/>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2BD8"/>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1E3D92"/>
    <w:rsid w:val="012C5FAF"/>
    <w:rsid w:val="014048B6"/>
    <w:rsid w:val="0194674A"/>
    <w:rsid w:val="01AF3D99"/>
    <w:rsid w:val="01E4322D"/>
    <w:rsid w:val="02493090"/>
    <w:rsid w:val="02511F9D"/>
    <w:rsid w:val="034A1103"/>
    <w:rsid w:val="03800D34"/>
    <w:rsid w:val="03A314B8"/>
    <w:rsid w:val="03D42E2E"/>
    <w:rsid w:val="03D8291E"/>
    <w:rsid w:val="03D82B98"/>
    <w:rsid w:val="03F83E8B"/>
    <w:rsid w:val="0422003D"/>
    <w:rsid w:val="04DA0918"/>
    <w:rsid w:val="04E2157A"/>
    <w:rsid w:val="05470CB0"/>
    <w:rsid w:val="05595CE0"/>
    <w:rsid w:val="057B2B80"/>
    <w:rsid w:val="05B51082"/>
    <w:rsid w:val="05C56868"/>
    <w:rsid w:val="0620235A"/>
    <w:rsid w:val="064B2214"/>
    <w:rsid w:val="06A42419"/>
    <w:rsid w:val="06B50CF4"/>
    <w:rsid w:val="06D3561E"/>
    <w:rsid w:val="07A539BD"/>
    <w:rsid w:val="07B72767"/>
    <w:rsid w:val="08077E72"/>
    <w:rsid w:val="08882DD0"/>
    <w:rsid w:val="089F7EAE"/>
    <w:rsid w:val="09063A89"/>
    <w:rsid w:val="093700E7"/>
    <w:rsid w:val="093F1C24"/>
    <w:rsid w:val="09816C5A"/>
    <w:rsid w:val="09CC2AAC"/>
    <w:rsid w:val="0A652D3E"/>
    <w:rsid w:val="0B326F2A"/>
    <w:rsid w:val="0BE1433A"/>
    <w:rsid w:val="0C1E2888"/>
    <w:rsid w:val="0C3B6140"/>
    <w:rsid w:val="0C853663"/>
    <w:rsid w:val="0C92213C"/>
    <w:rsid w:val="0CC2027E"/>
    <w:rsid w:val="0CD36378"/>
    <w:rsid w:val="0D84032B"/>
    <w:rsid w:val="0ECD6DF7"/>
    <w:rsid w:val="0EEA79A9"/>
    <w:rsid w:val="0EFA03D7"/>
    <w:rsid w:val="0F1F58A5"/>
    <w:rsid w:val="0F2A74C4"/>
    <w:rsid w:val="0F900A75"/>
    <w:rsid w:val="10466E61"/>
    <w:rsid w:val="10A27F31"/>
    <w:rsid w:val="10BB15FD"/>
    <w:rsid w:val="10EB3F44"/>
    <w:rsid w:val="111E393A"/>
    <w:rsid w:val="11927058"/>
    <w:rsid w:val="120E171E"/>
    <w:rsid w:val="12977E48"/>
    <w:rsid w:val="131E40C5"/>
    <w:rsid w:val="13AF4F03"/>
    <w:rsid w:val="14621D4A"/>
    <w:rsid w:val="14736E66"/>
    <w:rsid w:val="147F458F"/>
    <w:rsid w:val="1534169A"/>
    <w:rsid w:val="15C03E03"/>
    <w:rsid w:val="1629321E"/>
    <w:rsid w:val="162A25EB"/>
    <w:rsid w:val="16353C00"/>
    <w:rsid w:val="16735895"/>
    <w:rsid w:val="16EA0A0B"/>
    <w:rsid w:val="16FD2A55"/>
    <w:rsid w:val="17067C1A"/>
    <w:rsid w:val="17366761"/>
    <w:rsid w:val="177C01F0"/>
    <w:rsid w:val="179E3EFA"/>
    <w:rsid w:val="17CE6630"/>
    <w:rsid w:val="18F27B86"/>
    <w:rsid w:val="194A1770"/>
    <w:rsid w:val="1A6E1381"/>
    <w:rsid w:val="1A7A6085"/>
    <w:rsid w:val="1AFF0AFE"/>
    <w:rsid w:val="1B4F19F8"/>
    <w:rsid w:val="1B9827A7"/>
    <w:rsid w:val="1BA451E4"/>
    <w:rsid w:val="1C0302FC"/>
    <w:rsid w:val="1C376CD3"/>
    <w:rsid w:val="1CAB69CA"/>
    <w:rsid w:val="1D436C02"/>
    <w:rsid w:val="1DCB4E4A"/>
    <w:rsid w:val="1DF64AE2"/>
    <w:rsid w:val="1E94348E"/>
    <w:rsid w:val="1ECC44FA"/>
    <w:rsid w:val="1F063325"/>
    <w:rsid w:val="1F52648F"/>
    <w:rsid w:val="1F86727A"/>
    <w:rsid w:val="1F890B18"/>
    <w:rsid w:val="1FBC5DF5"/>
    <w:rsid w:val="1FF90588"/>
    <w:rsid w:val="20AE6A88"/>
    <w:rsid w:val="20C3623F"/>
    <w:rsid w:val="21781212"/>
    <w:rsid w:val="21AB746C"/>
    <w:rsid w:val="21B83F86"/>
    <w:rsid w:val="21BE719F"/>
    <w:rsid w:val="221178A8"/>
    <w:rsid w:val="221213CF"/>
    <w:rsid w:val="22327A92"/>
    <w:rsid w:val="22B859FB"/>
    <w:rsid w:val="231D53A2"/>
    <w:rsid w:val="23244DE0"/>
    <w:rsid w:val="236D5383"/>
    <w:rsid w:val="2378512C"/>
    <w:rsid w:val="238910E7"/>
    <w:rsid w:val="23B7504C"/>
    <w:rsid w:val="24374FE7"/>
    <w:rsid w:val="24571307"/>
    <w:rsid w:val="24C03048"/>
    <w:rsid w:val="25110A2A"/>
    <w:rsid w:val="256C0944"/>
    <w:rsid w:val="26446DE3"/>
    <w:rsid w:val="267E6EFD"/>
    <w:rsid w:val="26877DFE"/>
    <w:rsid w:val="269669E7"/>
    <w:rsid w:val="26A270C1"/>
    <w:rsid w:val="26D7699F"/>
    <w:rsid w:val="27985D9D"/>
    <w:rsid w:val="286A44B4"/>
    <w:rsid w:val="28B46C06"/>
    <w:rsid w:val="28DC43AF"/>
    <w:rsid w:val="28E13773"/>
    <w:rsid w:val="28F74D45"/>
    <w:rsid w:val="290C1FE2"/>
    <w:rsid w:val="29A273A6"/>
    <w:rsid w:val="29CB0FFD"/>
    <w:rsid w:val="29D75F7F"/>
    <w:rsid w:val="2AED28A3"/>
    <w:rsid w:val="2B342280"/>
    <w:rsid w:val="2B774624"/>
    <w:rsid w:val="2C4C4522"/>
    <w:rsid w:val="2C7A72BE"/>
    <w:rsid w:val="2C9A7D75"/>
    <w:rsid w:val="2CC17412"/>
    <w:rsid w:val="2D1E1DBD"/>
    <w:rsid w:val="2D3C5413"/>
    <w:rsid w:val="2D7C1E99"/>
    <w:rsid w:val="2DB640F0"/>
    <w:rsid w:val="2E0917A2"/>
    <w:rsid w:val="2E2B796A"/>
    <w:rsid w:val="2E6C1D31"/>
    <w:rsid w:val="2E9976CE"/>
    <w:rsid w:val="2EF01DEE"/>
    <w:rsid w:val="2F401D3C"/>
    <w:rsid w:val="2F5B24E1"/>
    <w:rsid w:val="2F5E167A"/>
    <w:rsid w:val="2F77733F"/>
    <w:rsid w:val="2F860BD0"/>
    <w:rsid w:val="2FA95C88"/>
    <w:rsid w:val="2FB63264"/>
    <w:rsid w:val="3041370F"/>
    <w:rsid w:val="30B87FED"/>
    <w:rsid w:val="30C917D7"/>
    <w:rsid w:val="312B50A3"/>
    <w:rsid w:val="31894FD2"/>
    <w:rsid w:val="32453A27"/>
    <w:rsid w:val="325652AF"/>
    <w:rsid w:val="3263064A"/>
    <w:rsid w:val="32A43132"/>
    <w:rsid w:val="32AC0C06"/>
    <w:rsid w:val="32F65855"/>
    <w:rsid w:val="331A1D5C"/>
    <w:rsid w:val="33344EF5"/>
    <w:rsid w:val="334A550B"/>
    <w:rsid w:val="349B3370"/>
    <w:rsid w:val="34CA77B1"/>
    <w:rsid w:val="34DA6288"/>
    <w:rsid w:val="35020CF9"/>
    <w:rsid w:val="3537750C"/>
    <w:rsid w:val="3537798C"/>
    <w:rsid w:val="35450A4F"/>
    <w:rsid w:val="35C13FC9"/>
    <w:rsid w:val="35D00BF7"/>
    <w:rsid w:val="35FF41CE"/>
    <w:rsid w:val="36372B05"/>
    <w:rsid w:val="364257B6"/>
    <w:rsid w:val="3684230E"/>
    <w:rsid w:val="37EA5922"/>
    <w:rsid w:val="38276B93"/>
    <w:rsid w:val="382E58B8"/>
    <w:rsid w:val="38AC3431"/>
    <w:rsid w:val="392F2E16"/>
    <w:rsid w:val="398E0DAD"/>
    <w:rsid w:val="39E00529"/>
    <w:rsid w:val="3A0B64A7"/>
    <w:rsid w:val="3A3C0CF7"/>
    <w:rsid w:val="3A574DDA"/>
    <w:rsid w:val="3A722C7B"/>
    <w:rsid w:val="3A7601BF"/>
    <w:rsid w:val="3ACD1DA9"/>
    <w:rsid w:val="3AD3075A"/>
    <w:rsid w:val="3AEA64B7"/>
    <w:rsid w:val="3AF74C02"/>
    <w:rsid w:val="3B146A06"/>
    <w:rsid w:val="3BF522E5"/>
    <w:rsid w:val="3C0059A5"/>
    <w:rsid w:val="3C134E78"/>
    <w:rsid w:val="3CD36695"/>
    <w:rsid w:val="3D583BAC"/>
    <w:rsid w:val="3DA0781E"/>
    <w:rsid w:val="3DC47D28"/>
    <w:rsid w:val="3DF6345D"/>
    <w:rsid w:val="3E2B5515"/>
    <w:rsid w:val="3E4D4F28"/>
    <w:rsid w:val="3EA11583"/>
    <w:rsid w:val="3ED92EC4"/>
    <w:rsid w:val="3EE13701"/>
    <w:rsid w:val="3EEA117C"/>
    <w:rsid w:val="3F1A4BB3"/>
    <w:rsid w:val="40192BA6"/>
    <w:rsid w:val="41766EA9"/>
    <w:rsid w:val="41870F04"/>
    <w:rsid w:val="422229DB"/>
    <w:rsid w:val="42550A18"/>
    <w:rsid w:val="429D496A"/>
    <w:rsid w:val="42BF46CD"/>
    <w:rsid w:val="42E60FAF"/>
    <w:rsid w:val="42F473A1"/>
    <w:rsid w:val="437217EA"/>
    <w:rsid w:val="43AB7156"/>
    <w:rsid w:val="43F61036"/>
    <w:rsid w:val="43FF60DE"/>
    <w:rsid w:val="441E62C0"/>
    <w:rsid w:val="444C25E9"/>
    <w:rsid w:val="44C33817"/>
    <w:rsid w:val="44F908BF"/>
    <w:rsid w:val="45325D14"/>
    <w:rsid w:val="45575091"/>
    <w:rsid w:val="45811C7C"/>
    <w:rsid w:val="45906116"/>
    <w:rsid w:val="45931B8C"/>
    <w:rsid w:val="45AA6F6F"/>
    <w:rsid w:val="45B47522"/>
    <w:rsid w:val="45DB42AF"/>
    <w:rsid w:val="45EF2552"/>
    <w:rsid w:val="468B3EFB"/>
    <w:rsid w:val="470A6193"/>
    <w:rsid w:val="47385210"/>
    <w:rsid w:val="47402825"/>
    <w:rsid w:val="475510F8"/>
    <w:rsid w:val="47DC4F5C"/>
    <w:rsid w:val="47E30E5E"/>
    <w:rsid w:val="48B40671"/>
    <w:rsid w:val="48EC789E"/>
    <w:rsid w:val="497A68D1"/>
    <w:rsid w:val="498227B7"/>
    <w:rsid w:val="499B5738"/>
    <w:rsid w:val="499F244D"/>
    <w:rsid w:val="4A973F3F"/>
    <w:rsid w:val="4ACA1A71"/>
    <w:rsid w:val="4AF96BC7"/>
    <w:rsid w:val="4AFB6DB7"/>
    <w:rsid w:val="4B315A3D"/>
    <w:rsid w:val="4B62209A"/>
    <w:rsid w:val="4B862A85"/>
    <w:rsid w:val="4B8D35BB"/>
    <w:rsid w:val="4C270087"/>
    <w:rsid w:val="4CC34DBA"/>
    <w:rsid w:val="4CEF36E2"/>
    <w:rsid w:val="4CEF4DC5"/>
    <w:rsid w:val="4E257655"/>
    <w:rsid w:val="4EB530A1"/>
    <w:rsid w:val="4F0C5D1C"/>
    <w:rsid w:val="4F372380"/>
    <w:rsid w:val="4F372FFB"/>
    <w:rsid w:val="4F591F46"/>
    <w:rsid w:val="4FB1539E"/>
    <w:rsid w:val="4FDA66A3"/>
    <w:rsid w:val="500927E1"/>
    <w:rsid w:val="5025116D"/>
    <w:rsid w:val="50253D4A"/>
    <w:rsid w:val="503E4E84"/>
    <w:rsid w:val="50F47C38"/>
    <w:rsid w:val="5211653E"/>
    <w:rsid w:val="52395ECD"/>
    <w:rsid w:val="52A31394"/>
    <w:rsid w:val="52C10D75"/>
    <w:rsid w:val="53C27FF8"/>
    <w:rsid w:val="5455279C"/>
    <w:rsid w:val="54806794"/>
    <w:rsid w:val="5492579E"/>
    <w:rsid w:val="549E1A80"/>
    <w:rsid w:val="54C658F4"/>
    <w:rsid w:val="550C4BD7"/>
    <w:rsid w:val="554C1D56"/>
    <w:rsid w:val="55572986"/>
    <w:rsid w:val="55F81F79"/>
    <w:rsid w:val="562C577E"/>
    <w:rsid w:val="565340FA"/>
    <w:rsid w:val="569B666B"/>
    <w:rsid w:val="569C6DA8"/>
    <w:rsid w:val="56AD5F59"/>
    <w:rsid w:val="56C60774"/>
    <w:rsid w:val="56E542AB"/>
    <w:rsid w:val="57422486"/>
    <w:rsid w:val="57B12A52"/>
    <w:rsid w:val="580544D9"/>
    <w:rsid w:val="584C188E"/>
    <w:rsid w:val="58931AE5"/>
    <w:rsid w:val="58B73599"/>
    <w:rsid w:val="595313BD"/>
    <w:rsid w:val="5A2F2CC8"/>
    <w:rsid w:val="5A355549"/>
    <w:rsid w:val="5AAA281C"/>
    <w:rsid w:val="5BD47263"/>
    <w:rsid w:val="5C050F4B"/>
    <w:rsid w:val="5C10702D"/>
    <w:rsid w:val="5C152601"/>
    <w:rsid w:val="5C591F03"/>
    <w:rsid w:val="5C8A1B2F"/>
    <w:rsid w:val="5D924214"/>
    <w:rsid w:val="5E341674"/>
    <w:rsid w:val="5F561B72"/>
    <w:rsid w:val="606007BB"/>
    <w:rsid w:val="606E7F86"/>
    <w:rsid w:val="6075147F"/>
    <w:rsid w:val="60AC7F66"/>
    <w:rsid w:val="610A2B60"/>
    <w:rsid w:val="61BF10D9"/>
    <w:rsid w:val="62261C1B"/>
    <w:rsid w:val="626C1660"/>
    <w:rsid w:val="62774225"/>
    <w:rsid w:val="6284098B"/>
    <w:rsid w:val="628726BA"/>
    <w:rsid w:val="62AC22DC"/>
    <w:rsid w:val="62BF00A6"/>
    <w:rsid w:val="63464323"/>
    <w:rsid w:val="63A22BFD"/>
    <w:rsid w:val="645962D8"/>
    <w:rsid w:val="64DD1E43"/>
    <w:rsid w:val="64E45EF7"/>
    <w:rsid w:val="66134265"/>
    <w:rsid w:val="667F3EFA"/>
    <w:rsid w:val="66803B32"/>
    <w:rsid w:val="6691014E"/>
    <w:rsid w:val="66C87CCE"/>
    <w:rsid w:val="677435B2"/>
    <w:rsid w:val="677F6056"/>
    <w:rsid w:val="67C223E6"/>
    <w:rsid w:val="67EF75F1"/>
    <w:rsid w:val="683E7CBF"/>
    <w:rsid w:val="684F4F11"/>
    <w:rsid w:val="69124F16"/>
    <w:rsid w:val="69277B50"/>
    <w:rsid w:val="69CD5C14"/>
    <w:rsid w:val="69CF0D33"/>
    <w:rsid w:val="6B9946B3"/>
    <w:rsid w:val="6BB42357"/>
    <w:rsid w:val="6BB9625E"/>
    <w:rsid w:val="6BC25DDA"/>
    <w:rsid w:val="6BD6020E"/>
    <w:rsid w:val="6BE518DA"/>
    <w:rsid w:val="6C276F3A"/>
    <w:rsid w:val="6C6B4DFB"/>
    <w:rsid w:val="6C7007C7"/>
    <w:rsid w:val="6CB34854"/>
    <w:rsid w:val="6D723F67"/>
    <w:rsid w:val="6D771DD9"/>
    <w:rsid w:val="6DE76850"/>
    <w:rsid w:val="6E225077"/>
    <w:rsid w:val="6E7361E8"/>
    <w:rsid w:val="6EF52990"/>
    <w:rsid w:val="6EF84E53"/>
    <w:rsid w:val="6FB20BD4"/>
    <w:rsid w:val="6FBA59BE"/>
    <w:rsid w:val="6FDD2A84"/>
    <w:rsid w:val="70296B3E"/>
    <w:rsid w:val="7047792D"/>
    <w:rsid w:val="70611204"/>
    <w:rsid w:val="70FC5F80"/>
    <w:rsid w:val="7165620F"/>
    <w:rsid w:val="717039F8"/>
    <w:rsid w:val="71D46786"/>
    <w:rsid w:val="72586BF2"/>
    <w:rsid w:val="72677E12"/>
    <w:rsid w:val="739534EB"/>
    <w:rsid w:val="739F35DC"/>
    <w:rsid w:val="745F3497"/>
    <w:rsid w:val="74D13AD5"/>
    <w:rsid w:val="74FA2C30"/>
    <w:rsid w:val="754D5C4B"/>
    <w:rsid w:val="758331B5"/>
    <w:rsid w:val="75976C60"/>
    <w:rsid w:val="7604134D"/>
    <w:rsid w:val="769829FF"/>
    <w:rsid w:val="76C240A7"/>
    <w:rsid w:val="76DA416A"/>
    <w:rsid w:val="7725204A"/>
    <w:rsid w:val="775246B7"/>
    <w:rsid w:val="779C67B0"/>
    <w:rsid w:val="781E69D1"/>
    <w:rsid w:val="784A1D68"/>
    <w:rsid w:val="78EA354B"/>
    <w:rsid w:val="7901747F"/>
    <w:rsid w:val="791B4953"/>
    <w:rsid w:val="79C30024"/>
    <w:rsid w:val="7A230AC3"/>
    <w:rsid w:val="7A263B6B"/>
    <w:rsid w:val="7A2A00A3"/>
    <w:rsid w:val="7AF46346"/>
    <w:rsid w:val="7B0F5EBF"/>
    <w:rsid w:val="7B130FB9"/>
    <w:rsid w:val="7B1D2CCA"/>
    <w:rsid w:val="7B383B1C"/>
    <w:rsid w:val="7BD71E38"/>
    <w:rsid w:val="7BF64EDE"/>
    <w:rsid w:val="7C400C1E"/>
    <w:rsid w:val="7C7E6484"/>
    <w:rsid w:val="7D272678"/>
    <w:rsid w:val="7DD11708"/>
    <w:rsid w:val="7DEE4A4F"/>
    <w:rsid w:val="7E1D4C4C"/>
    <w:rsid w:val="7E521976"/>
    <w:rsid w:val="7E5918F2"/>
    <w:rsid w:val="7EAE6230"/>
    <w:rsid w:val="7EBD579E"/>
    <w:rsid w:val="7EC167BD"/>
    <w:rsid w:val="7EE60311"/>
    <w:rsid w:val="7F272D9E"/>
    <w:rsid w:val="7F477001"/>
    <w:rsid w:val="7FF60182"/>
    <w:rsid w:val="979F7D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0" w:semiHidden="0"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9"/>
    <w:qFormat/>
    <w:uiPriority w:val="99"/>
    <w:pPr>
      <w:keepNext/>
      <w:keepLines/>
      <w:spacing w:before="340" w:after="330" w:line="578" w:lineRule="auto"/>
      <w:outlineLvl w:val="0"/>
    </w:pPr>
    <w:rPr>
      <w:b/>
      <w:kern w:val="44"/>
      <w:sz w:val="44"/>
      <w:szCs w:val="20"/>
    </w:rPr>
  </w:style>
  <w:style w:type="paragraph" w:styleId="8">
    <w:name w:val="heading 2"/>
    <w:basedOn w:val="1"/>
    <w:next w:val="1"/>
    <w:link w:val="90"/>
    <w:qFormat/>
    <w:uiPriority w:val="99"/>
    <w:pPr>
      <w:keepNext/>
      <w:keepLines/>
      <w:spacing w:before="260" w:after="260" w:line="416" w:lineRule="auto"/>
      <w:outlineLvl w:val="1"/>
    </w:pPr>
    <w:rPr>
      <w:rFonts w:ascii="Cambria" w:hAnsi="Cambria"/>
      <w:b/>
      <w:sz w:val="32"/>
      <w:szCs w:val="20"/>
    </w:rPr>
  </w:style>
  <w:style w:type="paragraph" w:styleId="9">
    <w:name w:val="heading 3"/>
    <w:basedOn w:val="1"/>
    <w:next w:val="1"/>
    <w:link w:val="91"/>
    <w:qFormat/>
    <w:uiPriority w:val="99"/>
    <w:pPr>
      <w:keepNext/>
      <w:keepLines/>
      <w:spacing w:before="260" w:after="260" w:line="416" w:lineRule="auto"/>
      <w:outlineLvl w:val="2"/>
    </w:pPr>
    <w:rPr>
      <w:b/>
      <w:sz w:val="32"/>
      <w:szCs w:val="20"/>
    </w:rPr>
  </w:style>
  <w:style w:type="paragraph" w:styleId="5">
    <w:name w:val="heading 4"/>
    <w:basedOn w:val="1"/>
    <w:next w:val="1"/>
    <w:link w:val="92"/>
    <w:qFormat/>
    <w:uiPriority w:val="99"/>
    <w:pPr>
      <w:keepNext/>
      <w:keepLines/>
      <w:spacing w:line="360" w:lineRule="auto"/>
      <w:outlineLvl w:val="3"/>
    </w:pPr>
    <w:rPr>
      <w:rFonts w:ascii="Arial" w:hAnsi="Arial"/>
      <w:b/>
      <w:sz w:val="28"/>
      <w:szCs w:val="20"/>
    </w:rPr>
  </w:style>
  <w:style w:type="paragraph" w:styleId="10">
    <w:name w:val="heading 5"/>
    <w:basedOn w:val="1"/>
    <w:next w:val="11"/>
    <w:link w:val="93"/>
    <w:qFormat/>
    <w:uiPriority w:val="99"/>
    <w:pPr>
      <w:keepNext/>
      <w:keepLines/>
      <w:spacing w:before="280" w:after="290" w:line="376" w:lineRule="auto"/>
      <w:outlineLvl w:val="4"/>
    </w:pPr>
    <w:rPr>
      <w:b/>
      <w:sz w:val="28"/>
      <w:szCs w:val="20"/>
    </w:rPr>
  </w:style>
  <w:style w:type="paragraph" w:styleId="12">
    <w:name w:val="heading 6"/>
    <w:basedOn w:val="1"/>
    <w:next w:val="1"/>
    <w:link w:val="69"/>
    <w:qFormat/>
    <w:uiPriority w:val="99"/>
    <w:pPr>
      <w:keepNext/>
      <w:keepLines/>
      <w:spacing w:before="240" w:after="64" w:line="317" w:lineRule="auto"/>
      <w:outlineLvl w:val="5"/>
    </w:pPr>
    <w:rPr>
      <w:rFonts w:ascii="Cambria" w:hAnsi="Cambria"/>
      <w:b/>
      <w:bCs/>
      <w:kern w:val="0"/>
      <w:sz w:val="24"/>
    </w:rPr>
  </w:style>
  <w:style w:type="paragraph" w:styleId="13">
    <w:name w:val="heading 7"/>
    <w:basedOn w:val="1"/>
    <w:next w:val="1"/>
    <w:link w:val="70"/>
    <w:qFormat/>
    <w:uiPriority w:val="99"/>
    <w:pPr>
      <w:keepNext/>
      <w:keepLines/>
      <w:spacing w:before="240" w:after="64" w:line="317" w:lineRule="auto"/>
      <w:outlineLvl w:val="6"/>
    </w:pPr>
    <w:rPr>
      <w:b/>
      <w:bCs/>
      <w:kern w:val="0"/>
      <w:sz w:val="24"/>
    </w:rPr>
  </w:style>
  <w:style w:type="paragraph" w:styleId="14">
    <w:name w:val="heading 8"/>
    <w:basedOn w:val="1"/>
    <w:next w:val="1"/>
    <w:link w:val="71"/>
    <w:qFormat/>
    <w:uiPriority w:val="99"/>
    <w:pPr>
      <w:keepNext/>
      <w:keepLines/>
      <w:spacing w:before="240" w:after="64" w:line="320" w:lineRule="auto"/>
      <w:outlineLvl w:val="7"/>
    </w:pPr>
    <w:rPr>
      <w:rFonts w:ascii="等线 Light" w:hAnsi="等线 Light" w:eastAsia="等线 Light"/>
      <w:sz w:val="24"/>
    </w:rPr>
  </w:style>
  <w:style w:type="paragraph" w:styleId="15">
    <w:name w:val="heading 9"/>
    <w:basedOn w:val="1"/>
    <w:next w:val="1"/>
    <w:link w:val="72"/>
    <w:qFormat/>
    <w:uiPriority w:val="99"/>
    <w:pPr>
      <w:keepNext/>
      <w:keepLines/>
      <w:spacing w:before="240" w:after="64" w:line="317" w:lineRule="auto"/>
      <w:outlineLvl w:val="8"/>
    </w:pPr>
    <w:rPr>
      <w:rFonts w:ascii="Cambria" w:hAnsi="Cambria"/>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6"/>
    <w:qFormat/>
    <w:uiPriority w:val="0"/>
    <w:pPr>
      <w:adjustRightInd w:val="0"/>
      <w:spacing w:line="420" w:lineRule="atLeast"/>
      <w:jc w:val="left"/>
      <w:textAlignment w:val="baseline"/>
    </w:pPr>
    <w:rPr>
      <w:kern w:val="0"/>
    </w:rPr>
  </w:style>
  <w:style w:type="paragraph" w:styleId="3">
    <w:name w:val="Body Text Indent"/>
    <w:basedOn w:val="1"/>
    <w:next w:val="4"/>
    <w:link w:val="97"/>
    <w:qFormat/>
    <w:uiPriority w:val="99"/>
    <w:pPr>
      <w:ind w:firstLine="830" w:firstLineChars="352"/>
    </w:pPr>
    <w:rPr>
      <w:rFonts w:ascii="仿宋_GB2312" w:eastAsia="仿宋_GB2312"/>
      <w:kern w:val="0"/>
      <w:sz w:val="20"/>
      <w:szCs w:val="20"/>
    </w:rPr>
  </w:style>
  <w:style w:type="paragraph" w:styleId="4">
    <w:name w:val="Plain Text"/>
    <w:basedOn w:val="1"/>
    <w:next w:val="5"/>
    <w:link w:val="98"/>
    <w:qFormat/>
    <w:uiPriority w:val="99"/>
    <w:rPr>
      <w:rFonts w:ascii="宋体" w:hAnsi="Courier New"/>
      <w:kern w:val="0"/>
      <w:szCs w:val="20"/>
    </w:rPr>
  </w:style>
  <w:style w:type="paragraph" w:styleId="6">
    <w:name w:val="Body Text"/>
    <w:basedOn w:val="1"/>
    <w:link w:val="76"/>
    <w:qFormat/>
    <w:uiPriority w:val="99"/>
    <w:pPr>
      <w:spacing w:after="120"/>
    </w:pPr>
  </w:style>
  <w:style w:type="paragraph" w:styleId="11">
    <w:name w:val="Normal Indent"/>
    <w:basedOn w:val="1"/>
    <w:link w:val="94"/>
    <w:qFormat/>
    <w:uiPriority w:val="99"/>
    <w:pPr>
      <w:ind w:firstLine="420"/>
    </w:pPr>
    <w:rPr>
      <w:szCs w:val="20"/>
    </w:rPr>
  </w:style>
  <w:style w:type="paragraph" w:styleId="16">
    <w:name w:val="toc 7"/>
    <w:basedOn w:val="1"/>
    <w:next w:val="1"/>
    <w:qFormat/>
    <w:uiPriority w:val="99"/>
    <w:pPr>
      <w:ind w:left="2520" w:leftChars="1200"/>
    </w:pPr>
    <w:rPr>
      <w:rFonts w:ascii="Calibri" w:hAnsi="Calibri" w:cs="Calibri"/>
      <w:szCs w:val="21"/>
    </w:rPr>
  </w:style>
  <w:style w:type="paragraph" w:styleId="17">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99"/>
    <w:rPr>
      <w:rFonts w:ascii="Cambria" w:hAnsi="Cambria" w:eastAsia="黑体" w:cs="Cambria"/>
      <w:sz w:val="20"/>
      <w:szCs w:val="20"/>
    </w:rPr>
  </w:style>
  <w:style w:type="paragraph" w:styleId="19">
    <w:name w:val="Document Map"/>
    <w:basedOn w:val="1"/>
    <w:link w:val="95"/>
    <w:qFormat/>
    <w:uiPriority w:val="99"/>
    <w:pPr>
      <w:shd w:val="clear" w:color="auto" w:fill="000080"/>
    </w:pPr>
    <w:rPr>
      <w:sz w:val="24"/>
      <w:szCs w:val="20"/>
      <w:shd w:val="clear" w:color="auto" w:fill="000080"/>
    </w:rPr>
  </w:style>
  <w:style w:type="paragraph" w:styleId="20">
    <w:name w:val="annotation text"/>
    <w:basedOn w:val="1"/>
    <w:link w:val="96"/>
    <w:qFormat/>
    <w:uiPriority w:val="99"/>
    <w:pPr>
      <w:jc w:val="left"/>
    </w:pPr>
    <w:rPr>
      <w:sz w:val="24"/>
      <w:szCs w:val="20"/>
    </w:rPr>
  </w:style>
  <w:style w:type="paragraph" w:styleId="21">
    <w:name w:val="Body Text 3"/>
    <w:basedOn w:val="1"/>
    <w:link w:val="75"/>
    <w:qFormat/>
    <w:uiPriority w:val="99"/>
    <w:pPr>
      <w:spacing w:after="120"/>
    </w:pPr>
    <w:rPr>
      <w:sz w:val="16"/>
      <w:szCs w:val="16"/>
    </w:rPr>
  </w:style>
  <w:style w:type="paragraph" w:styleId="22">
    <w:name w:val="List 2"/>
    <w:basedOn w:val="1"/>
    <w:qFormat/>
    <w:uiPriority w:val="99"/>
    <w:pPr>
      <w:ind w:left="100" w:leftChars="200" w:hanging="200" w:hangingChars="200"/>
      <w:contextualSpacing/>
    </w:pPr>
  </w:style>
  <w:style w:type="paragraph" w:styleId="23">
    <w:name w:val="index 4"/>
    <w:basedOn w:val="1"/>
    <w:next w:val="1"/>
    <w:semiHidden/>
    <w:qFormat/>
    <w:uiPriority w:val="99"/>
    <w:pPr>
      <w:ind w:left="600" w:leftChars="600"/>
    </w:pPr>
    <w:rPr>
      <w:szCs w:val="21"/>
    </w:rPr>
  </w:style>
  <w:style w:type="paragraph" w:styleId="24">
    <w:name w:val="toc 5"/>
    <w:basedOn w:val="1"/>
    <w:next w:val="1"/>
    <w:qFormat/>
    <w:uiPriority w:val="99"/>
    <w:pPr>
      <w:ind w:left="1680" w:leftChars="800"/>
    </w:pPr>
    <w:rPr>
      <w:rFonts w:ascii="Calibri" w:hAnsi="Calibri" w:cs="Calibri"/>
      <w:szCs w:val="21"/>
    </w:rPr>
  </w:style>
  <w:style w:type="paragraph" w:styleId="25">
    <w:name w:val="toc 3"/>
    <w:basedOn w:val="1"/>
    <w:next w:val="1"/>
    <w:qFormat/>
    <w:uiPriority w:val="99"/>
    <w:pPr>
      <w:ind w:left="840" w:leftChars="400"/>
    </w:pPr>
    <w:rPr>
      <w:szCs w:val="21"/>
    </w:rPr>
  </w:style>
  <w:style w:type="paragraph" w:styleId="26">
    <w:name w:val="toc 8"/>
    <w:basedOn w:val="1"/>
    <w:next w:val="1"/>
    <w:qFormat/>
    <w:uiPriority w:val="99"/>
    <w:pPr>
      <w:ind w:left="2940" w:leftChars="1400"/>
    </w:pPr>
    <w:rPr>
      <w:rFonts w:ascii="Calibri" w:hAnsi="Calibri" w:cs="Calibri"/>
      <w:szCs w:val="21"/>
    </w:rPr>
  </w:style>
  <w:style w:type="paragraph" w:styleId="27">
    <w:name w:val="Date"/>
    <w:basedOn w:val="1"/>
    <w:next w:val="1"/>
    <w:link w:val="99"/>
    <w:qFormat/>
    <w:uiPriority w:val="99"/>
    <w:pPr>
      <w:ind w:left="100" w:leftChars="2500"/>
    </w:pPr>
    <w:rPr>
      <w:sz w:val="24"/>
      <w:szCs w:val="20"/>
    </w:rPr>
  </w:style>
  <w:style w:type="paragraph" w:styleId="28">
    <w:name w:val="Body Text Indent 2"/>
    <w:basedOn w:val="1"/>
    <w:link w:val="100"/>
    <w:qFormat/>
    <w:uiPriority w:val="99"/>
    <w:pPr>
      <w:spacing w:after="120" w:line="480" w:lineRule="auto"/>
      <w:ind w:left="420" w:leftChars="200"/>
    </w:pPr>
    <w:rPr>
      <w:sz w:val="24"/>
      <w:szCs w:val="20"/>
    </w:rPr>
  </w:style>
  <w:style w:type="paragraph" w:styleId="29">
    <w:name w:val="Balloon Text"/>
    <w:basedOn w:val="1"/>
    <w:link w:val="101"/>
    <w:qFormat/>
    <w:uiPriority w:val="99"/>
    <w:rPr>
      <w:sz w:val="18"/>
      <w:szCs w:val="20"/>
    </w:rPr>
  </w:style>
  <w:style w:type="paragraph" w:styleId="30">
    <w:name w:val="footer"/>
    <w:basedOn w:val="1"/>
    <w:link w:val="102"/>
    <w:qFormat/>
    <w:uiPriority w:val="99"/>
    <w:pPr>
      <w:tabs>
        <w:tab w:val="center" w:pos="4153"/>
        <w:tab w:val="right" w:pos="8306"/>
      </w:tabs>
      <w:snapToGrid w:val="0"/>
      <w:jc w:val="left"/>
    </w:pPr>
    <w:rPr>
      <w:kern w:val="0"/>
      <w:sz w:val="18"/>
      <w:szCs w:val="20"/>
    </w:rPr>
  </w:style>
  <w:style w:type="paragraph" w:styleId="31">
    <w:name w:val="header"/>
    <w:basedOn w:val="1"/>
    <w:link w:val="103"/>
    <w:qFormat/>
    <w:uiPriority w:val="99"/>
    <w:pPr>
      <w:pBdr>
        <w:bottom w:val="single" w:color="auto" w:sz="6" w:space="1"/>
      </w:pBdr>
      <w:tabs>
        <w:tab w:val="center" w:pos="4153"/>
        <w:tab w:val="right" w:pos="8306"/>
      </w:tabs>
      <w:snapToGrid w:val="0"/>
      <w:jc w:val="center"/>
    </w:pPr>
    <w:rPr>
      <w:kern w:val="0"/>
      <w:sz w:val="18"/>
      <w:szCs w:val="20"/>
    </w:rPr>
  </w:style>
  <w:style w:type="paragraph" w:styleId="32">
    <w:name w:val="toc 1"/>
    <w:basedOn w:val="1"/>
    <w:next w:val="1"/>
    <w:qFormat/>
    <w:uiPriority w:val="99"/>
  </w:style>
  <w:style w:type="paragraph" w:styleId="33">
    <w:name w:val="toc 4"/>
    <w:basedOn w:val="1"/>
    <w:next w:val="1"/>
    <w:qFormat/>
    <w:uiPriority w:val="99"/>
    <w:pPr>
      <w:ind w:left="1260" w:leftChars="600"/>
    </w:pPr>
    <w:rPr>
      <w:rFonts w:ascii="Calibri" w:hAnsi="Calibri" w:cs="Calibri"/>
      <w:szCs w:val="21"/>
    </w:rPr>
  </w:style>
  <w:style w:type="paragraph" w:styleId="34">
    <w:name w:val="Subtitle"/>
    <w:basedOn w:val="1"/>
    <w:next w:val="1"/>
    <w:link w:val="84"/>
    <w:qFormat/>
    <w:uiPriority w:val="99"/>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99"/>
    <w:pPr>
      <w:ind w:left="2100" w:leftChars="1000"/>
    </w:pPr>
    <w:rPr>
      <w:rFonts w:ascii="Calibri" w:hAnsi="Calibri" w:cs="Calibri"/>
      <w:szCs w:val="21"/>
    </w:rPr>
  </w:style>
  <w:style w:type="paragraph" w:styleId="37">
    <w:name w:val="table of figures"/>
    <w:basedOn w:val="1"/>
    <w:next w:val="1"/>
    <w:qFormat/>
    <w:locked/>
    <w:uiPriority w:val="0"/>
    <w:pPr>
      <w:ind w:leftChars="200" w:hanging="200" w:hangingChars="200"/>
    </w:pPr>
  </w:style>
  <w:style w:type="paragraph" w:styleId="38">
    <w:name w:val="toc 2"/>
    <w:basedOn w:val="1"/>
    <w:next w:val="1"/>
    <w:qFormat/>
    <w:uiPriority w:val="99"/>
    <w:pPr>
      <w:tabs>
        <w:tab w:val="right" w:leader="dot" w:pos="8296"/>
      </w:tabs>
      <w:ind w:left="420" w:leftChars="200"/>
    </w:pPr>
  </w:style>
  <w:style w:type="paragraph" w:styleId="39">
    <w:name w:val="toc 9"/>
    <w:basedOn w:val="1"/>
    <w:next w:val="1"/>
    <w:qFormat/>
    <w:uiPriority w:val="99"/>
    <w:pPr>
      <w:ind w:left="3360" w:leftChars="1600"/>
    </w:pPr>
    <w:rPr>
      <w:rFonts w:ascii="Calibri" w:hAnsi="Calibri" w:cs="Calibri"/>
      <w:szCs w:val="21"/>
    </w:rPr>
  </w:style>
  <w:style w:type="paragraph" w:styleId="40">
    <w:name w:val="HTML Preformatted"/>
    <w:basedOn w:val="1"/>
    <w:link w:val="8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99"/>
    <w:rPr>
      <w:rFonts w:ascii="Calibri" w:hAnsi="Calibri"/>
      <w:kern w:val="0"/>
      <w:sz w:val="24"/>
    </w:rPr>
  </w:style>
  <w:style w:type="paragraph" w:styleId="42">
    <w:name w:val="Title"/>
    <w:basedOn w:val="1"/>
    <w:next w:val="1"/>
    <w:link w:val="105"/>
    <w:qFormat/>
    <w:uiPriority w:val="99"/>
    <w:pPr>
      <w:spacing w:before="240" w:after="60"/>
      <w:jc w:val="center"/>
      <w:outlineLvl w:val="0"/>
    </w:pPr>
    <w:rPr>
      <w:rFonts w:ascii="Cambria" w:hAnsi="Cambria"/>
      <w:b/>
      <w:sz w:val="32"/>
      <w:szCs w:val="20"/>
    </w:rPr>
  </w:style>
  <w:style w:type="paragraph" w:styleId="43">
    <w:name w:val="annotation subject"/>
    <w:basedOn w:val="20"/>
    <w:next w:val="20"/>
    <w:link w:val="106"/>
    <w:qFormat/>
    <w:uiPriority w:val="99"/>
    <w:rPr>
      <w:b/>
    </w:rPr>
  </w:style>
  <w:style w:type="paragraph" w:styleId="44">
    <w:name w:val="Body Text First Indent 2"/>
    <w:basedOn w:val="3"/>
    <w:link w:val="240"/>
    <w:semiHidden/>
    <w:unhideWhenUsed/>
    <w:qFormat/>
    <w:locked/>
    <w:uiPriority w:val="99"/>
    <w:pPr>
      <w:spacing w:after="120"/>
      <w:ind w:left="420" w:leftChars="200" w:firstLine="420" w:firstLineChars="200"/>
    </w:pPr>
    <w:rPr>
      <w:rFonts w:ascii="Times New Roman" w:eastAsia="宋体"/>
      <w:kern w:val="2"/>
      <w:sz w:val="21"/>
      <w:szCs w:val="24"/>
    </w:rPr>
  </w:style>
  <w:style w:type="table" w:styleId="46">
    <w:name w:val="Table Grid"/>
    <w:basedOn w:val="4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endnote reference"/>
    <w:basedOn w:val="47"/>
    <w:qFormat/>
    <w:uiPriority w:val="99"/>
    <w:rPr>
      <w:rFonts w:cs="Times New Roman"/>
      <w:vertAlign w:val="superscript"/>
    </w:rPr>
  </w:style>
  <w:style w:type="character" w:styleId="50">
    <w:name w:val="page number"/>
    <w:basedOn w:val="47"/>
    <w:qFormat/>
    <w:uiPriority w:val="99"/>
    <w:rPr>
      <w:rFonts w:cs="Times New Roman"/>
    </w:rPr>
  </w:style>
  <w:style w:type="character" w:styleId="51">
    <w:name w:val="Emphasis"/>
    <w:basedOn w:val="47"/>
    <w:qFormat/>
    <w:uiPriority w:val="99"/>
    <w:rPr>
      <w:rFonts w:cs="Times New Roman"/>
      <w:i/>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0000FF"/>
      <w:u w:val="single"/>
    </w:rPr>
  </w:style>
  <w:style w:type="character" w:styleId="57">
    <w:name w:val="HTML Code"/>
    <w:basedOn w:val="47"/>
    <w:qFormat/>
    <w:uiPriority w:val="99"/>
    <w:rPr>
      <w:rFonts w:ascii="monospace" w:hAnsi="monospace" w:cs="monospace"/>
      <w:sz w:val="20"/>
    </w:rPr>
  </w:style>
  <w:style w:type="character" w:styleId="58">
    <w:name w:val="annotation reference"/>
    <w:basedOn w:val="47"/>
    <w:qFormat/>
    <w:uiPriority w:val="99"/>
    <w:rPr>
      <w:rFonts w:cs="Times New Roman"/>
      <w:sz w:val="21"/>
    </w:rPr>
  </w:style>
  <w:style w:type="character" w:styleId="59">
    <w:name w:val="HTML Cite"/>
    <w:basedOn w:val="47"/>
    <w:qFormat/>
    <w:uiPriority w:val="99"/>
    <w:rPr>
      <w:rFonts w:cs="Times New Roman"/>
    </w:rPr>
  </w:style>
  <w:style w:type="character" w:styleId="60">
    <w:name w:val="footnote reference"/>
    <w:basedOn w:val="47"/>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64">
    <w:name w:val="Heading 1 Char"/>
    <w:basedOn w:val="47"/>
    <w:qFormat/>
    <w:uiPriority w:val="99"/>
    <w:rPr>
      <w:rFonts w:eastAsia="宋体" w:cs="Times New Roman"/>
      <w:b/>
      <w:kern w:val="44"/>
      <w:sz w:val="44"/>
      <w:lang w:val="en-US" w:eastAsia="zh-CN"/>
    </w:rPr>
  </w:style>
  <w:style w:type="character" w:customStyle="1" w:styleId="65">
    <w:name w:val="Heading 2 Char"/>
    <w:basedOn w:val="47"/>
    <w:qFormat/>
    <w:uiPriority w:val="99"/>
    <w:rPr>
      <w:rFonts w:ascii="Arial" w:hAnsi="Arial" w:eastAsia="黑体" w:cs="Times New Roman"/>
      <w:b/>
      <w:kern w:val="2"/>
      <w:sz w:val="32"/>
      <w:lang w:val="en-US" w:eastAsia="zh-CN"/>
    </w:rPr>
  </w:style>
  <w:style w:type="character" w:customStyle="1" w:styleId="66">
    <w:name w:val="Heading 3 Char"/>
    <w:basedOn w:val="47"/>
    <w:qFormat/>
    <w:uiPriority w:val="99"/>
    <w:rPr>
      <w:rFonts w:cs="Times New Roman"/>
      <w:b/>
      <w:kern w:val="2"/>
      <w:sz w:val="32"/>
    </w:rPr>
  </w:style>
  <w:style w:type="character" w:customStyle="1" w:styleId="67">
    <w:name w:val="Heading 4 Char"/>
    <w:basedOn w:val="47"/>
    <w:qFormat/>
    <w:uiPriority w:val="99"/>
    <w:rPr>
      <w:rFonts w:ascii="Arial" w:hAnsi="Arial" w:eastAsia="宋体" w:cs="Times New Roman"/>
      <w:b/>
      <w:kern w:val="2"/>
      <w:sz w:val="28"/>
      <w:lang w:val="en-US" w:eastAsia="zh-CN"/>
    </w:rPr>
  </w:style>
  <w:style w:type="character" w:customStyle="1" w:styleId="68">
    <w:name w:val="Heading 5 Char"/>
    <w:basedOn w:val="47"/>
    <w:qFormat/>
    <w:uiPriority w:val="99"/>
    <w:rPr>
      <w:rFonts w:eastAsia="宋体" w:cs="Times New Roman"/>
      <w:b/>
      <w:kern w:val="2"/>
      <w:sz w:val="28"/>
      <w:lang w:val="en-US" w:eastAsia="zh-CN"/>
    </w:rPr>
  </w:style>
  <w:style w:type="character" w:customStyle="1" w:styleId="69">
    <w:name w:val="标题 6 Char"/>
    <w:basedOn w:val="47"/>
    <w:link w:val="12"/>
    <w:qFormat/>
    <w:locked/>
    <w:uiPriority w:val="99"/>
    <w:rPr>
      <w:rFonts w:ascii="Cambria" w:hAnsi="Cambria" w:cs="Times New Roman"/>
      <w:b/>
      <w:sz w:val="24"/>
    </w:rPr>
  </w:style>
  <w:style w:type="character" w:customStyle="1" w:styleId="70">
    <w:name w:val="标题 7 Char"/>
    <w:basedOn w:val="47"/>
    <w:link w:val="13"/>
    <w:qFormat/>
    <w:locked/>
    <w:uiPriority w:val="99"/>
    <w:rPr>
      <w:rFonts w:cs="Times New Roman"/>
      <w:b/>
      <w:sz w:val="24"/>
    </w:rPr>
  </w:style>
  <w:style w:type="character" w:customStyle="1" w:styleId="71">
    <w:name w:val="标题 8 Char1"/>
    <w:basedOn w:val="47"/>
    <w:link w:val="14"/>
    <w:semiHidden/>
    <w:qFormat/>
    <w:locked/>
    <w:uiPriority w:val="99"/>
    <w:rPr>
      <w:rFonts w:ascii="等线 Light" w:hAnsi="等线 Light" w:eastAsia="等线 Light" w:cs="Times New Roman"/>
      <w:kern w:val="2"/>
      <w:sz w:val="24"/>
    </w:rPr>
  </w:style>
  <w:style w:type="character" w:customStyle="1" w:styleId="72">
    <w:name w:val="标题 9 Char"/>
    <w:basedOn w:val="47"/>
    <w:link w:val="15"/>
    <w:qFormat/>
    <w:locked/>
    <w:uiPriority w:val="99"/>
    <w:rPr>
      <w:rFonts w:ascii="Cambria" w:hAnsi="Cambria" w:cs="Times New Roman"/>
      <w:sz w:val="21"/>
    </w:rPr>
  </w:style>
  <w:style w:type="character" w:customStyle="1" w:styleId="73">
    <w:name w:val="Document Map Char"/>
    <w:basedOn w:val="47"/>
    <w:qFormat/>
    <w:uiPriority w:val="99"/>
    <w:rPr>
      <w:rFonts w:eastAsia="宋体" w:cs="Times New Roman"/>
      <w:kern w:val="2"/>
      <w:sz w:val="24"/>
      <w:lang w:val="en-US" w:eastAsia="zh-CN"/>
    </w:rPr>
  </w:style>
  <w:style w:type="character" w:customStyle="1" w:styleId="74">
    <w:name w:val="Comment Text Char"/>
    <w:basedOn w:val="47"/>
    <w:qFormat/>
    <w:uiPriority w:val="99"/>
    <w:rPr>
      <w:rFonts w:cs="Times New Roman"/>
      <w:sz w:val="24"/>
    </w:rPr>
  </w:style>
  <w:style w:type="character" w:customStyle="1" w:styleId="75">
    <w:name w:val="正文文本 3 Char"/>
    <w:basedOn w:val="47"/>
    <w:link w:val="21"/>
    <w:semiHidden/>
    <w:qFormat/>
    <w:locked/>
    <w:uiPriority w:val="99"/>
    <w:rPr>
      <w:rFonts w:cs="Times New Roman"/>
      <w:kern w:val="2"/>
      <w:sz w:val="16"/>
    </w:rPr>
  </w:style>
  <w:style w:type="character" w:customStyle="1" w:styleId="76">
    <w:name w:val="正文文本 Char1"/>
    <w:basedOn w:val="47"/>
    <w:link w:val="6"/>
    <w:qFormat/>
    <w:locked/>
    <w:uiPriority w:val="99"/>
    <w:rPr>
      <w:rFonts w:ascii="Times New Roman" w:hAnsi="Times New Roman" w:cs="Times New Roman"/>
      <w:kern w:val="2"/>
      <w:sz w:val="24"/>
    </w:rPr>
  </w:style>
  <w:style w:type="character" w:customStyle="1" w:styleId="77">
    <w:name w:val="Body Text Indent Char"/>
    <w:basedOn w:val="47"/>
    <w:qFormat/>
    <w:uiPriority w:val="99"/>
    <w:rPr>
      <w:rFonts w:ascii="宋体" w:hAnsi="宋体" w:eastAsia="宋体" w:cs="Times New Roman"/>
      <w:kern w:val="2"/>
      <w:sz w:val="21"/>
      <w:lang w:val="en-US" w:eastAsia="zh-CN"/>
    </w:rPr>
  </w:style>
  <w:style w:type="character" w:customStyle="1" w:styleId="78">
    <w:name w:val="Plain Text Char"/>
    <w:basedOn w:val="47"/>
    <w:qFormat/>
    <w:uiPriority w:val="99"/>
    <w:rPr>
      <w:rFonts w:ascii="宋体" w:hAnsi="Courier New" w:eastAsia="宋体" w:cs="Times New Roman"/>
      <w:sz w:val="24"/>
    </w:rPr>
  </w:style>
  <w:style w:type="character" w:customStyle="1" w:styleId="79">
    <w:name w:val="Date Char"/>
    <w:basedOn w:val="47"/>
    <w:qFormat/>
    <w:uiPriority w:val="99"/>
    <w:rPr>
      <w:rFonts w:eastAsia="宋体" w:cs="Times New Roman"/>
      <w:kern w:val="2"/>
      <w:sz w:val="24"/>
      <w:lang w:val="en-US" w:eastAsia="zh-CN"/>
    </w:rPr>
  </w:style>
  <w:style w:type="character" w:customStyle="1" w:styleId="80">
    <w:name w:val="Body Text Indent 2 Char"/>
    <w:basedOn w:val="47"/>
    <w:qFormat/>
    <w:uiPriority w:val="99"/>
    <w:rPr>
      <w:rFonts w:eastAsia="宋体" w:cs="Times New Roman"/>
      <w:kern w:val="2"/>
      <w:sz w:val="24"/>
      <w:lang w:val="en-US" w:eastAsia="zh-CN"/>
    </w:rPr>
  </w:style>
  <w:style w:type="character" w:customStyle="1" w:styleId="81">
    <w:name w:val="Balloon Text Char"/>
    <w:basedOn w:val="47"/>
    <w:qFormat/>
    <w:uiPriority w:val="99"/>
    <w:rPr>
      <w:rFonts w:cs="Times New Roman"/>
      <w:sz w:val="18"/>
    </w:rPr>
  </w:style>
  <w:style w:type="character" w:customStyle="1" w:styleId="82">
    <w:name w:val="Footer Char"/>
    <w:basedOn w:val="47"/>
    <w:qFormat/>
    <w:uiPriority w:val="99"/>
    <w:rPr>
      <w:rFonts w:eastAsia="宋体" w:cs="Times New Roman"/>
      <w:kern w:val="2"/>
      <w:sz w:val="18"/>
      <w:lang w:val="en-US" w:eastAsia="zh-CN"/>
    </w:rPr>
  </w:style>
  <w:style w:type="character" w:customStyle="1" w:styleId="83">
    <w:name w:val="Header Char"/>
    <w:basedOn w:val="47"/>
    <w:qFormat/>
    <w:uiPriority w:val="99"/>
    <w:rPr>
      <w:rFonts w:eastAsia="宋体" w:cs="Times New Roman"/>
      <w:kern w:val="2"/>
      <w:sz w:val="18"/>
      <w:lang w:val="en-US" w:eastAsia="zh-CN"/>
    </w:rPr>
  </w:style>
  <w:style w:type="character" w:customStyle="1" w:styleId="84">
    <w:name w:val="副标题 Char"/>
    <w:basedOn w:val="47"/>
    <w:link w:val="34"/>
    <w:qFormat/>
    <w:locked/>
    <w:uiPriority w:val="99"/>
    <w:rPr>
      <w:rFonts w:ascii="Cambria" w:hAnsi="Cambria" w:cs="Times New Roman"/>
      <w:b/>
      <w:kern w:val="28"/>
      <w:sz w:val="32"/>
    </w:rPr>
  </w:style>
  <w:style w:type="character" w:customStyle="1" w:styleId="85">
    <w:name w:val="Footnote Text Char"/>
    <w:basedOn w:val="47"/>
    <w:qFormat/>
    <w:uiPriority w:val="99"/>
    <w:rPr>
      <w:rFonts w:eastAsia="宋体" w:cs="Times New Roman"/>
      <w:sz w:val="18"/>
      <w:lang w:val="en-US" w:eastAsia="zh-CN"/>
    </w:rPr>
  </w:style>
  <w:style w:type="character" w:customStyle="1" w:styleId="86">
    <w:name w:val="HTML 预设格式 Char"/>
    <w:basedOn w:val="47"/>
    <w:link w:val="40"/>
    <w:qFormat/>
    <w:locked/>
    <w:uiPriority w:val="99"/>
    <w:rPr>
      <w:rFonts w:ascii="宋体" w:eastAsia="宋体" w:cs="Times New Roman"/>
      <w:sz w:val="24"/>
    </w:rPr>
  </w:style>
  <w:style w:type="character" w:customStyle="1" w:styleId="87">
    <w:name w:val="Title Char"/>
    <w:basedOn w:val="47"/>
    <w:qFormat/>
    <w:uiPriority w:val="99"/>
    <w:rPr>
      <w:rFonts w:ascii="Cambria" w:hAnsi="Cambria" w:cs="Times New Roman"/>
      <w:b/>
      <w:sz w:val="32"/>
    </w:rPr>
  </w:style>
  <w:style w:type="character" w:customStyle="1" w:styleId="88">
    <w:name w:val="Comment Subject Char"/>
    <w:basedOn w:val="74"/>
    <w:qFormat/>
    <w:uiPriority w:val="99"/>
    <w:rPr>
      <w:rFonts w:cs="Times New Roman"/>
      <w:b/>
      <w:sz w:val="24"/>
    </w:rPr>
  </w:style>
  <w:style w:type="character" w:customStyle="1" w:styleId="89">
    <w:name w:val="标题 1 Char"/>
    <w:link w:val="7"/>
    <w:qFormat/>
    <w:locked/>
    <w:uiPriority w:val="99"/>
    <w:rPr>
      <w:b/>
      <w:kern w:val="44"/>
      <w:sz w:val="44"/>
    </w:rPr>
  </w:style>
  <w:style w:type="character" w:customStyle="1" w:styleId="90">
    <w:name w:val="标题 2 Char1"/>
    <w:link w:val="8"/>
    <w:qFormat/>
    <w:locked/>
    <w:uiPriority w:val="99"/>
    <w:rPr>
      <w:rFonts w:ascii="Cambria" w:hAnsi="Cambria" w:eastAsia="宋体"/>
      <w:b/>
      <w:kern w:val="2"/>
      <w:sz w:val="32"/>
    </w:rPr>
  </w:style>
  <w:style w:type="character" w:customStyle="1" w:styleId="91">
    <w:name w:val="标题 3 Char"/>
    <w:link w:val="9"/>
    <w:qFormat/>
    <w:locked/>
    <w:uiPriority w:val="99"/>
    <w:rPr>
      <w:b/>
      <w:kern w:val="2"/>
      <w:sz w:val="32"/>
    </w:rPr>
  </w:style>
  <w:style w:type="character" w:customStyle="1" w:styleId="92">
    <w:name w:val="标题 4 Char"/>
    <w:link w:val="5"/>
    <w:qFormat/>
    <w:locked/>
    <w:uiPriority w:val="99"/>
    <w:rPr>
      <w:rFonts w:ascii="Arial" w:hAnsi="Arial"/>
      <w:b/>
      <w:kern w:val="2"/>
      <w:sz w:val="28"/>
    </w:rPr>
  </w:style>
  <w:style w:type="character" w:customStyle="1" w:styleId="93">
    <w:name w:val="标题 5 Char"/>
    <w:link w:val="10"/>
    <w:qFormat/>
    <w:locked/>
    <w:uiPriority w:val="99"/>
    <w:rPr>
      <w:rFonts w:ascii="Times New Roman" w:hAnsi="Times New Roman"/>
      <w:b/>
      <w:kern w:val="2"/>
      <w:sz w:val="28"/>
    </w:rPr>
  </w:style>
  <w:style w:type="character" w:customStyle="1" w:styleId="94">
    <w:name w:val="正文缩进 Char"/>
    <w:link w:val="11"/>
    <w:qFormat/>
    <w:locked/>
    <w:uiPriority w:val="99"/>
    <w:rPr>
      <w:kern w:val="2"/>
      <w:sz w:val="21"/>
    </w:rPr>
  </w:style>
  <w:style w:type="character" w:customStyle="1" w:styleId="95">
    <w:name w:val="文档结构图 Char"/>
    <w:link w:val="19"/>
    <w:qFormat/>
    <w:locked/>
    <w:uiPriority w:val="99"/>
    <w:rPr>
      <w:kern w:val="2"/>
      <w:sz w:val="24"/>
      <w:shd w:val="clear" w:color="auto" w:fill="000080"/>
    </w:rPr>
  </w:style>
  <w:style w:type="character" w:customStyle="1" w:styleId="96">
    <w:name w:val="批注文字 Char1"/>
    <w:link w:val="20"/>
    <w:qFormat/>
    <w:locked/>
    <w:uiPriority w:val="99"/>
    <w:rPr>
      <w:rFonts w:ascii="Times New Roman" w:hAnsi="Times New Roman"/>
      <w:kern w:val="2"/>
      <w:sz w:val="24"/>
    </w:rPr>
  </w:style>
  <w:style w:type="character" w:customStyle="1" w:styleId="97">
    <w:name w:val="正文文本缩进 Char"/>
    <w:link w:val="3"/>
    <w:qFormat/>
    <w:locked/>
    <w:uiPriority w:val="99"/>
    <w:rPr>
      <w:rFonts w:ascii="仿宋_GB2312" w:hAnsi="Times New Roman" w:eastAsia="仿宋_GB2312"/>
      <w:sz w:val="20"/>
    </w:rPr>
  </w:style>
  <w:style w:type="character" w:customStyle="1" w:styleId="98">
    <w:name w:val="纯文本 Char1"/>
    <w:link w:val="4"/>
    <w:qFormat/>
    <w:locked/>
    <w:uiPriority w:val="99"/>
    <w:rPr>
      <w:rFonts w:ascii="宋体" w:hAnsi="Courier New" w:eastAsia="宋体"/>
      <w:sz w:val="21"/>
    </w:rPr>
  </w:style>
  <w:style w:type="character" w:customStyle="1" w:styleId="99">
    <w:name w:val="日期 Char"/>
    <w:link w:val="27"/>
    <w:qFormat/>
    <w:locked/>
    <w:uiPriority w:val="99"/>
    <w:rPr>
      <w:rFonts w:ascii="Times New Roman" w:hAnsi="Times New Roman"/>
      <w:kern w:val="2"/>
      <w:sz w:val="24"/>
    </w:rPr>
  </w:style>
  <w:style w:type="character" w:customStyle="1" w:styleId="100">
    <w:name w:val="正文文本缩进 2 Char"/>
    <w:link w:val="28"/>
    <w:qFormat/>
    <w:locked/>
    <w:uiPriority w:val="99"/>
    <w:rPr>
      <w:kern w:val="2"/>
      <w:sz w:val="24"/>
    </w:rPr>
  </w:style>
  <w:style w:type="character" w:customStyle="1" w:styleId="101">
    <w:name w:val="批注框文本 Char"/>
    <w:link w:val="29"/>
    <w:qFormat/>
    <w:locked/>
    <w:uiPriority w:val="99"/>
    <w:rPr>
      <w:kern w:val="2"/>
      <w:sz w:val="18"/>
    </w:rPr>
  </w:style>
  <w:style w:type="character" w:customStyle="1" w:styleId="102">
    <w:name w:val="页脚 Char"/>
    <w:link w:val="30"/>
    <w:qFormat/>
    <w:locked/>
    <w:uiPriority w:val="99"/>
    <w:rPr>
      <w:sz w:val="18"/>
    </w:rPr>
  </w:style>
  <w:style w:type="character" w:customStyle="1" w:styleId="103">
    <w:name w:val="页眉 Char"/>
    <w:link w:val="31"/>
    <w:qFormat/>
    <w:locked/>
    <w:uiPriority w:val="99"/>
    <w:rPr>
      <w:sz w:val="18"/>
    </w:rPr>
  </w:style>
  <w:style w:type="character" w:customStyle="1" w:styleId="104">
    <w:name w:val="脚注文本 Char"/>
    <w:link w:val="35"/>
    <w:qFormat/>
    <w:locked/>
    <w:uiPriority w:val="99"/>
    <w:rPr>
      <w:sz w:val="18"/>
    </w:rPr>
  </w:style>
  <w:style w:type="character" w:customStyle="1" w:styleId="105">
    <w:name w:val="标题 Char"/>
    <w:link w:val="42"/>
    <w:qFormat/>
    <w:locked/>
    <w:uiPriority w:val="99"/>
    <w:rPr>
      <w:rFonts w:ascii="Cambria" w:hAnsi="Cambria"/>
      <w:b/>
      <w:kern w:val="2"/>
      <w:sz w:val="32"/>
    </w:rPr>
  </w:style>
  <w:style w:type="character" w:customStyle="1" w:styleId="106">
    <w:name w:val="批注主题 Char"/>
    <w:link w:val="43"/>
    <w:qFormat/>
    <w:locked/>
    <w:uiPriority w:val="99"/>
    <w:rPr>
      <w:rFonts w:ascii="Times New Roman" w:hAnsi="Times New Roman"/>
      <w:b/>
      <w:kern w:val="2"/>
      <w:sz w:val="24"/>
    </w:rPr>
  </w:style>
  <w:style w:type="character" w:customStyle="1" w:styleId="107">
    <w:name w:val="访问过的超链接1"/>
    <w:qFormat/>
    <w:uiPriority w:val="99"/>
    <w:rPr>
      <w:color w:val="800080"/>
      <w:u w:val="single"/>
    </w:rPr>
  </w:style>
  <w:style w:type="character" w:customStyle="1" w:styleId="108">
    <w:name w:val="书籍标题1"/>
    <w:qFormat/>
    <w:uiPriority w:val="99"/>
    <w:rPr>
      <w:b/>
      <w:smallCaps/>
      <w:spacing w:val="5"/>
    </w:rPr>
  </w:style>
  <w:style w:type="character" w:customStyle="1" w:styleId="109">
    <w:name w:val="Body text|5_"/>
    <w:link w:val="110"/>
    <w:qFormat/>
    <w:locked/>
    <w:uiPriority w:val="99"/>
    <w:rPr>
      <w:rFonts w:ascii="宋体" w:eastAsia="宋体"/>
      <w:sz w:val="52"/>
      <w:lang w:val="zh-CN"/>
    </w:rPr>
  </w:style>
  <w:style w:type="paragraph" w:customStyle="1" w:styleId="110">
    <w:name w:val="Body text|5"/>
    <w:basedOn w:val="1"/>
    <w:link w:val="109"/>
    <w:qFormat/>
    <w:uiPriority w:val="99"/>
    <w:pPr>
      <w:jc w:val="center"/>
    </w:pPr>
    <w:rPr>
      <w:rFonts w:ascii="宋体"/>
      <w:kern w:val="0"/>
      <w:sz w:val="52"/>
      <w:szCs w:val="20"/>
      <w:lang w:val="zh-CN"/>
    </w:rPr>
  </w:style>
  <w:style w:type="character" w:customStyle="1" w:styleId="111">
    <w:name w:val="Body text|1_"/>
    <w:link w:val="112"/>
    <w:qFormat/>
    <w:locked/>
    <w:uiPriority w:val="99"/>
    <w:rPr>
      <w:rFonts w:ascii="宋体" w:eastAsia="宋体"/>
      <w:kern w:val="2"/>
      <w:sz w:val="21"/>
      <w:lang w:val="zh-CN"/>
    </w:rPr>
  </w:style>
  <w:style w:type="paragraph" w:customStyle="1" w:styleId="112">
    <w:name w:val="Body text|1"/>
    <w:basedOn w:val="1"/>
    <w:link w:val="111"/>
    <w:qFormat/>
    <w:uiPriority w:val="99"/>
    <w:pPr>
      <w:spacing w:line="360" w:lineRule="auto"/>
      <w:ind w:firstLine="400"/>
    </w:pPr>
    <w:rPr>
      <w:rFonts w:ascii="宋体"/>
      <w:szCs w:val="20"/>
      <w:lang w:val="zh-CN"/>
    </w:rPr>
  </w:style>
  <w:style w:type="character" w:customStyle="1" w:styleId="113">
    <w:name w:val="Table caption|1_"/>
    <w:link w:val="114"/>
    <w:qFormat/>
    <w:locked/>
    <w:uiPriority w:val="99"/>
    <w:rPr>
      <w:rFonts w:ascii="宋体" w:eastAsia="宋体"/>
      <w:lang w:val="zh-CN"/>
    </w:rPr>
  </w:style>
  <w:style w:type="paragraph" w:customStyle="1" w:styleId="114">
    <w:name w:val="Table caption|1"/>
    <w:basedOn w:val="1"/>
    <w:link w:val="113"/>
    <w:qFormat/>
    <w:uiPriority w:val="99"/>
    <w:pPr>
      <w:jc w:val="left"/>
    </w:pPr>
    <w:rPr>
      <w:rFonts w:ascii="宋体"/>
      <w:kern w:val="0"/>
      <w:sz w:val="20"/>
      <w:szCs w:val="20"/>
      <w:lang w:val="zh-CN"/>
    </w:rPr>
  </w:style>
  <w:style w:type="character" w:customStyle="1" w:styleId="115">
    <w:name w:val="Heading #4|1_"/>
    <w:link w:val="116"/>
    <w:qFormat/>
    <w:locked/>
    <w:uiPriority w:val="99"/>
    <w:rPr>
      <w:rFonts w:ascii="宋体" w:eastAsia="宋体"/>
      <w:lang w:val="zh-CN"/>
    </w:rPr>
  </w:style>
  <w:style w:type="paragraph" w:customStyle="1" w:styleId="116">
    <w:name w:val="Heading #4|1"/>
    <w:basedOn w:val="1"/>
    <w:link w:val="115"/>
    <w:qFormat/>
    <w:uiPriority w:val="99"/>
    <w:pPr>
      <w:spacing w:after="120"/>
      <w:jc w:val="left"/>
      <w:outlineLvl w:val="3"/>
    </w:pPr>
    <w:rPr>
      <w:rFonts w:ascii="宋体"/>
      <w:kern w:val="0"/>
      <w:sz w:val="20"/>
      <w:szCs w:val="20"/>
      <w:lang w:val="zh-CN"/>
    </w:rPr>
  </w:style>
  <w:style w:type="character" w:customStyle="1" w:styleId="117">
    <w:name w:val="Body text|2_"/>
    <w:link w:val="118"/>
    <w:qFormat/>
    <w:locked/>
    <w:uiPriority w:val="99"/>
    <w:rPr>
      <w:sz w:val="21"/>
    </w:rPr>
  </w:style>
  <w:style w:type="paragraph" w:customStyle="1" w:styleId="118">
    <w:name w:val="Body text|2"/>
    <w:basedOn w:val="1"/>
    <w:link w:val="117"/>
    <w:qFormat/>
    <w:uiPriority w:val="99"/>
    <w:pPr>
      <w:spacing w:after="30"/>
      <w:ind w:firstLine="420"/>
      <w:jc w:val="left"/>
    </w:pPr>
    <w:rPr>
      <w:kern w:val="0"/>
      <w:szCs w:val="20"/>
    </w:rPr>
  </w:style>
  <w:style w:type="character" w:customStyle="1" w:styleId="119">
    <w:name w:val="Heading #1|1_"/>
    <w:link w:val="120"/>
    <w:qFormat/>
    <w:locked/>
    <w:uiPriority w:val="99"/>
    <w:rPr>
      <w:rFonts w:ascii="宋体" w:eastAsia="宋体"/>
      <w:sz w:val="38"/>
      <w:lang w:val="zh-CN"/>
    </w:rPr>
  </w:style>
  <w:style w:type="paragraph" w:customStyle="1" w:styleId="120">
    <w:name w:val="Heading #1|1"/>
    <w:basedOn w:val="1"/>
    <w:link w:val="119"/>
    <w:qFormat/>
    <w:uiPriority w:val="99"/>
    <w:pPr>
      <w:spacing w:after="440" w:line="564" w:lineRule="exact"/>
      <w:jc w:val="center"/>
      <w:outlineLvl w:val="0"/>
    </w:pPr>
    <w:rPr>
      <w:rFonts w:ascii="宋体"/>
      <w:kern w:val="0"/>
      <w:sz w:val="38"/>
      <w:szCs w:val="20"/>
      <w:lang w:val="zh-CN"/>
    </w:rPr>
  </w:style>
  <w:style w:type="character" w:customStyle="1" w:styleId="121">
    <w:name w:val="Header or footer|2_"/>
    <w:link w:val="122"/>
    <w:qFormat/>
    <w:locked/>
    <w:uiPriority w:val="99"/>
    <w:rPr>
      <w:lang w:val="zh-CN"/>
    </w:rPr>
  </w:style>
  <w:style w:type="paragraph" w:customStyle="1" w:styleId="122">
    <w:name w:val="Header or footer|2"/>
    <w:basedOn w:val="1"/>
    <w:link w:val="121"/>
    <w:qFormat/>
    <w:uiPriority w:val="99"/>
    <w:pPr>
      <w:jc w:val="left"/>
    </w:pPr>
    <w:rPr>
      <w:kern w:val="0"/>
      <w:sz w:val="20"/>
      <w:szCs w:val="20"/>
      <w:lang w:val="zh-CN"/>
    </w:rPr>
  </w:style>
  <w:style w:type="character" w:customStyle="1" w:styleId="123">
    <w:name w:val="Body text|3_"/>
    <w:link w:val="124"/>
    <w:qFormat/>
    <w:locked/>
    <w:uiPriority w:val="99"/>
    <w:rPr>
      <w:rFonts w:ascii="宋体" w:eastAsia="宋体"/>
      <w:lang w:val="zh-CN"/>
    </w:rPr>
  </w:style>
  <w:style w:type="paragraph" w:customStyle="1" w:styleId="124">
    <w:name w:val="Body text|3"/>
    <w:basedOn w:val="1"/>
    <w:link w:val="123"/>
    <w:qFormat/>
    <w:uiPriority w:val="99"/>
    <w:pPr>
      <w:spacing w:after="340"/>
      <w:jc w:val="left"/>
    </w:pPr>
    <w:rPr>
      <w:rFonts w:ascii="宋体"/>
      <w:kern w:val="0"/>
      <w:sz w:val="20"/>
      <w:szCs w:val="20"/>
      <w:lang w:val="zh-CN"/>
    </w:rPr>
  </w:style>
  <w:style w:type="character" w:customStyle="1" w:styleId="125">
    <w:name w:val="Table of contents|1_"/>
    <w:link w:val="126"/>
    <w:qFormat/>
    <w:locked/>
    <w:uiPriority w:val="99"/>
    <w:rPr>
      <w:rFonts w:ascii="宋体" w:eastAsia="宋体"/>
      <w:lang w:val="zh-CN"/>
    </w:rPr>
  </w:style>
  <w:style w:type="paragraph" w:customStyle="1" w:styleId="126">
    <w:name w:val="Table of contents|1"/>
    <w:basedOn w:val="1"/>
    <w:link w:val="125"/>
    <w:qFormat/>
    <w:uiPriority w:val="99"/>
    <w:pPr>
      <w:spacing w:after="100"/>
      <w:ind w:firstLine="600"/>
      <w:jc w:val="left"/>
    </w:pPr>
    <w:rPr>
      <w:rFonts w:ascii="宋体"/>
      <w:kern w:val="0"/>
      <w:sz w:val="20"/>
      <w:szCs w:val="20"/>
      <w:lang w:val="zh-CN"/>
    </w:rPr>
  </w:style>
  <w:style w:type="character" w:customStyle="1" w:styleId="127">
    <w:name w:val="Char Char9"/>
    <w:qFormat/>
    <w:uiPriority w:val="99"/>
    <w:rPr>
      <w:rFonts w:eastAsia="宋体"/>
      <w:b/>
      <w:kern w:val="44"/>
      <w:sz w:val="44"/>
      <w:lang w:val="en-US" w:eastAsia="zh-CN"/>
    </w:rPr>
  </w:style>
  <w:style w:type="character" w:customStyle="1" w:styleId="128">
    <w:name w:val="明显参考1"/>
    <w:qFormat/>
    <w:uiPriority w:val="99"/>
    <w:rPr>
      <w:b/>
      <w:smallCaps/>
      <w:color w:val="auto"/>
      <w:spacing w:val="5"/>
      <w:u w:val="single"/>
    </w:rPr>
  </w:style>
  <w:style w:type="character" w:customStyle="1" w:styleId="129">
    <w:name w:val="Char Char23"/>
    <w:qFormat/>
    <w:uiPriority w:val="99"/>
    <w:rPr>
      <w:rFonts w:eastAsia="宋体"/>
      <w:b/>
      <w:kern w:val="44"/>
      <w:sz w:val="44"/>
      <w:lang w:val="en-US" w:eastAsia="zh-CN"/>
    </w:rPr>
  </w:style>
  <w:style w:type="character" w:customStyle="1" w:styleId="130">
    <w:name w:val="Char Char181"/>
    <w:qFormat/>
    <w:uiPriority w:val="99"/>
    <w:rPr>
      <w:b/>
      <w:kern w:val="44"/>
      <w:sz w:val="44"/>
    </w:rPr>
  </w:style>
  <w:style w:type="character" w:customStyle="1" w:styleId="131">
    <w:name w:val="Char Char22"/>
    <w:qFormat/>
    <w:uiPriority w:val="99"/>
    <w:rPr>
      <w:rFonts w:ascii="Times New Roman" w:hAnsi="Times New Roman" w:eastAsia="宋体"/>
      <w:b/>
      <w:kern w:val="44"/>
      <w:sz w:val="44"/>
    </w:rPr>
  </w:style>
  <w:style w:type="character" w:customStyle="1" w:styleId="132">
    <w:name w:val="引用 Char1"/>
    <w:qFormat/>
    <w:uiPriority w:val="99"/>
    <w:rPr>
      <w:rFonts w:ascii="Times New Roman" w:hAnsi="Times New Roman" w:eastAsia="宋体"/>
      <w:i/>
      <w:color w:val="000000"/>
      <w:sz w:val="24"/>
    </w:rPr>
  </w:style>
  <w:style w:type="character" w:customStyle="1" w:styleId="133">
    <w:name w:val="Heading 3 Char1"/>
    <w:qFormat/>
    <w:uiPriority w:val="99"/>
    <w:rPr>
      <w:rFonts w:eastAsia="宋体"/>
      <w:b/>
      <w:kern w:val="2"/>
      <w:sz w:val="32"/>
      <w:lang w:val="en-US" w:eastAsia="zh-CN"/>
    </w:rPr>
  </w:style>
  <w:style w:type="character" w:customStyle="1" w:styleId="134">
    <w:name w:val="明显强调1"/>
    <w:qFormat/>
    <w:uiPriority w:val="99"/>
    <w:rPr>
      <w:b/>
      <w:i/>
      <w:color w:val="4F81BD"/>
    </w:rPr>
  </w:style>
  <w:style w:type="character" w:customStyle="1" w:styleId="135">
    <w:name w:val="明显引用 Char1"/>
    <w:qFormat/>
    <w:uiPriority w:val="99"/>
    <w:rPr>
      <w:rFonts w:ascii="Times New Roman" w:hAnsi="Times New Roman" w:eastAsia="宋体"/>
      <w:b/>
      <w:i/>
      <w:color w:val="4F81BD"/>
      <w:sz w:val="24"/>
    </w:rPr>
  </w:style>
  <w:style w:type="character" w:customStyle="1" w:styleId="136">
    <w:name w:val="标题 Char2"/>
    <w:qFormat/>
    <w:uiPriority w:val="99"/>
    <w:rPr>
      <w:rFonts w:ascii="Cambria" w:hAnsi="Cambria" w:eastAsia="宋体"/>
      <w:b/>
      <w:sz w:val="32"/>
    </w:rPr>
  </w:style>
  <w:style w:type="character" w:customStyle="1" w:styleId="137">
    <w:name w:val="标题 Char1"/>
    <w:qFormat/>
    <w:uiPriority w:val="99"/>
    <w:rPr>
      <w:rFonts w:ascii="Cambria" w:hAnsi="Cambria" w:eastAsia="宋体"/>
      <w:b/>
      <w:sz w:val="32"/>
    </w:rPr>
  </w:style>
  <w:style w:type="character" w:customStyle="1" w:styleId="138">
    <w:name w:val="标题 1 字符1"/>
    <w:qFormat/>
    <w:uiPriority w:val="99"/>
    <w:rPr>
      <w:b/>
      <w:kern w:val="44"/>
      <w:sz w:val="44"/>
    </w:rPr>
  </w:style>
  <w:style w:type="character" w:customStyle="1" w:styleId="139">
    <w:name w:val="明显引用 Char"/>
    <w:link w:val="140"/>
    <w:qFormat/>
    <w:locked/>
    <w:uiPriority w:val="99"/>
    <w:rPr>
      <w:b/>
      <w:i/>
      <w:color w:val="4F81BD"/>
    </w:rPr>
  </w:style>
  <w:style w:type="paragraph" w:customStyle="1" w:styleId="140">
    <w:name w:val="明显引用1"/>
    <w:basedOn w:val="1"/>
    <w:next w:val="1"/>
    <w:link w:val="139"/>
    <w:qFormat/>
    <w:uiPriority w:val="99"/>
    <w:pPr>
      <w:pBdr>
        <w:bottom w:val="single" w:color="4F81BD" w:sz="4" w:space="4"/>
      </w:pBdr>
      <w:spacing w:before="200" w:after="280"/>
      <w:ind w:left="936" w:right="936"/>
    </w:pPr>
    <w:rPr>
      <w:b/>
      <w:i/>
      <w:color w:val="4F81BD"/>
      <w:kern w:val="0"/>
      <w:sz w:val="20"/>
      <w:szCs w:val="20"/>
    </w:rPr>
  </w:style>
  <w:style w:type="character" w:customStyle="1" w:styleId="141">
    <w:name w:val="textcontents"/>
    <w:qFormat/>
    <w:uiPriority w:val="99"/>
  </w:style>
  <w:style w:type="character" w:customStyle="1" w:styleId="142">
    <w:name w:val="Char Char19"/>
    <w:qFormat/>
    <w:uiPriority w:val="99"/>
    <w:rPr>
      <w:rFonts w:ascii="Arial" w:hAnsi="Arial" w:eastAsia="宋体"/>
      <w:b/>
      <w:sz w:val="28"/>
    </w:rPr>
  </w:style>
  <w:style w:type="character" w:customStyle="1" w:styleId="143">
    <w:name w:val="批注文字 Char"/>
    <w:qFormat/>
    <w:uiPriority w:val="99"/>
    <w:rPr>
      <w:rFonts w:ascii="Times New Roman" w:hAnsi="Times New Roman"/>
      <w:kern w:val="2"/>
      <w:sz w:val="24"/>
    </w:rPr>
  </w:style>
  <w:style w:type="character" w:customStyle="1" w:styleId="144">
    <w:name w:val="标题5 Char Char"/>
    <w:link w:val="145"/>
    <w:qFormat/>
    <w:locked/>
    <w:uiPriority w:val="99"/>
    <w:rPr>
      <w:rFonts w:ascii="Arial" w:hAnsi="Arial"/>
      <w:b/>
      <w:sz w:val="32"/>
    </w:rPr>
  </w:style>
  <w:style w:type="paragraph" w:customStyle="1" w:styleId="145">
    <w:name w:val="标题5"/>
    <w:basedOn w:val="9"/>
    <w:link w:val="144"/>
    <w:qFormat/>
    <w:uiPriority w:val="99"/>
    <w:pPr>
      <w:spacing w:line="413" w:lineRule="auto"/>
    </w:pPr>
    <w:rPr>
      <w:rFonts w:ascii="Arial" w:hAnsi="Arial"/>
      <w:bCs/>
      <w:kern w:val="0"/>
    </w:rPr>
  </w:style>
  <w:style w:type="character" w:customStyle="1" w:styleId="146">
    <w:name w:val="纯文本 字符"/>
    <w:qFormat/>
    <w:uiPriority w:val="99"/>
    <w:rPr>
      <w:rFonts w:ascii="宋体" w:hAnsi="Courier New" w:eastAsia="宋体"/>
      <w:sz w:val="21"/>
    </w:rPr>
  </w:style>
  <w:style w:type="character" w:customStyle="1" w:styleId="147">
    <w:name w:val="引用 Char"/>
    <w:link w:val="148"/>
    <w:qFormat/>
    <w:locked/>
    <w:uiPriority w:val="99"/>
    <w:rPr>
      <w:i/>
      <w:color w:val="000000"/>
    </w:rPr>
  </w:style>
  <w:style w:type="paragraph" w:customStyle="1" w:styleId="148">
    <w:name w:val="引用1"/>
    <w:basedOn w:val="1"/>
    <w:next w:val="1"/>
    <w:link w:val="147"/>
    <w:qFormat/>
    <w:uiPriority w:val="99"/>
    <w:rPr>
      <w:i/>
      <w:color w:val="000000"/>
      <w:kern w:val="0"/>
      <w:sz w:val="20"/>
      <w:szCs w:val="20"/>
    </w:rPr>
  </w:style>
  <w:style w:type="character" w:customStyle="1" w:styleId="149">
    <w:name w:val="纯文本 Char"/>
    <w:qFormat/>
    <w:uiPriority w:val="99"/>
    <w:rPr>
      <w:rFonts w:ascii="宋体" w:hAnsi="Courier New" w:eastAsia="宋体"/>
      <w:sz w:val="21"/>
    </w:rPr>
  </w:style>
  <w:style w:type="character" w:customStyle="1" w:styleId="150">
    <w:name w:val="日期 Char1"/>
    <w:qFormat/>
    <w:uiPriority w:val="99"/>
    <w:rPr>
      <w:rFonts w:ascii="Times New Roman" w:hAnsi="Times New Roman" w:eastAsia="宋体"/>
      <w:sz w:val="24"/>
    </w:rPr>
  </w:style>
  <w:style w:type="character" w:customStyle="1" w:styleId="151">
    <w:name w:val="纯文本 字符2"/>
    <w:qFormat/>
    <w:uiPriority w:val="99"/>
    <w:rPr>
      <w:rFonts w:ascii="宋体" w:hAnsi="Courier New" w:eastAsia="宋体"/>
      <w:sz w:val="21"/>
    </w:rPr>
  </w:style>
  <w:style w:type="character" w:customStyle="1" w:styleId="152">
    <w:name w:val="Char Char91"/>
    <w:qFormat/>
    <w:uiPriority w:val="99"/>
    <w:rPr>
      <w:rFonts w:eastAsia="宋体"/>
      <w:b/>
      <w:kern w:val="44"/>
      <w:sz w:val="44"/>
      <w:lang w:val="en-US" w:eastAsia="zh-CN"/>
    </w:rPr>
  </w:style>
  <w:style w:type="character" w:customStyle="1" w:styleId="153">
    <w:name w:val="批注文字 字符1"/>
    <w:qFormat/>
    <w:uiPriority w:val="99"/>
    <w:rPr>
      <w:rFonts w:ascii="Times New Roman" w:hAnsi="Times New Roman"/>
      <w:kern w:val="2"/>
      <w:sz w:val="24"/>
    </w:rPr>
  </w:style>
  <w:style w:type="character" w:customStyle="1" w:styleId="154">
    <w:name w:val="Char Char6"/>
    <w:qFormat/>
    <w:uiPriority w:val="99"/>
    <w:rPr>
      <w:rFonts w:eastAsia="宋体"/>
      <w:b/>
      <w:kern w:val="44"/>
      <w:sz w:val="44"/>
      <w:lang w:val="en-US" w:eastAsia="zh-CN"/>
    </w:rPr>
  </w:style>
  <w:style w:type="character" w:customStyle="1" w:styleId="155">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156">
    <w:name w:val="Comment Text Char1"/>
    <w:qFormat/>
    <w:uiPriority w:val="99"/>
    <w:rPr>
      <w:sz w:val="24"/>
    </w:rPr>
  </w:style>
  <w:style w:type="character" w:customStyle="1" w:styleId="157">
    <w:name w:val="纯文本 字符1"/>
    <w:qFormat/>
    <w:uiPriority w:val="99"/>
    <w:rPr>
      <w:rFonts w:ascii="宋体" w:hAnsi="Courier New"/>
    </w:rPr>
  </w:style>
  <w:style w:type="character" w:customStyle="1" w:styleId="158">
    <w:name w:val="正文文本 Char"/>
    <w:qFormat/>
    <w:uiPriority w:val="99"/>
    <w:rPr>
      <w:rFonts w:ascii="Times New Roman" w:hAnsi="Times New Roman"/>
      <w:kern w:val="2"/>
      <w:sz w:val="24"/>
    </w:rPr>
  </w:style>
  <w:style w:type="character" w:customStyle="1" w:styleId="159">
    <w:name w:val="批注文字 字符"/>
    <w:qFormat/>
    <w:uiPriority w:val="99"/>
    <w:rPr>
      <w:rFonts w:ascii="Times New Roman" w:hAnsi="Times New Roman"/>
      <w:kern w:val="2"/>
      <w:sz w:val="24"/>
    </w:rPr>
  </w:style>
  <w:style w:type="character" w:customStyle="1" w:styleId="160">
    <w:name w:val="标题 2 Char"/>
    <w:qFormat/>
    <w:uiPriority w:val="99"/>
    <w:rPr>
      <w:rFonts w:ascii="Cambria" w:hAnsi="Cambria" w:eastAsia="宋体"/>
      <w:b/>
      <w:kern w:val="2"/>
      <w:sz w:val="32"/>
    </w:rPr>
  </w:style>
  <w:style w:type="character" w:customStyle="1" w:styleId="161">
    <w:name w:val="标题 8 Char"/>
    <w:qFormat/>
    <w:uiPriority w:val="99"/>
    <w:rPr>
      <w:rFonts w:ascii="Arial" w:hAnsi="Arial" w:eastAsia="黑体"/>
      <w:kern w:val="2"/>
      <w:sz w:val="24"/>
    </w:rPr>
  </w:style>
  <w:style w:type="character" w:customStyle="1" w:styleId="162">
    <w:name w:val="apple-style-span"/>
    <w:qFormat/>
    <w:uiPriority w:val="99"/>
  </w:style>
  <w:style w:type="character" w:customStyle="1" w:styleId="163">
    <w:name w:val="正文文本 字符"/>
    <w:qFormat/>
    <w:uiPriority w:val="99"/>
    <w:rPr>
      <w:rFonts w:ascii="Times New Roman" w:hAnsi="Times New Roman"/>
      <w:kern w:val="2"/>
      <w:sz w:val="24"/>
    </w:rPr>
  </w:style>
  <w:style w:type="character" w:customStyle="1" w:styleId="164">
    <w:name w:val="批注文字 Char2"/>
    <w:qFormat/>
    <w:uiPriority w:val="99"/>
    <w:rPr>
      <w:rFonts w:ascii="Times New Roman" w:hAnsi="Times New Roman"/>
      <w:kern w:val="2"/>
      <w:sz w:val="24"/>
    </w:rPr>
  </w:style>
  <w:style w:type="character" w:customStyle="1" w:styleId="165">
    <w:name w:val="正文2 Char Char"/>
    <w:link w:val="166"/>
    <w:qFormat/>
    <w:locked/>
    <w:uiPriority w:val="99"/>
    <w:rPr>
      <w:kern w:val="2"/>
      <w:sz w:val="24"/>
    </w:rPr>
  </w:style>
  <w:style w:type="paragraph" w:customStyle="1" w:styleId="166">
    <w:name w:val="正文2"/>
    <w:basedOn w:val="1"/>
    <w:link w:val="165"/>
    <w:qFormat/>
    <w:uiPriority w:val="99"/>
    <w:pPr>
      <w:adjustRightInd w:val="0"/>
      <w:spacing w:before="156" w:line="360" w:lineRule="auto"/>
      <w:ind w:firstLine="510" w:firstLineChars="200"/>
    </w:pPr>
    <w:rPr>
      <w:sz w:val="24"/>
      <w:szCs w:val="20"/>
    </w:rPr>
  </w:style>
  <w:style w:type="character" w:customStyle="1" w:styleId="167">
    <w:name w:val="不明显强调1"/>
    <w:qFormat/>
    <w:uiPriority w:val="99"/>
    <w:rPr>
      <w:i/>
      <w:color w:val="808080"/>
    </w:rPr>
  </w:style>
  <w:style w:type="character" w:customStyle="1" w:styleId="168">
    <w:name w:val="Body text|6_"/>
    <w:link w:val="169"/>
    <w:qFormat/>
    <w:locked/>
    <w:uiPriority w:val="99"/>
    <w:rPr>
      <w:rFonts w:ascii="Arial" w:hAnsi="Arial"/>
      <w:lang w:val="zh-CN"/>
    </w:rPr>
  </w:style>
  <w:style w:type="paragraph" w:customStyle="1" w:styleId="169">
    <w:name w:val="Body text|6"/>
    <w:basedOn w:val="1"/>
    <w:link w:val="168"/>
    <w:qFormat/>
    <w:uiPriority w:val="99"/>
    <w:pPr>
      <w:ind w:hanging="2220"/>
      <w:jc w:val="left"/>
    </w:pPr>
    <w:rPr>
      <w:rFonts w:ascii="Arial" w:hAnsi="Arial"/>
      <w:kern w:val="0"/>
      <w:sz w:val="20"/>
      <w:szCs w:val="20"/>
      <w:lang w:val="zh-CN"/>
    </w:rPr>
  </w:style>
  <w:style w:type="character" w:customStyle="1" w:styleId="170">
    <w:name w:val="批注文字 Char Char"/>
    <w:qFormat/>
    <w:uiPriority w:val="99"/>
    <w:rPr>
      <w:rFonts w:ascii="宋体" w:hAnsi="Times New Roman" w:eastAsia="宋体"/>
      <w:sz w:val="20"/>
    </w:rPr>
  </w:style>
  <w:style w:type="character" w:customStyle="1" w:styleId="171">
    <w:name w:val="文档结构图 Char1"/>
    <w:qFormat/>
    <w:uiPriority w:val="99"/>
    <w:rPr>
      <w:rFonts w:ascii="宋体" w:hAnsi="Times New Roman" w:eastAsia="宋体"/>
      <w:sz w:val="18"/>
    </w:rPr>
  </w:style>
  <w:style w:type="character" w:customStyle="1" w:styleId="172">
    <w:name w:val="Char Char21"/>
    <w:qFormat/>
    <w:uiPriority w:val="99"/>
    <w:rPr>
      <w:rFonts w:ascii="Arial" w:hAnsi="Arial" w:eastAsia="黑体"/>
      <w:b/>
      <w:sz w:val="32"/>
    </w:rPr>
  </w:style>
  <w:style w:type="character" w:customStyle="1" w:styleId="173">
    <w:name w:val="Other|1_"/>
    <w:link w:val="174"/>
    <w:qFormat/>
    <w:locked/>
    <w:uiPriority w:val="99"/>
    <w:rPr>
      <w:rFonts w:ascii="宋体" w:eastAsia="宋体"/>
      <w:lang w:val="zh-CN"/>
    </w:rPr>
  </w:style>
  <w:style w:type="paragraph" w:customStyle="1" w:styleId="174">
    <w:name w:val="Other|1"/>
    <w:basedOn w:val="1"/>
    <w:link w:val="173"/>
    <w:qFormat/>
    <w:uiPriority w:val="99"/>
    <w:pPr>
      <w:spacing w:line="360" w:lineRule="auto"/>
      <w:ind w:firstLine="400"/>
      <w:jc w:val="left"/>
    </w:pPr>
    <w:rPr>
      <w:rFonts w:ascii="宋体"/>
      <w:kern w:val="0"/>
      <w:sz w:val="20"/>
      <w:szCs w:val="20"/>
      <w:lang w:val="zh-CN"/>
    </w:rPr>
  </w:style>
  <w:style w:type="character" w:customStyle="1" w:styleId="175">
    <w:name w:val="不明显参考1"/>
    <w:qFormat/>
    <w:uiPriority w:val="99"/>
    <w:rPr>
      <w:smallCaps/>
      <w:color w:val="auto"/>
      <w:u w:val="single"/>
    </w:rPr>
  </w:style>
  <w:style w:type="character" w:customStyle="1" w:styleId="176">
    <w:name w:val="Body text|7_"/>
    <w:link w:val="177"/>
    <w:qFormat/>
    <w:locked/>
    <w:uiPriority w:val="99"/>
    <w:rPr>
      <w:rFonts w:ascii="Courier New" w:hAnsi="Courier New"/>
      <w:b/>
      <w:sz w:val="8"/>
      <w:lang w:val="zh-CN"/>
    </w:rPr>
  </w:style>
  <w:style w:type="paragraph" w:customStyle="1" w:styleId="177">
    <w:name w:val="Body text|7"/>
    <w:basedOn w:val="1"/>
    <w:link w:val="176"/>
    <w:qFormat/>
    <w:uiPriority w:val="99"/>
    <w:pPr>
      <w:ind w:hanging="1760"/>
      <w:jc w:val="left"/>
    </w:pPr>
    <w:rPr>
      <w:rFonts w:ascii="Courier New" w:hAnsi="Courier New"/>
      <w:b/>
      <w:kern w:val="0"/>
      <w:sz w:val="8"/>
      <w:szCs w:val="20"/>
      <w:lang w:val="zh-CN"/>
    </w:rPr>
  </w:style>
  <w:style w:type="character" w:customStyle="1" w:styleId="178">
    <w:name w:val="Char Char20"/>
    <w:qFormat/>
    <w:uiPriority w:val="99"/>
    <w:rPr>
      <w:rFonts w:ascii="Times New Roman" w:hAnsi="Times New Roman" w:eastAsia="宋体"/>
      <w:b/>
      <w:sz w:val="32"/>
    </w:rPr>
  </w:style>
  <w:style w:type="character" w:customStyle="1" w:styleId="179">
    <w:name w:val="Body text|4_"/>
    <w:link w:val="180"/>
    <w:qFormat/>
    <w:locked/>
    <w:uiPriority w:val="99"/>
    <w:rPr>
      <w:rFonts w:ascii="宋体" w:eastAsia="宋体"/>
      <w:b/>
      <w:sz w:val="17"/>
      <w:lang w:val="zh-CN"/>
    </w:rPr>
  </w:style>
  <w:style w:type="paragraph" w:customStyle="1" w:styleId="180">
    <w:name w:val="Body text|4"/>
    <w:basedOn w:val="1"/>
    <w:link w:val="179"/>
    <w:qFormat/>
    <w:uiPriority w:val="99"/>
    <w:pPr>
      <w:spacing w:line="281" w:lineRule="exact"/>
      <w:jc w:val="center"/>
    </w:pPr>
    <w:rPr>
      <w:rFonts w:ascii="宋体"/>
      <w:b/>
      <w:kern w:val="0"/>
      <w:sz w:val="17"/>
      <w:szCs w:val="20"/>
      <w:lang w:val="zh-CN"/>
    </w:rPr>
  </w:style>
  <w:style w:type="character" w:customStyle="1" w:styleId="181">
    <w:name w:val="Heading #2|1_"/>
    <w:link w:val="182"/>
    <w:qFormat/>
    <w:locked/>
    <w:uiPriority w:val="99"/>
    <w:rPr>
      <w:rFonts w:ascii="宋体" w:eastAsia="宋体"/>
      <w:sz w:val="34"/>
      <w:lang w:val="zh-CN"/>
    </w:rPr>
  </w:style>
  <w:style w:type="paragraph" w:customStyle="1" w:styleId="182">
    <w:name w:val="Heading #2|1"/>
    <w:basedOn w:val="1"/>
    <w:link w:val="181"/>
    <w:qFormat/>
    <w:uiPriority w:val="99"/>
    <w:pPr>
      <w:spacing w:after="900"/>
      <w:jc w:val="center"/>
      <w:outlineLvl w:val="1"/>
    </w:pPr>
    <w:rPr>
      <w:rFonts w:ascii="宋体"/>
      <w:kern w:val="0"/>
      <w:sz w:val="34"/>
      <w:szCs w:val="20"/>
      <w:lang w:val="zh-CN"/>
    </w:rPr>
  </w:style>
  <w:style w:type="character" w:customStyle="1" w:styleId="183">
    <w:name w:val="批注框文本 Char1"/>
    <w:qFormat/>
    <w:uiPriority w:val="99"/>
    <w:rPr>
      <w:rFonts w:ascii="Times New Roman" w:hAnsi="Times New Roman" w:eastAsia="宋体"/>
      <w:sz w:val="18"/>
    </w:rPr>
  </w:style>
  <w:style w:type="character" w:customStyle="1" w:styleId="184">
    <w:name w:val="Char Char18"/>
    <w:qFormat/>
    <w:uiPriority w:val="99"/>
    <w:rPr>
      <w:rFonts w:ascii="Times New Roman" w:hAnsi="Times New Roman" w:eastAsia="宋体"/>
      <w:b/>
      <w:sz w:val="28"/>
    </w:rPr>
  </w:style>
  <w:style w:type="character" w:customStyle="1" w:styleId="185">
    <w:name w:val="批注主题 Char1"/>
    <w:qFormat/>
    <w:uiPriority w:val="99"/>
    <w:rPr>
      <w:rFonts w:ascii="Times New Roman" w:hAnsi="Times New Roman" w:eastAsia="宋体"/>
      <w:b/>
      <w:sz w:val="24"/>
    </w:rPr>
  </w:style>
  <w:style w:type="character" w:customStyle="1" w:styleId="186">
    <w:name w:val="Char Char24"/>
    <w:qFormat/>
    <w:uiPriority w:val="99"/>
    <w:rPr>
      <w:rFonts w:eastAsia="宋体"/>
      <w:b/>
      <w:kern w:val="44"/>
      <w:sz w:val="44"/>
      <w:lang w:val="en-US" w:eastAsia="zh-CN"/>
    </w:rPr>
  </w:style>
  <w:style w:type="character" w:customStyle="1" w:styleId="187">
    <w:name w:val="标题4 Char Char"/>
    <w:link w:val="188"/>
    <w:qFormat/>
    <w:locked/>
    <w:uiPriority w:val="99"/>
    <w:rPr>
      <w:rFonts w:ascii="Arial" w:hAnsi="Arial"/>
      <w:b/>
      <w:sz w:val="32"/>
    </w:rPr>
  </w:style>
  <w:style w:type="paragraph" w:customStyle="1" w:styleId="188">
    <w:name w:val="标题4"/>
    <w:basedOn w:val="8"/>
    <w:next w:val="23"/>
    <w:link w:val="187"/>
    <w:qFormat/>
    <w:uiPriority w:val="99"/>
    <w:pPr>
      <w:spacing w:before="60" w:after="60" w:line="413" w:lineRule="auto"/>
    </w:pPr>
    <w:rPr>
      <w:rFonts w:ascii="Arial" w:hAnsi="Arial"/>
      <w:bCs/>
      <w:kern w:val="0"/>
    </w:rPr>
  </w:style>
  <w:style w:type="character" w:customStyle="1" w:styleId="189">
    <w:name w:val="Header or footer|1_"/>
    <w:link w:val="190"/>
    <w:qFormat/>
    <w:locked/>
    <w:uiPriority w:val="99"/>
    <w:rPr>
      <w:sz w:val="17"/>
      <w:lang w:val="zh-CN"/>
    </w:rPr>
  </w:style>
  <w:style w:type="paragraph" w:customStyle="1" w:styleId="190">
    <w:name w:val="Header or footer|1"/>
    <w:basedOn w:val="1"/>
    <w:link w:val="189"/>
    <w:qFormat/>
    <w:uiPriority w:val="99"/>
    <w:pPr>
      <w:jc w:val="center"/>
    </w:pPr>
    <w:rPr>
      <w:kern w:val="0"/>
      <w:sz w:val="17"/>
      <w:szCs w:val="20"/>
      <w:lang w:val="zh-CN"/>
    </w:rPr>
  </w:style>
  <w:style w:type="character" w:customStyle="1" w:styleId="191">
    <w:name w:val="Heading #3|1_"/>
    <w:link w:val="192"/>
    <w:qFormat/>
    <w:locked/>
    <w:uiPriority w:val="99"/>
    <w:rPr>
      <w:rFonts w:ascii="宋体" w:eastAsia="宋体"/>
      <w:sz w:val="28"/>
      <w:lang w:val="zh-CN"/>
    </w:rPr>
  </w:style>
  <w:style w:type="paragraph" w:customStyle="1" w:styleId="192">
    <w:name w:val="Heading #3|1"/>
    <w:basedOn w:val="1"/>
    <w:link w:val="191"/>
    <w:qFormat/>
    <w:uiPriority w:val="99"/>
    <w:pPr>
      <w:spacing w:after="570"/>
      <w:jc w:val="center"/>
      <w:outlineLvl w:val="2"/>
    </w:pPr>
    <w:rPr>
      <w:rFonts w:ascii="宋体"/>
      <w:kern w:val="0"/>
      <w:sz w:val="28"/>
      <w:szCs w:val="20"/>
      <w:lang w:val="zh-CN"/>
    </w:rPr>
  </w:style>
  <w:style w:type="character" w:styleId="193">
    <w:name w:val="Placeholder Text"/>
    <w:basedOn w:val="47"/>
    <w:qFormat/>
    <w:uiPriority w:val="99"/>
    <w:rPr>
      <w:rFonts w:cs="Times New Roman"/>
      <w:color w:val="808080"/>
    </w:rPr>
  </w:style>
  <w:style w:type="paragraph" w:customStyle="1" w:styleId="19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5">
    <w:name w:val="List Paragraph"/>
    <w:basedOn w:val="1"/>
    <w:qFormat/>
    <w:uiPriority w:val="99"/>
    <w:pPr>
      <w:ind w:firstLine="420" w:firstLineChars="200"/>
    </w:pPr>
  </w:style>
  <w:style w:type="paragraph" w:customStyle="1" w:styleId="196">
    <w:name w:val="样式 标题 2 + Times New Roman 四号 非加粗 段前: 5 磅 段后: 0 磅 行距: 固定值 20..."/>
    <w:basedOn w:val="8"/>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8">
    <w:name w:val="Char Char Char Char Char Char Char"/>
    <w:basedOn w:val="1"/>
    <w:qFormat/>
    <w:uiPriority w:val="99"/>
    <w:pPr>
      <w:widowControl/>
      <w:spacing w:after="160" w:line="240" w:lineRule="exact"/>
      <w:jc w:val="left"/>
    </w:pPr>
    <w:rPr>
      <w:szCs w:val="21"/>
    </w:rPr>
  </w:style>
  <w:style w:type="paragraph" w:customStyle="1" w:styleId="199">
    <w:name w:val="Char"/>
    <w:basedOn w:val="1"/>
    <w:qFormat/>
    <w:uiPriority w:val="99"/>
    <w:pPr>
      <w:widowControl/>
      <w:spacing w:after="160" w:line="240" w:lineRule="exact"/>
      <w:jc w:val="left"/>
    </w:pPr>
    <w:rPr>
      <w:szCs w:val="21"/>
    </w:rPr>
  </w:style>
  <w:style w:type="paragraph" w:customStyle="1" w:styleId="200">
    <w:name w:val="默认段落字体 Para Char Char Char Char Char Char Char Char Char1 Char Char Char Char"/>
    <w:basedOn w:val="1"/>
    <w:qFormat/>
    <w:uiPriority w:val="99"/>
    <w:rPr>
      <w:rFonts w:ascii="Tahoma" w:hAnsi="Tahoma"/>
      <w:sz w:val="24"/>
      <w:szCs w:val="20"/>
    </w:rPr>
  </w:style>
  <w:style w:type="paragraph" w:customStyle="1" w:styleId="201">
    <w:name w:val="Table Paragraph"/>
    <w:basedOn w:val="1"/>
    <w:qFormat/>
    <w:uiPriority w:val="99"/>
    <w:pPr>
      <w:jc w:val="left"/>
    </w:pPr>
    <w:rPr>
      <w:rFonts w:ascii="Calibri" w:hAnsi="Calibri"/>
      <w:kern w:val="0"/>
      <w:sz w:val="22"/>
      <w:szCs w:val="22"/>
      <w:lang w:eastAsia="en-US"/>
    </w:rPr>
  </w:style>
  <w:style w:type="paragraph" w:customStyle="1" w:styleId="20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203">
    <w:name w:val="样式1"/>
    <w:basedOn w:val="1"/>
    <w:next w:val="5"/>
    <w:qFormat/>
    <w:uiPriority w:val="99"/>
    <w:pPr>
      <w:spacing w:line="360" w:lineRule="auto"/>
      <w:ind w:firstLine="420" w:firstLineChars="200"/>
    </w:pPr>
    <w:rPr>
      <w:rFonts w:ascii="宋体" w:hAnsi="宋体" w:cs="宋体"/>
      <w:szCs w:val="21"/>
    </w:rPr>
  </w:style>
  <w:style w:type="paragraph" w:customStyle="1" w:styleId="204">
    <w:name w:val="列出段落1"/>
    <w:basedOn w:val="1"/>
    <w:qFormat/>
    <w:uiPriority w:val="99"/>
    <w:pPr>
      <w:ind w:firstLine="420" w:firstLineChars="200"/>
    </w:pPr>
    <w:rPr>
      <w:rFonts w:ascii="Calibri" w:hAnsi="Calibri" w:cs="Calibri"/>
      <w:szCs w:val="21"/>
    </w:rPr>
  </w:style>
  <w:style w:type="paragraph" w:customStyle="1" w:styleId="205">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7">
    <w:name w:val="TOC 标题1"/>
    <w:basedOn w:val="7"/>
    <w:next w:val="1"/>
    <w:qFormat/>
    <w:uiPriority w:val="99"/>
    <w:pPr>
      <w:spacing w:line="576" w:lineRule="auto"/>
      <w:outlineLvl w:val="9"/>
    </w:pPr>
    <w:rPr>
      <w:rFonts w:ascii="Calibri" w:hAnsi="Calibri" w:eastAsia="黑体" w:cs="Calibri"/>
      <w:lang w:val="zh-CN"/>
    </w:rPr>
  </w:style>
  <w:style w:type="paragraph" w:customStyle="1" w:styleId="208">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9">
    <w:name w:val="p0"/>
    <w:basedOn w:val="1"/>
    <w:qFormat/>
    <w:uiPriority w:val="99"/>
    <w:pPr>
      <w:widowControl/>
    </w:pPr>
    <w:rPr>
      <w:rFonts w:ascii="Calibri" w:hAnsi="Calibri" w:cs="Calibri"/>
      <w:kern w:val="0"/>
      <w:szCs w:val="21"/>
    </w:rPr>
  </w:style>
  <w:style w:type="paragraph" w:customStyle="1" w:styleId="210">
    <w:name w:val="1"/>
    <w:basedOn w:val="1"/>
    <w:next w:val="1"/>
    <w:qFormat/>
    <w:uiPriority w:val="99"/>
    <w:rPr>
      <w:szCs w:val="21"/>
    </w:rPr>
  </w:style>
  <w:style w:type="paragraph" w:customStyle="1" w:styleId="211">
    <w:name w:val="列出段落2"/>
    <w:basedOn w:val="1"/>
    <w:qFormat/>
    <w:uiPriority w:val="99"/>
    <w:pPr>
      <w:ind w:firstLine="420" w:firstLineChars="200"/>
    </w:pPr>
    <w:rPr>
      <w:rFonts w:ascii="Calibri" w:hAnsi="Calibri" w:cs="Calibri"/>
      <w:szCs w:val="21"/>
    </w:rPr>
  </w:style>
  <w:style w:type="paragraph" w:customStyle="1" w:styleId="212">
    <w:name w:val="修订1"/>
    <w:qFormat/>
    <w:uiPriority w:val="99"/>
    <w:rPr>
      <w:rFonts w:ascii="Times New Roman" w:hAnsi="Times New Roman" w:eastAsia="宋体" w:cs="Times New Roman"/>
      <w:kern w:val="2"/>
      <w:sz w:val="21"/>
      <w:szCs w:val="21"/>
      <w:lang w:val="en-US" w:eastAsia="zh-CN" w:bidi="ar-SA"/>
    </w:rPr>
  </w:style>
  <w:style w:type="paragraph" w:customStyle="1" w:styleId="213">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修订11"/>
    <w:qFormat/>
    <w:uiPriority w:val="99"/>
    <w:rPr>
      <w:rFonts w:ascii="Times New Roman" w:hAnsi="Times New Roman" w:eastAsia="宋体" w:cs="Times New Roman"/>
      <w:kern w:val="2"/>
      <w:sz w:val="21"/>
      <w:szCs w:val="21"/>
      <w:lang w:val="en-US" w:eastAsia="zh-CN" w:bidi="ar-SA"/>
    </w:rPr>
  </w:style>
  <w:style w:type="paragraph" w:customStyle="1" w:styleId="215">
    <w:name w:val="2-2ji"/>
    <w:basedOn w:val="8"/>
    <w:qFormat/>
    <w:uiPriority w:val="99"/>
    <w:pPr>
      <w:spacing w:before="0" w:after="0" w:line="360" w:lineRule="auto"/>
      <w:jc w:val="center"/>
    </w:pPr>
    <w:rPr>
      <w:rFonts w:ascii="宋体" w:hAnsi="宋体" w:cs="宋体"/>
      <w:sz w:val="36"/>
      <w:szCs w:val="36"/>
      <w:lang w:val="zh-CN"/>
    </w:rPr>
  </w:style>
  <w:style w:type="paragraph" w:customStyle="1" w:styleId="21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7">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8">
    <w:name w:val="Char1"/>
    <w:basedOn w:val="1"/>
    <w:qFormat/>
    <w:uiPriority w:val="99"/>
    <w:pPr>
      <w:widowControl/>
      <w:spacing w:after="160" w:line="240" w:lineRule="exact"/>
      <w:jc w:val="left"/>
    </w:pPr>
    <w:rPr>
      <w:szCs w:val="21"/>
    </w:rPr>
  </w:style>
  <w:style w:type="paragraph" w:customStyle="1" w:styleId="219">
    <w:name w:val="_Style 37"/>
    <w:basedOn w:val="1"/>
    <w:next w:val="1"/>
    <w:qFormat/>
    <w:uiPriority w:val="99"/>
    <w:rPr>
      <w:szCs w:val="21"/>
    </w:rPr>
  </w:style>
  <w:style w:type="paragraph" w:customStyle="1" w:styleId="220">
    <w:name w:val="样式 标题 3 + (中文) 黑体 小四 非加粗 段前: 7.8 磅 段后: 0 磅 行距: 固定值 20 磅"/>
    <w:basedOn w:val="9"/>
    <w:qFormat/>
    <w:uiPriority w:val="99"/>
    <w:pPr>
      <w:spacing w:before="0" w:after="0" w:line="400" w:lineRule="exact"/>
    </w:pPr>
    <w:rPr>
      <w:rFonts w:eastAsia="黑体"/>
      <w:b w:val="0"/>
      <w:lang w:val="zh-CN"/>
    </w:rPr>
  </w:style>
  <w:style w:type="paragraph" w:styleId="22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正正正"/>
    <w:basedOn w:val="6"/>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3">
    <w:name w:val="_Style 1"/>
    <w:basedOn w:val="1"/>
    <w:qFormat/>
    <w:uiPriority w:val="99"/>
    <w:pPr>
      <w:ind w:firstLine="420" w:firstLineChars="200"/>
      <w:jc w:val="left"/>
    </w:pPr>
    <w:rPr>
      <w:rFonts w:ascii="Times New Roman)" w:hAnsi="Times New Roman)"/>
      <w:color w:val="000000"/>
      <w:kern w:val="0"/>
      <w:lang w:eastAsia="en-US"/>
    </w:rPr>
  </w:style>
  <w:style w:type="character" w:customStyle="1" w:styleId="224">
    <w:name w:val="bookmark-item"/>
    <w:qFormat/>
    <w:uiPriority w:val="99"/>
  </w:style>
  <w:style w:type="character" w:customStyle="1" w:styleId="225">
    <w:name w:val="纯文本 Char2"/>
    <w:qFormat/>
    <w:uiPriority w:val="99"/>
    <w:rPr>
      <w:rFonts w:ascii="宋体" w:hAnsi="Courier New" w:eastAsia="宋体"/>
      <w:sz w:val="21"/>
    </w:rPr>
  </w:style>
  <w:style w:type="character" w:customStyle="1" w:styleId="226">
    <w:name w:val="页脚 Char1"/>
    <w:qFormat/>
    <w:uiPriority w:val="99"/>
    <w:rPr>
      <w:rFonts w:ascii="Times New Roman" w:hAnsi="Times New Roman" w:eastAsia="宋体"/>
      <w:sz w:val="18"/>
    </w:rPr>
  </w:style>
  <w:style w:type="paragraph" w:customStyle="1" w:styleId="227">
    <w:name w:val="正文_3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正文_3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1">
    <w:name w:val="标题 4_1"/>
    <w:basedOn w:val="230"/>
    <w:next w:val="230"/>
    <w:qFormat/>
    <w:uiPriority w:val="99"/>
    <w:pPr>
      <w:keepNext/>
      <w:keepLines/>
      <w:spacing w:before="280" w:after="290" w:line="372" w:lineRule="auto"/>
      <w:outlineLvl w:val="3"/>
    </w:pPr>
    <w:rPr>
      <w:rFonts w:ascii="Cambria" w:hAnsi="Cambria"/>
      <w:b/>
      <w:bCs/>
      <w:sz w:val="28"/>
      <w:szCs w:val="28"/>
    </w:rPr>
  </w:style>
  <w:style w:type="paragraph" w:customStyle="1" w:styleId="232">
    <w:name w:val="正文_3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7"/>
    <w:qFormat/>
    <w:uiPriority w:val="99"/>
    <w:rPr>
      <w:rFonts w:cs="Times New Roman"/>
    </w:rPr>
  </w:style>
  <w:style w:type="character" w:customStyle="1" w:styleId="234">
    <w:name w:val="NormalCharacter"/>
    <w:qFormat/>
    <w:uiPriority w:val="99"/>
  </w:style>
  <w:style w:type="character" w:customStyle="1" w:styleId="235">
    <w:name w:val="layui-layer-tabnow"/>
    <w:basedOn w:val="47"/>
    <w:qFormat/>
    <w:uiPriority w:val="99"/>
    <w:rPr>
      <w:rFonts w:cs="Times New Roman"/>
      <w:bdr w:val="single" w:color="CCCCCC" w:sz="6" w:space="0"/>
      <w:shd w:val="clear" w:color="auto" w:fill="FFFFFF"/>
    </w:rPr>
  </w:style>
  <w:style w:type="paragraph" w:customStyle="1" w:styleId="236">
    <w:name w:val="Normal_0"/>
    <w:qFormat/>
    <w:uiPriority w:val="99"/>
    <w:rPr>
      <w:rFonts w:ascii="Times New Roman" w:hAnsi="Times New Roman" w:eastAsia="宋体" w:cs="Times New Roman"/>
      <w:sz w:val="24"/>
      <w:szCs w:val="24"/>
      <w:lang w:val="en-US" w:eastAsia="zh-CN" w:bidi="ar-SA"/>
    </w:rPr>
  </w:style>
  <w:style w:type="paragraph" w:customStyle="1" w:styleId="237">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3"/>
    <w:qFormat/>
    <w:uiPriority w:val="99"/>
    <w:rPr>
      <w:rFonts w:ascii="Times New Roman" w:hAnsi="Times New Roman" w:eastAsia="宋体" w:cs="Times New Roman"/>
      <w:sz w:val="24"/>
      <w:szCs w:val="24"/>
      <w:lang w:val="en-US" w:eastAsia="zh-CN" w:bidi="ar-SA"/>
    </w:rPr>
  </w:style>
  <w:style w:type="paragraph" w:customStyle="1" w:styleId="239">
    <w:name w:val="正文_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0">
    <w:name w:val="正文首行缩进 2 Char"/>
    <w:basedOn w:val="97"/>
    <w:link w:val="44"/>
    <w:semiHidden/>
    <w:qFormat/>
    <w:uiPriority w:val="99"/>
    <w:rPr>
      <w:rFonts w:ascii="仿宋_GB2312" w:hAnsi="Times New Roman" w:eastAsia="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32966</Words>
  <Characters>34635</Characters>
  <Lines>691</Lines>
  <Paragraphs>194</Paragraphs>
  <TotalTime>7</TotalTime>
  <ScaleCrop>false</ScaleCrop>
  <LinksUpToDate>false</LinksUpToDate>
  <CharactersWithSpaces>34888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2024-03-28T02:18:00Z</dcterms:created>
  <dc:creator>唐冰</dc:creator>
  <cp:lastModifiedBy>Administrator</cp:lastModifiedBy>
  <cp:lastPrinted>2020-04-02T08:20:00Z</cp:lastPrinted>
  <dcterms:modified xsi:type="dcterms:W3CDTF">2025-06-05T10:07:34Z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E67E33242F54455A996F0C395E2C04CF_13</vt:lpwstr>
  </property>
  <property fmtid="{D5CDD505-2E9C-101B-9397-08002B2CF9AE}" pid="4" name="KSOTemplateDocerSaveRecord">
    <vt:lpwstr>eyJoZGlkIjoiODA0OGY4ZWMyNTkwMDlmNjRiOWUxMDEyNjFiMTI2OGYiLCJ1c2VySWQiOiIyNTIwMzEwNDAifQ==</vt:lpwstr>
  </property>
</Properties>
</file>