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2665C">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26B321E1">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货物</w:t>
      </w:r>
      <w:r>
        <w:rPr>
          <w:rFonts w:hint="eastAsia" w:ascii="宋体" w:hAnsi="宋体" w:eastAsia="宋体" w:cs="宋体"/>
          <w:color w:val="auto"/>
          <w:sz w:val="28"/>
          <w:szCs w:val="28"/>
          <w:highlight w:val="none"/>
        </w:rPr>
        <w:t>类)</w:t>
      </w:r>
    </w:p>
    <w:p w14:paraId="062F871E">
      <w:pPr>
        <w:spacing w:before="156" w:beforeLines="50" w:line="360" w:lineRule="auto"/>
        <w:jc w:val="center"/>
        <w:rPr>
          <w:rFonts w:hint="eastAsia" w:ascii="宋体" w:hAnsi="宋体" w:eastAsia="宋体" w:cs="宋体"/>
          <w:color w:val="auto"/>
          <w:sz w:val="36"/>
          <w:szCs w:val="36"/>
          <w:highlight w:val="none"/>
        </w:rPr>
      </w:pPr>
    </w:p>
    <w:p w14:paraId="1829D348">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14:paraId="3B14FC64">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3D9F6D75">
      <w:pPr>
        <w:spacing w:line="360" w:lineRule="auto"/>
        <w:rPr>
          <w:rFonts w:hint="eastAsia" w:ascii="宋体" w:hAnsi="宋体" w:eastAsia="宋体" w:cs="宋体"/>
          <w:b/>
          <w:color w:val="auto"/>
          <w:sz w:val="32"/>
          <w:szCs w:val="32"/>
          <w:highlight w:val="none"/>
        </w:rPr>
      </w:pPr>
    </w:p>
    <w:p w14:paraId="0AB3DD28">
      <w:pPr>
        <w:spacing w:line="360" w:lineRule="auto"/>
        <w:jc w:val="center"/>
        <w:rPr>
          <w:rFonts w:hint="eastAsia" w:ascii="宋体" w:hAnsi="宋体" w:eastAsia="宋体" w:cs="宋体"/>
          <w:b/>
          <w:color w:val="auto"/>
          <w:sz w:val="32"/>
          <w:szCs w:val="32"/>
          <w:highlight w:val="none"/>
        </w:rPr>
      </w:pPr>
    </w:p>
    <w:p w14:paraId="28721DDB">
      <w:pPr>
        <w:pStyle w:val="15"/>
        <w:snapToGrid w:val="0"/>
        <w:spacing w:before="50" w:after="120" w:line="360" w:lineRule="auto"/>
        <w:ind w:left="0" w:leftChars="0" w:firstLine="0" w:firstLineChars="0"/>
        <w:jc w:val="center"/>
        <w:rPr>
          <w:rFonts w:hint="eastAsia" w:ascii="宋体" w:hAnsi="宋体" w:eastAsia="宋体" w:cs="宋体"/>
          <w:b/>
          <w:bCs/>
          <w:color w:val="auto"/>
          <w:sz w:val="30"/>
          <w:szCs w:val="30"/>
          <w:highlight w:val="none"/>
          <w:lang w:eastAsia="zh-CN"/>
        </w:rPr>
      </w:pPr>
      <w:r>
        <w:rPr>
          <w:rFonts w:hint="eastAsia"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eastAsia="宋体" w:cs="宋体"/>
          <w:b/>
          <w:bCs/>
          <w:color w:val="auto"/>
          <w:sz w:val="30"/>
          <w:szCs w:val="30"/>
          <w:highlight w:val="none"/>
          <w:lang w:eastAsia="zh-CN"/>
        </w:rPr>
        <w:t>南宁职业技术大学行人通道改造设备项目（重）</w:t>
      </w:r>
    </w:p>
    <w:p w14:paraId="1FF2CCBA">
      <w:pPr>
        <w:pStyle w:val="15"/>
        <w:snapToGrid w:val="0"/>
        <w:spacing w:before="50" w:after="120" w:line="360" w:lineRule="auto"/>
        <w:ind w:firstLine="1205" w:firstLineChars="400"/>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项目编号：</w:t>
      </w:r>
      <w:r>
        <w:rPr>
          <w:rFonts w:hint="eastAsia" w:hAnsi="宋体" w:eastAsia="宋体" w:cs="宋体"/>
          <w:b/>
          <w:bCs/>
          <w:color w:val="auto"/>
          <w:sz w:val="30"/>
          <w:szCs w:val="30"/>
          <w:highlight w:val="none"/>
          <w:lang w:eastAsia="zh-CN"/>
        </w:rPr>
        <w:t>NNZC2025-J1-990717-JDZB</w:t>
      </w:r>
    </w:p>
    <w:p w14:paraId="4FE7E591">
      <w:pPr>
        <w:snapToGrid w:val="0"/>
        <w:spacing w:before="156" w:beforeLines="50" w:line="360" w:lineRule="auto"/>
        <w:ind w:firstLine="1205" w:firstLineChars="400"/>
        <w:rPr>
          <w:rFonts w:ascii="宋体" w:hAnsi="宋体" w:cs="宋体"/>
          <w:b/>
          <w:color w:val="auto"/>
          <w:sz w:val="30"/>
          <w:szCs w:val="48"/>
          <w:highlight w:val="none"/>
        </w:rPr>
      </w:pPr>
      <w:r>
        <w:rPr>
          <w:rFonts w:hint="eastAsia" w:ascii="宋体" w:hAnsi="宋体" w:cs="宋体"/>
          <w:b/>
          <w:color w:val="auto"/>
          <w:sz w:val="30"/>
          <w:szCs w:val="48"/>
          <w:highlight w:val="none"/>
        </w:rPr>
        <w:t>项目所属区划：南宁市本级</w:t>
      </w:r>
    </w:p>
    <w:p w14:paraId="040C33DE">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eastAsia="zh-CN"/>
        </w:rPr>
      </w:pPr>
      <w:r>
        <w:rPr>
          <w:rFonts w:hint="eastAsia" w:ascii="宋体" w:hAnsi="宋体" w:cs="宋体"/>
          <w:b/>
          <w:bCs/>
          <w:color w:val="auto"/>
          <w:w w:val="95"/>
          <w:kern w:val="0"/>
          <w:sz w:val="30"/>
          <w:szCs w:val="30"/>
          <w:highlight w:val="none"/>
        </w:rPr>
        <w:t>采购人：</w:t>
      </w:r>
      <w:r>
        <w:rPr>
          <w:rFonts w:hint="eastAsia" w:ascii="宋体" w:hAnsi="宋体" w:cs="宋体"/>
          <w:b/>
          <w:bCs/>
          <w:color w:val="auto"/>
          <w:w w:val="95"/>
          <w:kern w:val="0"/>
          <w:sz w:val="30"/>
          <w:szCs w:val="30"/>
          <w:highlight w:val="none"/>
          <w:lang w:eastAsia="zh-CN"/>
        </w:rPr>
        <w:t>南宁职业技术大学</w:t>
      </w:r>
    </w:p>
    <w:p w14:paraId="753CE38A">
      <w:pPr>
        <w:snapToGrid w:val="0"/>
        <w:spacing w:before="50" w:after="120" w:line="360" w:lineRule="auto"/>
        <w:ind w:firstLine="1125" w:firstLineChars="393"/>
        <w:rPr>
          <w:rFonts w:ascii="宋体" w:hAnsi="宋体" w:cs="宋体"/>
          <w:b/>
          <w:bCs/>
          <w:color w:val="auto"/>
          <w:w w:val="95"/>
          <w:kern w:val="0"/>
          <w:sz w:val="30"/>
          <w:szCs w:val="30"/>
          <w:highlight w:val="none"/>
        </w:rPr>
      </w:pPr>
      <w:r>
        <w:rPr>
          <w:rFonts w:hint="eastAsia" w:ascii="宋体" w:hAnsi="宋体" w:cs="宋体"/>
          <w:b/>
          <w:bCs/>
          <w:color w:val="auto"/>
          <w:w w:val="95"/>
          <w:kern w:val="0"/>
          <w:sz w:val="30"/>
          <w:szCs w:val="30"/>
          <w:highlight w:val="none"/>
        </w:rPr>
        <w:t>采购代理机构：广西机电设备招标有限公司</w:t>
      </w:r>
    </w:p>
    <w:p w14:paraId="22A4F41F">
      <w:pPr>
        <w:spacing w:line="360" w:lineRule="auto"/>
        <w:ind w:firstLine="1285" w:firstLineChars="400"/>
        <w:jc w:val="both"/>
        <w:rPr>
          <w:rFonts w:hint="eastAsia" w:ascii="宋体" w:hAnsi="宋体" w:eastAsia="宋体" w:cs="宋体"/>
          <w:b/>
          <w:color w:val="auto"/>
          <w:sz w:val="32"/>
          <w:szCs w:val="32"/>
          <w:highlight w:val="none"/>
          <w:lang w:eastAsia="zh-CN"/>
        </w:rPr>
      </w:pPr>
    </w:p>
    <w:p w14:paraId="1370D6B6">
      <w:pPr>
        <w:spacing w:line="360" w:lineRule="auto"/>
        <w:jc w:val="center"/>
        <w:rPr>
          <w:rFonts w:hint="eastAsia" w:ascii="宋体" w:hAnsi="宋体" w:eastAsia="宋体" w:cs="宋体"/>
          <w:b/>
          <w:color w:val="auto"/>
          <w:sz w:val="32"/>
          <w:szCs w:val="32"/>
          <w:highlight w:val="none"/>
        </w:rPr>
      </w:pPr>
    </w:p>
    <w:p w14:paraId="72D9CD5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lang w:val="en-US" w:eastAsia="zh-CN"/>
        </w:rPr>
        <w:t>月</w:t>
      </w:r>
      <w:r>
        <w:rPr>
          <w:rFonts w:hint="eastAsia" w:ascii="宋体" w:hAnsi="宋体" w:eastAsia="宋体" w:cs="宋体"/>
          <w:b/>
          <w:color w:val="auto"/>
          <w:sz w:val="32"/>
          <w:szCs w:val="32"/>
          <w:highlight w:val="none"/>
          <w:lang w:val="en-US" w:eastAsia="zh-CN"/>
        </w:rPr>
        <w:t>23</w:t>
      </w:r>
      <w:r>
        <w:rPr>
          <w:rFonts w:hint="eastAsia" w:ascii="宋体" w:hAnsi="宋体" w:eastAsia="宋体" w:cs="宋体"/>
          <w:b/>
          <w:color w:val="auto"/>
          <w:sz w:val="32"/>
          <w:szCs w:val="32"/>
          <w:highlight w:val="none"/>
          <w:lang w:val="en-US" w:eastAsia="zh-CN"/>
        </w:rPr>
        <w:t>日</w:t>
      </w:r>
    </w:p>
    <w:p w14:paraId="34AA348A">
      <w:pPr>
        <w:spacing w:line="360" w:lineRule="auto"/>
        <w:jc w:val="center"/>
        <w:rPr>
          <w:rFonts w:hint="eastAsia" w:ascii="宋体" w:hAnsi="宋体" w:eastAsia="宋体" w:cs="宋体"/>
          <w:b/>
          <w:color w:val="auto"/>
          <w:sz w:val="44"/>
          <w:szCs w:val="44"/>
          <w:highlight w:val="none"/>
        </w:rPr>
        <w:sectPr>
          <w:headerReference r:id="rId5" w:type="default"/>
          <w:pgSz w:w="11911" w:h="16838"/>
          <w:pgMar w:top="1417" w:right="1417" w:bottom="1417" w:left="1417" w:header="720" w:footer="720" w:gutter="0"/>
          <w:paperSrc/>
          <w:cols w:space="720" w:num="1"/>
          <w:rtlGutter w:val="0"/>
          <w:docGrid w:linePitch="0" w:charSpace="0"/>
        </w:sectPr>
      </w:pPr>
    </w:p>
    <w:p w14:paraId="051D720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7327F66">
      <w:pPr>
        <w:spacing w:line="400" w:lineRule="exact"/>
        <w:jc w:val="center"/>
        <w:rPr>
          <w:rFonts w:hint="eastAsia" w:ascii="宋体" w:hAnsi="宋体" w:eastAsia="宋体" w:cs="宋体"/>
          <w:b/>
          <w:color w:val="auto"/>
          <w:sz w:val="44"/>
          <w:szCs w:val="44"/>
          <w:highlight w:val="none"/>
        </w:rPr>
      </w:pPr>
    </w:p>
    <w:p w14:paraId="02EF4E78">
      <w:pPr>
        <w:pStyle w:val="19"/>
        <w:tabs>
          <w:tab w:val="right" w:leader="dot" w:pos="9077"/>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_Toc29141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第一章 竞争性谈判公告</w:t>
      </w:r>
      <w:r>
        <w:rPr>
          <w:color w:val="auto"/>
          <w:highlight w:val="none"/>
        </w:rPr>
        <w:tab/>
      </w:r>
      <w:r>
        <w:rPr>
          <w:color w:val="auto"/>
          <w:highlight w:val="none"/>
        </w:rPr>
        <w:fldChar w:fldCharType="begin"/>
      </w:r>
      <w:r>
        <w:rPr>
          <w:color w:val="auto"/>
          <w:highlight w:val="none"/>
        </w:rPr>
        <w:instrText xml:space="preserve"> PAGEREF _Toc29141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8"/>
          <w:highlight w:val="none"/>
        </w:rPr>
        <w:fldChar w:fldCharType="end"/>
      </w:r>
    </w:p>
    <w:p w14:paraId="3CDA4DAB">
      <w:pPr>
        <w:pStyle w:val="19"/>
        <w:tabs>
          <w:tab w:val="right" w:leader="dot" w:pos="9077"/>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_Toc13305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_Toc13305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643A89E5">
      <w:pPr>
        <w:pStyle w:val="19"/>
        <w:tabs>
          <w:tab w:val="right" w:leader="dot" w:pos="9077"/>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_Toc7999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_Toc7999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8"/>
          <w:highlight w:val="none"/>
        </w:rPr>
        <w:fldChar w:fldCharType="end"/>
      </w:r>
    </w:p>
    <w:p w14:paraId="7B110729">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_Toc4170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_Toc4170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8"/>
          <w:highlight w:val="none"/>
        </w:rPr>
        <w:fldChar w:fldCharType="end"/>
      </w:r>
    </w:p>
    <w:p w14:paraId="50D03789">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_Toc3267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_Toc3267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8"/>
          <w:highlight w:val="none"/>
        </w:rPr>
        <w:fldChar w:fldCharType="end"/>
      </w:r>
    </w:p>
    <w:p w14:paraId="08855802">
      <w:pPr>
        <w:pStyle w:val="19"/>
        <w:tabs>
          <w:tab w:val="right" w:leader="dot" w:pos="9077"/>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_Toc12280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第四章 评审程序、评审方法和成交标准</w:t>
      </w:r>
      <w:r>
        <w:rPr>
          <w:color w:val="auto"/>
          <w:highlight w:val="none"/>
        </w:rPr>
        <w:tab/>
      </w:r>
      <w:r>
        <w:rPr>
          <w:color w:val="auto"/>
          <w:highlight w:val="none"/>
        </w:rPr>
        <w:fldChar w:fldCharType="begin"/>
      </w:r>
      <w:r>
        <w:rPr>
          <w:color w:val="auto"/>
          <w:highlight w:val="none"/>
        </w:rPr>
        <w:instrText xml:space="preserve"> PAGEREF _Toc12280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8"/>
          <w:highlight w:val="none"/>
        </w:rPr>
        <w:fldChar w:fldCharType="end"/>
      </w:r>
    </w:p>
    <w:p w14:paraId="0C59A380">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_Toc9772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_Toc9772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8"/>
          <w:highlight w:val="none"/>
        </w:rPr>
        <w:fldChar w:fldCharType="end"/>
      </w:r>
    </w:p>
    <w:p w14:paraId="51EA42FC">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_Toc26374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第二节 评审原则</w:t>
      </w:r>
      <w:r>
        <w:rPr>
          <w:color w:val="auto"/>
          <w:highlight w:val="none"/>
        </w:rPr>
        <w:tab/>
      </w:r>
      <w:r>
        <w:rPr>
          <w:color w:val="auto"/>
          <w:highlight w:val="none"/>
        </w:rPr>
        <w:fldChar w:fldCharType="begin"/>
      </w:r>
      <w:r>
        <w:rPr>
          <w:color w:val="auto"/>
          <w:highlight w:val="none"/>
        </w:rPr>
        <w:instrText xml:space="preserve"> PAGEREF _Toc26374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8"/>
          <w:highlight w:val="none"/>
        </w:rPr>
        <w:fldChar w:fldCharType="end"/>
      </w:r>
    </w:p>
    <w:p w14:paraId="137957D4">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_Toc12619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第三节 评标报告</w:t>
      </w:r>
      <w:r>
        <w:rPr>
          <w:color w:val="auto"/>
          <w:highlight w:val="none"/>
        </w:rPr>
        <w:tab/>
      </w:r>
      <w:r>
        <w:rPr>
          <w:color w:val="auto"/>
          <w:highlight w:val="none"/>
        </w:rPr>
        <w:fldChar w:fldCharType="begin"/>
      </w:r>
      <w:r>
        <w:rPr>
          <w:color w:val="auto"/>
          <w:highlight w:val="none"/>
        </w:rPr>
        <w:instrText xml:space="preserve"> PAGEREF _Toc12619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8"/>
          <w:highlight w:val="none"/>
        </w:rPr>
        <w:fldChar w:fldCharType="end"/>
      </w:r>
    </w:p>
    <w:p w14:paraId="1C9315E6">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_Toc1647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第四节 评审过程的保密与录像</w:t>
      </w:r>
      <w:r>
        <w:rPr>
          <w:color w:val="auto"/>
          <w:highlight w:val="none"/>
        </w:rPr>
        <w:tab/>
      </w:r>
      <w:r>
        <w:rPr>
          <w:color w:val="auto"/>
          <w:highlight w:val="none"/>
        </w:rPr>
        <w:fldChar w:fldCharType="begin"/>
      </w:r>
      <w:r>
        <w:rPr>
          <w:color w:val="auto"/>
          <w:highlight w:val="none"/>
        </w:rPr>
        <w:instrText xml:space="preserve"> PAGEREF _Toc1647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8"/>
          <w:highlight w:val="none"/>
        </w:rPr>
        <w:fldChar w:fldCharType="end"/>
      </w:r>
    </w:p>
    <w:p w14:paraId="30E9F48A">
      <w:pPr>
        <w:pStyle w:val="19"/>
        <w:tabs>
          <w:tab w:val="right" w:leader="dot" w:pos="9077"/>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_Toc7128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_Toc7128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8"/>
          <w:highlight w:val="none"/>
        </w:rPr>
        <w:fldChar w:fldCharType="end"/>
      </w:r>
    </w:p>
    <w:p w14:paraId="5F0724BE">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_Toc19220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_Toc19220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8"/>
          <w:highlight w:val="none"/>
        </w:rPr>
        <w:fldChar w:fldCharType="end"/>
      </w:r>
    </w:p>
    <w:p w14:paraId="3887410A">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_Toc9511 </w:instrText>
      </w:r>
      <w:r>
        <w:rPr>
          <w:rFonts w:hint="eastAsia" w:ascii="宋体" w:hAnsi="宋体" w:eastAsia="宋体" w:cs="宋体"/>
          <w:color w:val="auto"/>
          <w:szCs w:val="28"/>
          <w:highlight w:val="none"/>
        </w:rPr>
        <w:fldChar w:fldCharType="separate"/>
      </w:r>
      <w:r>
        <w:rPr>
          <w:rFonts w:hint="eastAsia" w:ascii="宋体" w:hAnsi="宋体" w:eastAsia="宋体" w:cs="宋体"/>
          <w:bCs/>
          <w:color w:val="auto"/>
          <w:szCs w:val="32"/>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_Toc9511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8"/>
          <w:highlight w:val="none"/>
        </w:rPr>
        <w:fldChar w:fldCharType="end"/>
      </w:r>
    </w:p>
    <w:p w14:paraId="4062766B">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_Toc32006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 xml:space="preserve">第二节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_Toc32006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szCs w:val="28"/>
          <w:highlight w:val="none"/>
        </w:rPr>
        <w:fldChar w:fldCharType="end"/>
      </w:r>
    </w:p>
    <w:p w14:paraId="287C8907">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_Toc10966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_Toc10966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8"/>
          <w:highlight w:val="none"/>
        </w:rPr>
        <w:fldChar w:fldCharType="end"/>
      </w:r>
    </w:p>
    <w:p w14:paraId="5CF40ED1">
      <w:pPr>
        <w:pStyle w:val="19"/>
        <w:tabs>
          <w:tab w:val="right" w:leader="dot" w:pos="9077"/>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_Toc2573 </w:instrText>
      </w:r>
      <w:r>
        <w:rPr>
          <w:rFonts w:hint="eastAsia" w:ascii="宋体" w:hAnsi="宋体" w:eastAsia="宋体" w:cs="宋体"/>
          <w:color w:val="auto"/>
          <w:szCs w:val="28"/>
          <w:highlight w:val="none"/>
        </w:rPr>
        <w:fldChar w:fldCharType="separate"/>
      </w:r>
      <w:r>
        <w:rPr>
          <w:rFonts w:hint="eastAsia" w:ascii="宋体" w:hAnsi="宋体" w:eastAsia="宋体" w:cs="宋体"/>
          <w:bCs w:val="0"/>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_Toc2573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szCs w:val="28"/>
          <w:highlight w:val="none"/>
        </w:rPr>
        <w:fldChar w:fldCharType="end"/>
      </w:r>
    </w:p>
    <w:p w14:paraId="4CD7D8C3">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_Toc22433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_Toc22433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szCs w:val="28"/>
          <w:highlight w:val="none"/>
        </w:rPr>
        <w:fldChar w:fldCharType="end"/>
      </w:r>
    </w:p>
    <w:p w14:paraId="58ADB3EA">
      <w:pPr>
        <w:pStyle w:val="21"/>
        <w:tabs>
          <w:tab w:val="right" w:leader="dot" w:pos="9077"/>
          <w:tab w:val="clear" w:pos="8296"/>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_Toc32171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_Toc32171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eastAsia="宋体" w:cs="宋体"/>
          <w:color w:val="auto"/>
          <w:szCs w:val="28"/>
          <w:highlight w:val="none"/>
        </w:rPr>
        <w:fldChar w:fldCharType="end"/>
      </w:r>
    </w:p>
    <w:p w14:paraId="5CEEB775">
      <w:pPr>
        <w:pStyle w:val="19"/>
        <w:tabs>
          <w:tab w:val="right" w:leader="dot" w:pos="9077"/>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_Toc11760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highlight w:val="none"/>
        </w:rPr>
        <w:t>第七章 质疑、投诉材料格式</w:t>
      </w:r>
      <w:r>
        <w:rPr>
          <w:color w:val="auto"/>
          <w:highlight w:val="none"/>
        </w:rPr>
        <w:tab/>
      </w:r>
      <w:r>
        <w:rPr>
          <w:color w:val="auto"/>
          <w:highlight w:val="none"/>
        </w:rPr>
        <w:fldChar w:fldCharType="begin"/>
      </w:r>
      <w:r>
        <w:rPr>
          <w:color w:val="auto"/>
          <w:highlight w:val="none"/>
        </w:rPr>
        <w:instrText xml:space="preserve"> PAGEREF _Toc11760 \h </w:instrText>
      </w:r>
      <w:r>
        <w:rPr>
          <w:color w:val="auto"/>
          <w:highlight w:val="none"/>
        </w:rPr>
        <w:fldChar w:fldCharType="separate"/>
      </w:r>
      <w:r>
        <w:rPr>
          <w:color w:val="auto"/>
          <w:highlight w:val="none"/>
        </w:rPr>
        <w:t>90</w:t>
      </w:r>
      <w:r>
        <w:rPr>
          <w:color w:val="auto"/>
          <w:highlight w:val="none"/>
        </w:rPr>
        <w:fldChar w:fldCharType="end"/>
      </w:r>
      <w:r>
        <w:rPr>
          <w:rFonts w:hint="eastAsia" w:ascii="宋体" w:hAnsi="宋体" w:eastAsia="宋体" w:cs="宋体"/>
          <w:color w:val="auto"/>
          <w:szCs w:val="28"/>
          <w:highlight w:val="none"/>
        </w:rPr>
        <w:fldChar w:fldCharType="end"/>
      </w:r>
    </w:p>
    <w:p w14:paraId="038D7179">
      <w:pPr>
        <w:pStyle w:val="21"/>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rPr>
        <w:fldChar w:fldCharType="end"/>
      </w:r>
    </w:p>
    <w:p w14:paraId="49DC5EF7">
      <w:pPr>
        <w:spacing w:line="400" w:lineRule="exact"/>
        <w:jc w:val="left"/>
        <w:rPr>
          <w:rFonts w:hint="eastAsia" w:ascii="宋体" w:hAnsi="宋体" w:eastAsia="宋体" w:cs="宋体"/>
          <w:b/>
          <w:color w:val="auto"/>
          <w:sz w:val="32"/>
          <w:szCs w:val="32"/>
          <w:highlight w:val="none"/>
        </w:rPr>
      </w:pPr>
    </w:p>
    <w:p w14:paraId="66ADDA5A">
      <w:pPr>
        <w:spacing w:line="400" w:lineRule="exact"/>
        <w:jc w:val="center"/>
        <w:rPr>
          <w:rFonts w:hint="eastAsia" w:ascii="宋体" w:hAnsi="宋体" w:eastAsia="宋体" w:cs="宋体"/>
          <w:b/>
          <w:color w:val="auto"/>
          <w:sz w:val="32"/>
          <w:szCs w:val="32"/>
          <w:highlight w:val="none"/>
        </w:rPr>
      </w:pPr>
    </w:p>
    <w:p w14:paraId="61444E8C">
      <w:pPr>
        <w:tabs>
          <w:tab w:val="left" w:pos="7935"/>
        </w:tabs>
        <w:spacing w:line="400" w:lineRule="exact"/>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ab/>
      </w:r>
    </w:p>
    <w:p w14:paraId="68EF013D">
      <w:pPr>
        <w:spacing w:line="400" w:lineRule="exact"/>
        <w:jc w:val="center"/>
        <w:rPr>
          <w:rFonts w:hint="eastAsia" w:ascii="宋体" w:hAnsi="宋体" w:eastAsia="宋体" w:cs="宋体"/>
          <w:b/>
          <w:color w:val="auto"/>
          <w:sz w:val="32"/>
          <w:szCs w:val="32"/>
          <w:highlight w:val="none"/>
        </w:rPr>
      </w:pPr>
    </w:p>
    <w:p w14:paraId="4C716B21">
      <w:pPr>
        <w:keepNext/>
        <w:keepLines/>
        <w:spacing w:after="330" w:line="440" w:lineRule="exact"/>
        <w:jc w:val="center"/>
        <w:outlineLvl w:val="0"/>
        <w:rPr>
          <w:rFonts w:hint="eastAsia" w:ascii="宋体" w:hAnsi="宋体" w:cs="宋体"/>
          <w:b/>
          <w:bCs/>
          <w:color w:val="auto"/>
          <w:kern w:val="44"/>
          <w:sz w:val="44"/>
          <w:szCs w:val="44"/>
          <w:highlight w:val="none"/>
        </w:rPr>
      </w:pPr>
      <w:r>
        <w:rPr>
          <w:rFonts w:hint="eastAsia" w:ascii="宋体" w:hAnsi="宋体" w:eastAsia="宋体" w:cs="宋体"/>
          <w:color w:val="auto"/>
          <w:highlight w:val="none"/>
        </w:rPr>
        <w:br w:type="page"/>
      </w:r>
      <w:bookmarkStart w:id="0" w:name="_Toc1357"/>
      <w:bookmarkStart w:id="1" w:name="_Toc29141"/>
      <w:bookmarkStart w:id="2" w:name="_Toc24886"/>
      <w:r>
        <w:rPr>
          <w:rFonts w:hint="eastAsia" w:ascii="宋体" w:hAnsi="宋体" w:cs="宋体"/>
          <w:b/>
          <w:bCs/>
          <w:color w:val="auto"/>
          <w:kern w:val="44"/>
          <w:sz w:val="44"/>
          <w:szCs w:val="44"/>
          <w:highlight w:val="none"/>
        </w:rPr>
        <w:t>第一章竞争性谈判公告</w:t>
      </w:r>
      <w:bookmarkEnd w:id="0"/>
    </w:p>
    <w:p w14:paraId="529784A3">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广西机电设备招标有限公司关于</w:t>
      </w:r>
      <w:r>
        <w:rPr>
          <w:rFonts w:hint="eastAsia" w:ascii="宋体" w:hAnsi="宋体" w:eastAsia="宋体" w:cs="宋体"/>
          <w:color w:val="auto"/>
          <w:kern w:val="0"/>
          <w:sz w:val="24"/>
          <w:szCs w:val="24"/>
          <w:highlight w:val="none"/>
          <w:lang w:val="en-US" w:eastAsia="zh-CN" w:bidi="ar"/>
        </w:rPr>
        <w:t>南宁职业技术大学行人通道改造设备项目（重）</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eastAsia="zh-CN"/>
        </w:rPr>
        <w:t>NNZC2025-J1-990717-JDZB</w:t>
      </w:r>
      <w:r>
        <w:rPr>
          <w:rFonts w:hint="eastAsia" w:ascii="宋体" w:hAnsi="宋体" w:eastAsia="宋体" w:cs="宋体"/>
          <w:color w:val="auto"/>
          <w:kern w:val="0"/>
          <w:sz w:val="24"/>
          <w:szCs w:val="24"/>
          <w:highlight w:val="none"/>
          <w:lang w:val="en-US" w:eastAsia="zh-CN" w:bidi="ar"/>
        </w:rPr>
        <w:t>）竞争性谈判公告</w:t>
      </w:r>
    </w:p>
    <w:p w14:paraId="04B4B4C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highlight w:val="none"/>
          <w:lang w:val="en-US" w:eastAsia="zh-CN" w:bidi="ar"/>
        </w:rPr>
      </w:pPr>
    </w:p>
    <w:bookmarkEnd w:id="1"/>
    <w:bookmarkEnd w:id="2"/>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293"/>
      </w:tblGrid>
      <w:tr w14:paraId="203A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3" w:type="dxa"/>
          </w:tcPr>
          <w:p w14:paraId="1EC66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bookmarkStart w:id="3" w:name="_Toc35393629"/>
            <w:bookmarkStart w:id="4" w:name="_Toc35393798"/>
            <w:bookmarkStart w:id="5" w:name="_Toc28359089"/>
            <w:bookmarkStart w:id="6" w:name="_Toc28359012"/>
            <w:bookmarkStart w:id="7" w:name="_Toc44229878"/>
            <w:bookmarkStart w:id="8" w:name="_Toc35393792"/>
            <w:bookmarkStart w:id="9" w:name="_Toc35393623"/>
            <w:bookmarkStart w:id="10" w:name="_Toc28359004"/>
            <w:bookmarkStart w:id="11" w:name="_Toc28359081"/>
            <w:r>
              <w:rPr>
                <w:rFonts w:hint="eastAsia" w:ascii="宋体" w:hAnsi="宋体" w:eastAsia="宋体" w:cs="宋体"/>
                <w:bCs/>
                <w:color w:val="auto"/>
                <w:sz w:val="24"/>
                <w:szCs w:val="24"/>
                <w:highlight w:val="none"/>
              </w:rPr>
              <w:t>项目概况</w:t>
            </w:r>
          </w:p>
          <w:p w14:paraId="6B9BC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vertAlign w:val="baseline"/>
              </w:rPr>
            </w:pPr>
            <w:r>
              <w:rPr>
                <w:rFonts w:hint="eastAsia" w:ascii="宋体" w:hAnsi="宋体" w:eastAsia="宋体" w:cs="宋体"/>
                <w:bCs/>
                <w:color w:val="auto"/>
                <w:sz w:val="24"/>
                <w:szCs w:val="24"/>
                <w:highlight w:val="none"/>
              </w:rPr>
              <w:t>南宁职业技术大学行人通道改造设备项目（重）的潜在供应商应在广西政府采购云平台（https://www.gcy.zfcg.gxzf.gov.cn/）获取（下载）竞争性谈判文件，并于</w:t>
            </w:r>
            <w:r>
              <w:rPr>
                <w:rFonts w:hint="eastAsia" w:ascii="宋体" w:hAnsi="宋体" w:eastAsia="宋体" w:cs="宋体"/>
                <w:bCs/>
                <w:color w:val="auto"/>
                <w:sz w:val="24"/>
                <w:szCs w:val="24"/>
                <w:highlight w:val="none"/>
              </w:rPr>
              <w:t>2025年7月</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0分</w:t>
            </w:r>
            <w:r>
              <w:rPr>
                <w:rFonts w:hint="eastAsia" w:ascii="宋体" w:hAnsi="宋体" w:eastAsia="宋体" w:cs="宋体"/>
                <w:bCs/>
                <w:color w:val="auto"/>
                <w:sz w:val="24"/>
                <w:szCs w:val="24"/>
                <w:highlight w:val="none"/>
              </w:rPr>
              <w:t>（北京时间）前提交响应文件。</w:t>
            </w:r>
          </w:p>
        </w:tc>
      </w:tr>
    </w:tbl>
    <w:p w14:paraId="28C9ADDB">
      <w:pPr>
        <w:spacing w:before="0" w:line="500" w:lineRule="exact"/>
        <w:jc w:val="center"/>
        <w:outlineLvl w:val="9"/>
        <w:rPr>
          <w:rFonts w:hint="eastAsia"/>
          <w:color w:val="auto"/>
          <w:highlight w:val="none"/>
        </w:rPr>
      </w:pPr>
    </w:p>
    <w:p w14:paraId="4741B6E8">
      <w:pPr>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szCs w:val="24"/>
          <w:highlight w:val="none"/>
        </w:rPr>
        <w:t>、项目基本情况</w:t>
      </w:r>
      <w:bookmarkEnd w:id="3"/>
      <w:bookmarkEnd w:id="4"/>
      <w:bookmarkEnd w:id="5"/>
      <w:bookmarkEnd w:id="6"/>
      <w:bookmarkEnd w:id="7"/>
    </w:p>
    <w:p w14:paraId="3B7C4A2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NNZC2025-J1-990717-JDZB</w:t>
      </w:r>
    </w:p>
    <w:p w14:paraId="4850AA1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南宁职业技术大学行人通道改造设备项目（重）</w:t>
      </w:r>
    </w:p>
    <w:p w14:paraId="4356AC2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采购方式：竞争性谈判</w:t>
      </w:r>
    </w:p>
    <w:p w14:paraId="4380FE17">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预算总金额（元）：</w:t>
      </w:r>
      <w:r>
        <w:rPr>
          <w:rFonts w:hint="eastAsia" w:ascii="宋体" w:hAnsi="宋体" w:eastAsia="宋体" w:cs="宋体"/>
          <w:color w:val="auto"/>
          <w:sz w:val="24"/>
          <w:szCs w:val="24"/>
          <w:highlight w:val="none"/>
          <w:lang w:val="en-US" w:eastAsia="zh-CN"/>
        </w:rPr>
        <w:t>536500.00</w:t>
      </w:r>
    </w:p>
    <w:p w14:paraId="0A611D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7B314E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南宁职业技术大学行人通道改造设备项目（重）</w:t>
      </w:r>
    </w:p>
    <w:p w14:paraId="156AB8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p>
    <w:p w14:paraId="374334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536500</w:t>
      </w:r>
    </w:p>
    <w:p w14:paraId="61DC2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val="en-US" w:eastAsia="zh-CN"/>
        </w:rPr>
        <w:t>拟采购</w:t>
      </w:r>
      <w:r>
        <w:rPr>
          <w:rFonts w:hint="eastAsia" w:ascii="宋体" w:hAnsi="宋体" w:eastAsia="宋体" w:cs="宋体"/>
          <w:color w:val="auto"/>
          <w:sz w:val="24"/>
          <w:szCs w:val="24"/>
          <w:highlight w:val="none"/>
        </w:rPr>
        <w:t>翼闸单机芯16台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翼闸双机芯13台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人脸识别一体机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42台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人脸识别机支架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42个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8口千兆交换机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9台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集成施工服务1项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具体内容详见竞争性谈判文件第二章《采购需求》</w:t>
      </w:r>
      <w:r>
        <w:rPr>
          <w:rFonts w:hint="eastAsia" w:ascii="宋体" w:hAnsi="宋体" w:eastAsia="宋体" w:cs="宋体"/>
          <w:color w:val="auto"/>
          <w:sz w:val="24"/>
          <w:szCs w:val="24"/>
          <w:highlight w:val="none"/>
          <w:lang w:eastAsia="zh-CN"/>
        </w:rPr>
        <w:t>。</w:t>
      </w:r>
    </w:p>
    <w:p w14:paraId="69D3A039">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最高限价（如有）：</w:t>
      </w:r>
      <w:r>
        <w:rPr>
          <w:rFonts w:hint="eastAsia" w:ascii="宋体" w:hAnsi="宋体" w:eastAsia="宋体" w:cs="宋体"/>
          <w:color w:val="auto"/>
          <w:sz w:val="24"/>
          <w:szCs w:val="24"/>
          <w:highlight w:val="none"/>
          <w:lang w:val="en-US" w:eastAsia="zh-CN"/>
        </w:rPr>
        <w:t>536500.00</w:t>
      </w:r>
    </w:p>
    <w:p w14:paraId="100057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合同履约期限：合同签订后30日历天内交货（含安装调试）。</w:t>
      </w:r>
    </w:p>
    <w:p w14:paraId="2BD686A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w:t>
      </w:r>
      <w:r>
        <w:rPr>
          <w:rFonts w:hint="eastAsia" w:ascii="宋体" w:hAnsi="宋体" w:eastAsia="宋体" w:cs="宋体"/>
          <w:color w:val="auto"/>
          <w:sz w:val="24"/>
          <w:szCs w:val="24"/>
          <w:highlight w:val="none"/>
          <w:lang w:eastAsia="zh-CN"/>
        </w:rPr>
        <w:t>。</w:t>
      </w:r>
    </w:p>
    <w:p w14:paraId="1A42CA48">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val="en-US" w:eastAsia="zh-CN"/>
        </w:rPr>
        <w:t>采购计划号：</w:t>
      </w:r>
      <w:r>
        <w:rPr>
          <w:rFonts w:hint="eastAsia" w:ascii="宋体" w:hAnsi="宋体" w:eastAsia="宋体" w:cs="宋体"/>
          <w:color w:val="auto"/>
          <w:sz w:val="24"/>
          <w:szCs w:val="24"/>
          <w:highlight w:val="none"/>
          <w:lang w:val="en-US" w:eastAsia="zh-CN"/>
        </w:rPr>
        <w:t>NNZC[2025]4215号-001、NNZC[2025]4215号-002</w:t>
      </w:r>
      <w:r>
        <w:rPr>
          <w:rFonts w:hint="eastAsia" w:ascii="宋体" w:hAnsi="宋体" w:eastAsia="宋体" w:cs="宋体"/>
          <w:color w:val="auto"/>
          <w:sz w:val="24"/>
          <w:szCs w:val="24"/>
          <w:highlight w:val="none"/>
          <w:lang w:val="en-US" w:eastAsia="zh-CN"/>
        </w:rPr>
        <w:t>。</w:t>
      </w:r>
    </w:p>
    <w:p w14:paraId="41C8CB5F">
      <w:pPr>
        <w:spacing w:line="360" w:lineRule="auto"/>
        <w:ind w:firstLine="482" w:firstLineChars="200"/>
        <w:rPr>
          <w:rFonts w:hint="eastAsia" w:ascii="宋体" w:hAnsi="宋体" w:eastAsia="宋体" w:cs="宋体"/>
          <w:bCs/>
          <w:color w:val="auto"/>
          <w:sz w:val="24"/>
          <w:szCs w:val="24"/>
          <w:highlight w:val="none"/>
        </w:rPr>
      </w:pPr>
      <w:bookmarkStart w:id="12" w:name="_Toc35393630"/>
      <w:bookmarkStart w:id="13" w:name="_Toc44229879"/>
      <w:bookmarkStart w:id="14" w:name="_Toc28359013"/>
      <w:bookmarkStart w:id="15" w:name="_Toc28359090"/>
      <w:bookmarkStart w:id="16" w:name="_Toc35393799"/>
      <w:r>
        <w:rPr>
          <w:rFonts w:hint="eastAsia" w:ascii="宋体" w:hAnsi="宋体" w:eastAsia="宋体" w:cs="宋体"/>
          <w:b/>
          <w:color w:val="auto"/>
          <w:kern w:val="44"/>
          <w:sz w:val="24"/>
          <w:szCs w:val="24"/>
          <w:highlight w:val="none"/>
        </w:rPr>
        <w:t>二、申请人的资格条件</w:t>
      </w:r>
      <w:bookmarkEnd w:id="12"/>
      <w:bookmarkEnd w:id="13"/>
      <w:bookmarkEnd w:id="14"/>
      <w:bookmarkEnd w:id="15"/>
      <w:bookmarkEnd w:id="16"/>
    </w:p>
    <w:p w14:paraId="3721E1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66F6977D">
      <w:pPr>
        <w:pStyle w:val="26"/>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b/>
          <w:bCs/>
          <w:color w:val="auto"/>
          <w:szCs w:val="21"/>
          <w:highlight w:val="none"/>
        </w:rPr>
        <w:t>非专门面向中小企业采购的项目</w:t>
      </w:r>
      <w:r>
        <w:rPr>
          <w:rFonts w:hint="eastAsia" w:ascii="宋体" w:hAnsi="宋体" w:eastAsia="宋体" w:cs="宋体"/>
          <w:color w:val="auto"/>
          <w:sz w:val="24"/>
          <w:szCs w:val="24"/>
          <w:highlight w:val="none"/>
        </w:rPr>
        <w:t>。</w:t>
      </w:r>
    </w:p>
    <w:p w14:paraId="69EC35C8">
      <w:pPr>
        <w:spacing w:line="360" w:lineRule="auto"/>
        <w:ind w:firstLine="480" w:firstLineChars="200"/>
        <w:rPr>
          <w:rFonts w:hint="eastAsia" w:ascii="宋体" w:hAnsi="宋体" w:eastAsia="宋体" w:cs="宋体"/>
          <w:color w:val="auto"/>
          <w:sz w:val="24"/>
          <w:szCs w:val="24"/>
          <w:highlight w:val="none"/>
        </w:rPr>
      </w:pPr>
      <w:bookmarkStart w:id="17" w:name="PO_3000001870_PM005"/>
      <w:r>
        <w:rPr>
          <w:rFonts w:hint="eastAsia" w:ascii="宋体" w:hAnsi="宋体" w:eastAsia="宋体" w:cs="宋体"/>
          <w:color w:val="auto"/>
          <w:sz w:val="24"/>
          <w:szCs w:val="24"/>
          <w:highlight w:val="none"/>
        </w:rPr>
        <w:t>3.本项目的特定资格要求：无</w:t>
      </w:r>
    </w:p>
    <w:p w14:paraId="6C0EB6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4.本项目的特定条件：无</w:t>
      </w:r>
    </w:p>
    <w:bookmarkEnd w:id="17"/>
    <w:p w14:paraId="5B0B9BD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3813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6.对在“信用中国”网站(www.creditchina.gov.cn) 、中国政府采购网(www.ccgp.gov.cn)被列入失信被执行人、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、政府采购严重违法失信行为记录名单及其他不符合《中华人民共和国政府采购法》第二十二条规定条件的供应商，不得参与政府采购活动。</w:t>
      </w:r>
    </w:p>
    <w:p w14:paraId="336C606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w:t>
      </w:r>
      <w:bookmarkEnd w:id="8"/>
      <w:bookmarkEnd w:id="9"/>
      <w:bookmarkEnd w:id="10"/>
      <w:bookmarkEnd w:id="11"/>
      <w:r>
        <w:rPr>
          <w:rFonts w:hint="eastAsia" w:ascii="宋体" w:hAnsi="宋体" w:eastAsia="宋体" w:cs="宋体"/>
          <w:b/>
          <w:bCs/>
          <w:color w:val="auto"/>
          <w:sz w:val="24"/>
          <w:szCs w:val="24"/>
          <w:highlight w:val="none"/>
        </w:rPr>
        <w:t>采购文件</w:t>
      </w:r>
    </w:p>
    <w:p w14:paraId="158B944C">
      <w:pPr>
        <w:snapToGrid w:val="0"/>
        <w:spacing w:line="360" w:lineRule="auto"/>
        <w:ind w:firstLine="480" w:firstLineChars="200"/>
        <w:rPr>
          <w:rFonts w:hint="eastAsia" w:ascii="宋体" w:hAnsi="宋体" w:eastAsia="宋体" w:cs="宋体"/>
          <w:color w:val="auto"/>
          <w:sz w:val="24"/>
          <w:szCs w:val="24"/>
          <w:highlight w:val="none"/>
        </w:rPr>
      </w:pPr>
      <w:bookmarkStart w:id="18" w:name="_Toc28359082"/>
      <w:bookmarkStart w:id="19" w:name="_Toc35393624"/>
      <w:bookmarkStart w:id="20" w:name="_Toc28359005"/>
      <w:bookmarkStart w:id="21" w:name="_Toc35393793"/>
      <w:r>
        <w:rPr>
          <w:rFonts w:hint="eastAsia" w:ascii="宋体" w:hAnsi="宋体" w:eastAsia="宋体" w:cs="宋体"/>
          <w:color w:val="auto"/>
          <w:sz w:val="24"/>
          <w:szCs w:val="24"/>
          <w:highlight w:val="none"/>
        </w:rPr>
        <w:t>时间：自公告发布之日起至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，每天上午00:00至</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，下午12:00至23:59（北京时间）。</w:t>
      </w:r>
    </w:p>
    <w:p w14:paraId="432FBD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szCs w:val="24"/>
          <w:highlight w:val="none"/>
        </w:rPr>
        <w:t>（</w:t>
      </w:r>
      <w:r>
        <w:rPr>
          <w:rStyle w:val="30"/>
          <w:rFonts w:hint="eastAsia" w:ascii="宋体" w:hAnsi="宋体" w:eastAsia="宋体" w:cs="宋体"/>
          <w:b w:val="0"/>
          <w:bCs/>
          <w:i w:val="0"/>
          <w:caps w:val="0"/>
          <w:color w:val="auto"/>
          <w:spacing w:val="0"/>
          <w:sz w:val="24"/>
          <w:szCs w:val="24"/>
          <w:highlight w:val="none"/>
        </w:rPr>
        <w:t>https://www.gcy.zfcg.gxzf.gov.cn/</w:t>
      </w:r>
      <w:r>
        <w:rPr>
          <w:rFonts w:hint="eastAsia" w:ascii="宋体" w:hAnsi="宋体" w:eastAsia="宋体" w:cs="宋体"/>
          <w:color w:val="auto"/>
          <w:sz w:val="24"/>
          <w:szCs w:val="24"/>
          <w:highlight w:val="none"/>
        </w:rPr>
        <w:t>）</w:t>
      </w:r>
    </w:p>
    <w:p w14:paraId="6209E504">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获取方式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网上下载。本项目不发放纸质采购文件，供应商可自行在</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szCs w:val="24"/>
          <w:highlight w:val="none"/>
        </w:rPr>
        <w:t>（</w:t>
      </w:r>
      <w:r>
        <w:rPr>
          <w:rStyle w:val="30"/>
          <w:rFonts w:hint="eastAsia" w:ascii="宋体" w:hAnsi="宋体" w:eastAsia="宋体" w:cs="宋体"/>
          <w:b w:val="0"/>
          <w:bCs/>
          <w:i w:val="0"/>
          <w:caps w:val="0"/>
          <w:color w:val="auto"/>
          <w:spacing w:val="0"/>
          <w:sz w:val="24"/>
          <w:szCs w:val="24"/>
          <w:highlight w:val="none"/>
        </w:rPr>
        <w:t>https://www.gcy.zfcg.gxzf.gov.cn/</w:t>
      </w:r>
      <w:r>
        <w:rPr>
          <w:rFonts w:hint="eastAsia" w:ascii="宋体" w:hAnsi="宋体" w:eastAsia="宋体" w:cs="宋体"/>
          <w:color w:val="auto"/>
          <w:sz w:val="24"/>
          <w:szCs w:val="24"/>
          <w:highlight w:val="none"/>
        </w:rPr>
        <w:t>）下载采购文件（操作路径：登录</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szCs w:val="24"/>
          <w:highlight w:val="none"/>
        </w:rPr>
        <w:t>-项目采购-获取采购文件-找到本项目-点击“申请获取采购文件”），电子响应文件制作需要基于</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szCs w:val="24"/>
          <w:highlight w:val="none"/>
        </w:rPr>
        <w:t>获取的采购文件编制。</w:t>
      </w:r>
    </w:p>
    <w:p w14:paraId="1ECB15E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703013F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bookmarkEnd w:id="18"/>
      <w:bookmarkEnd w:id="19"/>
      <w:bookmarkEnd w:id="20"/>
      <w:bookmarkEnd w:id="21"/>
      <w:r>
        <w:rPr>
          <w:rFonts w:hint="eastAsia" w:ascii="宋体" w:hAnsi="宋体" w:eastAsia="宋体" w:cs="宋体"/>
          <w:b/>
          <w:bCs/>
          <w:color w:val="auto"/>
          <w:sz w:val="24"/>
          <w:szCs w:val="24"/>
          <w:highlight w:val="none"/>
        </w:rPr>
        <w:t>响应文件提交</w:t>
      </w:r>
    </w:p>
    <w:p w14:paraId="2C4BE18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1、首次响应文件提交截止时间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lang w:val="en-US" w:eastAsia="zh-CN"/>
        </w:rPr>
        <w:t>7月30日9时3</w:t>
      </w:r>
      <w:bookmarkStart w:id="281" w:name="_GoBack"/>
      <w:bookmarkEnd w:id="281"/>
      <w:r>
        <w:rPr>
          <w:rFonts w:hint="eastAsia" w:ascii="宋体" w:hAnsi="宋体" w:eastAsia="宋体" w:cs="宋体"/>
          <w:color w:val="auto"/>
          <w:sz w:val="24"/>
          <w:szCs w:val="24"/>
          <w:highlight w:val="none"/>
          <w:lang w:val="en-US" w:eastAsia="zh-CN"/>
        </w:rPr>
        <w:t>0分</w:t>
      </w:r>
      <w:r>
        <w:rPr>
          <w:rFonts w:hint="eastAsia" w:ascii="宋体" w:hAnsi="宋体" w:eastAsia="宋体" w:cs="宋体"/>
          <w:bCs/>
          <w:color w:val="auto"/>
          <w:sz w:val="24"/>
          <w:szCs w:val="24"/>
          <w:highlight w:val="none"/>
        </w:rPr>
        <w:t>（北京时间）</w:t>
      </w:r>
    </w:p>
    <w:p w14:paraId="2A3A0A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2、首次响应文件提交地点：</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szCs w:val="24"/>
          <w:highlight w:val="none"/>
        </w:rPr>
        <w:t>（</w:t>
      </w:r>
      <w:r>
        <w:rPr>
          <w:rStyle w:val="30"/>
          <w:rFonts w:hint="eastAsia" w:ascii="宋体" w:hAnsi="宋体" w:eastAsia="宋体" w:cs="宋体"/>
          <w:b w:val="0"/>
          <w:bCs/>
          <w:i w:val="0"/>
          <w:caps w:val="0"/>
          <w:color w:val="auto"/>
          <w:spacing w:val="0"/>
          <w:sz w:val="24"/>
          <w:szCs w:val="24"/>
          <w:highlight w:val="none"/>
        </w:rPr>
        <w:t>https://www.gcy.zfcg.gxzf.gov.</w:t>
      </w:r>
      <w:r>
        <w:rPr>
          <w:rStyle w:val="30"/>
          <w:rFonts w:hint="eastAsia" w:ascii="宋体" w:hAnsi="宋体" w:eastAsia="宋体" w:cs="宋体"/>
          <w:b w:val="0"/>
          <w:bCs/>
          <w:i w:val="0"/>
          <w:caps w:val="0"/>
          <w:color w:val="auto"/>
          <w:spacing w:val="0"/>
          <w:sz w:val="24"/>
          <w:szCs w:val="24"/>
          <w:highlight w:val="none"/>
          <w:lang w:val="en-US" w:eastAsia="zh-CN"/>
        </w:rPr>
        <w:t xml:space="preserve"> </w:t>
      </w:r>
      <w:r>
        <w:rPr>
          <w:rStyle w:val="30"/>
          <w:rFonts w:hint="eastAsia" w:ascii="宋体" w:hAnsi="宋体" w:eastAsia="宋体" w:cs="宋体"/>
          <w:b w:val="0"/>
          <w:bCs/>
          <w:i w:val="0"/>
          <w:caps w:val="0"/>
          <w:color w:val="auto"/>
          <w:spacing w:val="0"/>
          <w:sz w:val="24"/>
          <w:szCs w:val="24"/>
          <w:highlight w:val="none"/>
        </w:rPr>
        <w:t>cn/</w:t>
      </w:r>
      <w:r>
        <w:rPr>
          <w:rFonts w:hint="eastAsia" w:ascii="宋体" w:hAnsi="宋体" w:eastAsia="宋体" w:cs="宋体"/>
          <w:color w:val="auto"/>
          <w:sz w:val="24"/>
          <w:szCs w:val="24"/>
          <w:highlight w:val="none"/>
        </w:rPr>
        <w:t>）</w:t>
      </w:r>
    </w:p>
    <w:p w14:paraId="59AD1879">
      <w:pPr>
        <w:pStyle w:val="9"/>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（1）响应文件提交方式：本项目为南宁市全流程电子化项目，通过</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szCs w:val="24"/>
          <w:highlight w:val="none"/>
        </w:rPr>
        <w:t>（</w:t>
      </w:r>
      <w:r>
        <w:rPr>
          <w:rStyle w:val="30"/>
          <w:rFonts w:hint="eastAsia" w:ascii="宋体" w:hAnsi="宋体" w:eastAsia="宋体" w:cs="宋体"/>
          <w:b w:val="0"/>
          <w:bCs/>
          <w:i w:val="0"/>
          <w:caps w:val="0"/>
          <w:color w:val="auto"/>
          <w:spacing w:val="0"/>
          <w:sz w:val="24"/>
          <w:szCs w:val="24"/>
          <w:highlight w:val="none"/>
        </w:rPr>
        <w:t>https://www.gcy.zfcg.gxzf.gov.cn/</w:t>
      </w:r>
      <w:r>
        <w:rPr>
          <w:rFonts w:hint="eastAsia" w:ascii="宋体" w:hAnsi="宋体" w:eastAsia="宋体" w:cs="宋体"/>
          <w:color w:val="auto"/>
          <w:sz w:val="24"/>
          <w:szCs w:val="24"/>
          <w:highlight w:val="none"/>
        </w:rPr>
        <w:t>）实行在线电子响应，供应商应先安装</w:t>
      </w:r>
      <w:r>
        <w:rPr>
          <w:rFonts w:hint="eastAsia" w:ascii="宋体" w:hAnsi="宋体" w:eastAsia="宋体" w:cs="宋体"/>
          <w:b w:val="0"/>
          <w:bCs w:val="0"/>
          <w:color w:val="auto"/>
          <w:sz w:val="24"/>
          <w:szCs w:val="24"/>
          <w:highlight w:val="none"/>
          <w:lang w:val="en-US" w:eastAsia="zh-CN"/>
        </w:rPr>
        <w:t>广西政府采购云平台新版客户端</w:t>
      </w:r>
      <w:r>
        <w:rPr>
          <w:rFonts w:hint="eastAsia" w:ascii="宋体" w:hAnsi="宋体" w:eastAsia="宋体" w:cs="宋体"/>
          <w:color w:val="auto"/>
          <w:sz w:val="24"/>
          <w:szCs w:val="24"/>
          <w:highlight w:val="none"/>
        </w:rPr>
        <w:t>（新版</w:t>
      </w:r>
      <w:r>
        <w:rPr>
          <w:rFonts w:hint="eastAsia" w:ascii="宋体" w:hAnsi="宋体" w:eastAsia="宋体" w:cs="宋体"/>
          <w:i w:val="0"/>
          <w:caps w:val="0"/>
          <w:color w:val="auto"/>
          <w:spacing w:val="0"/>
          <w:sz w:val="24"/>
          <w:szCs w:val="24"/>
          <w:highlight w:val="none"/>
        </w:rPr>
        <w:t>客户端下载路径：广西政府采购网（访问地址http://zfcg.gxzf.gov.cn/）—办事服务—下载专区</w:t>
      </w:r>
      <w:r>
        <w:rPr>
          <w:rFonts w:hint="eastAsia" w:ascii="宋体" w:hAnsi="宋体" w:eastAsia="宋体" w:cs="宋体"/>
          <w:color w:val="auto"/>
          <w:sz w:val="24"/>
          <w:szCs w:val="24"/>
          <w:highlight w:val="none"/>
        </w:rPr>
        <w:t>），并按照本项目采购文件和</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szCs w:val="24"/>
          <w:highlight w:val="none"/>
        </w:rPr>
        <w:t>的要求编制、加密后在投标截止时间前通过网络上传至</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szCs w:val="24"/>
          <w:highlight w:val="none"/>
        </w:rPr>
        <w:t>。</w:t>
      </w:r>
    </w:p>
    <w:p w14:paraId="44A30B8F">
      <w:pPr>
        <w:pStyle w:val="9"/>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（2）未进行网上注册并办理数字证书（CA认证）的供应商将无法参与本项目政府采购活动，潜在供应商应要尽早完成电子交易平台上的CA数字证书办理，并在首次响应文件提交截止时间前提交响应文件。</w:t>
      </w:r>
    </w:p>
    <w:p w14:paraId="160A989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052545B4">
      <w:pPr>
        <w:spacing w:line="360" w:lineRule="auto"/>
        <w:ind w:firstLine="480" w:firstLineChars="200"/>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 w:val="0"/>
          <w:bCs w:val="0"/>
          <w:color w:val="auto"/>
          <w:sz w:val="24"/>
          <w:szCs w:val="24"/>
          <w:highlight w:val="none"/>
          <w:u w:val="none"/>
          <w:lang w:val="en-US" w:eastAsia="zh-CN"/>
        </w:rPr>
        <w:t>广西政府采购云平台</w:t>
      </w:r>
      <w:r>
        <w:rPr>
          <w:rFonts w:hint="eastAsia" w:ascii="宋体" w:hAnsi="宋体" w:eastAsia="宋体" w:cs="宋体"/>
          <w:bCs/>
          <w:color w:val="auto"/>
          <w:sz w:val="24"/>
          <w:szCs w:val="24"/>
          <w:highlight w:val="none"/>
          <w:u w:val="none"/>
        </w:rPr>
        <w:t>将予以拒收。</w:t>
      </w:r>
    </w:p>
    <w:p w14:paraId="438B1B1F">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3、CA证书在线解密：首次响应文件开启时，</w:t>
      </w:r>
      <w:r>
        <w:rPr>
          <w:rFonts w:hint="eastAsia" w:ascii="宋体" w:hAnsi="宋体" w:eastAsia="宋体" w:cs="宋体"/>
          <w:b/>
          <w:color w:val="auto"/>
          <w:kern w:val="0"/>
          <w:sz w:val="24"/>
          <w:szCs w:val="24"/>
          <w:highlight w:val="none"/>
        </w:rPr>
        <w:t>须要供应商携带制作响应文件时用来加密的有效数字证书（CA认证）</w:t>
      </w:r>
      <w:r>
        <w:rPr>
          <w:rFonts w:hint="eastAsia" w:ascii="宋体" w:hAnsi="宋体" w:eastAsia="宋体" w:cs="宋体"/>
          <w:color w:val="auto"/>
          <w:kern w:val="0"/>
          <w:sz w:val="24"/>
          <w:szCs w:val="24"/>
          <w:highlight w:val="none"/>
        </w:rPr>
        <w:t>登录</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kern w:val="0"/>
          <w:sz w:val="24"/>
          <w:szCs w:val="24"/>
          <w:highlight w:val="none"/>
        </w:rPr>
        <w:t>电子开标大厅现场按规定时间对加密的响应文件进行解密，</w:t>
      </w:r>
      <w:r>
        <w:rPr>
          <w:rFonts w:hint="eastAsia" w:ascii="宋体" w:hAnsi="宋体" w:eastAsia="宋体" w:cs="宋体"/>
          <w:color w:val="auto"/>
          <w:sz w:val="24"/>
          <w:szCs w:val="24"/>
          <w:highlight w:val="none"/>
        </w:rPr>
        <w:t>详见采购文件“第三章供应商须知正文25.2条”</w:t>
      </w:r>
      <w:r>
        <w:rPr>
          <w:rFonts w:hint="eastAsia" w:ascii="宋体" w:hAnsi="宋体" w:eastAsia="宋体" w:cs="宋体"/>
          <w:color w:val="auto"/>
          <w:kern w:val="0"/>
          <w:sz w:val="24"/>
          <w:szCs w:val="24"/>
          <w:highlight w:val="none"/>
        </w:rPr>
        <w:t>，未能按要求进行解密的，由此产生的后果由</w:t>
      </w:r>
      <w:r>
        <w:rPr>
          <w:rFonts w:hint="eastAsia" w:ascii="宋体" w:hAnsi="宋体" w:eastAsia="宋体" w:cs="宋体"/>
          <w:color w:val="auto"/>
          <w:kern w:val="0"/>
          <w:sz w:val="24"/>
          <w:szCs w:val="24"/>
          <w:highlight w:val="none"/>
          <w:lang w:eastAsia="zh-CN"/>
        </w:rPr>
        <w:t>竞标供应商</w:t>
      </w:r>
      <w:r>
        <w:rPr>
          <w:rFonts w:hint="eastAsia" w:ascii="宋体" w:hAnsi="宋体" w:eastAsia="宋体" w:cs="宋体"/>
          <w:color w:val="auto"/>
          <w:kern w:val="0"/>
          <w:sz w:val="24"/>
          <w:szCs w:val="24"/>
          <w:highlight w:val="none"/>
        </w:rPr>
        <w:t>自行承担。</w:t>
      </w:r>
    </w:p>
    <w:p w14:paraId="416984D5">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4、供应商需要在具备有摄像头及语音功能且互联网网络状况良好的电脑登录</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kern w:val="0"/>
          <w:sz w:val="24"/>
          <w:szCs w:val="24"/>
          <w:highlight w:val="none"/>
        </w:rPr>
        <w:t>远程开标大厅参与本次谈判，否则后果自负。</w:t>
      </w:r>
    </w:p>
    <w:p w14:paraId="77EB53B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五、开启（首次响应文件开启时间）</w:t>
      </w:r>
    </w:p>
    <w:p w14:paraId="36890402">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1.时间</w:t>
      </w:r>
      <w:r>
        <w:rPr>
          <w:rFonts w:hint="eastAsia" w:ascii="宋体" w:hAnsi="宋体" w:eastAsia="宋体" w:cs="宋体"/>
          <w:bCs/>
          <w:color w:val="auto"/>
          <w:sz w:val="24"/>
          <w:szCs w:val="24"/>
          <w:highlight w:val="none"/>
        </w:rPr>
        <w:t>（北京时间）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2025年</w:t>
      </w:r>
      <w:r>
        <w:rPr>
          <w:rFonts w:hint="eastAsia" w:ascii="宋体" w:hAnsi="宋体" w:eastAsia="宋体" w:cs="宋体"/>
          <w:color w:val="auto"/>
          <w:sz w:val="24"/>
          <w:szCs w:val="24"/>
          <w:highlight w:val="none"/>
          <w:u w:val="single"/>
          <w:lang w:val="en-US" w:eastAsia="zh-CN"/>
        </w:rPr>
        <w:t>7月30日9时30分</w:t>
      </w:r>
      <w:r>
        <w:rPr>
          <w:rFonts w:hint="eastAsia" w:ascii="宋体" w:hAnsi="宋体" w:eastAsia="宋体" w:cs="宋体"/>
          <w:color w:val="auto"/>
          <w:sz w:val="24"/>
          <w:szCs w:val="24"/>
          <w:highlight w:val="none"/>
        </w:rPr>
        <w:t>后</w:t>
      </w:r>
    </w:p>
    <w:p w14:paraId="6A1F3440">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2.地点：</w:t>
      </w:r>
      <w:r>
        <w:rPr>
          <w:rFonts w:hint="eastAsia" w:ascii="宋体" w:hAnsi="宋体" w:eastAsia="宋体" w:cs="宋体"/>
          <w:b w:val="0"/>
          <w:bCs w:val="0"/>
          <w:color w:val="auto"/>
          <w:sz w:val="24"/>
          <w:szCs w:val="24"/>
          <w:highlight w:val="none"/>
          <w:lang w:val="en-US" w:eastAsia="zh-CN"/>
        </w:rPr>
        <w:t>广西政府采购云平台</w:t>
      </w:r>
    </w:p>
    <w:p w14:paraId="5803738F">
      <w:pPr>
        <w:spacing w:line="360" w:lineRule="auto"/>
        <w:ind w:firstLine="482" w:firstLineChars="200"/>
        <w:rPr>
          <w:rFonts w:hint="eastAsia" w:ascii="宋体" w:hAnsi="宋体" w:eastAsia="宋体" w:cs="宋体"/>
          <w:b/>
          <w:bCs/>
          <w:color w:val="auto"/>
          <w:sz w:val="24"/>
          <w:szCs w:val="24"/>
          <w:highlight w:val="none"/>
        </w:rPr>
      </w:pPr>
      <w:bookmarkStart w:id="22" w:name="_Toc28359007"/>
      <w:bookmarkStart w:id="23" w:name="_Toc35393625"/>
      <w:bookmarkStart w:id="24" w:name="_Toc28359084"/>
      <w:bookmarkStart w:id="25" w:name="_Toc35393794"/>
      <w:r>
        <w:rPr>
          <w:rFonts w:hint="eastAsia" w:ascii="宋体" w:hAnsi="宋体" w:eastAsia="宋体" w:cs="宋体"/>
          <w:b/>
          <w:bCs/>
          <w:color w:val="auto"/>
          <w:sz w:val="24"/>
          <w:szCs w:val="24"/>
          <w:highlight w:val="none"/>
        </w:rPr>
        <w:t>六、公告期限</w:t>
      </w:r>
      <w:bookmarkEnd w:id="22"/>
      <w:bookmarkEnd w:id="23"/>
      <w:bookmarkEnd w:id="24"/>
      <w:bookmarkEnd w:id="25"/>
    </w:p>
    <w:p w14:paraId="3D4B4D2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775B090E">
      <w:pPr>
        <w:spacing w:line="360" w:lineRule="auto"/>
        <w:ind w:firstLine="482" w:firstLineChars="200"/>
        <w:rPr>
          <w:rFonts w:hint="eastAsia" w:ascii="宋体" w:hAnsi="宋体" w:eastAsia="宋体" w:cs="宋体"/>
          <w:b/>
          <w:bCs/>
          <w:color w:val="auto"/>
          <w:sz w:val="24"/>
          <w:szCs w:val="24"/>
          <w:highlight w:val="none"/>
        </w:rPr>
      </w:pPr>
      <w:bookmarkStart w:id="26" w:name="_Toc35393795"/>
      <w:bookmarkStart w:id="27" w:name="_Toc35393626"/>
      <w:r>
        <w:rPr>
          <w:rFonts w:hint="eastAsia" w:ascii="宋体" w:hAnsi="宋体" w:eastAsia="宋体" w:cs="宋体"/>
          <w:b/>
          <w:bCs/>
          <w:color w:val="auto"/>
          <w:sz w:val="24"/>
          <w:szCs w:val="24"/>
          <w:highlight w:val="none"/>
        </w:rPr>
        <w:t>七、其他补充事宜</w:t>
      </w:r>
      <w:bookmarkEnd w:id="26"/>
      <w:bookmarkEnd w:id="27"/>
    </w:p>
    <w:p w14:paraId="7E946EF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1.谈判保证金：本项目不收取谈判保证金</w:t>
      </w:r>
    </w:p>
    <w:p w14:paraId="3AF08BD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2.采购意向公开链接：</w:t>
      </w:r>
      <w:bookmarkStart w:id="28" w:name="PO_3000001870_PM100"/>
      <w:bookmarkStart w:id="29" w:name="_Hlk37429585"/>
    </w:p>
    <w:bookmarkEnd w:id="28"/>
    <w:p w14:paraId="75CE1C0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https://zfcg.gxzf.gov.cn/site/detail?parentId=66601&amp;articleId=ZhRbeBOx56ksocDrKHc2Zg==</w:t>
      </w:r>
    </w:p>
    <w:p w14:paraId="2AD3652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bookmarkStart w:id="30" w:name="_Hlk37429595"/>
      <w:r>
        <w:rPr>
          <w:rFonts w:hint="eastAsia" w:ascii="宋体" w:hAnsi="宋体" w:eastAsia="宋体" w:cs="宋体"/>
          <w:color w:val="auto"/>
          <w:kern w:val="0"/>
          <w:sz w:val="24"/>
          <w:szCs w:val="24"/>
          <w:highlight w:val="none"/>
        </w:rPr>
        <w:t>网上查询地址</w:t>
      </w:r>
    </w:p>
    <w:bookmarkEnd w:id="29"/>
    <w:bookmarkEnd w:id="30"/>
    <w:p w14:paraId="620ABA32">
      <w:pPr>
        <w:spacing w:line="360" w:lineRule="auto"/>
        <w:ind w:firstLine="480" w:firstLineChars="200"/>
        <w:rPr>
          <w:rFonts w:hint="eastAsia" w:ascii="宋体" w:hAnsi="宋体" w:eastAsia="宋体" w:cs="宋体"/>
          <w:color w:val="auto"/>
          <w:kern w:val="0"/>
          <w:sz w:val="24"/>
          <w:szCs w:val="24"/>
          <w:highlight w:val="none"/>
        </w:rPr>
      </w:pPr>
      <w:bookmarkStart w:id="31" w:name="_Hlk37429674"/>
      <w:r>
        <w:rPr>
          <w:rFonts w:hint="eastAsia" w:ascii="宋体" w:hAnsi="宋体" w:eastAsia="宋体" w:cs="宋体"/>
          <w:color w:val="auto"/>
          <w:kern w:val="0"/>
          <w:sz w:val="24"/>
          <w:szCs w:val="24"/>
          <w:highlight w:val="none"/>
        </w:rPr>
        <w:t>http://www.ccgp.gov.cn/（中国政府采购网）、http://www.ccgp-guangxi.gov.cn/ (广西壮族自治区政府采购网)、http://ggzy.jgswj.gxzf.gov.cn/nnggzy全国公共资源交易平台(广西·南宁)</w:t>
      </w:r>
    </w:p>
    <w:p w14:paraId="2627316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本项目需要落实的政府采购政策</w:t>
      </w:r>
    </w:p>
    <w:bookmarkEnd w:id="31"/>
    <w:p w14:paraId="5841587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（1）政府采购促进中小企业发展。</w:t>
      </w:r>
    </w:p>
    <w:p w14:paraId="54A2359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（2）政府采购支持采用本国产品的政策。</w:t>
      </w:r>
    </w:p>
    <w:p w14:paraId="2BF8601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（3）强制采购节能产品；优先采购节能产品、环境标志产品。</w:t>
      </w:r>
    </w:p>
    <w:p w14:paraId="2BCD391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（4）政府采购促进残疾人就业政策。</w:t>
      </w:r>
    </w:p>
    <w:p w14:paraId="43A0713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（5）政府采购支持监狱企业发展。</w:t>
      </w:r>
    </w:p>
    <w:p w14:paraId="5C85E0C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kern w:val="0"/>
          <w:sz w:val="24"/>
          <w:szCs w:val="24"/>
          <w:highlight w:val="none"/>
        </w:rPr>
        <w:t>采购代理机构提出同一环节的质疑。否则，逾期的质疑采购人及</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kern w:val="0"/>
          <w:sz w:val="24"/>
          <w:szCs w:val="24"/>
          <w:highlight w:val="none"/>
        </w:rPr>
        <w:t>代理机构可不予接受。质疑供应商对采购人、采购代理机构的答复不满意或者采购人、采购代理机构未在规定的时间内作出答复的，可以在答复期满后十五个工作日内向同级政府采购监督管理部门投诉。</w:t>
      </w:r>
    </w:p>
    <w:p w14:paraId="3DBEAC0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 若对项目采购电子交易系统操作有疑问，可登录</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szCs w:val="24"/>
          <w:highlight w:val="none"/>
        </w:rPr>
        <w:t>（</w:t>
      </w:r>
      <w:r>
        <w:rPr>
          <w:rStyle w:val="30"/>
          <w:rFonts w:hint="eastAsia" w:ascii="宋体" w:hAnsi="宋体" w:eastAsia="宋体" w:cs="宋体"/>
          <w:b w:val="0"/>
          <w:bCs/>
          <w:i w:val="0"/>
          <w:caps w:val="0"/>
          <w:color w:val="auto"/>
          <w:spacing w:val="0"/>
          <w:sz w:val="24"/>
          <w:szCs w:val="24"/>
          <w:highlight w:val="none"/>
        </w:rPr>
        <w:t>https://www.gcy.zfcg.gxzf.gov.cn/</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，点击右侧咨询小采，获取采小蜜智能服务管家帮助，或拨打</w:t>
      </w: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kern w:val="0"/>
          <w:sz w:val="24"/>
          <w:szCs w:val="24"/>
          <w:highlight w:val="none"/>
        </w:rPr>
        <w:t>服务热线</w:t>
      </w:r>
      <w:r>
        <w:rPr>
          <w:rFonts w:hint="eastAsia" w:ascii="宋体" w:hAnsi="宋体" w:eastAsia="宋体" w:cs="宋体"/>
          <w:color w:val="auto"/>
          <w:kern w:val="0"/>
          <w:sz w:val="24"/>
          <w:szCs w:val="24"/>
          <w:highlight w:val="none"/>
          <w:lang w:val="en-US" w:eastAsia="zh-CN"/>
        </w:rPr>
        <w:t>95763</w:t>
      </w:r>
      <w:r>
        <w:rPr>
          <w:rFonts w:hint="eastAsia" w:ascii="宋体" w:hAnsi="宋体" w:eastAsia="宋体" w:cs="宋体"/>
          <w:color w:val="auto"/>
          <w:kern w:val="0"/>
          <w:sz w:val="24"/>
          <w:szCs w:val="24"/>
          <w:highlight w:val="none"/>
        </w:rPr>
        <w:t xml:space="preserve">获取热线服务帮助。 </w:t>
      </w:r>
    </w:p>
    <w:p w14:paraId="61036374">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kern w:val="44"/>
          <w:sz w:val="24"/>
          <w:szCs w:val="24"/>
          <w:highlight w:val="none"/>
        </w:rPr>
        <w:t>八、凡对本次采购提出询问，请按以下方式联系</w:t>
      </w:r>
    </w:p>
    <w:p w14:paraId="4CE03133">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11C3BA4">
      <w:pPr>
        <w:spacing w:line="360" w:lineRule="auto"/>
        <w:ind w:left="1079" w:leftChars="371" w:hanging="300" w:hangingChars="125"/>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南宁职业技术大学</w:t>
      </w:r>
    </w:p>
    <w:p w14:paraId="3BCCD5D9">
      <w:pPr>
        <w:spacing w:line="360" w:lineRule="auto"/>
        <w:ind w:left="1079" w:leftChars="371" w:hanging="300" w:hangingChars="12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pacing w:val="6"/>
          <w:kern w:val="48"/>
          <w:sz w:val="24"/>
          <w:szCs w:val="24"/>
          <w:highlight w:val="none"/>
        </w:rPr>
        <w:t>南宁市西乡塘区大学西路169号</w:t>
      </w:r>
    </w:p>
    <w:p w14:paraId="7479027A">
      <w:pPr>
        <w:pStyle w:val="15"/>
        <w:spacing w:line="360" w:lineRule="auto"/>
        <w:ind w:firstLine="840" w:firstLineChars="35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rPr>
        <w:t>项目联系人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卢</w:t>
      </w:r>
      <w:r>
        <w:rPr>
          <w:rFonts w:ascii="宋体" w:hAnsi="宋体" w:eastAsia="宋体" w:cs="宋体"/>
          <w:color w:val="auto"/>
          <w:sz w:val="24"/>
          <w:szCs w:val="24"/>
          <w:highlight w:val="none"/>
        </w:rPr>
        <w:t>老师</w:t>
      </w:r>
      <w:r>
        <w:rPr>
          <w:rFonts w:hint="eastAsia" w:ascii="宋体" w:hAnsi="宋体" w:eastAsia="宋体" w:cs="宋体"/>
          <w:color w:val="auto"/>
          <w:kern w:val="0"/>
          <w:sz w:val="24"/>
          <w:szCs w:val="24"/>
          <w:highlight w:val="none"/>
          <w:lang w:val="en-US" w:eastAsia="zh-CN"/>
        </w:rPr>
        <w:t xml:space="preserve">       </w:t>
      </w:r>
    </w:p>
    <w:p w14:paraId="11336B72">
      <w:pPr>
        <w:pStyle w:val="15"/>
        <w:spacing w:line="360" w:lineRule="auto"/>
        <w:ind w:firstLine="840" w:firstLineChars="35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pacing w:val="6"/>
          <w:kern w:val="48"/>
          <w:sz w:val="24"/>
          <w:szCs w:val="24"/>
          <w:highlight w:val="none"/>
        </w:rPr>
        <w:t>0771-2029355</w:t>
      </w:r>
    </w:p>
    <w:p w14:paraId="73F8FE73">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36A04EF7">
      <w:pPr>
        <w:spacing w:line="360" w:lineRule="auto"/>
        <w:ind w:firstLine="840" w:firstLineChars="35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广西机电设备招标有限公司</w:t>
      </w:r>
    </w:p>
    <w:p w14:paraId="3E3CCF74">
      <w:pPr>
        <w:spacing w:line="360" w:lineRule="auto"/>
        <w:ind w:firstLine="840" w:firstLineChars="3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广西南宁市金湖路63号金源CBD现代城7层</w:t>
      </w:r>
    </w:p>
    <w:p w14:paraId="27E5ECC5">
      <w:pPr>
        <w:spacing w:line="360" w:lineRule="auto"/>
        <w:ind w:firstLine="840" w:firstLineChars="3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项目联系人：周蓉、彭瑶、梅莹</w:t>
      </w:r>
    </w:p>
    <w:p w14:paraId="694C4A74">
      <w:pPr>
        <w:spacing w:line="360" w:lineRule="auto"/>
        <w:ind w:firstLine="840" w:firstLineChars="3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0771-2808981</w:t>
      </w:r>
    </w:p>
    <w:p w14:paraId="5F495550">
      <w:pPr>
        <w:spacing w:line="360" w:lineRule="auto"/>
        <w:jc w:val="right"/>
        <w:rPr>
          <w:rFonts w:hint="eastAsia" w:ascii="宋体" w:hAnsi="宋体" w:eastAsia="宋体" w:cs="宋体"/>
          <w:color w:val="auto"/>
          <w:sz w:val="24"/>
          <w:szCs w:val="24"/>
          <w:highlight w:val="none"/>
          <w:lang w:eastAsia="zh-CN"/>
        </w:rPr>
      </w:pPr>
    </w:p>
    <w:p w14:paraId="1D3D70F5">
      <w:pPr>
        <w:spacing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广西机电设备招标有限公司</w:t>
      </w:r>
    </w:p>
    <w:p w14:paraId="408A39E4">
      <w:pPr>
        <w:spacing w:line="360" w:lineRule="auto"/>
        <w:ind w:firstLine="6840" w:firstLineChars="2850"/>
        <w:jc w:val="righ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7月23日</w:t>
      </w:r>
    </w:p>
    <w:p w14:paraId="1B3CF3CD">
      <w:pPr>
        <w:widowControl/>
        <w:spacing w:line="360" w:lineRule="auto"/>
        <w:jc w:val="left"/>
        <w:rPr>
          <w:rFonts w:hint="eastAsia" w:ascii="宋体" w:hAnsi="宋体" w:eastAsia="宋体" w:cs="宋体"/>
          <w:color w:val="auto"/>
          <w:szCs w:val="21"/>
          <w:highlight w:val="none"/>
        </w:rPr>
        <w:sectPr>
          <w:footerReference r:id="rId6" w:type="default"/>
          <w:pgSz w:w="11911" w:h="16838"/>
          <w:pgMar w:top="1417" w:right="1417" w:bottom="1417" w:left="1417" w:header="720" w:footer="720" w:gutter="0"/>
          <w:paperSrc/>
          <w:pgNumType w:fmt="decimal" w:start="1"/>
          <w:cols w:space="720" w:num="1"/>
          <w:rtlGutter w:val="0"/>
          <w:docGrid w:linePitch="0" w:charSpace="0"/>
        </w:sectPr>
      </w:pPr>
    </w:p>
    <w:p w14:paraId="75221A73">
      <w:pPr>
        <w:pStyle w:val="2"/>
        <w:keepNext/>
        <w:keepLines/>
        <w:pageBreakBefore w:val="0"/>
        <w:widowControl w:val="0"/>
        <w:kinsoku/>
        <w:wordWrap/>
        <w:overflowPunct/>
        <w:topLinePunct w:val="0"/>
        <w:autoSpaceDE/>
        <w:autoSpaceDN/>
        <w:bidi w:val="0"/>
        <w:adjustRightInd/>
        <w:snapToGrid/>
        <w:spacing w:before="120" w:after="120" w:line="400" w:lineRule="exact"/>
        <w:jc w:val="center"/>
        <w:textAlignment w:val="auto"/>
        <w:rPr>
          <w:rFonts w:hint="eastAsia" w:ascii="宋体" w:hAnsi="宋体" w:eastAsia="宋体" w:cs="宋体"/>
          <w:color w:val="auto"/>
          <w:highlight w:val="none"/>
        </w:rPr>
      </w:pPr>
      <w:bookmarkStart w:id="32" w:name="_Toc13305"/>
      <w:bookmarkStart w:id="33" w:name="_Toc12192"/>
      <w:r>
        <w:rPr>
          <w:rFonts w:hint="eastAsia" w:ascii="宋体" w:hAnsi="宋体" w:eastAsia="宋体" w:cs="宋体"/>
          <w:bCs w:val="0"/>
          <w:color w:val="auto"/>
          <w:sz w:val="32"/>
          <w:szCs w:val="32"/>
          <w:highlight w:val="none"/>
        </w:rPr>
        <w:t>第二章 采购需求</w:t>
      </w:r>
      <w:bookmarkEnd w:id="32"/>
      <w:bookmarkEnd w:id="33"/>
    </w:p>
    <w:p w14:paraId="701DD1F1">
      <w:pPr>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DFA646E">
      <w:pPr>
        <w:pStyle w:val="9"/>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为落实政府采购政策需满足的要求（根据项目实际情况填写内容）</w:t>
      </w:r>
    </w:p>
    <w:p w14:paraId="33EEF3C9">
      <w:pPr>
        <w:pStyle w:val="9"/>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文件所称中小企业必须符合《政府采购促进中小企业发展管理办法》（财库〔2020〕46号）的规定。</w:t>
      </w:r>
    </w:p>
    <w:p w14:paraId="383024FD">
      <w:pPr>
        <w:pStyle w:val="9"/>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货物必须使用政府强制采购的节能产品，</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文件中提供所</w:t>
      </w:r>
      <w:r>
        <w:rPr>
          <w:rFonts w:hint="eastAsia" w:ascii="宋体" w:hAnsi="宋体" w:eastAsia="宋体" w:cs="宋体"/>
          <w:color w:val="auto"/>
          <w:sz w:val="24"/>
          <w:szCs w:val="24"/>
          <w:highlight w:val="none"/>
          <w:lang w:val="en-US" w:eastAsia="zh-CN"/>
        </w:rPr>
        <w:t>竞</w:t>
      </w:r>
      <w:r>
        <w:rPr>
          <w:rFonts w:hint="eastAsia" w:ascii="宋体" w:hAnsi="宋体" w:eastAsia="宋体" w:cs="宋体"/>
          <w:color w:val="auto"/>
          <w:sz w:val="24"/>
          <w:szCs w:val="24"/>
          <w:highlight w:val="none"/>
        </w:rPr>
        <w:t>标产品的节能产品认证证书复印件（加盖投标人公章），否则</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文件作无效处理。如本项目包含的货物属于品目清单内非标注“★”的产品时，应优先采购，具体详见“第四章 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方法及评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标准”。</w:t>
      </w:r>
    </w:p>
    <w:p w14:paraId="160522DD">
      <w:pPr>
        <w:pStyle w:val="9"/>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文件中提供中国信息安全认证中心授予的有效的信息安全产品认证证书（加盖投标人公章），否则</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文件作无效处理。</w:t>
      </w:r>
    </w:p>
    <w:p w14:paraId="79CC1544">
      <w:pPr>
        <w:pStyle w:val="9"/>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1070838">
      <w:pPr>
        <w:pStyle w:val="9"/>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2.“实质性要求”是指招标文件中已经指明不满足则投标无效的条款，或者不能负偏离的条款，或者采购需求中带“▲”的条款。</w:t>
      </w:r>
    </w:p>
    <w:p w14:paraId="6EAF4539">
      <w:pPr>
        <w:pStyle w:val="9"/>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3.“货物参数”允许发生负偏离的条款数为5项，供应商对“货物参数”条款发生</w:t>
      </w:r>
      <w:r>
        <w:rPr>
          <w:rFonts w:hint="eastAsia" w:ascii="宋体" w:hAnsi="宋体" w:eastAsia="宋体" w:cs="宋体"/>
          <w:b/>
          <w:bCs/>
          <w:color w:val="auto"/>
          <w:sz w:val="24"/>
          <w:szCs w:val="24"/>
          <w:highlight w:val="none"/>
        </w:rPr>
        <w:t>负偏离的条款数≥6项的，按响应文件无效处理</w:t>
      </w:r>
      <w:r>
        <w:rPr>
          <w:rFonts w:hint="eastAsia" w:ascii="宋体" w:hAnsi="宋体" w:eastAsia="宋体" w:cs="宋体"/>
          <w:color w:val="auto"/>
          <w:sz w:val="24"/>
          <w:szCs w:val="24"/>
          <w:highlight w:val="none"/>
        </w:rPr>
        <w:t>。</w:t>
      </w:r>
    </w:p>
    <w:p w14:paraId="2E797277">
      <w:pPr>
        <w:pStyle w:val="9"/>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4.如投标人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产品存在侵犯他人的知识产权或者专利成果行为的，应承担相应法律责任。</w:t>
      </w:r>
    </w:p>
    <w:p w14:paraId="1F61D921">
      <w:pPr>
        <w:pStyle w:val="9"/>
        <w:spacing w:line="420" w:lineRule="exact"/>
        <w:rPr>
          <w:rFonts w:hint="eastAsia" w:ascii="宋体" w:hAnsi="宋体" w:eastAsia="宋体" w:cs="宋体"/>
          <w:color w:val="auto"/>
          <w:szCs w:val="21"/>
          <w:highlight w:val="none"/>
        </w:rPr>
      </w:pPr>
    </w:p>
    <w:p w14:paraId="68F47214">
      <w:pPr>
        <w:pStyle w:val="9"/>
        <w:spacing w:line="420" w:lineRule="exact"/>
        <w:rPr>
          <w:rFonts w:hint="eastAsia" w:ascii="宋体" w:hAnsi="宋体" w:eastAsia="宋体" w:cs="宋体"/>
          <w:color w:val="auto"/>
          <w:szCs w:val="21"/>
          <w:highlight w:val="none"/>
        </w:rPr>
      </w:pPr>
    </w:p>
    <w:p w14:paraId="7C5030C8">
      <w:pPr>
        <w:pStyle w:val="9"/>
        <w:spacing w:line="420" w:lineRule="exact"/>
        <w:rPr>
          <w:rFonts w:hint="eastAsia" w:ascii="宋体" w:hAnsi="宋体" w:eastAsia="宋体" w:cs="宋体"/>
          <w:color w:val="auto"/>
          <w:szCs w:val="21"/>
          <w:highlight w:val="none"/>
        </w:rPr>
      </w:pPr>
    </w:p>
    <w:p w14:paraId="46A64BFB">
      <w:pPr>
        <w:pStyle w:val="9"/>
        <w:spacing w:line="420" w:lineRule="exact"/>
        <w:rPr>
          <w:rFonts w:hint="eastAsia" w:ascii="宋体" w:hAnsi="宋体" w:eastAsia="宋体" w:cs="宋体"/>
          <w:color w:val="auto"/>
          <w:szCs w:val="21"/>
          <w:highlight w:val="none"/>
        </w:rPr>
      </w:pPr>
    </w:p>
    <w:p w14:paraId="140A5130">
      <w:pPr>
        <w:pStyle w:val="9"/>
        <w:spacing w:line="420" w:lineRule="exact"/>
        <w:rPr>
          <w:rFonts w:hint="eastAsia" w:ascii="宋体" w:hAnsi="宋体" w:eastAsia="宋体" w:cs="宋体"/>
          <w:color w:val="auto"/>
          <w:szCs w:val="21"/>
          <w:highlight w:val="none"/>
        </w:rPr>
      </w:pPr>
    </w:p>
    <w:p w14:paraId="23CCE0B2">
      <w:pPr>
        <w:widowControl/>
        <w:rPr>
          <w:rFonts w:hint="eastAsia" w:ascii="宋体" w:hAnsi="宋体" w:eastAsia="宋体" w:cs="宋体"/>
          <w:color w:val="auto"/>
          <w:highlight w:val="none"/>
        </w:rPr>
      </w:pPr>
      <w:bookmarkStart w:id="34" w:name="PO_TDCUS_ITEM_PB_REQ_FILE_1_1_0"/>
    </w:p>
    <w:tbl>
      <w:tblPr>
        <w:tblStyle w:val="27"/>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476"/>
        <w:gridCol w:w="895"/>
        <w:gridCol w:w="969"/>
        <w:gridCol w:w="540"/>
        <w:gridCol w:w="585"/>
        <w:gridCol w:w="3640"/>
        <w:gridCol w:w="1116"/>
        <w:gridCol w:w="1286"/>
      </w:tblGrid>
      <w:tr w14:paraId="3805B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9"/>
            <w:tcBorders>
              <w:top w:val="single" w:color="auto" w:sz="4" w:space="0"/>
              <w:left w:val="single" w:color="auto" w:sz="4" w:space="0"/>
              <w:right w:val="single" w:color="auto" w:sz="4" w:space="0"/>
            </w:tcBorders>
            <w:noWrap w:val="0"/>
            <w:vAlign w:val="center"/>
          </w:tcPr>
          <w:p w14:paraId="5F05F52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货物需求一览表</w:t>
            </w:r>
          </w:p>
        </w:tc>
      </w:tr>
      <w:tr w14:paraId="70B45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5" w:type="dxa"/>
            <w:gridSpan w:val="3"/>
            <w:tcBorders>
              <w:top w:val="single" w:color="auto" w:sz="4" w:space="0"/>
              <w:left w:val="single" w:color="auto" w:sz="4" w:space="0"/>
              <w:right w:val="single" w:color="auto" w:sz="4" w:space="0"/>
            </w:tcBorders>
            <w:noWrap w:val="0"/>
            <w:vAlign w:val="center"/>
          </w:tcPr>
          <w:p w14:paraId="12700A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tc>
        <w:tc>
          <w:tcPr>
            <w:tcW w:w="8136" w:type="dxa"/>
            <w:gridSpan w:val="6"/>
            <w:tcBorders>
              <w:top w:val="single" w:color="auto" w:sz="4" w:space="0"/>
              <w:left w:val="single" w:color="auto" w:sz="4" w:space="0"/>
              <w:right w:val="single" w:color="auto" w:sz="4" w:space="0"/>
            </w:tcBorders>
            <w:noWrap w:val="0"/>
            <w:vAlign w:val="center"/>
          </w:tcPr>
          <w:p w14:paraId="5C0CCB0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14:paraId="3F36B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14" w:type="dxa"/>
            <w:vMerge w:val="restart"/>
            <w:tcBorders>
              <w:top w:val="single" w:color="auto" w:sz="4" w:space="0"/>
              <w:left w:val="single" w:color="auto" w:sz="4" w:space="0"/>
              <w:right w:val="single" w:color="auto" w:sz="4" w:space="0"/>
            </w:tcBorders>
            <w:noWrap w:val="0"/>
            <w:vAlign w:val="center"/>
          </w:tcPr>
          <w:p w14:paraId="429EDDC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采购清单及货物参数</w:t>
            </w:r>
          </w:p>
        </w:tc>
        <w:tc>
          <w:tcPr>
            <w:tcW w:w="47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B9F5C4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64" w:type="dxa"/>
            <w:gridSpan w:val="2"/>
            <w:tcBorders>
              <w:top w:val="single" w:color="auto" w:sz="4" w:space="0"/>
              <w:left w:val="single" w:color="auto" w:sz="4" w:space="0"/>
              <w:bottom w:val="single" w:color="auto" w:sz="4" w:space="0"/>
              <w:right w:val="single" w:color="auto" w:sz="4" w:space="0"/>
            </w:tcBorders>
            <w:noWrap w:val="0"/>
            <w:vAlign w:val="center"/>
          </w:tcPr>
          <w:p w14:paraId="7A77EB2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采购货物名称</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A4776F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1ADFEC3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0416879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货物参数</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A668F8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分项预算合计（元）</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34FA08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w:t>
            </w:r>
          </w:p>
        </w:tc>
      </w:tr>
      <w:tr w14:paraId="7C3A5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4" w:type="dxa"/>
            <w:vMerge w:val="continue"/>
            <w:tcBorders>
              <w:left w:val="single" w:color="auto" w:sz="4" w:space="0"/>
              <w:right w:val="single" w:color="auto" w:sz="4" w:space="0"/>
            </w:tcBorders>
            <w:noWrap w:val="0"/>
            <w:vAlign w:val="top"/>
          </w:tcPr>
          <w:p w14:paraId="703C9FF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476" w:type="dxa"/>
            <w:tcBorders>
              <w:top w:val="single" w:color="auto" w:sz="4" w:space="0"/>
              <w:left w:val="single" w:color="auto" w:sz="4" w:space="0"/>
              <w:bottom w:val="single" w:color="auto" w:sz="4" w:space="0"/>
              <w:right w:val="single" w:color="auto" w:sz="4" w:space="0"/>
            </w:tcBorders>
            <w:noWrap w:val="0"/>
            <w:vAlign w:val="center"/>
          </w:tcPr>
          <w:p w14:paraId="209AF5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c>
          <w:tcPr>
            <w:tcW w:w="1864" w:type="dxa"/>
            <w:gridSpan w:val="2"/>
            <w:tcBorders>
              <w:top w:val="single" w:color="auto" w:sz="4" w:space="0"/>
              <w:left w:val="single" w:color="auto" w:sz="4" w:space="0"/>
              <w:bottom w:val="single" w:color="auto" w:sz="4" w:space="0"/>
              <w:right w:val="single" w:color="auto" w:sz="4" w:space="0"/>
            </w:tcBorders>
            <w:noWrap w:val="0"/>
            <w:vAlign w:val="center"/>
          </w:tcPr>
          <w:p w14:paraId="7A7A99C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翼闸单机芯</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79E02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05F158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16</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3DA47D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1.闸机组成：机芯*1个、箱体*1个、闸机控制板*1个、电源*1个。</w:t>
            </w:r>
          </w:p>
          <w:p w14:paraId="69225B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2.机箱材料：拉丝SUS304不锈钢，全身足1.2mm。</w:t>
            </w:r>
          </w:p>
          <w:p w14:paraId="6EDAA1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3.闸门材质：10mm亚克力板。</w:t>
            </w:r>
          </w:p>
          <w:p w14:paraId="3369A1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4.电源输入：AC220±10%V  50±10%HZ。 </w:t>
            </w:r>
          </w:p>
          <w:p w14:paraId="6C2C77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5.电源输出（工作电压，电流）：DC24V 2.4A。</w:t>
            </w:r>
          </w:p>
          <w:p w14:paraId="333D20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6.驱动方式：DC24V无刷电机。</w:t>
            </w:r>
          </w:p>
          <w:p w14:paraId="1C85DF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7.功率：额定功率100W。</w:t>
            </w:r>
          </w:p>
          <w:p w14:paraId="71EC13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8.红外个数：≥5个（标配）。</w:t>
            </w:r>
          </w:p>
          <w:p w14:paraId="2C687D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9.外形尺寸长：</w:t>
            </w:r>
            <w:r>
              <w:rPr>
                <w:rFonts w:hint="eastAsia" w:ascii="宋体" w:hAnsi="宋体" w:eastAsia="宋体" w:cs="宋体"/>
                <w:color w:val="auto"/>
                <w:sz w:val="21"/>
                <w:szCs w:val="21"/>
                <w:highlight w:val="none"/>
                <w:lang w:val="en-US" w:eastAsia="zh-CN" w:bidi="ar"/>
              </w:rPr>
              <w:t>1200*290*990mm（±5mm）</w:t>
            </w:r>
            <w:r>
              <w:rPr>
                <w:rFonts w:hint="eastAsia" w:ascii="宋体" w:hAnsi="宋体" w:eastAsia="宋体" w:cs="宋体"/>
                <w:i w:val="0"/>
                <w:iCs w:val="0"/>
                <w:color w:val="auto"/>
                <w:kern w:val="0"/>
                <w:sz w:val="21"/>
                <w:szCs w:val="21"/>
                <w:highlight w:val="none"/>
                <w:u w:val="none"/>
                <w:lang w:val="en-US" w:eastAsia="zh-CN"/>
              </w:rPr>
              <w:t>。</w:t>
            </w:r>
          </w:p>
          <w:p w14:paraId="5B5896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10.通道宽度：</w:t>
            </w:r>
            <w:r>
              <w:rPr>
                <w:rFonts w:hint="eastAsia" w:ascii="宋体" w:hAnsi="宋体" w:eastAsia="宋体" w:cs="宋体"/>
                <w:color w:val="auto"/>
                <w:sz w:val="21"/>
                <w:szCs w:val="21"/>
                <w:highlight w:val="none"/>
                <w:lang w:val="en-US" w:eastAsia="zh-CN" w:bidi="ar"/>
              </w:rPr>
              <w:t>600mm（±5mm）</w:t>
            </w:r>
            <w:r>
              <w:rPr>
                <w:rFonts w:hint="eastAsia" w:ascii="宋体" w:hAnsi="宋体" w:eastAsia="宋体" w:cs="宋体"/>
                <w:i w:val="0"/>
                <w:iCs w:val="0"/>
                <w:color w:val="auto"/>
                <w:kern w:val="0"/>
                <w:sz w:val="21"/>
                <w:szCs w:val="21"/>
                <w:highlight w:val="none"/>
                <w:u w:val="none"/>
                <w:lang w:val="en-US" w:eastAsia="zh-CN"/>
              </w:rPr>
              <w:t>。</w:t>
            </w:r>
          </w:p>
          <w:p w14:paraId="06651E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11.通行方向：单向或双向。</w:t>
            </w:r>
          </w:p>
          <w:p w14:paraId="581F1B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12.开闸方式：ID/IC刷卡等读头验证开闸、红外感应自动开闸、按钮开闸。</w:t>
            </w:r>
          </w:p>
          <w:p w14:paraId="15BD07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13.防护方式：红外防夹、电流防夹、非法闯入红外报警。</w:t>
            </w:r>
          </w:p>
          <w:p w14:paraId="3C61E4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14.工作环境：室内、室外(挡雨棚)。 </w:t>
            </w:r>
          </w:p>
          <w:p w14:paraId="3D2624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15.工作温度：-20℃～55℃。 </w:t>
            </w:r>
          </w:p>
          <w:p w14:paraId="0C140D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16.相对湿度：5%～90%，不凝露。</w:t>
            </w:r>
          </w:p>
          <w:p w14:paraId="1EE3CC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17.闸门开、关时间：0.5S（可调）。</w:t>
            </w:r>
          </w:p>
          <w:p w14:paraId="2BA1F3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18.闸门开闭角度：90±5°。</w:t>
            </w:r>
          </w:p>
          <w:p w14:paraId="312299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19.通行速度：35-45人/分钟（实际通行速度与通行环境，人员情况而有所不同）。</w:t>
            </w:r>
          </w:p>
          <w:p w14:paraId="24663F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20.上电后进入通行状态所需时间：≤5秒。</w:t>
            </w:r>
          </w:p>
          <w:p w14:paraId="4D215B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21.</w:t>
            </w:r>
            <w:r>
              <w:rPr>
                <w:rFonts w:hint="eastAsia" w:ascii="宋体" w:hAnsi="宋体" w:eastAsia="宋体" w:cs="宋体"/>
                <w:color w:val="auto"/>
                <w:sz w:val="21"/>
                <w:szCs w:val="21"/>
                <w:highlight w:val="none"/>
                <w:lang w:val="en-US" w:eastAsia="zh-CN" w:bidi="ar"/>
              </w:rPr>
              <w:t>出现故障后的自动复位时间：≤12秒</w:t>
            </w:r>
            <w:r>
              <w:rPr>
                <w:rFonts w:hint="eastAsia" w:ascii="宋体" w:hAnsi="宋体" w:eastAsia="宋体" w:cs="宋体"/>
                <w:i w:val="0"/>
                <w:iCs w:val="0"/>
                <w:color w:val="auto"/>
                <w:kern w:val="0"/>
                <w:sz w:val="21"/>
                <w:szCs w:val="21"/>
                <w:highlight w:val="none"/>
                <w:u w:val="none"/>
                <w:lang w:val="en-US" w:eastAsia="zh-CN"/>
              </w:rPr>
              <w:t>。</w:t>
            </w:r>
          </w:p>
          <w:p w14:paraId="7E7DDD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22.噪声：≤55dB。</w:t>
            </w:r>
          </w:p>
          <w:p w14:paraId="44CA4B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23.正常使用寿命：不低于600万次。</w:t>
            </w:r>
          </w:p>
          <w:p w14:paraId="10E723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24.通讯接口：标准RS485接口以及RS232接口。</w:t>
            </w:r>
          </w:p>
          <w:p w14:paraId="2CE2E3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25.输入接口：继电器开关信号或12V电平信号或脉宽＞100ms的12V脉冲信号，驱动电流＞10mA（外部可接达8台设备）。</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804A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83200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48B093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工业</w:t>
            </w:r>
          </w:p>
        </w:tc>
      </w:tr>
      <w:tr w14:paraId="20FF2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4" w:type="dxa"/>
            <w:vMerge w:val="continue"/>
            <w:tcBorders>
              <w:left w:val="single" w:color="auto" w:sz="4" w:space="0"/>
              <w:right w:val="single" w:color="auto" w:sz="4" w:space="0"/>
            </w:tcBorders>
            <w:noWrap w:val="0"/>
            <w:vAlign w:val="top"/>
          </w:tcPr>
          <w:p w14:paraId="4877884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476" w:type="dxa"/>
            <w:tcBorders>
              <w:top w:val="single" w:color="auto" w:sz="4" w:space="0"/>
              <w:left w:val="single" w:color="auto" w:sz="4" w:space="0"/>
              <w:bottom w:val="single" w:color="auto" w:sz="4" w:space="0"/>
              <w:right w:val="single" w:color="auto" w:sz="4" w:space="0"/>
            </w:tcBorders>
            <w:noWrap w:val="0"/>
            <w:vAlign w:val="center"/>
          </w:tcPr>
          <w:p w14:paraId="4AD1CF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rPr>
              <w:t>2</w:t>
            </w:r>
          </w:p>
        </w:tc>
        <w:tc>
          <w:tcPr>
            <w:tcW w:w="1864" w:type="dxa"/>
            <w:gridSpan w:val="2"/>
            <w:tcBorders>
              <w:top w:val="single" w:color="auto" w:sz="4" w:space="0"/>
              <w:left w:val="single" w:color="auto" w:sz="4" w:space="0"/>
              <w:bottom w:val="single" w:color="auto" w:sz="4" w:space="0"/>
              <w:right w:val="single" w:color="auto" w:sz="4" w:space="0"/>
            </w:tcBorders>
            <w:noWrap w:val="0"/>
            <w:vAlign w:val="center"/>
          </w:tcPr>
          <w:p w14:paraId="1747C6B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翼闸双机芯</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84F26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3F8B12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13</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75BF72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1.闸机组成：机芯*2个、箱体*1个、闸机控制板*2个、电源*2个。</w:t>
            </w:r>
          </w:p>
          <w:p w14:paraId="5E1F6C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2.机箱材料：拉丝SUS304不锈钢，全身足1.2mm。</w:t>
            </w:r>
          </w:p>
          <w:p w14:paraId="0834DC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3.闸门材质：10mm亚克力板*2。</w:t>
            </w:r>
          </w:p>
          <w:p w14:paraId="5E99C4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4.电源输入：AC220±10%V  50±10%HZ。 </w:t>
            </w:r>
          </w:p>
          <w:p w14:paraId="36AF79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5.电源输出（工作电压，电流）：DC24V 2.4A。</w:t>
            </w:r>
          </w:p>
          <w:p w14:paraId="28D763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6.驱动方式：DC24V无刷电机。</w:t>
            </w:r>
          </w:p>
          <w:p w14:paraId="4A3878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7.功率：</w:t>
            </w:r>
            <w:r>
              <w:rPr>
                <w:rFonts w:hint="eastAsia" w:ascii="宋体" w:hAnsi="宋体" w:eastAsia="宋体" w:cs="宋体"/>
                <w:color w:val="auto"/>
                <w:sz w:val="21"/>
                <w:szCs w:val="21"/>
                <w:highlight w:val="none"/>
                <w:lang w:val="en-US" w:eastAsia="zh-CN" w:bidi="ar"/>
              </w:rPr>
              <w:t>额定功率100W</w:t>
            </w:r>
            <w:r>
              <w:rPr>
                <w:rFonts w:hint="eastAsia" w:ascii="宋体" w:hAnsi="宋体" w:eastAsia="宋体" w:cs="宋体"/>
                <w:i w:val="0"/>
                <w:iCs w:val="0"/>
                <w:color w:val="auto"/>
                <w:kern w:val="0"/>
                <w:sz w:val="21"/>
                <w:szCs w:val="21"/>
                <w:highlight w:val="none"/>
                <w:u w:val="none"/>
                <w:lang w:val="en-US" w:eastAsia="zh-CN"/>
              </w:rPr>
              <w:t>。</w:t>
            </w:r>
          </w:p>
          <w:p w14:paraId="04AF47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8.红外个数：≥10个（标配）。</w:t>
            </w:r>
          </w:p>
          <w:p w14:paraId="6739E8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9.外形尺寸长：1200*290*990mm（±5mm）。</w:t>
            </w:r>
          </w:p>
          <w:p w14:paraId="503C1F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10.通道宽度：600mm（±5mm）。</w:t>
            </w:r>
          </w:p>
          <w:p w14:paraId="7D2F90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11.通行方向：单向或双向。</w:t>
            </w:r>
          </w:p>
          <w:p w14:paraId="13EF86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12.开闸方式：ID/IC刷卡等读头验证开闸、红外感应自动开闸、按钮开闸。</w:t>
            </w:r>
          </w:p>
          <w:p w14:paraId="3BAE49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13.防护方式：红外防夹、电流防夹、非法闯入红外报警。</w:t>
            </w:r>
          </w:p>
          <w:p w14:paraId="43142E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14.工作环境：室内、室外(挡雨棚)。 </w:t>
            </w:r>
          </w:p>
          <w:p w14:paraId="064D2B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15.工作温度：-20℃～55℃。 </w:t>
            </w:r>
          </w:p>
          <w:p w14:paraId="72350B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16.相对湿度：5%～90%，不凝露。</w:t>
            </w:r>
          </w:p>
          <w:p w14:paraId="084339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17.闸门开、关时间：0.5S（可调）。</w:t>
            </w:r>
          </w:p>
          <w:p w14:paraId="213AB9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18.闸门开闭角度：90±5°。</w:t>
            </w:r>
          </w:p>
          <w:p w14:paraId="6380D3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19.通行速度：35-45人/分钟（实际通行速度与通行环境，人员情况而有所不同）。</w:t>
            </w:r>
          </w:p>
          <w:p w14:paraId="03E6FC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20.上电后进入通行状态所需时间：≤5秒。</w:t>
            </w:r>
          </w:p>
          <w:p w14:paraId="179F4A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21.</w:t>
            </w:r>
            <w:r>
              <w:rPr>
                <w:rFonts w:hint="eastAsia" w:ascii="宋体" w:hAnsi="宋体" w:eastAsia="宋体" w:cs="宋体"/>
                <w:color w:val="auto"/>
                <w:sz w:val="21"/>
                <w:szCs w:val="21"/>
                <w:highlight w:val="none"/>
                <w:lang w:val="en-US" w:eastAsia="zh-CN" w:bidi="ar"/>
              </w:rPr>
              <w:t>出现故障后的自动复位时间：≤12秒。</w:t>
            </w:r>
          </w:p>
          <w:p w14:paraId="6108F5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22.噪声：≤55dB。</w:t>
            </w:r>
          </w:p>
          <w:p w14:paraId="644B3E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23.正常使用寿命：不低于600万次。</w:t>
            </w:r>
          </w:p>
          <w:p w14:paraId="054574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24.通讯接口：标准RS485接口以及RS232接口。</w:t>
            </w:r>
          </w:p>
          <w:p w14:paraId="6784BE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25.输入接口：继电器开关信号或12V电平信号或脉宽＞100ms的12V脉冲信号，驱动电流＞10mA（外部可接达8台设备）。</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FCAAE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89440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6D7198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工业</w:t>
            </w:r>
          </w:p>
        </w:tc>
      </w:tr>
      <w:tr w14:paraId="1861E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14" w:type="dxa"/>
            <w:vMerge w:val="continue"/>
            <w:tcBorders>
              <w:left w:val="single" w:color="auto" w:sz="4" w:space="0"/>
              <w:right w:val="single" w:color="auto" w:sz="4" w:space="0"/>
            </w:tcBorders>
            <w:noWrap w:val="0"/>
            <w:vAlign w:val="top"/>
          </w:tcPr>
          <w:p w14:paraId="1B408EC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476" w:type="dxa"/>
            <w:tcBorders>
              <w:top w:val="single" w:color="auto" w:sz="4" w:space="0"/>
              <w:left w:val="single" w:color="auto" w:sz="4" w:space="0"/>
              <w:bottom w:val="single" w:color="auto" w:sz="4" w:space="0"/>
              <w:right w:val="single" w:color="auto" w:sz="4" w:space="0"/>
            </w:tcBorders>
            <w:noWrap w:val="0"/>
            <w:vAlign w:val="center"/>
          </w:tcPr>
          <w:p w14:paraId="1D6129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rPr>
              <w:t>3</w:t>
            </w:r>
          </w:p>
        </w:tc>
        <w:tc>
          <w:tcPr>
            <w:tcW w:w="1864" w:type="dxa"/>
            <w:gridSpan w:val="2"/>
            <w:tcBorders>
              <w:top w:val="single" w:color="auto" w:sz="4" w:space="0"/>
              <w:left w:val="single" w:color="auto" w:sz="4" w:space="0"/>
              <w:bottom w:val="single" w:color="auto" w:sz="4" w:space="0"/>
              <w:right w:val="single" w:color="auto" w:sz="4" w:space="0"/>
            </w:tcBorders>
            <w:noWrap w:val="0"/>
            <w:vAlign w:val="center"/>
          </w:tcPr>
          <w:p w14:paraId="0F66698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人脸识别一体机</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D24AA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08F46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42</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67A51857">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一、硬件要求</w:t>
            </w:r>
          </w:p>
          <w:p w14:paraId="27F1B918">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1.配置≥200万高清摄像头。</w:t>
            </w:r>
          </w:p>
          <w:p w14:paraId="4B1A92A9">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2.识别距离：最佳识别距离 0.5 - 2m±0.1m。</w:t>
            </w:r>
          </w:p>
          <w:p w14:paraId="4D3E5260">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3.本地人脸库：≥5 万。</w:t>
            </w:r>
          </w:p>
          <w:p w14:paraId="0E7AFDFD">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4.显示屏：≥7英寸；内置扬声器+麦克风，支持触摸屏。</w:t>
            </w:r>
          </w:p>
          <w:p w14:paraId="5C456E81">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5.通讯方式：10/100Mbps 以太网。</w:t>
            </w:r>
          </w:p>
          <w:p w14:paraId="2375EF71">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6.输入\输出接口：USB 2.0 Host、RJ45 10/100Mbps 、RS-485、DC12V-2A 输入。</w:t>
            </w:r>
          </w:p>
          <w:p w14:paraId="3F63EB6D">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7.工作温度：-20℃-60℃。</w:t>
            </w:r>
          </w:p>
          <w:p w14:paraId="66F1ABFA">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8.防水等级：IP66。</w:t>
            </w:r>
          </w:p>
          <w:p w14:paraId="29FD31ED">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二、功能要求</w:t>
            </w:r>
          </w:p>
          <w:p w14:paraId="78F38391">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▲1.与学校现有数字化校园平台(品牌：金智)集成，实现单点登录、统一身份认证，数据集成，并基于统一的组织架构开展授权管理。</w:t>
            </w:r>
          </w:p>
          <w:p w14:paraId="293A81E2">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▲2.作为学校一期人脸识别系统和设</w:t>
            </w:r>
          </w:p>
          <w:p w14:paraId="10C94ABC">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备的增补，要求识别机配套的管理系</w:t>
            </w:r>
          </w:p>
          <w:p w14:paraId="01667D5E">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统软件支持对接与现有已建统一管控</w:t>
            </w:r>
          </w:p>
          <w:p w14:paraId="0ADD0252">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平台(品牌：商汤),实现与一期组</w:t>
            </w:r>
          </w:p>
          <w:p w14:paraId="0EAF03B4">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织、人员等基础信息的同步，实现不</w:t>
            </w:r>
          </w:p>
          <w:p w14:paraId="6A3E06D7">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同厂家设备事件进行统一管理，实现</w:t>
            </w:r>
          </w:p>
          <w:p w14:paraId="19F49C11">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学生安稳和访客来访等统一管理。如</w:t>
            </w:r>
          </w:p>
          <w:p w14:paraId="03E8EF14">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无法实现需要提供替换原有124套终 端及的设备及服务。</w:t>
            </w:r>
          </w:p>
          <w:p w14:paraId="2F176311">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rPr>
              <w:t>▲3.需完成与学校现有数字化校园、手机APP移动应用和大数据平台(品牌：云华)的无缝对接，实现平台之间数据的互联互通，保持数据一致性的同时，方便学校对数据来源和去向进行统一管控。</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C8824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324660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678AD7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工业</w:t>
            </w:r>
          </w:p>
        </w:tc>
      </w:tr>
      <w:tr w14:paraId="72DC5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vMerge w:val="continue"/>
            <w:tcBorders>
              <w:left w:val="single" w:color="auto" w:sz="4" w:space="0"/>
              <w:right w:val="single" w:color="auto" w:sz="4" w:space="0"/>
            </w:tcBorders>
            <w:noWrap w:val="0"/>
            <w:vAlign w:val="top"/>
          </w:tcPr>
          <w:p w14:paraId="47686F7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476" w:type="dxa"/>
            <w:tcBorders>
              <w:top w:val="single" w:color="auto" w:sz="4" w:space="0"/>
              <w:left w:val="single" w:color="auto" w:sz="4" w:space="0"/>
              <w:bottom w:val="single" w:color="auto" w:sz="4" w:space="0"/>
              <w:right w:val="single" w:color="auto" w:sz="4" w:space="0"/>
            </w:tcBorders>
            <w:noWrap w:val="0"/>
            <w:vAlign w:val="center"/>
          </w:tcPr>
          <w:p w14:paraId="665F83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w:t>
            </w:r>
          </w:p>
        </w:tc>
        <w:tc>
          <w:tcPr>
            <w:tcW w:w="1864" w:type="dxa"/>
            <w:gridSpan w:val="2"/>
            <w:tcBorders>
              <w:top w:val="single" w:color="auto" w:sz="4" w:space="0"/>
              <w:left w:val="single" w:color="auto" w:sz="4" w:space="0"/>
              <w:bottom w:val="single" w:color="auto" w:sz="4" w:space="0"/>
              <w:right w:val="single" w:color="auto" w:sz="4" w:space="0"/>
            </w:tcBorders>
            <w:noWrap w:val="0"/>
            <w:vAlign w:val="center"/>
          </w:tcPr>
          <w:p w14:paraId="10656E0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人脸识别机支架</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F4F2E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个</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67803C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42</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7ED5E4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按照采购人实际需求定制。</w:t>
            </w:r>
          </w:p>
        </w:tc>
        <w:tc>
          <w:tcPr>
            <w:tcW w:w="1116" w:type="dxa"/>
            <w:tcBorders>
              <w:top w:val="single" w:color="auto" w:sz="4" w:space="0"/>
              <w:left w:val="single" w:color="auto" w:sz="4" w:space="0"/>
              <w:bottom w:val="single" w:color="auto" w:sz="4" w:space="0"/>
              <w:right w:val="single" w:color="auto" w:sz="4" w:space="0"/>
            </w:tcBorders>
            <w:noWrap w:val="0"/>
            <w:vAlign w:val="bottom"/>
          </w:tcPr>
          <w:p w14:paraId="038CF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12600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C70ECF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工业</w:t>
            </w:r>
          </w:p>
        </w:tc>
      </w:tr>
      <w:tr w14:paraId="183F2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vMerge w:val="continue"/>
            <w:tcBorders>
              <w:left w:val="single" w:color="auto" w:sz="4" w:space="0"/>
              <w:right w:val="single" w:color="auto" w:sz="4" w:space="0"/>
            </w:tcBorders>
            <w:noWrap w:val="0"/>
            <w:vAlign w:val="top"/>
          </w:tcPr>
          <w:p w14:paraId="06359A3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476" w:type="dxa"/>
            <w:tcBorders>
              <w:top w:val="single" w:color="auto" w:sz="4" w:space="0"/>
              <w:left w:val="single" w:color="auto" w:sz="4" w:space="0"/>
              <w:bottom w:val="single" w:color="auto" w:sz="4" w:space="0"/>
              <w:right w:val="single" w:color="auto" w:sz="4" w:space="0"/>
            </w:tcBorders>
            <w:noWrap w:val="0"/>
            <w:vAlign w:val="center"/>
          </w:tcPr>
          <w:p w14:paraId="3C136C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w:t>
            </w:r>
          </w:p>
        </w:tc>
        <w:tc>
          <w:tcPr>
            <w:tcW w:w="1864" w:type="dxa"/>
            <w:gridSpan w:val="2"/>
            <w:tcBorders>
              <w:top w:val="single" w:color="auto" w:sz="4" w:space="0"/>
              <w:left w:val="single" w:color="auto" w:sz="4" w:space="0"/>
              <w:bottom w:val="single" w:color="auto" w:sz="4" w:space="0"/>
              <w:right w:val="single" w:color="auto" w:sz="4" w:space="0"/>
            </w:tcBorders>
            <w:noWrap w:val="0"/>
            <w:vAlign w:val="center"/>
          </w:tcPr>
          <w:p w14:paraId="3E38C64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8口千兆交换机</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5740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rPr>
              <w:t>台</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4A7C32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9</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23DA2E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rPr>
              <w:t>千兆电口≥8个，千兆光口≥2个；Console口≥1个。</w:t>
            </w:r>
          </w:p>
          <w:p w14:paraId="0906F8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rPr>
              <w:t>交换容量≥600Gbps，包转发率≥100Mpps。</w:t>
            </w:r>
          </w:p>
          <w:p w14:paraId="6C2505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3.支持MAC地址≥16K，支持MAC地址自动学习；支持源MAC地址过滤。</w:t>
            </w:r>
          </w:p>
          <w:p w14:paraId="4D3B6F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4.支持通过网管中心平台查看交换机端口负载情况。</w:t>
            </w:r>
          </w:p>
          <w:p w14:paraId="2FC0A5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5.支持通过在网管中心平台的Web页面对交换机进行可视化管理查看，包括交换机的端口状态及配置、vlan信息。</w:t>
            </w:r>
          </w:p>
          <w:p w14:paraId="2E0A94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6.支持通过网管中心平台图形化操作对交换机端口状态的开启与关闭。</w:t>
            </w:r>
          </w:p>
          <w:p w14:paraId="01940D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7.支持通过网管中心平台查看交换机面板端口工作状态，通过端口颜色显示状态即可判断端口是否在线工作。</w:t>
            </w:r>
          </w:p>
          <w:p w14:paraId="6610A8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8.支持以下上线方式：支持二层广播自动发现网管中心平台；支持配置静态IP地址三层发现网管中心平台；支持DHCP Option43方式发现网管中心平台；支持DNS域名发现网管中心平台。</w:t>
            </w:r>
          </w:p>
          <w:p w14:paraId="268C06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9.支持通过网管中心平台一键替换“按钮”即可完成故障设备替换。</w:t>
            </w:r>
          </w:p>
          <w:p w14:paraId="651F4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10.支持通过APP进行远程管理，并且可以修改交换机网络配置。</w:t>
            </w:r>
          </w:p>
          <w:p w14:paraId="6389D7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11.支持IEEE 802.3az 标准的 EEE节能技术：当EEE使能时，从而大幅度的减小端口在该阶段的功耗，达到了节能的目的。</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ED1A4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8100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D91C49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工业</w:t>
            </w:r>
          </w:p>
        </w:tc>
      </w:tr>
      <w:tr w14:paraId="41964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vMerge w:val="continue"/>
            <w:tcBorders>
              <w:left w:val="single" w:color="auto" w:sz="4" w:space="0"/>
              <w:right w:val="single" w:color="auto" w:sz="4" w:space="0"/>
            </w:tcBorders>
            <w:noWrap w:val="0"/>
            <w:vAlign w:val="top"/>
          </w:tcPr>
          <w:p w14:paraId="6F96EEF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476" w:type="dxa"/>
            <w:tcBorders>
              <w:top w:val="single" w:color="auto" w:sz="4" w:space="0"/>
              <w:left w:val="single" w:color="auto" w:sz="4" w:space="0"/>
              <w:bottom w:val="single" w:color="auto" w:sz="4" w:space="0"/>
              <w:right w:val="single" w:color="auto" w:sz="4" w:space="0"/>
            </w:tcBorders>
            <w:noWrap w:val="0"/>
            <w:vAlign w:val="center"/>
          </w:tcPr>
          <w:p w14:paraId="214CE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w:t>
            </w:r>
          </w:p>
        </w:tc>
        <w:tc>
          <w:tcPr>
            <w:tcW w:w="1864" w:type="dxa"/>
            <w:gridSpan w:val="2"/>
            <w:tcBorders>
              <w:top w:val="single" w:color="auto" w:sz="4" w:space="0"/>
              <w:left w:val="single" w:color="auto" w:sz="4" w:space="0"/>
              <w:bottom w:val="single" w:color="auto" w:sz="4" w:space="0"/>
              <w:right w:val="single" w:color="auto" w:sz="4" w:space="0"/>
            </w:tcBorders>
            <w:noWrap w:val="0"/>
            <w:vAlign w:val="center"/>
          </w:tcPr>
          <w:p w14:paraId="4D9727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集成施工服务</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20BA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项</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7A696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70A7B8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一、安装联调</w:t>
            </w:r>
          </w:p>
          <w:p w14:paraId="33C1FC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1.包含新采购设备以及利旧设备（38套闸机及配套60台人脸识别机）、平台等的系统集成服务。</w:t>
            </w:r>
          </w:p>
          <w:p w14:paraId="034100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2.包含相关设备安装联调所需的线材、PVC管材等辅材辅料。</w:t>
            </w:r>
          </w:p>
          <w:p w14:paraId="7184BB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3.包含安装闸机造成的地面破坏的地面硬化恢复。</w:t>
            </w:r>
          </w:p>
          <w:p w14:paraId="7C48A8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▲二、远程系统服务</w:t>
            </w:r>
          </w:p>
          <w:p w14:paraId="3C6D3D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1.提供的远程服务系统，系统支持兆芯、飞腾、鲲鹏、麒麟、Intel x86等主流硬件平台，以及统信UOS、麒麟OS、Windows10等主流操作系统。</w:t>
            </w:r>
          </w:p>
          <w:p w14:paraId="2B6CE0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管理平台采用B/S架构。管理员在需要登录平台进行远程管理时，需通过浏览器输入授权的管理账号密码登录。管理员通过浏览器即可完成所有机房服务器的远程工作，平台至少应包括用户管理、服务器管理、录屏管理、日志管理、系统设置这些关键功能模块。</w:t>
            </w:r>
          </w:p>
          <w:p w14:paraId="24C7DE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3.支持通过服务器管理，一键生成远程链接，对服务器进行远程管理，支持通过录屏管理和日志管理查看管理过程视频回放和操作记录。</w:t>
            </w:r>
          </w:p>
          <w:p w14:paraId="2E99F0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4.当机房服务器故障并请求工程师协助时，工程师可以通过浏览器直接输入远程链接发起远程操作。机房服务器不需再二次确认即可接受远程管理，工程师即可开始远程管理操作。</w:t>
            </w:r>
          </w:p>
          <w:p w14:paraId="05AE90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5.系统应支持对所有的远程操作均进行详细的记录，支持导出操作日志供查询和审计。日志记录应包括操作的时间、内容、结果等信息。</w:t>
            </w:r>
          </w:p>
          <w:p w14:paraId="1F25C2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6.远程链接具备时效性与唯一性，刷新后原链接自动失效，重新生成链接，确保连接安全。用户可一键复制链接，方便分享给需要远程操作的工程师。</w:t>
            </w:r>
          </w:p>
          <w:p w14:paraId="6ADD29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7.用户管理应支持分组功能，管理员可以根据实际需要创建不同的分组，并将用户划分至指定的分组，进行用户分组管理。</w:t>
            </w:r>
          </w:p>
          <w:p w14:paraId="0514EF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8.管理员可在运维平台导入用户信息，并对导入的用户做重新分组、修改角色、设置状态、修改密码等操作。</w:t>
            </w:r>
          </w:p>
          <w:p w14:paraId="453630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9.录屏水印设置灵活，通过开关控制是否添加水印，水印内容可选择时间、设备信息（MAC/IP）、接入人员信息（IP），还支持自定义输入，满足不同场景下的溯源需求，确保录屏内容的准确性和可识别性。</w:t>
            </w:r>
          </w:p>
          <w:p w14:paraId="65B7BB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10.系统应支持了平台升级操作的功能。管理员可以通过此功能检查系统是否有新版本发布，并选择进行在线升级或下载升级包进行本地升级。</w:t>
            </w:r>
          </w:p>
          <w:p w14:paraId="1337A7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11.支持桌面水印功能。要求能为运维人员电脑桌面添加含用户工程师信息的水印，预防非授权截图与分享。</w:t>
            </w:r>
          </w:p>
          <w:p w14:paraId="63F172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12.平台支持启用国密算法加密网络连接。</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95DB0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18500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2DCC32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工业</w:t>
            </w:r>
          </w:p>
        </w:tc>
      </w:tr>
      <w:tr w14:paraId="75BA7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left w:val="single" w:color="auto" w:sz="4" w:space="0"/>
              <w:right w:val="single" w:color="auto" w:sz="4" w:space="0"/>
            </w:tcBorders>
            <w:noWrap w:val="0"/>
            <w:vAlign w:val="top"/>
          </w:tcPr>
          <w:p w14:paraId="3294E0D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476" w:type="dxa"/>
            <w:tcBorders>
              <w:top w:val="single" w:color="auto" w:sz="4" w:space="0"/>
              <w:left w:val="single" w:color="auto" w:sz="4" w:space="0"/>
              <w:bottom w:val="single" w:color="auto" w:sz="4" w:space="0"/>
              <w:right w:val="single" w:color="auto" w:sz="4" w:space="0"/>
            </w:tcBorders>
            <w:noWrap w:val="0"/>
            <w:vAlign w:val="center"/>
          </w:tcPr>
          <w:p w14:paraId="028EF8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7</w:t>
            </w:r>
          </w:p>
        </w:tc>
        <w:tc>
          <w:tcPr>
            <w:tcW w:w="1864" w:type="dxa"/>
            <w:gridSpan w:val="2"/>
            <w:tcBorders>
              <w:top w:val="single" w:color="auto" w:sz="4" w:space="0"/>
              <w:left w:val="single" w:color="auto" w:sz="4" w:space="0"/>
              <w:bottom w:val="single" w:color="auto" w:sz="4" w:space="0"/>
              <w:right w:val="single" w:color="auto" w:sz="4" w:space="0"/>
            </w:tcBorders>
            <w:noWrap w:val="0"/>
            <w:vAlign w:val="center"/>
          </w:tcPr>
          <w:p w14:paraId="2900EE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运维服务</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6DCE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项</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925DC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5BC5F3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1、提供对学校现有闸机设备、人脸识别设备及相关硬件软件系统的运维，包含：</w:t>
            </w:r>
          </w:p>
          <w:p w14:paraId="70B61A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（1）设备软硬件与学校现有数字化校园平台(品牌：金智)集成的运维；</w:t>
            </w:r>
          </w:p>
          <w:p w14:paraId="6ADFCC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（2）设备软硬件与现有已建统一管控平台（品牌：商汤）的运维；</w:t>
            </w:r>
          </w:p>
          <w:p w14:paraId="57783E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（3）设备软硬件与学校现有数字化校园、手机APP移动应用和大数据平台(品牌：云华)的运维。</w:t>
            </w:r>
          </w:p>
          <w:p w14:paraId="7BA808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（4）学校人脸识别管理平台（含访客管理、宿舍考勤、实时状况、数据统计、辅导员查寝记录、个人布控、人流峰值、人流预测、人员信息管理、人员禁行锁定、消息推送等功能）运维和功能调整。</w:t>
            </w:r>
          </w:p>
          <w:p w14:paraId="3F4FC4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现状说明：现有运维内容包括：设备闸机数量75台，人脸识别设备124台，软件系统包括人脸大数据分析平台和智能物联平台，上年运维费合同金额6万元，运维合同将于2025年6月30日到期。上述所有平台、设备的品牌无指向性，仅作明确需要接入的平台、设备信息使用，投标人可自行选择技术路径实施集成对接和运维工作。</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93B7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4695984">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工业</w:t>
            </w:r>
          </w:p>
        </w:tc>
      </w:tr>
      <w:tr w14:paraId="023AE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top"/>
          </w:tcPr>
          <w:p w14:paraId="2391536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p w14:paraId="4C7FBBB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p w14:paraId="0F42F72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507" w:type="dxa"/>
            <w:gridSpan w:val="8"/>
            <w:tcBorders>
              <w:top w:val="single" w:color="auto" w:sz="4" w:space="0"/>
              <w:left w:val="single" w:color="auto" w:sz="4" w:space="0"/>
              <w:bottom w:val="single" w:color="auto" w:sz="4" w:space="0"/>
              <w:right w:val="single" w:color="auto" w:sz="4" w:space="0"/>
            </w:tcBorders>
            <w:noWrap w:val="0"/>
            <w:vAlign w:val="top"/>
          </w:tcPr>
          <w:p w14:paraId="70F190A8">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▲一、合同签订期：</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通知书发出之日起25日</w:t>
            </w:r>
            <w:r>
              <w:rPr>
                <w:rFonts w:hint="eastAsia" w:ascii="宋体" w:hAnsi="宋体" w:eastAsia="宋体" w:cs="宋体"/>
                <w:color w:val="auto"/>
                <w:sz w:val="21"/>
                <w:szCs w:val="21"/>
                <w:highlight w:val="none"/>
                <w:lang w:eastAsia="zh-CN"/>
              </w:rPr>
              <w:t>历天</w:t>
            </w:r>
            <w:r>
              <w:rPr>
                <w:rFonts w:hint="eastAsia" w:ascii="宋体" w:hAnsi="宋体" w:eastAsia="宋体" w:cs="宋体"/>
                <w:color w:val="auto"/>
                <w:sz w:val="21"/>
                <w:szCs w:val="21"/>
                <w:highlight w:val="none"/>
              </w:rPr>
              <w:t>内必须签订合同</w:t>
            </w:r>
          </w:p>
          <w:p w14:paraId="0D3BA9A4">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Cs/>
                <w:color w:val="auto"/>
                <w:sz w:val="21"/>
                <w:szCs w:val="21"/>
                <w:highlight w:val="none"/>
              </w:rPr>
              <w:t>交货期：</w:t>
            </w:r>
            <w:r>
              <w:rPr>
                <w:rFonts w:hint="eastAsia" w:ascii="宋体" w:hAnsi="宋体" w:eastAsia="宋体" w:cs="宋体"/>
                <w:bCs/>
                <w:color w:val="auto"/>
                <w:kern w:val="0"/>
                <w:sz w:val="21"/>
                <w:szCs w:val="21"/>
                <w:highlight w:val="none"/>
              </w:rPr>
              <w:t>合同签订后</w:t>
            </w:r>
            <w:r>
              <w:rPr>
                <w:rFonts w:hint="eastAsia" w:ascii="宋体" w:hAnsi="宋体" w:eastAsia="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rPr>
              <w:t>日历天内交货（含安装调试）</w:t>
            </w:r>
          </w:p>
          <w:p w14:paraId="20C3AF28">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三、交货地点：南宁职业技术大学校内指定地点</w:t>
            </w:r>
          </w:p>
          <w:p w14:paraId="1CB235B6">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四、验收标准、规范：</w:t>
            </w:r>
          </w:p>
          <w:p w14:paraId="1CFAEC14">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1）采购人对成交供应商所交货物必须依照</w:t>
            </w:r>
            <w:r>
              <w:rPr>
                <w:rFonts w:hint="eastAsia" w:ascii="宋体" w:hAnsi="宋体" w:eastAsia="宋体" w:cs="宋体"/>
                <w:bCs/>
                <w:color w:val="auto"/>
                <w:kern w:val="0"/>
                <w:sz w:val="21"/>
                <w:szCs w:val="21"/>
                <w:highlight w:val="none"/>
                <w:lang w:val="en-US" w:eastAsia="zh-CN"/>
              </w:rPr>
              <w:t>采购</w:t>
            </w:r>
            <w:r>
              <w:rPr>
                <w:rFonts w:hint="eastAsia" w:ascii="宋体" w:hAnsi="宋体" w:eastAsia="宋体" w:cs="宋体"/>
                <w:bCs/>
                <w:color w:val="auto"/>
                <w:kern w:val="0"/>
                <w:sz w:val="21"/>
                <w:szCs w:val="21"/>
                <w:highlight w:val="none"/>
              </w:rPr>
              <w:t>文件上的技术规格实质要求和国家有关标准验收，进行现场测试比对，达到要求的方可验收。如因成交供应商虚假应标而造成采购人损失的，成交供应商应承担相应法律责任，并赔偿因此而造成的采购人的损失。</w:t>
            </w:r>
          </w:p>
          <w:p w14:paraId="02EB9E07">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2）验收产生的费用首次验收费用由采购人承担，如首次验收不合格，后续验收费用由成交供应商支付。</w:t>
            </w:r>
          </w:p>
          <w:p w14:paraId="44D8B2B1">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对检验，因成交供应商原因首次验收不通过的，整改过后经采购人同意后进行二次验收，二次验收因成交供应商原因验收不通过的，采购人不再予以验收，视为成交供应商单方违约，采购人将如实上报财政部门并追究其全部法律责任及要求赔偿相应的经济损失。</w:t>
            </w:r>
          </w:p>
          <w:p w14:paraId="18127715">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4）成交供应商须确保货物为原制造商制造的全新产品，无污染，无侵权行为、表面无划损、无任何缺陷隐患，在中国境内可依常规安全合法使用。</w:t>
            </w:r>
          </w:p>
          <w:p w14:paraId="4109BA99">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五、售后服务要求：</w:t>
            </w:r>
          </w:p>
          <w:p w14:paraId="0D1F522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color w:val="auto"/>
                <w:sz w:val="21"/>
                <w:szCs w:val="21"/>
                <w:highlight w:val="none"/>
              </w:rPr>
              <w:t>1、货物质量保证期</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年，运维服务期</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年（自提交成果并验收合格之日起计）</w:t>
            </w:r>
            <w:r>
              <w:rPr>
                <w:rFonts w:hint="eastAsia" w:ascii="宋体" w:hAnsi="宋体" w:eastAsia="宋体" w:cs="宋体"/>
                <w:bCs/>
                <w:color w:val="auto"/>
                <w:kern w:val="0"/>
                <w:sz w:val="21"/>
                <w:szCs w:val="21"/>
                <w:highlight w:val="none"/>
              </w:rPr>
              <w:t>。</w:t>
            </w:r>
          </w:p>
          <w:p w14:paraId="2AF65AA3">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2、响应时间：接到采购人处理问题通知后</w:t>
            </w:r>
            <w:r>
              <w:rPr>
                <w:rFonts w:hint="eastAsia" w:ascii="宋体" w:hAnsi="宋体" w:eastAsia="宋体" w:cs="宋体"/>
                <w:color w:val="auto"/>
                <w:sz w:val="21"/>
                <w:szCs w:val="21"/>
                <w:highlight w:val="none"/>
                <w:u w:val="single"/>
              </w:rPr>
              <w:t xml:space="preserve"> 24</w:t>
            </w:r>
            <w:r>
              <w:rPr>
                <w:rFonts w:hint="eastAsia" w:ascii="宋体" w:hAnsi="宋体" w:eastAsia="宋体" w:cs="宋体"/>
                <w:color w:val="auto"/>
                <w:sz w:val="21"/>
                <w:szCs w:val="21"/>
                <w:highlight w:val="none"/>
              </w:rPr>
              <w:t>小时内到达采购人指定现场</w:t>
            </w:r>
          </w:p>
          <w:p w14:paraId="6600442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3、售后服务技术人员要求：</w:t>
            </w:r>
            <w:r>
              <w:rPr>
                <w:rFonts w:hint="eastAsia" w:ascii="宋体" w:hAnsi="宋体" w:eastAsia="宋体" w:cs="宋体"/>
                <w:color w:val="auto"/>
                <w:sz w:val="21"/>
                <w:szCs w:val="21"/>
                <w:highlight w:val="none"/>
                <w:lang w:eastAsia="zh-CN"/>
              </w:rPr>
              <w:t>专职</w:t>
            </w:r>
            <w:r>
              <w:rPr>
                <w:rFonts w:hint="eastAsia" w:ascii="宋体" w:hAnsi="宋体" w:eastAsia="宋体" w:cs="宋体"/>
                <w:color w:val="auto"/>
                <w:sz w:val="21"/>
                <w:szCs w:val="21"/>
                <w:highlight w:val="none"/>
              </w:rPr>
              <w:t>。</w:t>
            </w:r>
          </w:p>
          <w:p w14:paraId="4D278B4C">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、备品备件要求：有稳定的备件供应渠道，并从设备厂商的中国公司及其分销商购置整机和备件补充，可以满足客户的设备在升级、扩充和保修服务配件及消耗品等多方面的需求。</w:t>
            </w:r>
            <w:r>
              <w:rPr>
                <w:rFonts w:hint="eastAsia" w:ascii="宋体" w:hAnsi="宋体" w:eastAsia="宋体" w:cs="宋体"/>
                <w:bCs/>
                <w:color w:val="auto"/>
                <w:sz w:val="21"/>
                <w:szCs w:val="21"/>
                <w:highlight w:val="none"/>
              </w:rPr>
              <w:t>保修期内一切因生产厂制造质量原因造成的损坏，由供货方负责维修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采购人不再另行支付维修费用</w:t>
            </w:r>
            <w:r>
              <w:rPr>
                <w:rFonts w:hint="eastAsia" w:ascii="宋体" w:hAnsi="宋体" w:eastAsia="宋体" w:cs="宋体"/>
                <w:bCs/>
                <w:color w:val="auto"/>
                <w:sz w:val="21"/>
                <w:szCs w:val="21"/>
                <w:highlight w:val="none"/>
              </w:rPr>
              <w:t>；保修期满后1年内若设备出现故障，需更换配件的，只收取配件费，免收其余费用。</w:t>
            </w:r>
          </w:p>
          <w:p w14:paraId="09D7625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5、服务期内提供对学校现有设备闸机数量75台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人脸识别设备124台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软件系统包括人脸大数据分析平台和智能物联平台的运维服务</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由此产生的费用采购人不再另行支付</w:t>
            </w:r>
            <w:r>
              <w:rPr>
                <w:rFonts w:hint="eastAsia" w:ascii="宋体" w:hAnsi="宋体" w:eastAsia="宋体" w:cs="宋体"/>
                <w:bCs/>
                <w:color w:val="auto"/>
                <w:sz w:val="21"/>
                <w:szCs w:val="21"/>
                <w:highlight w:val="none"/>
              </w:rPr>
              <w:t>。</w:t>
            </w:r>
          </w:p>
          <w:p w14:paraId="3C38DA92">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六、其他要求：</w:t>
            </w:r>
          </w:p>
          <w:p w14:paraId="01E3FC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1、报价必须含以下部分，包括：</w:t>
            </w:r>
          </w:p>
          <w:p w14:paraId="1FF2A5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14:paraId="229EA8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14:paraId="6A23E914">
            <w:pPr>
              <w:keepNext w:val="0"/>
              <w:keepLines w:val="0"/>
              <w:pageBreakBefore w:val="0"/>
              <w:widowControl w:val="0"/>
              <w:tabs>
                <w:tab w:val="left" w:pos="3490"/>
                <w:tab w:val="left" w:pos="3670"/>
                <w:tab w:val="left" w:pos="3895"/>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（3）含运输、装卸、安装、调试、培训、技术支持、售后货物、更新升级等费用</w:t>
            </w:r>
          </w:p>
          <w:p w14:paraId="58D870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2、付款方式：本项目无预付款，供应商所提交的货物经采购人书面验收合格后，一次性支付合同款。</w:t>
            </w:r>
          </w:p>
          <w:p w14:paraId="65242E61">
            <w:pPr>
              <w:keepNext w:val="0"/>
              <w:keepLines w:val="0"/>
              <w:pageBreakBefore w:val="0"/>
              <w:numPr>
                <w:ilvl w:val="0"/>
                <w:numId w:val="2"/>
              </w:numPr>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本次采购的货物如属于财库[2019]19号文列明的政府强制采购节能产品品目清单范围的，供货时须提供国家确定的认证机构出具的、处于有效期之内的节能产品认证证书复印件。</w:t>
            </w:r>
          </w:p>
        </w:tc>
      </w:tr>
      <w:tr w14:paraId="2750A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14:paraId="7063C07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9507" w:type="dxa"/>
            <w:gridSpan w:val="8"/>
            <w:tcBorders>
              <w:top w:val="single" w:color="auto" w:sz="4" w:space="0"/>
              <w:left w:val="single" w:color="auto" w:sz="4" w:space="0"/>
              <w:bottom w:val="single" w:color="auto" w:sz="4" w:space="0"/>
              <w:right w:val="single" w:color="auto" w:sz="4" w:space="0"/>
            </w:tcBorders>
            <w:noWrap w:val="0"/>
            <w:vAlign w:val="top"/>
          </w:tcPr>
          <w:p w14:paraId="0C9F25D6">
            <w:pPr>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一、进口产品说明（根据项目实际情况选择）</w:t>
            </w:r>
          </w:p>
          <w:p w14:paraId="707294B1">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eastAsia="宋体" w:cs="宋体"/>
                <w:b/>
                <w:bCs/>
                <w:color w:val="auto"/>
                <w:sz w:val="21"/>
                <w:szCs w:val="21"/>
                <w:highlight w:val="none"/>
              </w:rPr>
              <w:t>其他货物不接受进口产品参与投标</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否则作无效标处理。</w:t>
            </w:r>
          </w:p>
          <w:p w14:paraId="3F5030CE">
            <w:pPr>
              <w:keepNext w:val="0"/>
              <w:keepLines w:val="0"/>
              <w:pageBreakBefore w:val="0"/>
              <w:tabs>
                <w:tab w:val="left" w:pos="180"/>
                <w:tab w:val="left" w:pos="1620"/>
              </w:tabs>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本分标货物所涉及的货物不接受进口产品（即通过中国海关报关验放进入中国境内且产自关境外的产品）参与投标，</w:t>
            </w:r>
            <w:r>
              <w:rPr>
                <w:rFonts w:hint="eastAsia" w:ascii="宋体" w:hAnsi="宋体" w:eastAsia="宋体" w:cs="宋体"/>
                <w:b/>
                <w:color w:val="auto"/>
                <w:sz w:val="21"/>
                <w:szCs w:val="21"/>
                <w:highlight w:val="none"/>
              </w:rPr>
              <w:t>如有进口产品参与投标的作无效标处理</w:t>
            </w:r>
            <w:r>
              <w:rPr>
                <w:rFonts w:hint="eastAsia" w:ascii="宋体" w:hAnsi="宋体" w:eastAsia="宋体" w:cs="宋体"/>
                <w:color w:val="auto"/>
                <w:sz w:val="21"/>
                <w:szCs w:val="21"/>
                <w:highlight w:val="none"/>
              </w:rPr>
              <w:t>。</w:t>
            </w:r>
          </w:p>
          <w:p w14:paraId="117F1589">
            <w:pPr>
              <w:keepNext w:val="0"/>
              <w:keepLines w:val="0"/>
              <w:pageBreakBefore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二、与本项目有关的设计图纸、技术规范、文件等附件资料及其获取方式（如有）</w:t>
            </w:r>
          </w:p>
          <w:p w14:paraId="7CFC8C0F">
            <w:pPr>
              <w:keepNext w:val="0"/>
              <w:keepLines w:val="0"/>
              <w:pageBreakBefore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文件或者资料名称：</w:t>
            </w:r>
            <w:r>
              <w:rPr>
                <w:rFonts w:hint="eastAsia" w:ascii="宋体" w:hAnsi="宋体" w:eastAsia="宋体" w:cs="宋体"/>
                <w:color w:val="auto"/>
                <w:sz w:val="21"/>
                <w:szCs w:val="21"/>
                <w:highlight w:val="none"/>
                <w:lang w:val="en-US" w:eastAsia="zh-CN"/>
              </w:rPr>
              <w:t>无</w:t>
            </w:r>
          </w:p>
          <w:p w14:paraId="02680133">
            <w:pPr>
              <w:keepNext w:val="0"/>
              <w:keepLines w:val="0"/>
              <w:pageBreakBefore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公布渠道或者获取方式：</w:t>
            </w:r>
          </w:p>
          <w:p w14:paraId="5EB7EF11">
            <w:pPr>
              <w:keepNext w:val="0"/>
              <w:keepLines w:val="0"/>
              <w:pageBreakBefore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▲三、核心产品</w:t>
            </w:r>
          </w:p>
          <w:p w14:paraId="0056006F">
            <w:pPr>
              <w:keepNext w:val="0"/>
              <w:keepLines w:val="0"/>
              <w:pageBreakBefore w:val="0"/>
              <w:tabs>
                <w:tab w:val="left" w:pos="180"/>
                <w:tab w:val="left" w:pos="1620"/>
              </w:tabs>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“采购清单及技术参数”表中的核心产品为序号</w:t>
            </w: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项产品“</w:t>
            </w:r>
            <w:r>
              <w:rPr>
                <w:rFonts w:hint="eastAsia" w:ascii="宋体" w:hAnsi="宋体" w:eastAsia="宋体" w:cs="宋体"/>
                <w:b/>
                <w:bCs/>
                <w:i w:val="0"/>
                <w:iCs w:val="0"/>
                <w:color w:val="auto"/>
                <w:kern w:val="0"/>
                <w:sz w:val="21"/>
                <w:szCs w:val="21"/>
                <w:highlight w:val="none"/>
                <w:u w:val="none"/>
                <w:lang w:val="en-US" w:eastAsia="zh-CN"/>
              </w:rPr>
              <w:t>人脸识别一体机</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tc>
      </w:tr>
    </w:tbl>
    <w:p w14:paraId="76D66EDB">
      <w:pPr>
        <w:pStyle w:val="11"/>
        <w:rPr>
          <w:rFonts w:hint="eastAsia" w:ascii="宋体" w:hAnsi="宋体" w:eastAsia="宋体" w:cs="宋体"/>
          <w:color w:val="auto"/>
          <w:highlight w:val="none"/>
        </w:rPr>
      </w:pPr>
    </w:p>
    <w:bookmarkEnd w:id="34"/>
    <w:p w14:paraId="3FEBEDB2">
      <w:pPr>
        <w:spacing w:line="428" w:lineRule="exact"/>
        <w:rPr>
          <w:rFonts w:hint="eastAsia" w:ascii="宋体" w:hAnsi="宋体" w:eastAsia="宋体" w:cs="宋体"/>
          <w:color w:val="auto"/>
          <w:sz w:val="17"/>
          <w:szCs w:val="17"/>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附件1：</w:t>
      </w:r>
    </w:p>
    <w:p w14:paraId="02B2A350">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27"/>
        <w:tblW w:w="0" w:type="auto"/>
        <w:tblInd w:w="93" w:type="dxa"/>
        <w:tblLayout w:type="fixed"/>
        <w:tblCellMar>
          <w:top w:w="0" w:type="dxa"/>
          <w:left w:w="108" w:type="dxa"/>
          <w:bottom w:w="0" w:type="dxa"/>
          <w:right w:w="108" w:type="dxa"/>
        </w:tblCellMar>
      </w:tblPr>
      <w:tblGrid>
        <w:gridCol w:w="641"/>
        <w:gridCol w:w="1116"/>
        <w:gridCol w:w="1516"/>
        <w:gridCol w:w="1612"/>
        <w:gridCol w:w="4335"/>
      </w:tblGrid>
      <w:tr w14:paraId="1E704FBB">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68A8789E">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21C811C8">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4335" w:type="dxa"/>
            <w:tcBorders>
              <w:top w:val="single" w:color="000000" w:sz="8" w:space="0"/>
              <w:left w:val="nil"/>
              <w:bottom w:val="single" w:color="000000" w:sz="8" w:space="0"/>
              <w:right w:val="single" w:color="000000" w:sz="8" w:space="0"/>
            </w:tcBorders>
            <w:noWrap w:val="0"/>
            <w:vAlign w:val="center"/>
          </w:tcPr>
          <w:p w14:paraId="415C899D">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依据的标准</w:t>
            </w:r>
          </w:p>
        </w:tc>
      </w:tr>
      <w:tr w14:paraId="50944FD6">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DB5D3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D41EE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06036E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6573721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37B4B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7188BE6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1E7EA0A">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B15B36D">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B70984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7E2CC58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15BC458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51ED7AC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BE08B5C">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5792A31">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487B1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33327B6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28B675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2C8C8F76">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4D2F18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EC2D97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0F94C34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55B4F1E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335" w:type="dxa"/>
            <w:tcBorders>
              <w:top w:val="nil"/>
              <w:left w:val="nil"/>
              <w:bottom w:val="single" w:color="000000" w:sz="8" w:space="0"/>
              <w:right w:val="single" w:color="000000" w:sz="8" w:space="0"/>
            </w:tcBorders>
            <w:noWrap w:val="0"/>
            <w:vAlign w:val="center"/>
          </w:tcPr>
          <w:p w14:paraId="2F5562D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15DF1BF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C3BAC03">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EAC3781">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F9C432B">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7E9161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335" w:type="dxa"/>
            <w:tcBorders>
              <w:top w:val="nil"/>
              <w:left w:val="nil"/>
              <w:bottom w:val="single" w:color="000000" w:sz="8" w:space="0"/>
              <w:right w:val="single" w:color="000000" w:sz="8" w:space="0"/>
            </w:tcBorders>
            <w:noWrap w:val="0"/>
            <w:vAlign w:val="center"/>
          </w:tcPr>
          <w:p w14:paraId="0FB5576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54899FD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A6AAC32">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09FE259">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46FA42C">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CDE389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335" w:type="dxa"/>
            <w:tcBorders>
              <w:top w:val="nil"/>
              <w:left w:val="nil"/>
              <w:bottom w:val="single" w:color="000000" w:sz="8" w:space="0"/>
              <w:right w:val="single" w:color="000000" w:sz="8" w:space="0"/>
            </w:tcBorders>
            <w:noWrap w:val="0"/>
            <w:vAlign w:val="center"/>
          </w:tcPr>
          <w:p w14:paraId="5A60FD2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8ED341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D02D81D">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122EBC6">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7221B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0A764F8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335" w:type="dxa"/>
            <w:tcBorders>
              <w:top w:val="nil"/>
              <w:left w:val="nil"/>
              <w:bottom w:val="single" w:color="000000" w:sz="8" w:space="0"/>
              <w:right w:val="single" w:color="000000" w:sz="8" w:space="0"/>
            </w:tcBorders>
            <w:noWrap w:val="0"/>
            <w:vAlign w:val="center"/>
          </w:tcPr>
          <w:p w14:paraId="4FB76F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5D4F6F8E">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1920DB5">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3346AEB">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AB3AD5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2A3B217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335" w:type="dxa"/>
            <w:tcBorders>
              <w:top w:val="nil"/>
              <w:left w:val="nil"/>
              <w:bottom w:val="single" w:color="000000" w:sz="8" w:space="0"/>
              <w:right w:val="single" w:color="000000" w:sz="8" w:space="0"/>
            </w:tcBorders>
            <w:noWrap w:val="0"/>
            <w:vAlign w:val="center"/>
          </w:tcPr>
          <w:p w14:paraId="2E9942A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0F815EB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29FE07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42DEF6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6E2EDC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7287A09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3254AA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3F73392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B38555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4D96DA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116FEA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10F19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F5068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3BB682A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7925F2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1FFAEB5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789792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3201A76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0A8599E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553B32A0">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687D382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228EC7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66591D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1D1C0A1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335" w:type="dxa"/>
            <w:tcBorders>
              <w:top w:val="nil"/>
              <w:left w:val="nil"/>
              <w:bottom w:val="single" w:color="000000" w:sz="8" w:space="0"/>
              <w:right w:val="single" w:color="000000" w:sz="8" w:space="0"/>
            </w:tcBorders>
            <w:noWrap w:val="0"/>
            <w:vAlign w:val="center"/>
          </w:tcPr>
          <w:p w14:paraId="1FA6F4B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2C63288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BB24375">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4465A28">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EF93A02">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942D96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335" w:type="dxa"/>
            <w:tcBorders>
              <w:top w:val="nil"/>
              <w:left w:val="nil"/>
              <w:bottom w:val="single" w:color="000000" w:sz="8" w:space="0"/>
              <w:right w:val="single" w:color="000000" w:sz="8" w:space="0"/>
            </w:tcBorders>
            <w:noWrap w:val="0"/>
            <w:vAlign w:val="center"/>
          </w:tcPr>
          <w:p w14:paraId="48CDC83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00D8601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8404801">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301A466">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0EB919D">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6500DD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335" w:type="dxa"/>
            <w:tcBorders>
              <w:top w:val="nil"/>
              <w:left w:val="nil"/>
              <w:bottom w:val="single" w:color="000000" w:sz="8" w:space="0"/>
              <w:right w:val="single" w:color="000000" w:sz="8" w:space="0"/>
            </w:tcBorders>
            <w:noWrap w:val="0"/>
            <w:vAlign w:val="center"/>
          </w:tcPr>
          <w:p w14:paraId="27FF76F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5E2FBBB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C908575">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09F121E">
            <w:pPr>
              <w:widowControl/>
              <w:jc w:val="left"/>
              <w:rPr>
                <w:rFonts w:hint="eastAsia" w:ascii="宋体" w:hAnsi="宋体" w:eastAsia="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3BF4784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081070E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多联式空调（热泵）机组(制冷量&gt;14000W)</w:t>
            </w:r>
          </w:p>
        </w:tc>
        <w:tc>
          <w:tcPr>
            <w:tcW w:w="4335" w:type="dxa"/>
            <w:tcBorders>
              <w:top w:val="nil"/>
              <w:left w:val="nil"/>
              <w:bottom w:val="single" w:color="000000" w:sz="8" w:space="0"/>
              <w:right w:val="single" w:color="000000" w:sz="8" w:space="0"/>
            </w:tcBorders>
            <w:noWrap w:val="0"/>
            <w:vAlign w:val="center"/>
          </w:tcPr>
          <w:p w14:paraId="06EEAB2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2385565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564391C">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AB39D05">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A6042C9">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13845E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335" w:type="dxa"/>
            <w:tcBorders>
              <w:top w:val="nil"/>
              <w:left w:val="nil"/>
              <w:bottom w:val="single" w:color="000000" w:sz="8" w:space="0"/>
              <w:right w:val="single" w:color="000000" w:sz="8" w:space="0"/>
            </w:tcBorders>
            <w:noWrap w:val="0"/>
            <w:vAlign w:val="center"/>
          </w:tcPr>
          <w:p w14:paraId="7D87155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28DE03A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DB573D2">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0B4BBB1">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F709B8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52704BB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335" w:type="dxa"/>
            <w:tcBorders>
              <w:top w:val="nil"/>
              <w:left w:val="nil"/>
              <w:bottom w:val="single" w:color="000000" w:sz="8" w:space="0"/>
              <w:right w:val="single" w:color="000000" w:sz="8" w:space="0"/>
            </w:tcBorders>
            <w:noWrap w:val="0"/>
            <w:vAlign w:val="center"/>
          </w:tcPr>
          <w:p w14:paraId="3CA39A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286E7F65">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BC2B86B">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629FA2B">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E46123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3AD740D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335" w:type="dxa"/>
            <w:tcBorders>
              <w:top w:val="nil"/>
              <w:left w:val="nil"/>
              <w:bottom w:val="single" w:color="000000" w:sz="8" w:space="0"/>
              <w:right w:val="single" w:color="000000" w:sz="8" w:space="0"/>
            </w:tcBorders>
            <w:noWrap w:val="0"/>
            <w:vAlign w:val="center"/>
          </w:tcPr>
          <w:p w14:paraId="49A76A3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0C5ABCC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EEB98D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77EEF45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3DB972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B75B5F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D103EC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0FE8487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7A98C4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1E60D53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5CB81EF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6872975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199C7F3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2C91E95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7B0D8D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13D025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61D64D5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051AD0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053A5D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70259D83">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9AD80B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29FE03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604EC7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2BD6FEF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E227A2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0BF6710F">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3F6AEF8">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77CA7F0">
            <w:pPr>
              <w:widowControl/>
              <w:jc w:val="left"/>
              <w:rPr>
                <w:rFonts w:hint="eastAsia" w:ascii="宋体" w:hAnsi="宋体" w:eastAsia="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5410DD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7284C0B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335" w:type="dxa"/>
            <w:tcBorders>
              <w:top w:val="nil"/>
              <w:left w:val="nil"/>
              <w:bottom w:val="single" w:color="000000" w:sz="8" w:space="0"/>
              <w:right w:val="single" w:color="000000" w:sz="8" w:space="0"/>
            </w:tcBorders>
            <w:noWrap w:val="0"/>
            <w:vAlign w:val="center"/>
          </w:tcPr>
          <w:p w14:paraId="3BC161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96E515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BA5753F">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50CD8EF">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ACC3B24">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CDBAD0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335" w:type="dxa"/>
            <w:tcBorders>
              <w:top w:val="nil"/>
              <w:left w:val="nil"/>
              <w:bottom w:val="single" w:color="000000" w:sz="8" w:space="0"/>
              <w:right w:val="single" w:color="000000" w:sz="8" w:space="0"/>
            </w:tcBorders>
            <w:noWrap w:val="0"/>
            <w:vAlign w:val="center"/>
          </w:tcPr>
          <w:p w14:paraId="6EBE554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DAA37B3">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0A38A76">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66218EC">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9F8D834">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634DD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335" w:type="dxa"/>
            <w:tcBorders>
              <w:top w:val="nil"/>
              <w:left w:val="nil"/>
              <w:bottom w:val="single" w:color="000000" w:sz="8" w:space="0"/>
              <w:right w:val="single" w:color="000000" w:sz="8" w:space="0"/>
            </w:tcBorders>
            <w:noWrap w:val="0"/>
            <w:vAlign w:val="center"/>
          </w:tcPr>
          <w:p w14:paraId="2F362A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00006DC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48CF625">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A3378B4">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CC174F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00E9878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20604D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5E49E74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42BDA9E">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4D19C9E">
            <w:pPr>
              <w:widowControl/>
              <w:jc w:val="left"/>
              <w:rPr>
                <w:rFonts w:hint="eastAsia" w:ascii="宋体" w:hAnsi="宋体" w:eastAsia="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A497DD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5140CBF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335" w:type="dxa"/>
            <w:tcBorders>
              <w:top w:val="nil"/>
              <w:left w:val="nil"/>
              <w:bottom w:val="single" w:color="000000" w:sz="8" w:space="0"/>
              <w:right w:val="single" w:color="000000" w:sz="8" w:space="0"/>
            </w:tcBorders>
            <w:noWrap w:val="0"/>
            <w:vAlign w:val="center"/>
          </w:tcPr>
          <w:p w14:paraId="4011528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347FE92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7A3B8C6">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A64C388">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F7590C5">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E4239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335" w:type="dxa"/>
            <w:tcBorders>
              <w:top w:val="nil"/>
              <w:left w:val="nil"/>
              <w:bottom w:val="single" w:color="000000" w:sz="8" w:space="0"/>
              <w:right w:val="single" w:color="000000" w:sz="8" w:space="0"/>
            </w:tcBorders>
            <w:noWrap w:val="0"/>
            <w:vAlign w:val="center"/>
          </w:tcPr>
          <w:p w14:paraId="1FFF2D6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563AD59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E05C2EE">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343CD9C">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5174E6D">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071B3B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335" w:type="dxa"/>
            <w:tcBorders>
              <w:top w:val="nil"/>
              <w:left w:val="nil"/>
              <w:bottom w:val="single" w:color="000000" w:sz="8" w:space="0"/>
              <w:right w:val="single" w:color="000000" w:sz="8" w:space="0"/>
            </w:tcBorders>
            <w:noWrap w:val="0"/>
            <w:vAlign w:val="center"/>
          </w:tcPr>
          <w:p w14:paraId="7022DF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68AD8C3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43440E8">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A660698">
            <w:pPr>
              <w:widowControl/>
              <w:jc w:val="left"/>
              <w:rPr>
                <w:rFonts w:hint="eastAsia" w:ascii="宋体" w:hAnsi="宋体" w:eastAsia="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62AB2A5">
            <w:pPr>
              <w:widowControl/>
              <w:jc w:val="left"/>
              <w:rPr>
                <w:rFonts w:hint="eastAsia" w:ascii="宋体" w:hAnsi="宋体" w:eastAsia="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7C30F7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335" w:type="dxa"/>
            <w:tcBorders>
              <w:top w:val="nil"/>
              <w:left w:val="nil"/>
              <w:bottom w:val="single" w:color="000000" w:sz="8" w:space="0"/>
              <w:right w:val="single" w:color="000000" w:sz="8" w:space="0"/>
            </w:tcBorders>
            <w:noWrap w:val="0"/>
            <w:vAlign w:val="center"/>
          </w:tcPr>
          <w:p w14:paraId="5B47CC7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00D81681">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19AF59F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CA2836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349FB58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0B74F8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3F2DD72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3F6E9D5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F0DD3BA">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6F43483">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00D920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4E0546D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37E662C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3A2FEC0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13DBE29">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4917F35">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7067C6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2E50EF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4653E0B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504F7AF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482DEA2">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0663222">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95C5C0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1612" w:type="dxa"/>
            <w:tcBorders>
              <w:top w:val="nil"/>
              <w:left w:val="nil"/>
              <w:bottom w:val="single" w:color="000000" w:sz="8" w:space="0"/>
              <w:right w:val="single" w:color="000000" w:sz="8" w:space="0"/>
            </w:tcBorders>
            <w:noWrap w:val="0"/>
            <w:vAlign w:val="center"/>
          </w:tcPr>
          <w:p w14:paraId="2A67F3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3313C59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789ECD67">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1CBA94C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06169CB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70A9BCD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50FEC2F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3C071A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3C2B788A">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556C79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7B3A9D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597FEF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6F22FE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335" w:type="dxa"/>
            <w:tcBorders>
              <w:top w:val="nil"/>
              <w:left w:val="nil"/>
              <w:bottom w:val="single" w:color="000000" w:sz="8" w:space="0"/>
              <w:right w:val="single" w:color="000000" w:sz="8" w:space="0"/>
            </w:tcBorders>
            <w:noWrap w:val="0"/>
            <w:vAlign w:val="center"/>
          </w:tcPr>
          <w:p w14:paraId="2CF685C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6F378EC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48B179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2B0C5C5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002D52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2C9B977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0708F5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7BB57D58">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929FE4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4A509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07050B8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6C4127D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8CDA8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1872D15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8CBED1D">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71C9256">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A83DC9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788DEFD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5530822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1A8129F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08B67B6">
            <w:pPr>
              <w:widowControl/>
              <w:jc w:val="left"/>
              <w:rPr>
                <w:rFonts w:hint="eastAsia" w:ascii="宋体" w:hAnsi="宋体" w:eastAsia="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B1D67C1">
            <w:pPr>
              <w:widowControl/>
              <w:jc w:val="left"/>
              <w:rPr>
                <w:rFonts w:hint="eastAsia" w:ascii="宋体" w:hAnsi="宋体" w:eastAsia="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EA9908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7F828A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2519E4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609DB0D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55D92C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4BB927A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04B5E4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737DF9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115810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07D2CAB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6E581B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1E26751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420386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36A240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48DCE6D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2F7F2FA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0AA1A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553016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3CDF248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78786E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15D6E0A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7C0E5F5F">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15CC68C3">
      <w:pPr>
        <w:pStyle w:val="15"/>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634AB03E">
      <w:pPr>
        <w:spacing w:line="528" w:lineRule="exact"/>
        <w:ind w:left="220" w:leftChars="0" w:firstLine="0" w:firstLineChars="0"/>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7"/>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750D51BD">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BC52F0B">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87F7A9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1B275A6A">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492293B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29BC804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4F082DF">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151A62D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3C3819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7C8ECD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A694E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FF8CA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904EE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275E8C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49D9FD6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617351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51AE01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17AC3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89E2B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7A09F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EDD73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A0BE07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6F7666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1027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7BDEB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8CEFA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1551FA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308464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72FEA9C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DD888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42D70E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6741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9EF66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5D54E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722FC6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3AC544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4B74B4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F0F9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89939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EFDA5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391F88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F8D15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21BA65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0FF7B3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6EA6BC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E7A89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21680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30904D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CB59A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04553A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E9414C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B5E05F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33949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5A080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4A2F6C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14BEF7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742A3B1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F969E9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6DE70E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1602D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8C3C9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31D370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06B7CC7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F812EA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440C95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E2206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45332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F5BD5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5BDBE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16DC00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95517E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C4570B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61C478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9DEE9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B2E97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8A892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069AA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FD889C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4EA71A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62053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4B7B6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ABEB7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FA5E5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ECD89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0B0B326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FFCFD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7AFA7C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4F68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BD5FB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2F7EDD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7BDDB1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AE926D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1B4CD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2736A4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C8C45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6608ED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44824C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528FA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F1A5FC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2010CD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242E1B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F4823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826C1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C9CD76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1B877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78E631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3EE22E">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CF017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5AE14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98D53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66A568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33F69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4EFFF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C950C6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447A42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771E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1F1BF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BE6F6A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09491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08B1E3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3A89BA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DCC5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F4E50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1D76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888E5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9EE61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4A6C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03523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73D484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AD171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A0723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90DE5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B83A3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64BD31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4AB1BF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205B9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9AF86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687B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CA24AB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43D29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4302B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F45C73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A2740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A4B4C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A9AD2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484E66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7E4AFD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28D885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3FC148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0AA0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C8F8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4ACCB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B39B3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82248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A190D2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4F497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F146A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91CF2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3E4F2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6D27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1A477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08271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6D673D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046FC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EE14A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76685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1219B7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C18FF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A4A826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2B3DF0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57D87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8152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C5F45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0C19F1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B3C84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02E4BB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D2C81E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AAE5B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55AAD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D446C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23528D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2F0C21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6AF8AC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EFE558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07383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01ED19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08CB8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67961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AE33A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020EDC4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B2736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A520B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5FE2E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4E859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551DC2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57A600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720A0BA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C2E955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0D62F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C776F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091E8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66A81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0B90F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5548D3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3DB1D5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D920B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EC5C7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DCD85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8D5BB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931A7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60F187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2C0138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6CE226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A1CE5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3A887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BB8F1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DD25E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459B3B37">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94CCE6A">
      <w:pPr>
        <w:widowControl/>
        <w:jc w:val="left"/>
        <w:rPr>
          <w:rFonts w:hint="eastAsia" w:ascii="宋体" w:hAnsi="宋体" w:eastAsia="宋体" w:cs="宋体"/>
          <w:color w:val="auto"/>
          <w:kern w:val="0"/>
          <w:sz w:val="20"/>
          <w:szCs w:val="21"/>
          <w:highlight w:val="none"/>
        </w:rPr>
        <w:sectPr>
          <w:pgSz w:w="11911" w:h="16838"/>
          <w:pgMar w:top="1417" w:right="1417" w:bottom="1417" w:left="1417" w:header="720" w:footer="720" w:gutter="0"/>
          <w:paperSrc/>
          <w:pgNumType w:fmt="decimal"/>
          <w:cols w:space="720" w:num="1"/>
          <w:rtlGutter w:val="0"/>
          <w:docGrid w:linePitch="331" w:charSpace="0"/>
        </w:sectPr>
      </w:pPr>
    </w:p>
    <w:p w14:paraId="1E28F2AC">
      <w:pPr>
        <w:pStyle w:val="2"/>
        <w:keepNext/>
        <w:keepLines/>
        <w:pageBreakBefore w:val="0"/>
        <w:widowControl w:val="0"/>
        <w:kinsoku/>
        <w:wordWrap/>
        <w:overflowPunct/>
        <w:topLinePunct w:val="0"/>
        <w:autoSpaceDE/>
        <w:autoSpaceDN/>
        <w:bidi w:val="0"/>
        <w:adjustRightInd/>
        <w:snapToGrid/>
        <w:spacing w:before="40" w:after="40" w:line="579" w:lineRule="auto"/>
        <w:jc w:val="center"/>
        <w:textAlignment w:val="auto"/>
        <w:rPr>
          <w:rFonts w:hint="eastAsia" w:ascii="宋体" w:hAnsi="宋体" w:eastAsia="宋体" w:cs="宋体"/>
          <w:color w:val="auto"/>
          <w:highlight w:val="none"/>
        </w:rPr>
      </w:pPr>
      <w:bookmarkStart w:id="35" w:name="_Toc28417"/>
      <w:bookmarkStart w:id="36" w:name="_Toc7999"/>
      <w:r>
        <w:rPr>
          <w:rFonts w:hint="eastAsia" w:ascii="宋体" w:hAnsi="宋体" w:eastAsia="宋体" w:cs="宋体"/>
          <w:bCs w:val="0"/>
          <w:color w:val="auto"/>
          <w:sz w:val="32"/>
          <w:szCs w:val="32"/>
          <w:highlight w:val="none"/>
        </w:rPr>
        <w:t>第三章 供应商须知</w:t>
      </w:r>
      <w:bookmarkEnd w:id="35"/>
      <w:bookmarkEnd w:id="36"/>
    </w:p>
    <w:p w14:paraId="78F0CFCA">
      <w:pPr>
        <w:pStyle w:val="3"/>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val="0"/>
          <w:color w:val="auto"/>
          <w:highlight w:val="none"/>
        </w:rPr>
      </w:pPr>
      <w:bookmarkStart w:id="37" w:name="_Toc14516"/>
      <w:bookmarkStart w:id="38" w:name="_Toc4170"/>
      <w:r>
        <w:rPr>
          <w:rFonts w:hint="eastAsia" w:ascii="宋体" w:hAnsi="宋体" w:eastAsia="宋体" w:cs="宋体"/>
          <w:b w:val="0"/>
          <w:color w:val="auto"/>
          <w:highlight w:val="none"/>
        </w:rPr>
        <w:t>第一节 供应商须知前附表</w:t>
      </w:r>
      <w:bookmarkEnd w:id="37"/>
      <w:bookmarkEnd w:id="38"/>
    </w:p>
    <w:p w14:paraId="4CE90977">
      <w:pPr>
        <w:spacing w:line="400" w:lineRule="exact"/>
        <w:jc w:val="center"/>
        <w:rPr>
          <w:rFonts w:hint="eastAsia" w:ascii="宋体" w:hAnsi="宋体" w:eastAsia="宋体" w:cs="宋体"/>
          <w:b/>
          <w:color w:val="auto"/>
          <w:sz w:val="32"/>
          <w:szCs w:val="32"/>
          <w:highlight w:val="none"/>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59AAC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662B2FA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826344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59C8E70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5E00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3AC28C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A656F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48C1CF2E">
            <w:p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供应商资格条件要求详见公告. </w:t>
            </w:r>
          </w:p>
        </w:tc>
      </w:tr>
      <w:tr w14:paraId="2BAD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6E86E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6D52E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5C06813">
            <w:pPr>
              <w:spacing w:line="360" w:lineRule="auto"/>
              <w:rPr>
                <w:rFonts w:hint="eastAsia" w:ascii="宋体" w:hAnsi="宋体" w:eastAsia="宋体" w:cs="宋体"/>
                <w:color w:val="auto"/>
                <w:szCs w:val="21"/>
                <w:highlight w:val="none"/>
              </w:rPr>
            </w:pPr>
            <w:bookmarkStart w:id="39" w:name="PO_3000001870_PM007_1"/>
            <w:r>
              <w:rPr>
                <w:rFonts w:hint="eastAsia" w:ascii="宋体" w:hAnsi="宋体" w:eastAsia="宋体" w:cs="宋体"/>
                <w:color w:val="auto"/>
                <w:szCs w:val="21"/>
                <w:highlight w:val="none"/>
              </w:rPr>
              <w:t>不允许联合体</w:t>
            </w:r>
            <w:bookmarkEnd w:id="39"/>
            <w:r>
              <w:rPr>
                <w:rFonts w:hint="eastAsia" w:ascii="宋体" w:hAnsi="宋体" w:eastAsia="宋体" w:cs="宋体"/>
                <w:color w:val="auto"/>
                <w:szCs w:val="21"/>
                <w:highlight w:val="none"/>
                <w:lang w:eastAsia="zh-CN"/>
              </w:rPr>
              <w:t>竞标</w:t>
            </w:r>
            <w:r>
              <w:rPr>
                <w:rFonts w:hint="eastAsia" w:ascii="宋体" w:hAnsi="宋体" w:eastAsia="宋体" w:cs="宋体"/>
                <w:color w:val="auto"/>
                <w:szCs w:val="21"/>
                <w:highlight w:val="none"/>
              </w:rPr>
              <w:t>。</w:t>
            </w:r>
          </w:p>
        </w:tc>
      </w:tr>
      <w:tr w14:paraId="1142F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A6DD4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ECB317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C51FC2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3DBCF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8D03A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BF9AF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5FB52FB">
            <w:pPr>
              <w:pStyle w:val="9"/>
              <w:spacing w:line="360" w:lineRule="auto"/>
              <w:rPr>
                <w:rFonts w:hint="eastAsia" w:ascii="宋体" w:hAnsi="宋体" w:eastAsia="宋体" w:cs="宋体"/>
                <w:color w:val="auto"/>
                <w:szCs w:val="21"/>
                <w:highlight w:val="none"/>
              </w:rPr>
            </w:pPr>
            <w:bookmarkStart w:id="40" w:name="PO_3000001870_PM044"/>
            <w:r>
              <w:rPr>
                <w:rFonts w:hint="eastAsia" w:ascii="宋体" w:hAnsi="宋体" w:eastAsia="宋体" w:cs="宋体"/>
                <w:color w:val="auto"/>
                <w:szCs w:val="21"/>
                <w:highlight w:val="none"/>
              </w:rPr>
              <w:t>不允许分包</w:t>
            </w:r>
            <w:bookmarkEnd w:id="40"/>
          </w:p>
        </w:tc>
      </w:tr>
      <w:tr w14:paraId="0D0EF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10688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7CBE976">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1741CA4E">
            <w:pPr>
              <w:spacing w:line="360" w:lineRule="auto"/>
              <w:jc w:val="center"/>
              <w:rPr>
                <w:rFonts w:hint="eastAsia" w:ascii="宋体" w:hAnsi="宋体" w:eastAsia="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925132F">
            <w:pPr>
              <w:pStyle w:val="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0FED05EF">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供应商依法缴纳税收的相关材料：</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个月</w:t>
            </w:r>
            <w:r>
              <w:rPr>
                <w:rFonts w:hint="eastAsia" w:ascii="宋体" w:hAnsi="宋体" w:eastAsia="宋体" w:cs="宋体"/>
                <w:color w:val="auto"/>
                <w:szCs w:val="21"/>
                <w:highlight w:val="none"/>
              </w:rPr>
              <w:t>依法缴纳税收的凭据复印件；依法免税的供应商，必须提供相应文件证明其依法免税。从取得营业执照时间起到</w:t>
            </w:r>
            <w:r>
              <w:rPr>
                <w:rFonts w:hint="eastAsia" w:ascii="宋体" w:hAnsi="宋体" w:eastAsia="宋体" w:cs="宋体"/>
                <w:color w:val="auto"/>
                <w:highlight w:val="none"/>
                <w:lang w:val="en-US" w:eastAsia="zh-CN"/>
              </w:rPr>
              <w:t>首次响应文件</w:t>
            </w:r>
            <w:r>
              <w:rPr>
                <w:rFonts w:hint="eastAsia" w:ascii="宋体" w:hAnsi="宋体" w:eastAsia="宋体" w:cs="宋体"/>
                <w:color w:val="auto"/>
                <w:szCs w:val="21"/>
                <w:highlight w:val="none"/>
              </w:rPr>
              <w:t>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rPr>
              <w:t>响应文件</w:t>
            </w:r>
            <w:r>
              <w:rPr>
                <w:rFonts w:hint="eastAsia" w:ascii="宋体" w:hAnsi="宋体" w:eastAsia="宋体" w:cs="宋体"/>
                <w:b/>
                <w:color w:val="auto"/>
                <w:szCs w:val="21"/>
                <w:highlight w:val="none"/>
              </w:rPr>
              <w:t>作无效响应处理</w:t>
            </w:r>
            <w:r>
              <w:rPr>
                <w:rFonts w:hint="eastAsia" w:ascii="宋体" w:hAnsi="宋体" w:eastAsia="宋体" w:cs="宋体"/>
                <w:color w:val="auto"/>
                <w:szCs w:val="21"/>
                <w:highlight w:val="none"/>
              </w:rPr>
              <w:t>）</w:t>
            </w:r>
          </w:p>
          <w:p w14:paraId="220D5DCF">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个月</w:t>
            </w:r>
            <w:r>
              <w:rPr>
                <w:rFonts w:hint="eastAsia" w:ascii="宋体" w:hAnsi="宋体" w:eastAsia="宋体" w:cs="宋体"/>
                <w:color w:val="auto"/>
                <w:szCs w:val="21"/>
                <w:highlight w:val="none"/>
              </w:rPr>
              <w:t>依法缴纳社会保障资金的缴费凭证（专用收据或者社会保险缴纳清单）复印件；依法不需要缴纳社会保障资金的供应商，必须提供相应文件证明不需要缴纳社会保障资金。从取得营业执照时间起到</w:t>
            </w:r>
            <w:r>
              <w:rPr>
                <w:rFonts w:hint="eastAsia" w:ascii="宋体" w:hAnsi="宋体" w:eastAsia="宋体" w:cs="宋体"/>
                <w:color w:val="auto"/>
                <w:highlight w:val="none"/>
                <w:lang w:val="en-US" w:eastAsia="zh-CN"/>
              </w:rPr>
              <w:t>首次</w:t>
            </w:r>
            <w:r>
              <w:rPr>
                <w:rFonts w:hint="eastAsia" w:ascii="宋体" w:hAnsi="宋体" w:eastAsia="宋体" w:cs="宋体"/>
                <w:color w:val="auto"/>
                <w:szCs w:val="21"/>
                <w:highlight w:val="none"/>
              </w:rPr>
              <w:t>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rPr>
              <w:t>响应文件</w:t>
            </w:r>
            <w:r>
              <w:rPr>
                <w:rFonts w:hint="eastAsia" w:ascii="宋体" w:hAnsi="宋体" w:eastAsia="宋体" w:cs="宋体"/>
                <w:b/>
                <w:color w:val="auto"/>
                <w:szCs w:val="21"/>
                <w:highlight w:val="none"/>
              </w:rPr>
              <w:t>作无效响应处理</w:t>
            </w:r>
            <w:r>
              <w:rPr>
                <w:rFonts w:hint="eastAsia" w:ascii="宋体" w:hAnsi="宋体" w:eastAsia="宋体" w:cs="宋体"/>
                <w:color w:val="auto"/>
                <w:szCs w:val="21"/>
                <w:highlight w:val="none"/>
              </w:rPr>
              <w:t>）</w:t>
            </w:r>
          </w:p>
          <w:p w14:paraId="3A644DA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供应商财务状况报告：[</w:t>
            </w:r>
            <w:r>
              <w:rPr>
                <w:rFonts w:hint="eastAsia" w:ascii="宋体" w:hAnsi="宋体" w:eastAsia="宋体" w:cs="宋体"/>
                <w:color w:val="auto"/>
                <w:szCs w:val="21"/>
                <w:highlight w:val="none"/>
                <w:lang w:val="en-US" w:eastAsia="zh-CN"/>
              </w:rPr>
              <w:t>2024年度</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及其附注（以下称“四表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或三表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rPr>
              <w:t>响应文件</w:t>
            </w:r>
            <w:r>
              <w:rPr>
                <w:rFonts w:hint="eastAsia" w:ascii="宋体" w:hAnsi="宋体" w:eastAsia="宋体" w:cs="宋体"/>
                <w:b/>
                <w:color w:val="auto"/>
                <w:szCs w:val="21"/>
                <w:highlight w:val="none"/>
              </w:rPr>
              <w:t>作无效响应处理</w:t>
            </w:r>
            <w:r>
              <w:rPr>
                <w:rFonts w:hint="eastAsia" w:ascii="宋体" w:hAnsi="宋体" w:eastAsia="宋体" w:cs="宋体"/>
                <w:color w:val="auto"/>
                <w:szCs w:val="21"/>
                <w:highlight w:val="none"/>
              </w:rPr>
              <w:t>）</w:t>
            </w:r>
          </w:p>
          <w:p w14:paraId="5FF74A1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7F8291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A218E3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.联合体协议书；（</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14:paraId="42D4FC9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.竞争性谈判公告对应的特定资格要求及特定条件</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证明材料；（</w:t>
            </w:r>
            <w:r>
              <w:rPr>
                <w:rFonts w:hint="eastAsia" w:ascii="宋体" w:hAnsi="宋体" w:eastAsia="宋体" w:cs="宋体"/>
                <w:b/>
                <w:bCs/>
                <w:color w:val="auto"/>
                <w:szCs w:val="21"/>
                <w:highlight w:val="none"/>
                <w:lang w:eastAsia="zh-CN"/>
              </w:rPr>
              <w:t>如有则</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710655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.除谈判文件规定必须提供以外，供应商认为需要提供的其他证明材料；</w:t>
            </w:r>
          </w:p>
          <w:p w14:paraId="374403C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F772B5E">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46E2CC8C">
            <w:pPr>
              <w:pStyle w:val="9"/>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项资格证明文件联合体各方均必须分别提供，联合体各方分别盖章和签字，否则响应文件按无效响应处理。</w:t>
            </w:r>
          </w:p>
        </w:tc>
      </w:tr>
      <w:tr w14:paraId="2146E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E64B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BDFEF8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4DA1E3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C7E755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BE460C1">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C16500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9A6DD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w:t>
            </w:r>
          </w:p>
          <w:p w14:paraId="4E2EEF7B">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6.联合体协议书；</w:t>
            </w:r>
            <w:r>
              <w:rPr>
                <w:rFonts w:hint="eastAsia" w:ascii="宋体" w:hAnsi="宋体" w:eastAsia="宋体" w:cs="宋体"/>
                <w:b/>
                <w:color w:val="auto"/>
                <w:szCs w:val="21"/>
                <w:highlight w:val="none"/>
              </w:rPr>
              <w:t>（联合体竞标时必须提供，否则作无效响应处理）</w:t>
            </w:r>
          </w:p>
          <w:p w14:paraId="71F030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7.供应商认为需要提供的其他有关资料。</w:t>
            </w:r>
          </w:p>
          <w:p w14:paraId="4382A8FD">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786C9C92">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7D807204">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1CACE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15B67">
            <w:pPr>
              <w:widowControl/>
              <w:jc w:val="left"/>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B8596BF">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B4AC33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F3C5A6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2.组织服务方案；（</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69E0A8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服务承诺；（</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A0607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w:t>
            </w:r>
            <w:r>
              <w:rPr>
                <w:rFonts w:hint="eastAsia" w:ascii="宋体" w:hAnsi="宋体" w:eastAsia="宋体" w:cs="宋体"/>
                <w:b/>
                <w:color w:val="auto"/>
                <w:szCs w:val="21"/>
                <w:highlight w:val="none"/>
              </w:rPr>
              <w:t>如有</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请提供</w:t>
            </w:r>
            <w:r>
              <w:rPr>
                <w:rFonts w:hint="eastAsia" w:ascii="宋体" w:hAnsi="宋体" w:eastAsia="宋体" w:cs="宋体"/>
                <w:color w:val="auto"/>
                <w:szCs w:val="21"/>
                <w:highlight w:val="none"/>
              </w:rPr>
              <w:t xml:space="preserve">）； </w:t>
            </w:r>
          </w:p>
          <w:p w14:paraId="2297190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w:t>
            </w:r>
            <w:r>
              <w:rPr>
                <w:rFonts w:hint="eastAsia" w:ascii="宋体" w:hAnsi="宋体" w:eastAsia="宋体" w:cs="宋体"/>
                <w:color w:val="auto"/>
                <w:szCs w:val="21"/>
                <w:highlight w:val="none"/>
                <w:lang w:eastAsia="zh-CN"/>
              </w:rPr>
              <w:t>技术要求</w:t>
            </w:r>
            <w:r>
              <w:rPr>
                <w:rFonts w:hint="eastAsia" w:ascii="宋体" w:hAnsi="宋体" w:eastAsia="宋体" w:cs="宋体"/>
                <w:color w:val="auto"/>
                <w:szCs w:val="21"/>
                <w:highlight w:val="none"/>
              </w:rPr>
              <w:t>、商务条款提供的其他文件资料；</w:t>
            </w:r>
          </w:p>
          <w:p w14:paraId="46827B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6788076B">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5C7A0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85119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D4005F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0AB2BE6">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b/>
                <w:color w:val="auto"/>
                <w:szCs w:val="21"/>
                <w:highlight w:val="none"/>
              </w:rPr>
              <w:t>）</w:t>
            </w:r>
          </w:p>
          <w:p w14:paraId="5AA225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66E62E4">
            <w:pPr>
              <w:pStyle w:val="11"/>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中小企业声明函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监狱企业或残疾人福利性单位视同小微企业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（如有</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请提供）</w:t>
            </w:r>
          </w:p>
          <w:p w14:paraId="42DAEDA7">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注：上述材料必须</w:t>
            </w:r>
            <w:r>
              <w:rPr>
                <w:rFonts w:hint="eastAsia" w:ascii="宋体" w:hAnsi="宋体" w:eastAsia="宋体" w:cs="宋体"/>
                <w:b/>
                <w:bCs/>
                <w:color w:val="auto"/>
                <w:szCs w:val="21"/>
                <w:highlight w:val="none"/>
                <w:lang w:eastAsia="zh-CN"/>
              </w:rPr>
              <w:t>按要求</w:t>
            </w:r>
            <w:r>
              <w:rPr>
                <w:rFonts w:hint="eastAsia" w:ascii="宋体" w:hAnsi="宋体" w:eastAsia="宋体" w:cs="宋体"/>
                <w:b/>
                <w:bCs/>
                <w:color w:val="auto"/>
                <w:szCs w:val="21"/>
                <w:highlight w:val="none"/>
              </w:rPr>
              <w:t>加盖供应商公章，否则</w:t>
            </w:r>
            <w:r>
              <w:rPr>
                <w:rFonts w:hint="eastAsia" w:ascii="宋体" w:hAnsi="宋体" w:eastAsia="宋体" w:cs="宋体"/>
                <w:b/>
                <w:color w:val="auto"/>
                <w:szCs w:val="21"/>
                <w:highlight w:val="none"/>
              </w:rPr>
              <w:t>作无效响应处理</w:t>
            </w:r>
            <w:r>
              <w:rPr>
                <w:rFonts w:hint="eastAsia" w:ascii="宋体" w:hAnsi="宋体" w:eastAsia="宋体" w:cs="宋体"/>
                <w:b/>
                <w:bCs/>
                <w:color w:val="auto"/>
                <w:szCs w:val="21"/>
                <w:highlight w:val="none"/>
              </w:rPr>
              <w:t>。</w:t>
            </w:r>
          </w:p>
        </w:tc>
      </w:tr>
      <w:tr w14:paraId="18325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62C88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F383B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2164D0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85B27D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投送。（操作方式见公告附件“电子响应文件制作与投送教程” ）</w:t>
            </w:r>
          </w:p>
        </w:tc>
      </w:tr>
      <w:tr w14:paraId="40F86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25C93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CA4DC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6885DD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5F4E4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F0B7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FAE22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A3E90D3">
            <w:pPr>
              <w:pStyle w:val="7"/>
              <w:numPr>
                <w:ilvl w:val="0"/>
                <w:numId w:val="0"/>
              </w:numPr>
              <w:tabs>
                <w:tab w:val="left" w:pos="720"/>
                <w:tab w:val="left" w:pos="840"/>
              </w:tabs>
              <w:snapToGrid w:val="0"/>
              <w:spacing w:after="120" w:line="360" w:lineRule="auto"/>
              <w:ind w:left="283" w:hanging="283" w:hangingChars="1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41" w:name="PO_3000001870_PM046"/>
            <w:r>
              <w:rPr>
                <w:rFonts w:hint="eastAsia" w:ascii="宋体" w:hAnsi="宋体" w:eastAsia="宋体" w:cs="宋体"/>
                <w:color w:val="auto"/>
                <w:szCs w:val="21"/>
                <w:highlight w:val="none"/>
                <w:u w:val="single"/>
              </w:rPr>
              <w:t>90日历天</w:t>
            </w:r>
            <w:bookmarkEnd w:id="41"/>
            <w:r>
              <w:rPr>
                <w:rFonts w:hint="eastAsia" w:ascii="宋体" w:hAnsi="宋体" w:eastAsia="宋体" w:cs="宋体"/>
                <w:color w:val="auto"/>
                <w:szCs w:val="21"/>
                <w:highlight w:val="none"/>
              </w:rPr>
              <w:t>日。</w:t>
            </w:r>
          </w:p>
        </w:tc>
      </w:tr>
      <w:tr w14:paraId="51FD1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9679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39EC2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549E89E">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本项目不收取谈判保证金。</w:t>
            </w:r>
          </w:p>
        </w:tc>
      </w:tr>
      <w:tr w14:paraId="6FBD2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9B00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60EB6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BE0671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136F1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3C355">
            <w:pPr>
              <w:widowControl/>
              <w:jc w:val="left"/>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B53B20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D27B58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07631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C8A20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9EA69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CE616F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125E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62336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4C6D5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D411ED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7A2E7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42C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9BCD05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7942E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项。</w:t>
            </w:r>
          </w:p>
          <w:p w14:paraId="21E302C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项（负偏离达到</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项或以上则</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无效）。</w:t>
            </w:r>
          </w:p>
        </w:tc>
      </w:tr>
      <w:tr w14:paraId="0B88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28E75">
            <w:pPr>
              <w:widowControl/>
              <w:jc w:val="left"/>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DDB446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455CCFC">
            <w:pPr>
              <w:pStyle w:val="9"/>
              <w:spacing w:line="360" w:lineRule="auto"/>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系统自动提取的顺序</w:t>
            </w:r>
            <w:r>
              <w:rPr>
                <w:rFonts w:hint="eastAsia" w:ascii="宋体" w:hAnsi="宋体" w:eastAsia="宋体" w:cs="宋体"/>
                <w:color w:val="auto"/>
                <w:szCs w:val="21"/>
                <w:highlight w:val="none"/>
                <w:lang w:eastAsia="zh-CN"/>
              </w:rPr>
              <w:t>。</w:t>
            </w:r>
          </w:p>
        </w:tc>
      </w:tr>
      <w:tr w14:paraId="5914A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44391">
            <w:pPr>
              <w:widowControl/>
              <w:jc w:val="left"/>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1759F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6E81A7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14:paraId="7530AE3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依次按带“▲”的实质性要求正偏离项数多的优先、均无正偏离或者正偏离项数一致时负偏离项数少的优先、质量保证期长优先、故障响应时间短优先的顺序排列。</w:t>
            </w:r>
          </w:p>
          <w:p w14:paraId="62E0858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由谈判小组推荐代表随机抽取。</w:t>
            </w:r>
          </w:p>
        </w:tc>
      </w:tr>
      <w:tr w14:paraId="0E903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26991A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6B1E8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68849F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574E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22D47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FC98F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A68D10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0C8B6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5CD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9C7CE5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A8E446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AEE4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DF0D8">
            <w:pPr>
              <w:widowControl/>
              <w:jc w:val="left"/>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CB7B0C3">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AB1E72C">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u w:val="single"/>
              </w:rPr>
              <w:t xml:space="preserve">（1）广西机电设备招标有限公司 </w:t>
            </w:r>
            <w:r>
              <w:rPr>
                <w:rFonts w:hint="eastAsia" w:ascii="宋体" w:hAnsi="宋体" w:cs="宋体"/>
                <w:color w:val="auto"/>
                <w:szCs w:val="21"/>
                <w:highlight w:val="none"/>
              </w:rPr>
              <w:t>；</w:t>
            </w:r>
          </w:p>
          <w:p w14:paraId="63FA111D">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bidi="ar"/>
              </w:rPr>
              <w:t>0771-2808981</w:t>
            </w:r>
          </w:p>
          <w:p w14:paraId="53A7E1CE">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广西南宁市金湖路63号金源CBD现代城B座7层</w:t>
            </w:r>
          </w:p>
          <w:p w14:paraId="2EAEB00C">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u w:val="single"/>
              </w:rPr>
              <w:t>（2）南宁职业技术大学</w:t>
            </w:r>
            <w:r>
              <w:rPr>
                <w:rFonts w:hint="eastAsia" w:ascii="宋体" w:hAnsi="宋体" w:cs="宋体"/>
                <w:color w:val="auto"/>
                <w:szCs w:val="21"/>
                <w:highlight w:val="none"/>
              </w:rPr>
              <w:t>；</w:t>
            </w:r>
          </w:p>
          <w:p w14:paraId="65A6ED81">
            <w:pPr>
              <w:snapToGrid w:val="0"/>
              <w:spacing w:line="320" w:lineRule="exact"/>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bidi="ar"/>
              </w:rPr>
              <w:t xml:space="preserve">0771-2029355  </w:t>
            </w:r>
          </w:p>
          <w:p w14:paraId="0539A4BA">
            <w:pP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南宁市西乡塘区大学西路169号</w:t>
            </w:r>
            <w:r>
              <w:rPr>
                <w:rFonts w:hint="eastAsia" w:ascii="宋体" w:hAnsi="宋体" w:eastAsia="宋体" w:cs="宋体"/>
                <w:color w:val="auto"/>
                <w:szCs w:val="21"/>
                <w:highlight w:val="none"/>
              </w:rPr>
              <w:t xml:space="preserve"> </w:t>
            </w:r>
          </w:p>
        </w:tc>
      </w:tr>
      <w:tr w14:paraId="38F4E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D76F3">
            <w:pPr>
              <w:widowControl/>
              <w:jc w:val="left"/>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B0C68A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F4A2391">
            <w:pPr>
              <w:snapToGrid w:val="0"/>
              <w:spacing w:line="380" w:lineRule="exact"/>
              <w:rPr>
                <w:rFonts w:hint="eastAsia" w:ascii="宋体" w:hAnsi="宋体" w:eastAsia="宋体" w:cs="宋体"/>
                <w:color w:val="auto"/>
                <w:highlight w:val="none"/>
                <w:lang w:eastAsia="zh-CN"/>
              </w:rPr>
            </w:pPr>
            <w:r>
              <w:rPr>
                <w:rFonts w:hint="eastAsia" w:ascii="宋体" w:hAnsi="宋体" w:cs="宋体"/>
                <w:color w:val="auto"/>
                <w:highlight w:val="none"/>
              </w:rPr>
              <w:t>质疑期内每个工作日</w:t>
            </w:r>
            <w:r>
              <w:rPr>
                <w:rFonts w:hint="eastAsia" w:ascii="宋体" w:hAnsi="宋体" w:cs="宋体"/>
                <w:color w:val="auto"/>
                <w:szCs w:val="21"/>
                <w:highlight w:val="none"/>
                <w:u w:val="single"/>
                <w:lang w:bidi="ar"/>
              </w:rPr>
              <w:t>8</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12</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w:t>
            </w:r>
            <w:r>
              <w:rPr>
                <w:rFonts w:hint="eastAsia" w:ascii="宋体" w:hAnsi="宋体" w:cs="宋体"/>
                <w:color w:val="auto"/>
                <w:szCs w:val="21"/>
                <w:highlight w:val="none"/>
                <w:u w:val="single"/>
                <w:lang w:bidi="ar"/>
              </w:rPr>
              <w:t>15</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17</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w:t>
            </w:r>
            <w:r>
              <w:rPr>
                <w:rFonts w:hint="eastAsia" w:ascii="宋体" w:hAnsi="宋体" w:cs="宋体"/>
                <w:color w:val="auto"/>
                <w:szCs w:val="21"/>
                <w:highlight w:val="none"/>
                <w:lang w:eastAsia="zh-CN" w:bidi="ar"/>
              </w:rPr>
              <w:t>。</w:t>
            </w:r>
          </w:p>
        </w:tc>
      </w:tr>
      <w:tr w14:paraId="6BA84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6A80E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6B88F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7E9E1FB">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26AA23B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lang w:val="en-US" w:eastAsia="zh-CN"/>
              </w:rPr>
              <w:t>联系方式</w:t>
            </w:r>
            <w:r>
              <w:rPr>
                <w:rFonts w:hint="eastAsia" w:ascii="宋体" w:hAnsi="宋体" w:eastAsia="宋体" w:cs="宋体"/>
                <w:color w:val="auto"/>
                <w:szCs w:val="21"/>
                <w:highlight w:val="none"/>
              </w:rPr>
              <w:t>：南宁市东葛路129号南宁市财政局7楼</w:t>
            </w:r>
          </w:p>
          <w:p w14:paraId="492BA21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bookmarkStart w:id="42" w:name="PO_3000001871_PM036"/>
            <w:r>
              <w:rPr>
                <w:rFonts w:hint="eastAsia" w:ascii="宋体" w:hAnsi="宋体" w:eastAsia="宋体" w:cs="宋体"/>
                <w:color w:val="auto"/>
                <w:szCs w:val="21"/>
                <w:highlight w:val="none"/>
              </w:rPr>
              <w:t>南宁市财政局政府采购监督管理科</w:t>
            </w:r>
            <w:bookmarkEnd w:id="42"/>
          </w:p>
          <w:p w14:paraId="2EA7CB4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地址：南宁市东葛路129号南宁市财政局7楼</w:t>
            </w:r>
          </w:p>
          <w:p w14:paraId="25D6B0C9">
            <w:pPr>
              <w:pStyle w:val="15"/>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highlight w:val="none"/>
              </w:rPr>
              <w:t>联系电话：</w:t>
            </w:r>
            <w:bookmarkStart w:id="43" w:name="PO_3000001871_PM038"/>
            <w:r>
              <w:rPr>
                <w:rFonts w:hint="eastAsia" w:ascii="宋体" w:hAnsi="宋体" w:eastAsia="宋体" w:cs="宋体"/>
                <w:color w:val="auto"/>
                <w:highlight w:val="none"/>
              </w:rPr>
              <w:t>0771-2189091</w:t>
            </w:r>
            <w:bookmarkEnd w:id="43"/>
          </w:p>
        </w:tc>
      </w:tr>
      <w:tr w14:paraId="3D737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5B5B9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67369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55C62E4">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是否收取采购代理费：</w:t>
            </w:r>
          </w:p>
          <w:p w14:paraId="72F897F4">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    □ 否</w:t>
            </w:r>
          </w:p>
          <w:p w14:paraId="6DEFE9A8">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2.采购代理费支付方式：</w:t>
            </w:r>
          </w:p>
          <w:p w14:paraId="2BE51045">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☑本项目代理服务费由</w:t>
            </w:r>
            <w:r>
              <w:rPr>
                <w:rFonts w:hint="eastAsia" w:ascii="宋体" w:hAnsi="宋体" w:eastAsia="宋体" w:cs="宋体"/>
                <w:color w:val="auto"/>
                <w:sz w:val="21"/>
                <w:szCs w:val="21"/>
                <w:highlight w:val="none"/>
                <w:u w:val="single"/>
              </w:rPr>
              <w:t>成交供应商</w:t>
            </w:r>
            <w:r>
              <w:rPr>
                <w:rFonts w:hint="eastAsia" w:ascii="宋体" w:hAnsi="宋体" w:eastAsia="宋体" w:cs="宋体"/>
                <w:color w:val="auto"/>
                <w:sz w:val="21"/>
                <w:szCs w:val="21"/>
                <w:highlight w:val="none"/>
                <w:lang w:val="en-US" w:eastAsia="zh-CN"/>
              </w:rPr>
              <w:t>在签订合同</w:t>
            </w:r>
            <w:r>
              <w:rPr>
                <w:rFonts w:hint="eastAsia" w:ascii="宋体" w:hAnsi="宋体" w:eastAsia="宋体" w:cs="宋体"/>
                <w:color w:val="auto"/>
                <w:sz w:val="21"/>
                <w:szCs w:val="21"/>
                <w:highlight w:val="none"/>
              </w:rPr>
              <w:t>前，一次性向采购代理机构支付。</w:t>
            </w:r>
          </w:p>
          <w:p w14:paraId="1CC40BA4">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p>
          <w:p w14:paraId="1F4A6AC1">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3.采购代理费收取标准：</w:t>
            </w:r>
          </w:p>
          <w:p w14:paraId="70275351">
            <w:pPr>
              <w:snapToGrid w:val="0"/>
              <w:spacing w:line="360" w:lineRule="auto"/>
              <w:rPr>
                <w:rFonts w:hint="eastAsia" w:ascii="宋体" w:hAnsi="宋体" w:eastAsia="宋体" w:cs="宋体"/>
                <w:color w:val="auto"/>
                <w:kern w:val="0"/>
                <w:sz w:val="21"/>
                <w:szCs w:val="21"/>
                <w:highlight w:val="none"/>
              </w:rPr>
            </w:pPr>
            <w:bookmarkStart w:id="44" w:name="PO_3000001870_PM025"/>
            <w:r>
              <w:rPr>
                <w:rFonts w:hint="eastAsia" w:ascii="宋体" w:hAnsi="宋体" w:eastAsia="宋体" w:cs="宋体"/>
                <w:color w:val="auto"/>
                <w:sz w:val="21"/>
                <w:szCs w:val="21"/>
                <w:highlight w:val="none"/>
              </w:rPr>
              <w:t xml:space="preserve"> </w:t>
            </w:r>
            <w:bookmarkEnd w:id="44"/>
            <w:r>
              <w:rPr>
                <w:rFonts w:hint="eastAsia" w:ascii="宋体" w:hAnsi="宋体" w:eastAsia="宋体" w:cs="宋体"/>
                <w:color w:val="auto"/>
                <w:kern w:val="0"/>
                <w:sz w:val="21"/>
                <w:szCs w:val="21"/>
                <w:highlight w:val="none"/>
              </w:rPr>
              <w:t>☑以</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kern w:val="0"/>
                <w:sz w:val="21"/>
                <w:szCs w:val="21"/>
                <w:highlight w:val="none"/>
              </w:rPr>
              <w:t>（☑成交金额/□采购预算/□暂定成交金额/□其他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）为计费额，按</w:t>
            </w:r>
            <w:r>
              <w:rPr>
                <w:rFonts w:hint="eastAsia" w:ascii="宋体" w:hAnsi="宋体" w:eastAsia="宋体" w:cs="宋体"/>
                <w:color w:val="auto"/>
                <w:kern w:val="0"/>
                <w:sz w:val="21"/>
                <w:szCs w:val="21"/>
                <w:highlight w:val="none"/>
                <w:lang w:eastAsia="zh-CN"/>
              </w:rPr>
              <w:t>服务</w:t>
            </w:r>
            <w:r>
              <w:rPr>
                <w:rFonts w:hint="eastAsia" w:ascii="宋体" w:hAnsi="宋体" w:eastAsia="宋体" w:cs="宋体"/>
                <w:color w:val="auto"/>
                <w:kern w:val="0"/>
                <w:sz w:val="21"/>
                <w:szCs w:val="21"/>
                <w:highlight w:val="none"/>
              </w:rPr>
              <w:t>类采用差额定率累进法计算出收费基准价格，采购代理收费以（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收费基准价格/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收费基准价格下浮</w:t>
            </w:r>
            <w:r>
              <w:rPr>
                <w:rFonts w:hint="eastAsia" w:ascii="宋体" w:hAnsi="宋体" w:eastAsia="宋体" w:cs="宋体"/>
                <w:color w:val="auto"/>
                <w:kern w:val="0"/>
                <w:sz w:val="21"/>
                <w:szCs w:val="21"/>
                <w:highlight w:val="none"/>
                <w:u w:val="single"/>
                <w:lang w:val="en-US" w:eastAsia="zh-CN"/>
              </w:rPr>
              <w:t xml:space="preserve"> 20 </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/□收费基准价格上浮</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）收取。</w:t>
            </w:r>
          </w:p>
          <w:p w14:paraId="4ECD355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□固定采购代理收费：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p>
          <w:p w14:paraId="5CD42502">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采购代理费收取银行账户</w:t>
            </w:r>
          </w:p>
          <w:p w14:paraId="5096DDE4">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账户名称：广西机电设备招标有限公司 </w:t>
            </w:r>
          </w:p>
          <w:p w14:paraId="7709B8BC">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开户银行：交通银行南宁金源支行 </w:t>
            </w:r>
          </w:p>
          <w:p w14:paraId="29AFAA77">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（银行地址：南宁市金湖路63号） </w:t>
            </w:r>
          </w:p>
          <w:p w14:paraId="7CDFB8FB">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银行账号：451060309018010001774(联行号 301611000373)  </w:t>
            </w:r>
          </w:p>
          <w:p w14:paraId="3A00639D">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财务联系人：吴茜（电话：0771-2821398）</w:t>
            </w:r>
          </w:p>
        </w:tc>
      </w:tr>
      <w:tr w14:paraId="2792E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8EF63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222B5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7C45D6F">
            <w:pPr>
              <w:pStyle w:val="15"/>
              <w:snapToGrid w:val="0"/>
              <w:spacing w:line="360" w:lineRule="auto"/>
              <w:ind w:firstLine="422"/>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解释：</w:t>
            </w:r>
            <w:r>
              <w:rPr>
                <w:rFonts w:hint="eastAsia" w:ascii="宋体" w:hAnsi="宋体" w:eastAsia="宋体" w:cs="宋体"/>
                <w:color w:val="auto"/>
                <w:sz w:val="21"/>
                <w:highlight w:val="none"/>
              </w:rPr>
              <w:t>构成本谈判文件的各个组成文件应互为解释，互为说明；除谈判文件中有特别规定外，仅适用于竞标阶段的规定，按更正公告（澄清公告）、竞争性谈判公告、采购需求、应商须知、评审程序、评审方法和</w:t>
            </w:r>
            <w:r>
              <w:rPr>
                <w:rFonts w:hint="eastAsia" w:ascii="宋体" w:hAnsi="宋体" w:eastAsia="宋体" w:cs="宋体"/>
                <w:color w:val="auto"/>
                <w:highlight w:val="none"/>
                <w:lang w:val="en-US" w:eastAsia="zh-CN"/>
              </w:rPr>
              <w:t>成交</w:t>
            </w:r>
            <w:r>
              <w:rPr>
                <w:rFonts w:hint="eastAsia" w:ascii="宋体" w:hAnsi="宋体" w:eastAsia="宋体" w:cs="宋体"/>
                <w:color w:val="auto"/>
                <w:sz w:val="21"/>
                <w:highlight w:val="none"/>
              </w:rPr>
              <w:t>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eastAsia="宋体" w:cs="宋体"/>
                <w:b/>
                <w:color w:val="auto"/>
                <w:sz w:val="21"/>
                <w:highlight w:val="none"/>
              </w:rPr>
              <w:t>由采购人或者采购代理机构负责解释。</w:t>
            </w:r>
          </w:p>
          <w:p w14:paraId="2A0A201E">
            <w:pPr>
              <w:tabs>
                <w:tab w:val="left" w:pos="1080"/>
              </w:tabs>
              <w:spacing w:line="360" w:lineRule="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法律责任：</w:t>
            </w:r>
          </w:p>
          <w:p w14:paraId="099CB809">
            <w:pPr>
              <w:tabs>
                <w:tab w:val="left" w:pos="108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1.本采购文件根据《中华人民共和国政府采购法》、《中华人民共和国民法典》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《中华人民共和国政府采购法实施条例》、《政府采购非招标采购方式管理办法》等有关法律、法规编制，参与本项目的各政府采购当事人依法享有上述法律法规所赋予的权利与义务。</w:t>
            </w:r>
          </w:p>
          <w:p w14:paraId="56426164">
            <w:pPr>
              <w:spacing w:line="360" w:lineRule="auto"/>
              <w:rPr>
                <w:rFonts w:hint="eastAsia" w:ascii="宋体" w:hAnsi="宋体" w:eastAsia="宋体" w:cs="宋体"/>
                <w:color w:val="auto"/>
                <w:highlight w:val="none"/>
              </w:rPr>
            </w:pPr>
            <w:r>
              <w:rPr>
                <w:rFonts w:hint="eastAsia" w:ascii="宋体" w:hAnsi="宋体" w:eastAsia="宋体" w:cs="宋体"/>
                <w:b/>
                <w:color w:val="auto"/>
                <w:szCs w:val="21"/>
                <w:highlight w:val="none"/>
              </w:rPr>
              <w:t>2.本项目采购代理机构应严格按照</w:t>
            </w:r>
            <w:r>
              <w:rPr>
                <w:rFonts w:hint="eastAsia" w:ascii="宋体" w:hAnsi="宋体" w:eastAsia="宋体" w:cs="宋体"/>
                <w:b/>
                <w:bCs/>
                <w:color w:val="auto"/>
                <w:sz w:val="21"/>
                <w:szCs w:val="21"/>
                <w:highlight w:val="none"/>
                <w:lang w:val="en-US"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bCs/>
                <w:color w:val="auto"/>
                <w:sz w:val="21"/>
                <w:szCs w:val="21"/>
                <w:highlight w:val="none"/>
                <w:lang w:val="en-US"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FFC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D84F2D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4605C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3927B6F">
            <w:pPr>
              <w:pStyle w:val="15"/>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1.本谈判文件中描述供应商的“公章”是指供应商通过指定电子化政府采购平台办理数字证书（CA认证）获得的以法定主体行为名称制作的电子印章。</w:t>
            </w:r>
          </w:p>
          <w:p w14:paraId="0739E920">
            <w:pPr>
              <w:pStyle w:val="15"/>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2.本谈判文件中描述供应商的“签字”是指供应商通过指定电子化政府采购平台办理数字证书（CA认证）获得的以供应商法定代表人或者委托代理人姓名制作的电子印章或手写签字。</w:t>
            </w:r>
          </w:p>
          <w:p w14:paraId="276104F5">
            <w:pPr>
              <w:pStyle w:val="15"/>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9B1BDB9">
            <w:pPr>
              <w:pStyle w:val="15"/>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4.自然人竞标的，谈判文件规定盖公章处由自然人摁手指指印。</w:t>
            </w:r>
          </w:p>
          <w:p w14:paraId="45D1C0A7">
            <w:pPr>
              <w:pStyle w:val="15"/>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5.本谈判文件所称的“以上”“以下”“以内”“届满”，包括本数；所称的“不满”“超过”“以外”，不包括本数。</w:t>
            </w:r>
          </w:p>
        </w:tc>
      </w:tr>
    </w:tbl>
    <w:p w14:paraId="73CDA92E">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Cs w:val="0"/>
          <w:color w:val="auto"/>
          <w:highlight w:val="none"/>
        </w:rPr>
        <w:br w:type="page"/>
      </w:r>
      <w:bookmarkStart w:id="45" w:name="_Toc27913"/>
      <w:bookmarkStart w:id="46" w:name="_Toc3267"/>
      <w:r>
        <w:rPr>
          <w:rFonts w:hint="eastAsia" w:ascii="宋体" w:hAnsi="宋体" w:eastAsia="宋体" w:cs="宋体"/>
          <w:b w:val="0"/>
          <w:color w:val="auto"/>
          <w:highlight w:val="none"/>
        </w:rPr>
        <w:t>第二节 供应商须知正文</w:t>
      </w:r>
      <w:bookmarkEnd w:id="45"/>
      <w:bookmarkEnd w:id="46"/>
    </w:p>
    <w:p w14:paraId="1F26C514">
      <w:pPr>
        <w:pStyle w:val="4"/>
        <w:spacing w:before="0" w:after="0" w:line="360" w:lineRule="auto"/>
        <w:ind w:firstLine="640" w:firstLineChars="200"/>
        <w:rPr>
          <w:rFonts w:hint="eastAsia" w:ascii="宋体" w:hAnsi="宋体" w:eastAsia="宋体" w:cs="宋体"/>
          <w:b w:val="0"/>
          <w:color w:val="auto"/>
          <w:highlight w:val="none"/>
        </w:rPr>
      </w:pPr>
      <w:bookmarkStart w:id="47" w:name="_Toc26278"/>
      <w:bookmarkStart w:id="48" w:name="_Toc24812"/>
      <w:r>
        <w:rPr>
          <w:rFonts w:hint="eastAsia" w:ascii="宋体" w:hAnsi="宋体" w:eastAsia="宋体" w:cs="宋体"/>
          <w:b w:val="0"/>
          <w:color w:val="auto"/>
          <w:highlight w:val="none"/>
        </w:rPr>
        <w:t>一、总则</w:t>
      </w:r>
      <w:bookmarkEnd w:id="47"/>
      <w:bookmarkEnd w:id="48"/>
    </w:p>
    <w:p w14:paraId="22A3F3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BAFC2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BBEED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14:paraId="0C70F540">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2.定义</w:t>
      </w:r>
    </w:p>
    <w:p w14:paraId="0D6ACE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79DCD440">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014BBE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042A0A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0F54E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2.5“竞标”是指按照本项目竞争性谈判公告或者邀请函规定的方式供应商获取谈判文件、提交响应文件并希望获得标的的行为。</w:t>
      </w:r>
    </w:p>
    <w:p w14:paraId="7182AB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14:paraId="688B5A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2C1BC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是指：供应商根据本文件要求，编制包含报价、技术和服务等所有内容的文件。</w:t>
      </w:r>
    </w:p>
    <w:p w14:paraId="02C407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“实质性要求”是指采购需求中带“▲”的条款或者不能负偏离的条款或者已经指明不满足按响应文件作无效处理的条款。</w:t>
      </w:r>
    </w:p>
    <w:p w14:paraId="7AB1D8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14:paraId="4C49B3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14:paraId="754E25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383298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14:paraId="6613C8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57E17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22592B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4.谈判费用</w:t>
      </w:r>
    </w:p>
    <w:p w14:paraId="181B9A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6AC07A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734695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FABA1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5.2如接受联合体竞标，联合体竞标要求详见“供应商须知前附表”。</w:t>
      </w:r>
    </w:p>
    <w:p w14:paraId="702DBB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417F3B5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19511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5E97C4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DE5E551">
      <w:pPr>
        <w:spacing w:line="360" w:lineRule="auto"/>
        <w:ind w:firstLine="482" w:firstLineChars="200"/>
        <w:rPr>
          <w:rFonts w:hint="eastAsia" w:ascii="宋体" w:hAnsi="宋体" w:eastAsia="宋体" w:cs="宋体"/>
          <w:b/>
          <w:bCs/>
          <w:color w:val="auto"/>
          <w:sz w:val="24"/>
          <w:highlight w:val="none"/>
        </w:rPr>
      </w:pPr>
      <w:bookmarkStart w:id="49" w:name="_Toc254970532"/>
      <w:bookmarkStart w:id="50" w:name="_Toc254970673"/>
      <w:r>
        <w:rPr>
          <w:rFonts w:hint="eastAsia" w:ascii="宋体" w:hAnsi="宋体" w:eastAsia="宋体" w:cs="宋体"/>
          <w:b/>
          <w:bCs/>
          <w:color w:val="auto"/>
          <w:sz w:val="24"/>
          <w:highlight w:val="none"/>
        </w:rPr>
        <w:t>7.特别说明</w:t>
      </w:r>
      <w:bookmarkEnd w:id="49"/>
      <w:bookmarkEnd w:id="50"/>
    </w:p>
    <w:p w14:paraId="6D97E64C">
      <w:pPr>
        <w:spacing w:line="360" w:lineRule="auto"/>
        <w:ind w:firstLine="420" w:firstLineChars="200"/>
        <w:rPr>
          <w:rFonts w:hint="eastAsia" w:ascii="宋体" w:hAnsi="宋体" w:eastAsia="宋体" w:cs="宋体"/>
          <w:color w:val="auto"/>
          <w:szCs w:val="21"/>
          <w:highlight w:val="none"/>
        </w:rPr>
      </w:pPr>
      <w:bookmarkStart w:id="51" w:name="_8.1提供相同品牌产品且通过资格审查、符合性审查的不同投标人参加同一合"/>
      <w:bookmarkEnd w:id="51"/>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6B0FF9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14:paraId="52965D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1750F6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4F2313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32B5E7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1A34CE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9C8BA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A957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40DB17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E252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1E921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（1）不同供应商的响应文件由同一单位或者个人编制；或者不同供应商报名的IP地址一致的；或者编制响应文件硬件设备CPU编号、硬盘编号、网卡地址一致的情况。</w:t>
      </w:r>
    </w:p>
    <w:p w14:paraId="69DA50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5CFF1F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EE8BF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651138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4292ED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保证金从同一单位或者个人账户转出。</w:t>
      </w:r>
    </w:p>
    <w:p w14:paraId="0FCF7D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w:t>
      </w:r>
      <w:bookmarkStart w:id="52" w:name="_Hlk54682620"/>
      <w:r>
        <w:rPr>
          <w:rFonts w:hint="eastAsia" w:ascii="宋体" w:hAnsi="宋体" w:eastAsia="宋体" w:cs="宋体"/>
          <w:color w:val="auto"/>
          <w:szCs w:val="21"/>
          <w:highlight w:val="none"/>
        </w:rPr>
        <w:t>，将报同级监督管理部门</w:t>
      </w:r>
      <w:bookmarkEnd w:id="52"/>
      <w:r>
        <w:rPr>
          <w:rFonts w:hint="eastAsia" w:ascii="宋体" w:hAnsi="宋体" w:eastAsia="宋体" w:cs="宋体"/>
          <w:color w:val="auto"/>
          <w:szCs w:val="21"/>
          <w:highlight w:val="none"/>
        </w:rPr>
        <w:t>：</w:t>
      </w:r>
    </w:p>
    <w:p w14:paraId="2B41C9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D3B1B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3911AF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（3）供应商之间协商报价、技术方案等响应文件的实质性内容；</w:t>
      </w:r>
    </w:p>
    <w:p w14:paraId="191924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7C849C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F967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5405D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（7）供应商与采购人或者采购代理机构之间、供应商相互之间，为谋求特定供应商成交或者排斥其他供应商的其他串通行为。</w:t>
      </w:r>
      <w:bookmarkStart w:id="53" w:name="_Toc254970534"/>
      <w:bookmarkStart w:id="54" w:name="_Toc254970675"/>
    </w:p>
    <w:p w14:paraId="7DA125A9">
      <w:pPr>
        <w:pStyle w:val="4"/>
        <w:spacing w:before="0" w:after="0" w:line="360" w:lineRule="auto"/>
        <w:ind w:firstLine="640" w:firstLineChars="200"/>
        <w:rPr>
          <w:rFonts w:hint="eastAsia" w:ascii="宋体" w:hAnsi="宋体" w:eastAsia="宋体" w:cs="宋体"/>
          <w:b w:val="0"/>
          <w:bCs w:val="0"/>
          <w:color w:val="auto"/>
          <w:highlight w:val="none"/>
        </w:rPr>
      </w:pPr>
      <w:bookmarkStart w:id="55" w:name="_Toc27582"/>
      <w:bookmarkStart w:id="56" w:name="_Toc17166"/>
      <w:r>
        <w:rPr>
          <w:rFonts w:hint="eastAsia" w:ascii="宋体" w:hAnsi="宋体" w:eastAsia="宋体" w:cs="宋体"/>
          <w:b w:val="0"/>
          <w:bCs w:val="0"/>
          <w:color w:val="auto"/>
          <w:highlight w:val="none"/>
        </w:rPr>
        <w:t>二、谈判文件</w:t>
      </w:r>
      <w:bookmarkEnd w:id="53"/>
      <w:bookmarkEnd w:id="54"/>
      <w:bookmarkEnd w:id="55"/>
      <w:bookmarkEnd w:id="56"/>
    </w:p>
    <w:p w14:paraId="0EF4F7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8.谈判文件的构成</w:t>
      </w:r>
    </w:p>
    <w:p w14:paraId="706EBF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竞争性谈判公告；</w:t>
      </w:r>
    </w:p>
    <w:p w14:paraId="3BE1C58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3C9B242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468BC8B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评审程序、评审方法和成交标准；</w:t>
      </w:r>
    </w:p>
    <w:p w14:paraId="2D101FD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07B74B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5EC745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58E4DAF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A9462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2C8258B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10.谈判文件的澄清和修改</w:t>
      </w:r>
    </w:p>
    <w:p w14:paraId="5437F5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w:t>
      </w:r>
      <w:r>
        <w:rPr>
          <w:rFonts w:hint="eastAsia" w:ascii="宋体" w:hAnsi="宋体" w:eastAsia="宋体" w:cs="宋体"/>
          <w:color w:val="auto"/>
          <w:highlight w:val="none"/>
          <w:lang w:val="en-US" w:eastAsia="zh-CN"/>
        </w:rPr>
        <w:t>的</w:t>
      </w:r>
      <w:r>
        <w:rPr>
          <w:rFonts w:hint="eastAsia" w:ascii="宋体" w:hAnsi="宋体" w:eastAsia="宋体" w:cs="宋体"/>
          <w:color w:val="auto"/>
          <w:szCs w:val="21"/>
          <w:highlight w:val="none"/>
        </w:rPr>
        <w:t>内容处理。</w:t>
      </w:r>
    </w:p>
    <w:p w14:paraId="1B6F68A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25CC8A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46B7E6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97EFF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w:t>
      </w:r>
      <w:r>
        <w:rPr>
          <w:rFonts w:hint="eastAsia" w:ascii="宋体" w:hAnsi="宋体" w:eastAsia="宋体" w:cs="宋体"/>
          <w:color w:val="auto"/>
          <w:highlight w:val="none"/>
          <w:lang w:val="en-US" w:eastAsia="zh-CN"/>
        </w:rPr>
        <w:t>竞争性谈判公告</w:t>
      </w:r>
      <w:r>
        <w:rPr>
          <w:rFonts w:hint="eastAsia" w:ascii="宋体" w:hAnsi="宋体" w:eastAsia="宋体" w:cs="宋体"/>
          <w:color w:val="auto"/>
          <w:highlight w:val="none"/>
        </w:rPr>
        <w:t>”中“七、其他补充事宜3.网上查询地址”规定的政府采购信息发布媒体上发布更正公告。</w:t>
      </w:r>
    </w:p>
    <w:p w14:paraId="4F3AA07A">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响应文件未按谈判文件的澄清、修改的内容编制，又不符合实质性要求的，其响应文件作无效处理。</w:t>
      </w:r>
    </w:p>
    <w:p w14:paraId="5B811D71">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20980"/>
      <w:bookmarkStart w:id="58" w:name="_Toc22156"/>
      <w:r>
        <w:rPr>
          <w:rFonts w:hint="eastAsia" w:ascii="宋体" w:hAnsi="宋体" w:eastAsia="宋体" w:cs="宋体"/>
          <w:b w:val="0"/>
          <w:bCs w:val="0"/>
          <w:color w:val="auto"/>
          <w:highlight w:val="none"/>
        </w:rPr>
        <w:t>三、响应文件的编制</w:t>
      </w:r>
      <w:bookmarkEnd w:id="57"/>
      <w:bookmarkEnd w:id="58"/>
    </w:p>
    <w:p w14:paraId="78E0B3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F898B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14:paraId="734DAC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464A1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10FF6622">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须知前附表</w:t>
      </w:r>
    </w:p>
    <w:p w14:paraId="72581330">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须知前附表</w:t>
      </w:r>
    </w:p>
    <w:p w14:paraId="7F9BFE3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须知前附表</w:t>
      </w:r>
    </w:p>
    <w:p w14:paraId="32DCA2F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须知前附表</w:t>
      </w:r>
    </w:p>
    <w:p w14:paraId="6D2E564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14028F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1C14B6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2DBDA7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0DF2043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3C01B39A">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446EB65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239C7B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578963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4807164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highlight w:val="none"/>
          <w:lang w:val="en-US" w:eastAsia="zh-CN"/>
        </w:rPr>
        <w:t>项目</w:t>
      </w:r>
      <w:r>
        <w:rPr>
          <w:rFonts w:hint="eastAsia" w:ascii="宋体" w:hAnsi="宋体" w:eastAsia="宋体" w:cs="宋体"/>
          <w:color w:val="auto"/>
          <w:szCs w:val="21"/>
          <w:highlight w:val="none"/>
        </w:rPr>
        <w:t>的全部内容分别作完整唯一总价报价，不得存在漏项报价；</w:t>
      </w:r>
    </w:p>
    <w:p w14:paraId="1F5934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highlight w:val="none"/>
          <w:lang w:val="en-US" w:eastAsia="zh-CN"/>
        </w:rPr>
        <w:t>项目</w:t>
      </w:r>
      <w:r>
        <w:rPr>
          <w:rFonts w:hint="eastAsia" w:ascii="宋体" w:hAnsi="宋体" w:eastAsia="宋体" w:cs="宋体"/>
          <w:color w:val="auto"/>
          <w:szCs w:val="21"/>
          <w:highlight w:val="none"/>
        </w:rPr>
        <w:t>的单项内容作唯一报价。</w:t>
      </w:r>
    </w:p>
    <w:p w14:paraId="578555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highlight w:val="none"/>
          <w:lang w:val="en-US" w:eastAsia="zh-CN"/>
        </w:rPr>
        <w:t>项目</w:t>
      </w:r>
      <w:r>
        <w:rPr>
          <w:rFonts w:hint="eastAsia" w:ascii="宋体" w:hAnsi="宋体" w:eastAsia="宋体" w:cs="宋体"/>
          <w:color w:val="auto"/>
          <w:szCs w:val="21"/>
          <w:highlight w:val="none"/>
        </w:rPr>
        <w:t>规定的采购预算金额或者最高限价的，其响应文件将作无效处理。</w:t>
      </w:r>
    </w:p>
    <w:p w14:paraId="1C2FE6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9"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59"/>
    <w:p w14:paraId="480C3A1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435364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17157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73F183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2BE8A16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17.谈判保证金</w:t>
      </w:r>
    </w:p>
    <w:p w14:paraId="642230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AEA28E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2392AC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2B78F5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14:paraId="4D163137">
      <w:pPr>
        <w:pStyle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0" w:name="_Hlk65832699"/>
      <w:r>
        <w:rPr>
          <w:rFonts w:hint="eastAsia" w:ascii="宋体" w:hAnsi="宋体" w:eastAsia="宋体" w:cs="宋体"/>
          <w:color w:val="auto"/>
          <w:szCs w:val="21"/>
          <w:highlight w:val="none"/>
        </w:rPr>
        <w:t>3响应文件须由供应商</w:t>
      </w:r>
      <w:r>
        <w:rPr>
          <w:rFonts w:hint="eastAsia" w:ascii="宋体" w:hAnsi="宋体" w:eastAsia="宋体" w:cs="宋体"/>
          <w:color w:val="auto"/>
          <w:highlight w:val="none"/>
          <w:lang w:val="en-US" w:eastAsia="zh-CN"/>
        </w:rPr>
        <w:t>按“第五章 响应文件格式”要求进行签署、盖章</w:t>
      </w:r>
      <w:bookmarkEnd w:id="60"/>
      <w:r>
        <w:rPr>
          <w:rFonts w:hint="eastAsia" w:ascii="宋体" w:hAnsi="宋体" w:eastAsia="宋体" w:cs="宋体"/>
          <w:color w:val="auto"/>
          <w:szCs w:val="21"/>
          <w:highlight w:val="none"/>
        </w:rPr>
        <w:t>，否则其响应文件按无效响应处理。</w:t>
      </w:r>
    </w:p>
    <w:p w14:paraId="3DCACD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46D6F4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41F27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DCBDFEB">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val="zh-CN"/>
        </w:rPr>
        <w:t>电子交易客户端”，并按照谈判文件和电子交易平台的要求编制并加密响应文件。供应商未按规定加密的响应文件，电子交易平台将拒收并提示。</w:t>
      </w:r>
    </w:p>
    <w:p w14:paraId="4B7F3ECF">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val="zh-CN"/>
        </w:rPr>
        <w:t>电子交易客户端”需要提前申领CA数字证书，申领流程见该项目采购公告。</w:t>
      </w:r>
    </w:p>
    <w:p w14:paraId="4A721959">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19.3为确保网上操作合法、有效和安全，供应商应当在响应文件提交截止时间前完成在“</w:t>
      </w:r>
      <w:r>
        <w:rPr>
          <w:rFonts w:hint="eastAsia" w:ascii="宋体" w:hAnsi="宋体" w:eastAsia="宋体" w:cs="宋体"/>
          <w:color w:val="auto"/>
          <w:highlight w:val="none"/>
          <w:lang w:val="en-US" w:eastAsia="zh-CN"/>
        </w:rPr>
        <w:t>广西</w:t>
      </w:r>
      <w:r>
        <w:rPr>
          <w:rFonts w:hint="eastAsia" w:ascii="宋体" w:hAnsi="宋体" w:eastAsia="宋体" w:cs="宋体"/>
          <w:color w:val="auto"/>
          <w:sz w:val="21"/>
          <w:highlight w:val="none"/>
        </w:rPr>
        <w:t>政府采购云平台”的身份认证，确保在电子交易过程中能够对相关数据电文进行加密和使用电子签名。</w:t>
      </w:r>
    </w:p>
    <w:p w14:paraId="4B8E5F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1DECA5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01C31F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03727A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2B4A8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6DD9B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4826DA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详见“供应商须知前附表”。</w:t>
      </w:r>
    </w:p>
    <w:p w14:paraId="0BF5314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5F426F72">
      <w:pPr>
        <w:pStyle w:val="39"/>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6E64B79A">
      <w:pPr>
        <w:spacing w:line="360" w:lineRule="auto"/>
        <w:ind w:firstLine="482" w:firstLineChars="200"/>
        <w:rPr>
          <w:rFonts w:hint="eastAsia" w:ascii="宋体" w:hAnsi="宋体" w:eastAsia="宋体" w:cs="宋体"/>
          <w:b/>
          <w:bCs/>
          <w:color w:val="auto"/>
          <w:sz w:val="24"/>
          <w:highlight w:val="none"/>
        </w:rPr>
      </w:pPr>
      <w:bookmarkStart w:id="61" w:name="_Hlk45702405"/>
      <w:r>
        <w:rPr>
          <w:rFonts w:hint="eastAsia" w:ascii="宋体" w:hAnsi="宋体" w:eastAsia="宋体" w:cs="宋体"/>
          <w:b/>
          <w:bCs/>
          <w:color w:val="auto"/>
          <w:sz w:val="24"/>
          <w:highlight w:val="none"/>
        </w:rPr>
        <w:t>22. 首次响应文件的退回</w:t>
      </w:r>
    </w:p>
    <w:p w14:paraId="74E516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062A86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BBAB2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本项目不收取谈判保证金，供应商在首次响应文件提交截止时间后可向采购人、采购代理机构书面申请撤回响应文件。</w:t>
      </w:r>
      <w:bookmarkEnd w:id="61"/>
    </w:p>
    <w:p w14:paraId="1BC7C8C0">
      <w:pPr>
        <w:pStyle w:val="4"/>
        <w:spacing w:before="0" w:after="0" w:line="360" w:lineRule="auto"/>
        <w:ind w:firstLine="640" w:firstLineChars="200"/>
        <w:rPr>
          <w:rFonts w:hint="eastAsia" w:ascii="宋体" w:hAnsi="宋体" w:eastAsia="宋体" w:cs="宋体"/>
          <w:b w:val="0"/>
          <w:bCs w:val="0"/>
          <w:color w:val="auto"/>
          <w:highlight w:val="none"/>
        </w:rPr>
      </w:pPr>
      <w:bookmarkStart w:id="62" w:name="_Toc31053"/>
      <w:bookmarkStart w:id="63" w:name="_Toc27348"/>
      <w:r>
        <w:rPr>
          <w:rFonts w:hint="eastAsia" w:ascii="宋体" w:hAnsi="宋体" w:eastAsia="宋体" w:cs="宋体"/>
          <w:b w:val="0"/>
          <w:bCs w:val="0"/>
          <w:color w:val="auto"/>
          <w:highlight w:val="none"/>
        </w:rPr>
        <w:t>四、评审及谈判</w:t>
      </w:r>
      <w:bookmarkEnd w:id="62"/>
      <w:bookmarkEnd w:id="63"/>
    </w:p>
    <w:p w14:paraId="6031E11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24.谈判小组成立</w:t>
      </w:r>
    </w:p>
    <w:p w14:paraId="4E23CA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谈判方式采购的，谈判小组由5人以上单数组成。</w:t>
      </w:r>
    </w:p>
    <w:p w14:paraId="7BCC89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24.2评审专家应当从政府采购评审专家库内相关专业的专家名单中随机抽取。技术复杂、专业性强的竞争性谈判采购项目，评审专家中应当包含1名法律专家。</w:t>
      </w:r>
    </w:p>
    <w:p w14:paraId="0E0E572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78A2FC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25.1首次响应文件由谈判小组或者采购代理机构在“供应商须知前附表”规定的时间开启。</w:t>
      </w:r>
    </w:p>
    <w:p w14:paraId="3A3D21A1">
      <w:pPr>
        <w:pStyle w:val="15"/>
        <w:spacing w:line="360" w:lineRule="auto"/>
        <w:ind w:firstLine="400" w:firstLineChars="200"/>
        <w:rPr>
          <w:rFonts w:hint="eastAsia" w:ascii="宋体" w:hAnsi="宋体" w:eastAsia="宋体" w:cs="宋体"/>
          <w:bCs/>
          <w:color w:val="auto"/>
          <w:highlight w:val="none"/>
        </w:rPr>
      </w:pPr>
      <w:r>
        <w:rPr>
          <w:rFonts w:hint="eastAsia" w:ascii="宋体" w:hAnsi="宋体" w:eastAsia="宋体" w:cs="宋体"/>
          <w:color w:val="auto"/>
          <w:highlight w:val="none"/>
        </w:rPr>
        <w:t xml:space="preserve">25.2 </w:t>
      </w:r>
      <w:r>
        <w:rPr>
          <w:rFonts w:hint="eastAsia" w:ascii="宋体" w:hAnsi="宋体" w:eastAsia="宋体" w:cs="宋体"/>
          <w:bCs/>
          <w:color w:val="auto"/>
          <w:highlight w:val="none"/>
        </w:rPr>
        <w:t>响应文件解密</w:t>
      </w:r>
    </w:p>
    <w:p w14:paraId="4D94A637">
      <w:pPr>
        <w:pStyle w:val="15"/>
        <w:snapToGrid w:val="0"/>
        <w:spacing w:line="440" w:lineRule="exac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b/>
          <w:color w:val="auto"/>
          <w:sz w:val="21"/>
          <w:highlight w:val="none"/>
        </w:rPr>
        <w:t>电子开标大厅签到并在发起解密指令之时起30分钟内完成对电子响应文件在线解密</w:t>
      </w:r>
      <w:r>
        <w:rPr>
          <w:rFonts w:hint="eastAsia" w:ascii="宋体" w:hAnsi="宋体" w:eastAsia="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rPr>
        <w:t>26.3 电子交易活动的中止。）</w:t>
      </w:r>
    </w:p>
    <w:p w14:paraId="27E729E3">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rPr>
        <w:t>供应商成功解密响应文件，但未在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bCs/>
          <w:color w:val="auto"/>
          <w:sz w:val="21"/>
          <w:highlight w:val="none"/>
        </w:rPr>
        <w:t>电子开标大厅参加谈判的，视同认可谈判过程和结果，</w:t>
      </w:r>
      <w:r>
        <w:rPr>
          <w:rFonts w:hint="eastAsia" w:ascii="宋体" w:hAnsi="宋体" w:eastAsia="宋体" w:cs="宋体"/>
          <w:color w:val="auto"/>
          <w:sz w:val="21"/>
          <w:highlight w:val="none"/>
        </w:rPr>
        <w:t>由此产生的后果由供应商自行负责。 参与谈判的供应商不足3家的，不得谈判。</w:t>
      </w:r>
    </w:p>
    <w:p w14:paraId="34FB312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26.评审程序、评审方法和成交标准</w:t>
      </w:r>
    </w:p>
    <w:p w14:paraId="47A675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26.1谈判小组按照“第四章 评审程序、评审方法和成交标准”规定的方法、评审因素、标准和程序对响应文件进行评审。</w:t>
      </w:r>
    </w:p>
    <w:p w14:paraId="6F5E7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采购需求负偏离要求及谈判顺序详见 “供应商须知前附表”。</w:t>
      </w:r>
    </w:p>
    <w:p w14:paraId="7375A3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16C8CA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F01E9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77BED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4D112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5ABF438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0A6A20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440EB85">
      <w:pPr>
        <w:pStyle w:val="4"/>
        <w:spacing w:before="0" w:after="0" w:line="360" w:lineRule="auto"/>
        <w:ind w:firstLine="640" w:firstLineChars="200"/>
        <w:rPr>
          <w:rFonts w:hint="eastAsia" w:ascii="宋体" w:hAnsi="宋体" w:eastAsia="宋体" w:cs="宋体"/>
          <w:b w:val="0"/>
          <w:bCs w:val="0"/>
          <w:color w:val="auto"/>
          <w:highlight w:val="none"/>
        </w:rPr>
      </w:pPr>
      <w:bookmarkStart w:id="64" w:name="_Toc10000"/>
      <w:bookmarkStart w:id="65" w:name="_Toc27472"/>
      <w:r>
        <w:rPr>
          <w:rFonts w:hint="eastAsia" w:ascii="宋体" w:hAnsi="宋体" w:eastAsia="宋体" w:cs="宋体"/>
          <w:b w:val="0"/>
          <w:bCs w:val="0"/>
          <w:color w:val="auto"/>
          <w:highlight w:val="none"/>
        </w:rPr>
        <w:t>五、成交及合同</w:t>
      </w:r>
      <w:bookmarkEnd w:id="64"/>
      <w:bookmarkEnd w:id="65"/>
    </w:p>
    <w:p w14:paraId="4F28E1D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137A25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0B1ED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8B3A0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highlight w:val="none"/>
          <w:lang w:val="en-US"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highlight w:val="none"/>
          <w:lang w:val="en-US"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确定排名第三的成交候选人为成交供应商，以此类推。以上信息查询记录及相关证据与谈判文件一并保存。</w:t>
      </w:r>
      <w:bookmarkStart w:id="66"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66"/>
    </w:p>
    <w:p w14:paraId="2BF0B0A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27.4</w:t>
      </w:r>
      <w:r>
        <w:rPr>
          <w:rFonts w:hint="eastAsia" w:ascii="宋体" w:hAnsi="宋体" w:eastAsia="宋体" w:cs="宋体"/>
          <w:color w:val="auto"/>
          <w:kern w:val="0"/>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BF2842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27.5排名第一的成交候选人放弃成交、因不可抗力提出不能履行合同，采购人可以</w:t>
      </w:r>
      <w:r>
        <w:rPr>
          <w:rFonts w:hint="eastAsia" w:ascii="宋体" w:hAnsi="宋体" w:eastAsia="宋体" w:cs="宋体"/>
          <w:color w:val="auto"/>
          <w:highlight w:val="none"/>
          <w:lang w:val="en-US" w:eastAsia="zh-CN"/>
        </w:rPr>
        <w:t>依法</w:t>
      </w:r>
      <w:r>
        <w:rPr>
          <w:rFonts w:hint="eastAsia" w:ascii="宋体" w:hAnsi="宋体" w:eastAsia="宋体" w:cs="宋体"/>
          <w:color w:val="auto"/>
          <w:kern w:val="0"/>
          <w:szCs w:val="21"/>
          <w:highlight w:val="none"/>
        </w:rPr>
        <w:t>确定排名第二的成交候选人为成交供应商。排名第二的成交候选人因前款规定的同样原因不能签订合同的，采购人可以</w:t>
      </w:r>
      <w:r>
        <w:rPr>
          <w:rFonts w:hint="eastAsia" w:ascii="宋体" w:hAnsi="宋体" w:eastAsia="宋体" w:cs="宋体"/>
          <w:color w:val="auto"/>
          <w:highlight w:val="none"/>
          <w:lang w:val="en-US" w:eastAsia="zh-CN"/>
        </w:rPr>
        <w:t>依法</w:t>
      </w:r>
      <w:r>
        <w:rPr>
          <w:rFonts w:hint="eastAsia" w:ascii="宋体" w:hAnsi="宋体" w:eastAsia="宋体" w:cs="宋体"/>
          <w:color w:val="auto"/>
          <w:kern w:val="0"/>
          <w:szCs w:val="21"/>
          <w:highlight w:val="none"/>
        </w:rPr>
        <w:t>确定排名第三的成交候选人为成交供应商</w:t>
      </w:r>
      <w:r>
        <w:rPr>
          <w:rFonts w:hint="eastAsia" w:ascii="宋体" w:hAnsi="宋体" w:eastAsia="宋体" w:cs="宋体"/>
          <w:color w:val="auto"/>
          <w:highlight w:val="none"/>
        </w:rPr>
        <w:t>，也可以重新开展政府采购活动</w:t>
      </w:r>
      <w:r>
        <w:rPr>
          <w:rFonts w:hint="eastAsia" w:ascii="宋体" w:hAnsi="宋体" w:eastAsia="宋体" w:cs="宋体"/>
          <w:color w:val="auto"/>
          <w:kern w:val="0"/>
          <w:szCs w:val="21"/>
          <w:highlight w:val="none"/>
        </w:rPr>
        <w:t>。</w:t>
      </w:r>
    </w:p>
    <w:p w14:paraId="2CE24CE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79F3D445">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284A63B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172D4A62">
      <w:pPr>
        <w:pStyle w:val="39"/>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29.1采购人与成交供应商应当在成交通知书规定的时间内，按照谈判文件确定的合同文本以及采购标的、服务技术、采购金额、采购数量、技术和服务要求等事项签订政府采购合同。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0D90C8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谈判文件以外的任何要求作为签订合同的条件，不得与成交供应商订立背离谈判文件确定的合同文本以及采购标的、服务技术、采购金额、采购数量、技术和服务要求等实质性内容的协议。</w:t>
      </w:r>
    </w:p>
    <w:p w14:paraId="0ABF86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w:t>
      </w:r>
      <w:r>
        <w:rPr>
          <w:rFonts w:hint="eastAsia" w:ascii="宋体" w:hAnsi="宋体" w:eastAsia="宋体" w:cs="宋体"/>
          <w:color w:val="auto"/>
          <w:highlight w:val="none"/>
          <w:lang w:val="en-US"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680CA9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2F27490">
      <w:pPr>
        <w:pStyle w:val="39"/>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29.5采购合同由采购人与成交供应商根据谈判文件、响应文件等内容通过政府采购电子交易平台在线签订，自动备案，在线签订须携带的材料见“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3A2932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0266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13D63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B85DE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31283BAA">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 xml:space="preserve"> 。</w:t>
      </w:r>
      <w:r>
        <w:rPr>
          <w:rFonts w:hint="eastAsia" w:ascii="宋体" w:hAnsi="宋体" w:eastAsia="宋体" w:cs="宋体"/>
          <w:b/>
          <w:color w:val="auto"/>
          <w:szCs w:val="21"/>
          <w:highlight w:val="none"/>
        </w:rPr>
        <w:t xml:space="preserve">具体质疑起算时间及处理方式如下： </w:t>
      </w:r>
    </w:p>
    <w:p w14:paraId="15C8F83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（1）潜在供应商依法获取采购文件后，认为采购文件使自己的权益受到损害的，应当在竞争性谈判采购文件公告期限届满之日起7个工作日内提出质疑。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对竞争性谈判文件中采购需求（含资格要求、采购预算和评分办法）的质疑由采购人受理并负责答复；对竞争性谈判文件中的采购执行程序的质疑由采购代理机构受理并负责答复。</w:t>
      </w:r>
    </w:p>
    <w:p w14:paraId="29AB5C8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8381FB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30F6E2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34CEC5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702D52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07B22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087005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6D50CD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E8114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37208D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082BAD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2F00C9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EF32A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D3C49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225F4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353F75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2AEFEB71">
      <w:pPr>
        <w:pStyle w:val="4"/>
        <w:spacing w:before="0" w:after="0" w:line="360" w:lineRule="auto"/>
        <w:ind w:firstLine="643" w:firstLineChars="200"/>
        <w:rPr>
          <w:rFonts w:hint="eastAsia" w:ascii="宋体" w:hAnsi="宋体" w:eastAsia="宋体" w:cs="宋体"/>
          <w:b w:val="0"/>
          <w:color w:val="auto"/>
          <w:highlight w:val="none"/>
        </w:rPr>
      </w:pPr>
      <w:bookmarkStart w:id="67" w:name="_Toc24978"/>
      <w:bookmarkStart w:id="68" w:name="_Toc28813"/>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7"/>
      <w:bookmarkEnd w:id="68"/>
    </w:p>
    <w:p w14:paraId="629AAA9A">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496082CD">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F4255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32908837">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highlight w:val="none"/>
          <w:lang w:val="en-US" w:eastAsia="zh-CN"/>
        </w:rPr>
        <w:t>（如有）</w:t>
      </w:r>
      <w:r>
        <w:rPr>
          <w:rFonts w:hint="eastAsia" w:ascii="宋体" w:hAnsi="宋体" w:eastAsia="宋体" w:cs="宋体"/>
          <w:color w:val="auto"/>
          <w:kern w:val="0"/>
          <w:szCs w:val="21"/>
          <w:highlight w:val="none"/>
        </w:rPr>
        <w:t>返还条件挂钩。履约验收的各项资料应当存档备查。</w:t>
      </w:r>
    </w:p>
    <w:p w14:paraId="022604CD">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E681CD">
      <w:pPr>
        <w:pStyle w:val="4"/>
        <w:spacing w:before="0" w:after="0" w:line="360" w:lineRule="auto"/>
        <w:ind w:firstLine="640" w:firstLineChars="200"/>
        <w:rPr>
          <w:rFonts w:hint="eastAsia" w:ascii="宋体" w:hAnsi="宋体" w:eastAsia="宋体" w:cs="宋体"/>
          <w:b w:val="0"/>
          <w:bCs w:val="0"/>
          <w:color w:val="auto"/>
          <w:highlight w:val="none"/>
        </w:rPr>
      </w:pPr>
      <w:bookmarkStart w:id="69" w:name="_Toc5407"/>
      <w:bookmarkStart w:id="70" w:name="_Toc21685"/>
      <w:r>
        <w:rPr>
          <w:rFonts w:hint="eastAsia" w:ascii="宋体" w:hAnsi="宋体" w:eastAsia="宋体" w:cs="宋体"/>
          <w:b w:val="0"/>
          <w:bCs w:val="0"/>
          <w:color w:val="auto"/>
          <w:highlight w:val="none"/>
        </w:rPr>
        <w:t>七、其他事项</w:t>
      </w:r>
      <w:bookmarkEnd w:id="69"/>
      <w:bookmarkEnd w:id="70"/>
    </w:p>
    <w:p w14:paraId="71E135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7C4CD6B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33.1</w:t>
      </w: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04DA4906">
      <w:pPr>
        <w:pStyle w:val="11"/>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33.2</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代理服务费收费计算标准</w:t>
      </w:r>
      <w:r>
        <w:rPr>
          <w:rFonts w:hint="eastAsia" w:ascii="宋体" w:hAnsi="宋体" w:eastAsia="宋体" w:cs="宋体"/>
          <w:color w:val="auto"/>
          <w:szCs w:val="21"/>
          <w:highlight w:val="none"/>
          <w:lang w:eastAsia="zh-CN"/>
        </w:rPr>
        <w:t>：</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0"/>
        <w:gridCol w:w="1878"/>
        <w:gridCol w:w="1734"/>
        <w:gridCol w:w="1749"/>
      </w:tblGrid>
      <w:tr w14:paraId="5116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tcBorders>
              <w:tl2br w:val="single" w:color="auto" w:sz="4" w:space="0"/>
            </w:tcBorders>
            <w:noWrap w:val="0"/>
            <w:vAlign w:val="top"/>
          </w:tcPr>
          <w:p w14:paraId="0C7B27E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187DF34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010" w:type="pct"/>
            <w:noWrap w:val="0"/>
            <w:vAlign w:val="center"/>
          </w:tcPr>
          <w:p w14:paraId="06B8F019">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933" w:type="pct"/>
            <w:noWrap w:val="0"/>
            <w:vAlign w:val="center"/>
          </w:tcPr>
          <w:p w14:paraId="6398DB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941" w:type="pct"/>
            <w:noWrap w:val="0"/>
            <w:vAlign w:val="center"/>
          </w:tcPr>
          <w:p w14:paraId="6854F6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5B3C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28FBE6D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010" w:type="pct"/>
            <w:noWrap w:val="0"/>
            <w:vAlign w:val="top"/>
          </w:tcPr>
          <w:p w14:paraId="3C2D8513">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933" w:type="pct"/>
            <w:noWrap w:val="0"/>
            <w:vAlign w:val="top"/>
          </w:tcPr>
          <w:p w14:paraId="2EF4087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941" w:type="pct"/>
            <w:noWrap w:val="0"/>
            <w:vAlign w:val="top"/>
          </w:tcPr>
          <w:p w14:paraId="2F4C19D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67FF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27B39C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010" w:type="pct"/>
            <w:noWrap w:val="0"/>
            <w:vAlign w:val="top"/>
          </w:tcPr>
          <w:p w14:paraId="48FDDC1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933" w:type="pct"/>
            <w:noWrap w:val="0"/>
            <w:vAlign w:val="top"/>
          </w:tcPr>
          <w:p w14:paraId="7EC5170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941" w:type="pct"/>
            <w:noWrap w:val="0"/>
            <w:vAlign w:val="top"/>
          </w:tcPr>
          <w:p w14:paraId="3162A34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25EF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7BADE0D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010" w:type="pct"/>
            <w:noWrap w:val="0"/>
            <w:vAlign w:val="top"/>
          </w:tcPr>
          <w:p w14:paraId="6436FEB7">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933" w:type="pct"/>
            <w:noWrap w:val="0"/>
            <w:vAlign w:val="top"/>
          </w:tcPr>
          <w:p w14:paraId="0A9C660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941" w:type="pct"/>
            <w:noWrap w:val="0"/>
            <w:vAlign w:val="top"/>
          </w:tcPr>
          <w:p w14:paraId="096A3C7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75CF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6C628A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010" w:type="pct"/>
            <w:noWrap w:val="0"/>
            <w:vAlign w:val="top"/>
          </w:tcPr>
          <w:p w14:paraId="2E4C0B9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933" w:type="pct"/>
            <w:noWrap w:val="0"/>
            <w:vAlign w:val="top"/>
          </w:tcPr>
          <w:p w14:paraId="37E439F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941" w:type="pct"/>
            <w:noWrap w:val="0"/>
            <w:vAlign w:val="top"/>
          </w:tcPr>
          <w:p w14:paraId="0E3FE0B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1131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77F99B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010" w:type="pct"/>
            <w:noWrap w:val="0"/>
            <w:vAlign w:val="top"/>
          </w:tcPr>
          <w:p w14:paraId="4ACA309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933" w:type="pct"/>
            <w:noWrap w:val="0"/>
            <w:vAlign w:val="top"/>
          </w:tcPr>
          <w:p w14:paraId="1406172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941" w:type="pct"/>
            <w:noWrap w:val="0"/>
            <w:vAlign w:val="top"/>
          </w:tcPr>
          <w:p w14:paraId="56E6CE7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0FF4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47D3B4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010" w:type="pct"/>
            <w:noWrap w:val="0"/>
            <w:vAlign w:val="top"/>
          </w:tcPr>
          <w:p w14:paraId="0551A61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933" w:type="pct"/>
            <w:noWrap w:val="0"/>
            <w:vAlign w:val="top"/>
          </w:tcPr>
          <w:p w14:paraId="26E07D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941" w:type="pct"/>
            <w:noWrap w:val="0"/>
            <w:vAlign w:val="top"/>
          </w:tcPr>
          <w:p w14:paraId="601CD18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21C6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44C152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010" w:type="pct"/>
            <w:noWrap w:val="0"/>
            <w:vAlign w:val="top"/>
          </w:tcPr>
          <w:p w14:paraId="7D3426D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933" w:type="pct"/>
            <w:noWrap w:val="0"/>
            <w:vAlign w:val="top"/>
          </w:tcPr>
          <w:p w14:paraId="36C6C5F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941" w:type="pct"/>
            <w:noWrap w:val="0"/>
            <w:vAlign w:val="top"/>
          </w:tcPr>
          <w:p w14:paraId="11323D3F">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F02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632DEC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010" w:type="pct"/>
            <w:noWrap w:val="0"/>
            <w:vAlign w:val="top"/>
          </w:tcPr>
          <w:p w14:paraId="1E33828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933" w:type="pct"/>
            <w:noWrap w:val="0"/>
            <w:vAlign w:val="top"/>
          </w:tcPr>
          <w:p w14:paraId="30B6A14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941" w:type="pct"/>
            <w:noWrap w:val="0"/>
            <w:vAlign w:val="top"/>
          </w:tcPr>
          <w:p w14:paraId="5BDD4EC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BBF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3B5D09A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010" w:type="pct"/>
            <w:noWrap w:val="0"/>
            <w:vAlign w:val="top"/>
          </w:tcPr>
          <w:p w14:paraId="03B038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933" w:type="pct"/>
            <w:noWrap w:val="0"/>
            <w:vAlign w:val="top"/>
          </w:tcPr>
          <w:p w14:paraId="72C3102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941" w:type="pct"/>
            <w:noWrap w:val="0"/>
            <w:vAlign w:val="top"/>
          </w:tcPr>
          <w:p w14:paraId="417D698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0D44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2114" w:type="pct"/>
            <w:noWrap w:val="0"/>
            <w:vAlign w:val="top"/>
          </w:tcPr>
          <w:p w14:paraId="1BC6E4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010" w:type="pct"/>
            <w:noWrap w:val="0"/>
            <w:vAlign w:val="top"/>
          </w:tcPr>
          <w:p w14:paraId="206E12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933" w:type="pct"/>
            <w:noWrap w:val="0"/>
            <w:vAlign w:val="top"/>
          </w:tcPr>
          <w:p w14:paraId="0C4E609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941" w:type="pct"/>
            <w:noWrap w:val="0"/>
            <w:vAlign w:val="top"/>
          </w:tcPr>
          <w:p w14:paraId="34965E4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CF02C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1A8768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0A039B9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46736262">
      <w:pPr>
        <w:spacing w:line="360" w:lineRule="auto"/>
        <w:ind w:firstLine="482" w:firstLineChars="200"/>
        <w:rPr>
          <w:rFonts w:hint="eastAsia" w:ascii="宋体" w:hAnsi="宋体" w:eastAsia="宋体" w:cs="宋体"/>
          <w:b/>
          <w:bCs/>
          <w:color w:val="auto"/>
          <w:sz w:val="24"/>
          <w:highlight w:val="none"/>
        </w:rPr>
      </w:pPr>
    </w:p>
    <w:p w14:paraId="0410CB4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5C7CAC4B">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34.1本谈判文件解释规则详见“供应商须知前附表”。</w:t>
      </w:r>
    </w:p>
    <w:p w14:paraId="2CCFC1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34.2 其他事</w:t>
      </w:r>
      <w:r>
        <w:rPr>
          <w:rFonts w:hint="eastAsia" w:ascii="宋体" w:hAnsi="宋体" w:eastAsia="宋体" w:cs="宋体"/>
          <w:color w:val="auto"/>
          <w:highlight w:val="none"/>
        </w:rPr>
        <w:t>项详见“供应商须知前附表”。</w:t>
      </w:r>
    </w:p>
    <w:p w14:paraId="0CE79B17">
      <w:pPr>
        <w:pStyle w:val="15"/>
        <w:spacing w:line="360" w:lineRule="auto"/>
        <w:ind w:firstLine="400" w:firstLineChars="200"/>
        <w:rPr>
          <w:rFonts w:hint="eastAsia" w:ascii="宋体" w:hAnsi="宋体" w:eastAsia="宋体" w:cs="宋体"/>
          <w:color w:val="auto"/>
          <w:sz w:val="21"/>
          <w:highlight w:val="none"/>
        </w:rPr>
      </w:pPr>
      <w:r>
        <w:rPr>
          <w:rFonts w:hint="eastAsia" w:ascii="宋体" w:hAnsi="宋体" w:eastAsia="宋体" w:cs="宋体"/>
          <w:color w:val="auto"/>
          <w:highlight w:val="none"/>
        </w:rPr>
        <w:t>34.3</w:t>
      </w:r>
      <w:bookmarkStart w:id="71" w:name="_Hlk65857140"/>
      <w:r>
        <w:rPr>
          <w:rFonts w:hint="eastAsia" w:ascii="宋体" w:hAnsi="宋体" w:eastAsia="宋体" w:cs="宋体"/>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eastAsia="宋体" w:cs="宋体"/>
          <w:color w:val="auto"/>
          <w:sz w:val="21"/>
          <w:highlight w:val="none"/>
          <w:lang w:val="en-US" w:eastAsia="zh-CN"/>
        </w:rPr>
        <w:t>货物或</w:t>
      </w:r>
      <w:r>
        <w:rPr>
          <w:rFonts w:hint="eastAsia" w:ascii="宋体" w:hAnsi="宋体" w:eastAsia="宋体" w:cs="宋体"/>
          <w:color w:val="auto"/>
          <w:sz w:val="21"/>
          <w:highlight w:val="none"/>
        </w:rPr>
        <w:t>服务符合下列情形的，享受本文件规定的中小企业扶持政策：</w:t>
      </w:r>
    </w:p>
    <w:p w14:paraId="37EEAB91">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在服务采购项目中，服务由中小企业承接，即提供服务的人员为中小企业依照《中华人民共和国劳动合同法》订立劳动合同的从业人员，不对其中涉及的</w:t>
      </w:r>
      <w:r>
        <w:rPr>
          <w:rFonts w:hint="eastAsia" w:hAnsi="宋体" w:eastAsia="宋体" w:cs="宋体"/>
          <w:color w:val="auto"/>
          <w:sz w:val="21"/>
          <w:highlight w:val="none"/>
          <w:lang w:val="en-US" w:eastAsia="zh-CN"/>
        </w:rPr>
        <w:t>货物</w:t>
      </w:r>
      <w:r>
        <w:rPr>
          <w:rFonts w:hint="eastAsia" w:ascii="宋体" w:hAnsi="宋体" w:eastAsia="宋体" w:cs="宋体"/>
          <w:color w:val="auto"/>
          <w:sz w:val="21"/>
          <w:highlight w:val="none"/>
        </w:rPr>
        <w:t>的制造商和工程承建商作出要求。</w:t>
      </w:r>
    </w:p>
    <w:p w14:paraId="49D156E2">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w:t>
      </w:r>
      <w:r>
        <w:rPr>
          <w:rFonts w:hint="eastAsia" w:hAnsi="宋体" w:eastAsia="宋体" w:cs="宋体"/>
          <w:color w:val="auto"/>
          <w:sz w:val="21"/>
          <w:highlight w:val="none"/>
          <w:lang w:val="en-US" w:eastAsia="zh-CN"/>
        </w:rPr>
        <w:t>货物</w:t>
      </w:r>
      <w:r>
        <w:rPr>
          <w:rFonts w:hint="eastAsia" w:ascii="宋体" w:hAnsi="宋体" w:eastAsia="宋体" w:cs="宋体"/>
          <w:color w:val="auto"/>
          <w:sz w:val="21"/>
          <w:highlight w:val="none"/>
        </w:rPr>
        <w:t>采购项目中，供应商提供的</w:t>
      </w:r>
      <w:r>
        <w:rPr>
          <w:rFonts w:hint="eastAsia" w:hAnsi="宋体" w:eastAsia="宋体" w:cs="宋体"/>
          <w:color w:val="auto"/>
          <w:sz w:val="21"/>
          <w:highlight w:val="none"/>
          <w:lang w:val="en-US" w:eastAsia="zh-CN"/>
        </w:rPr>
        <w:t>货物</w:t>
      </w:r>
      <w:r>
        <w:rPr>
          <w:rFonts w:hint="eastAsia" w:ascii="宋体" w:hAnsi="宋体" w:eastAsia="宋体" w:cs="宋体"/>
          <w:color w:val="auto"/>
          <w:sz w:val="21"/>
          <w:highlight w:val="none"/>
        </w:rPr>
        <w:t>既有中小企业制造</w:t>
      </w:r>
      <w:r>
        <w:rPr>
          <w:rFonts w:hint="eastAsia" w:hAnsi="宋体" w:eastAsia="宋体" w:cs="宋体"/>
          <w:color w:val="auto"/>
          <w:sz w:val="21"/>
          <w:highlight w:val="none"/>
          <w:lang w:val="en-US" w:eastAsia="zh-CN"/>
        </w:rPr>
        <w:t>货物</w:t>
      </w:r>
      <w:r>
        <w:rPr>
          <w:rFonts w:hint="eastAsia" w:ascii="宋体" w:hAnsi="宋体" w:eastAsia="宋体" w:cs="宋体"/>
          <w:color w:val="auto"/>
          <w:sz w:val="21"/>
          <w:highlight w:val="none"/>
        </w:rPr>
        <w:t>，也有大型企业制造</w:t>
      </w:r>
      <w:r>
        <w:rPr>
          <w:rFonts w:hint="eastAsia" w:hAnsi="宋体" w:eastAsia="宋体" w:cs="宋体"/>
          <w:color w:val="auto"/>
          <w:sz w:val="21"/>
          <w:highlight w:val="none"/>
          <w:lang w:val="en-US" w:eastAsia="zh-CN"/>
        </w:rPr>
        <w:t>货物</w:t>
      </w:r>
      <w:r>
        <w:rPr>
          <w:rFonts w:hint="eastAsia" w:ascii="宋体" w:hAnsi="宋体" w:eastAsia="宋体" w:cs="宋体"/>
          <w:color w:val="auto"/>
          <w:sz w:val="21"/>
          <w:highlight w:val="none"/>
        </w:rPr>
        <w:t>的，不享受本文件规定的中小企业扶持政策。以联合体形式参加政府采购活动，联合体各方均为中小企业的，联合体视同中小企业。其中，联合体各方均为小微企业的，联合体视同小微企业。</w:t>
      </w:r>
    </w:p>
    <w:p w14:paraId="6AEAF699">
      <w:pPr>
        <w:pStyle w:val="15"/>
        <w:spacing w:line="360" w:lineRule="auto"/>
        <w:ind w:firstLine="420" w:firstLineChars="200"/>
        <w:textAlignment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依据本文件规定享受扶持政策获得政府采购合同的，小微企业不得将合同分包给大中型企业，中型企业不得将合同分包给大型企业。</w:t>
      </w:r>
      <w:bookmarkEnd w:id="71"/>
    </w:p>
    <w:p w14:paraId="6A4C20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678D33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166F9BBC">
      <w:pPr>
        <w:numPr>
          <w:ilvl w:val="0"/>
          <w:numId w:val="3"/>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线上渠道：在“南宁市公共资源交易中心”官网（网址：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color w:val="auto"/>
          <w:highlight w:val="none"/>
        </w:rPr>
        <w:fldChar w:fldCharType="separate"/>
      </w:r>
      <w:r>
        <w:rPr>
          <w:rStyle w:val="31"/>
          <w:rFonts w:hint="eastAsia" w:ascii="宋体" w:hAnsi="宋体" w:eastAsia="宋体" w:cs="宋体"/>
          <w:color w:val="auto"/>
          <w:highlight w:val="none"/>
        </w:rPr>
        <w:t>http://www.nnggzy.org.cn）“交易信息-政府采购-政府采购信用融资”中融资银行和南宁市企业融资服务中心专栏信息申请政府采购信用融资。</w:t>
      </w:r>
      <w:r>
        <w:rPr>
          <w:rFonts w:hint="eastAsia" w:ascii="宋体" w:hAnsi="宋体" w:eastAsia="宋体" w:cs="宋体"/>
          <w:color w:val="auto"/>
          <w:highlight w:val="none"/>
        </w:rPr>
        <w:fldChar w:fldCharType="end"/>
      </w:r>
    </w:p>
    <w:p w14:paraId="41C42A7F">
      <w:pPr>
        <w:numPr>
          <w:ilvl w:val="0"/>
          <w:numId w:val="3"/>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宋体"/>
          <w:color w:val="auto"/>
          <w:highlight w:val="none"/>
        </w:rPr>
        <w:br w:type="page"/>
      </w:r>
    </w:p>
    <w:p w14:paraId="6DF092F4">
      <w:pPr>
        <w:pStyle w:val="2"/>
        <w:jc w:val="center"/>
        <w:rPr>
          <w:rFonts w:hint="eastAsia" w:ascii="宋体" w:hAnsi="宋体" w:eastAsia="宋体" w:cs="宋体"/>
          <w:color w:val="auto"/>
          <w:highlight w:val="none"/>
        </w:rPr>
      </w:pPr>
      <w:bookmarkStart w:id="72" w:name="_Toc31633"/>
      <w:bookmarkStart w:id="73" w:name="_Toc12280"/>
      <w:r>
        <w:rPr>
          <w:rFonts w:hint="eastAsia" w:ascii="宋体" w:hAnsi="宋体" w:eastAsia="宋体" w:cs="宋体"/>
          <w:color w:val="auto"/>
          <w:highlight w:val="none"/>
        </w:rPr>
        <w:t>第四章 评审程序、评审方法和成交标准</w:t>
      </w:r>
      <w:bookmarkEnd w:id="72"/>
      <w:bookmarkEnd w:id="73"/>
    </w:p>
    <w:p w14:paraId="2C121484">
      <w:pPr>
        <w:pStyle w:val="3"/>
        <w:spacing w:before="0" w:after="0" w:line="360" w:lineRule="auto"/>
        <w:ind w:firstLine="640" w:firstLineChars="200"/>
        <w:jc w:val="center"/>
        <w:rPr>
          <w:rFonts w:hint="eastAsia" w:ascii="宋体" w:hAnsi="宋体" w:eastAsia="宋体" w:cs="宋体"/>
          <w:b w:val="0"/>
          <w:color w:val="auto"/>
          <w:highlight w:val="none"/>
        </w:rPr>
      </w:pPr>
      <w:bookmarkStart w:id="74" w:name="_Toc26888"/>
      <w:bookmarkStart w:id="75" w:name="_Toc16436"/>
      <w:bookmarkStart w:id="76" w:name="_Toc9772"/>
      <w:r>
        <w:rPr>
          <w:rFonts w:hint="eastAsia" w:ascii="宋体" w:hAnsi="宋体" w:eastAsia="宋体" w:cs="宋体"/>
          <w:b w:val="0"/>
          <w:color w:val="auto"/>
          <w:highlight w:val="none"/>
        </w:rPr>
        <w:t>第一节 评审程序和评审方法</w:t>
      </w:r>
      <w:bookmarkEnd w:id="74"/>
      <w:bookmarkEnd w:id="75"/>
      <w:bookmarkEnd w:id="76"/>
    </w:p>
    <w:p w14:paraId="6321C83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1.确认谈判文件</w:t>
      </w:r>
    </w:p>
    <w:p w14:paraId="01F0F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14:paraId="6C9833D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0BE5521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14:paraId="7AB77E1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3939687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1"/>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1"/>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3C19027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BB4547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73429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5984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7E8515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4843A83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297252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15DFE5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97E124C">
      <w:pPr>
        <w:spacing w:line="360" w:lineRule="auto"/>
        <w:ind w:firstLine="420" w:firstLineChars="200"/>
        <w:rPr>
          <w:rFonts w:hint="eastAsia" w:ascii="宋体" w:hAnsi="宋体" w:eastAsia="宋体" w:cs="宋体"/>
          <w:color w:val="auto"/>
          <w:szCs w:val="21"/>
          <w:highlight w:val="none"/>
        </w:rPr>
      </w:pPr>
      <w:bookmarkStart w:id="77"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7"/>
    </w:p>
    <w:p w14:paraId="141FE1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5CE6A47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7D4CABA5">
      <w:pPr>
        <w:spacing w:line="360" w:lineRule="auto"/>
        <w:ind w:firstLine="420" w:firstLineChars="200"/>
        <w:rPr>
          <w:rFonts w:hint="eastAsia" w:ascii="宋体" w:hAnsi="宋体" w:eastAsia="宋体" w:cs="宋体"/>
          <w:color w:val="auto"/>
          <w:szCs w:val="21"/>
          <w:highlight w:val="none"/>
        </w:rPr>
      </w:pPr>
      <w:bookmarkStart w:id="78"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78"/>
    <w:p w14:paraId="34FED8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9163AA">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1525B82D">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23080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7B28EA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102104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5A1607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C75F5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3E46C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14064F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3A4F8E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27749F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14:paraId="67ED0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057FA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0D6FB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3D8A4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14:paraId="5A0E63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14:paraId="6CD311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14:paraId="595ECB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41B362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82A90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424A8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14:paraId="65C805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14:paraId="49D222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14:paraId="1717AD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14:paraId="51F9ED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15）法律、法规和谈判文件规定的其他无效情形。</w:t>
      </w:r>
    </w:p>
    <w:p w14:paraId="32BB0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8B4A2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688D8B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14:paraId="23A36B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highlight w:val="none"/>
          <w:lang w:val="en-US" w:eastAsia="zh-CN"/>
        </w:rPr>
        <w:t>项目</w:t>
      </w:r>
      <w:r>
        <w:rPr>
          <w:rFonts w:hint="eastAsia" w:ascii="宋体" w:hAnsi="宋体" w:eastAsia="宋体" w:cs="宋体"/>
          <w:color w:val="auto"/>
          <w:szCs w:val="21"/>
          <w:highlight w:val="none"/>
        </w:rPr>
        <w:t>进行报价或者存在漏项报价；供应商未就所竞标分标的单项内容作唯一报价；供应商未就所竞标</w:t>
      </w:r>
      <w:r>
        <w:rPr>
          <w:rFonts w:hint="eastAsia" w:ascii="宋体" w:hAnsi="宋体" w:eastAsia="宋体" w:cs="宋体"/>
          <w:color w:val="auto"/>
          <w:highlight w:val="none"/>
          <w:lang w:val="en-US" w:eastAsia="zh-CN"/>
        </w:rPr>
        <w:t>项目</w:t>
      </w:r>
      <w:r>
        <w:rPr>
          <w:rFonts w:hint="eastAsia" w:ascii="宋体" w:hAnsi="宋体" w:eastAsia="宋体" w:cs="宋体"/>
          <w:color w:val="auto"/>
          <w:szCs w:val="21"/>
          <w:highlight w:val="none"/>
        </w:rPr>
        <w:t>的全部内容作唯一总价报价；供应商响应文件中存在有选择、有条件报价的（谈判文件允许有备选方案或者其他约定的除外）；</w:t>
      </w:r>
    </w:p>
    <w:p w14:paraId="2B288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highlight w:val="none"/>
          <w:lang w:val="en-US" w:eastAsia="zh-CN"/>
        </w:rPr>
        <w:t>项目</w:t>
      </w:r>
      <w:r>
        <w:rPr>
          <w:rFonts w:hint="eastAsia" w:ascii="宋体" w:hAnsi="宋体" w:eastAsia="宋体" w:cs="宋体"/>
          <w:color w:val="auto"/>
          <w:szCs w:val="21"/>
          <w:highlight w:val="none"/>
        </w:rPr>
        <w:t>规定的采购预算金额或者最高限价的（如本项目公布了最高限价）；</w:t>
      </w:r>
      <w:bookmarkStart w:id="79" w:name="_Hlk42596405"/>
      <w:r>
        <w:rPr>
          <w:rFonts w:hint="eastAsia" w:ascii="宋体" w:hAnsi="宋体" w:eastAsia="宋体" w:cs="宋体"/>
          <w:color w:val="auto"/>
          <w:szCs w:val="21"/>
          <w:highlight w:val="none"/>
        </w:rPr>
        <w:t>响应报价（包含首次报价、最后报价）</w:t>
      </w:r>
      <w:bookmarkEnd w:id="79"/>
      <w:bookmarkStart w:id="80" w:name="_Hlk42596276"/>
      <w:r>
        <w:rPr>
          <w:rFonts w:hint="eastAsia" w:ascii="宋体" w:hAnsi="宋体" w:eastAsia="宋体" w:cs="宋体"/>
          <w:color w:val="auto"/>
          <w:szCs w:val="21"/>
          <w:highlight w:val="none"/>
        </w:rPr>
        <w:t>超过谈判文件分项采购预算金额或者最高限价的</w:t>
      </w:r>
      <w:bookmarkEnd w:id="80"/>
      <w:r>
        <w:rPr>
          <w:rFonts w:hint="eastAsia" w:ascii="宋体" w:hAnsi="宋体" w:eastAsia="宋体" w:cs="宋体"/>
          <w:color w:val="auto"/>
          <w:szCs w:val="21"/>
          <w:highlight w:val="none"/>
        </w:rPr>
        <w:t>（如本项目公布了最高限价）；</w:t>
      </w:r>
    </w:p>
    <w:p w14:paraId="4A63AE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highlight w:val="none"/>
          <w:lang w:val="en-US" w:eastAsia="zh-CN"/>
        </w:rPr>
        <w:t>项目</w:t>
      </w:r>
      <w:r>
        <w:rPr>
          <w:rFonts w:hint="eastAsia" w:ascii="宋体" w:hAnsi="宋体" w:eastAsia="宋体" w:cs="宋体"/>
          <w:color w:val="auto"/>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14:paraId="7B8394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14:paraId="3FF39C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43579E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14:paraId="6A4C7C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4.谈判程序</w:t>
      </w:r>
    </w:p>
    <w:p w14:paraId="7B62CC8E">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其响应文件按无效响应处理。</w:t>
      </w:r>
    </w:p>
    <w:p w14:paraId="715ED6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3ECE0D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14:paraId="5FBC44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电子公章。供应商为自然人的，必须由本人签字并附身份证明。参加谈判的供应商未在规定时间内重新提交响应文件的，视同退出谈判。</w:t>
      </w:r>
    </w:p>
    <w:p w14:paraId="5D3D5D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14:paraId="709EFCA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4.6谈判小组应对谈判过程和重要谈判内容进行记录，作为评标报告一部分，谈判小组在记录上签字确认。</w:t>
      </w:r>
      <w:r>
        <w:rPr>
          <w:rFonts w:hint="eastAsia" w:ascii="宋体" w:hAnsi="宋体" w:eastAsia="宋体" w:cs="宋体"/>
          <w:b/>
          <w:color w:val="auto"/>
          <w:highlight w:val="none"/>
        </w:rPr>
        <w:t>主要内容包括：</w:t>
      </w:r>
    </w:p>
    <w:p w14:paraId="2D78C19E">
      <w:pPr>
        <w:pStyle w:val="39"/>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78568E4E">
      <w:pPr>
        <w:pStyle w:val="39"/>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（2）谈判日期和地点，谈判人员名单；</w:t>
      </w:r>
    </w:p>
    <w:p w14:paraId="3516F72F">
      <w:pPr>
        <w:pStyle w:val="39"/>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1F82AF1E">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14:paraId="0971AC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4AF434FF">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21E7B7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5.1谈判文件能够详细列明采购标的的技术、服务要求的，谈判结束后，由谈判小组要求所有继续参加谈判的供应商在规定时间内密封提交最后报价，提交最后报价的供应商不得少于3家，否则必须重新采购。</w:t>
      </w:r>
    </w:p>
    <w:p w14:paraId="07DDA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服务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远程不见面开标大厅响应最后报价。</w:t>
      </w:r>
    </w:p>
    <w:p w14:paraId="5EA139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14:paraId="137D2E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5.4已经提交响应文件的供应商，在提交最后报价之前，可以根据谈判情况退出谈判，退出谈判的供应商的响应文件按无效响应处理。</w:t>
      </w:r>
    </w:p>
    <w:p w14:paraId="7BC219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14:paraId="39E307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14:paraId="056B33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5.7修正后的最终报价出现下列情形的，按无效响应处理：</w:t>
      </w:r>
    </w:p>
    <w:p w14:paraId="566201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7FA5C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highlight w:val="none"/>
          <w:lang w:val="en-US" w:eastAsia="zh-CN"/>
        </w:rPr>
        <w:t>项目</w:t>
      </w:r>
      <w:r>
        <w:rPr>
          <w:rFonts w:hint="eastAsia" w:ascii="宋体" w:hAnsi="宋体" w:eastAsia="宋体" w:cs="宋体"/>
          <w:color w:val="auto"/>
          <w:szCs w:val="21"/>
          <w:highlight w:val="none"/>
        </w:rPr>
        <w:t>规定的采购预算金额或者最高限价的（如本项目公布了最高限价）（全流程电子化评标多轮报价设置了上线控制价，即预算价）；</w:t>
      </w:r>
    </w:p>
    <w:p w14:paraId="268F3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26F6D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14:paraId="531DD5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5.9供应商出现最后报价按无效响应处理或者响应文件按无效处理时</w:t>
      </w:r>
      <w:r>
        <w:rPr>
          <w:rFonts w:hint="eastAsia" w:ascii="宋体" w:hAnsi="宋体" w:eastAsia="宋体" w:cs="宋体"/>
          <w:color w:val="auto"/>
          <w:sz w:val="22"/>
          <w:szCs w:val="22"/>
          <w:highlight w:val="none"/>
        </w:rPr>
        <w:t>，谈判小组应当告知有关供应商</w:t>
      </w:r>
      <w:r>
        <w:rPr>
          <w:rFonts w:hint="eastAsia" w:ascii="宋体" w:hAnsi="宋体" w:eastAsia="宋体" w:cs="宋体"/>
          <w:color w:val="auto"/>
          <w:szCs w:val="21"/>
          <w:highlight w:val="none"/>
        </w:rPr>
        <w:t>。</w:t>
      </w:r>
    </w:p>
    <w:p w14:paraId="4E4868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14:paraId="68071C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 最后报价政府采购政策性扣除</w:t>
      </w:r>
    </w:p>
    <w:p w14:paraId="324DD0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370D87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6.2</w:t>
      </w:r>
      <w:r>
        <w:rPr>
          <w:rFonts w:hint="eastAsia" w:ascii="宋体" w:hAnsi="宋体" w:eastAsia="宋体" w:cs="宋体"/>
          <w:color w:val="auto"/>
          <w:highlight w:val="none"/>
        </w:rPr>
        <w:t>政策性扣除计算方法。</w:t>
      </w:r>
    </w:p>
    <w:p w14:paraId="38211B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根据《政府采购促进中小企业发展管理办法》（财库〔2020〕46号）及《关于进一步加大政府采购支持中小企业力度的通知》（财库〔2022〕19号）的规定，供应商在其响应文件中提供《中小企业声明函》，</w:t>
      </w:r>
      <w:r>
        <w:rPr>
          <w:rFonts w:hint="eastAsia" w:ascii="宋体" w:hAnsi="宋体" w:eastAsia="宋体" w:cs="宋体"/>
          <w:bCs/>
          <w:color w:val="auto"/>
          <w:szCs w:val="21"/>
          <w:highlight w:val="none"/>
        </w:rPr>
        <w:t>且其竞标全部货物均由小微企业提供的</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对供应商的竞标报价给予</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rPr>
        <w:t>的扣除，扣除后的价格为评审价，即评审价=竞标报价×（</w:t>
      </w: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rPr>
        <w:t>的扣除，用扣除后的价格参加评审，扣除后的价格为评审价，即评审价=竞标报价×（</w:t>
      </w: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rPr>
        <w:t>）。</w:t>
      </w:r>
    </w:p>
    <w:p w14:paraId="51D868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w:t>
      </w:r>
      <w:r>
        <w:rPr>
          <w:rFonts w:hint="eastAsia" w:ascii="宋体" w:hAnsi="宋体" w:eastAsia="宋体" w:cs="宋体"/>
          <w:color w:val="auto"/>
          <w:highlight w:val="none"/>
        </w:rPr>
        <w:t>属于小型、微型企业的，不重复享受政策。</w:t>
      </w:r>
    </w:p>
    <w:p w14:paraId="0CE7CC59">
      <w:pPr>
        <w:spacing w:line="360" w:lineRule="auto"/>
        <w:ind w:firstLine="404" w:firstLineChars="200"/>
        <w:rPr>
          <w:rFonts w:hint="eastAsia" w:ascii="宋体" w:hAnsi="宋体" w:eastAsia="宋体" w:cs="宋体"/>
          <w:color w:val="auto"/>
          <w:spacing w:val="-4"/>
          <w:highlight w:val="none"/>
        </w:rPr>
      </w:pPr>
      <w:r>
        <w:rPr>
          <w:rFonts w:hint="eastAsia" w:ascii="宋体" w:hAnsi="宋体" w:eastAsia="宋体" w:cs="宋体"/>
          <w:color w:val="auto"/>
          <w:spacing w:val="-4"/>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spacing w:val="-4"/>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BD01D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6.5除上述情况外，评审价＝最后报价</w:t>
      </w:r>
      <w:r>
        <w:rPr>
          <w:rFonts w:hint="eastAsia" w:ascii="宋体" w:hAnsi="宋体" w:eastAsia="宋体" w:cs="宋体"/>
          <w:color w:val="auto"/>
          <w:szCs w:val="21"/>
          <w:highlight w:val="none"/>
        </w:rPr>
        <w:t>。</w:t>
      </w:r>
    </w:p>
    <w:p w14:paraId="1572C05D">
      <w:pPr>
        <w:spacing w:line="360" w:lineRule="auto"/>
        <w:ind w:firstLine="436" w:firstLineChars="18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7.评审复核</w:t>
      </w:r>
    </w:p>
    <w:p w14:paraId="6AF9F6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7.1评审报告签署前，评审委员会要对评审结果进行复核，复核意见要体现在评审报告中。</w:t>
      </w:r>
    </w:p>
    <w:p w14:paraId="063F40CE">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7.2除资格性审查认定错误和价格计算错误外，采购人或者采购代理机构以任何理由组织重新评审。</w:t>
      </w:r>
    </w:p>
    <w:p w14:paraId="7AB20680">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26374"/>
      <w:bookmarkStart w:id="82" w:name="_Toc20691"/>
      <w:bookmarkStart w:id="83" w:name="_Toc27925"/>
      <w:r>
        <w:rPr>
          <w:rFonts w:hint="eastAsia" w:ascii="宋体" w:hAnsi="宋体" w:eastAsia="宋体" w:cs="宋体"/>
          <w:b w:val="0"/>
          <w:color w:val="auto"/>
          <w:highlight w:val="none"/>
        </w:rPr>
        <w:t>第二节 评审原则</w:t>
      </w:r>
      <w:bookmarkEnd w:id="81"/>
      <w:bookmarkEnd w:id="82"/>
      <w:bookmarkEnd w:id="83"/>
    </w:p>
    <w:p w14:paraId="785C5E60">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1.评审原则</w:t>
      </w:r>
    </w:p>
    <w:p w14:paraId="2C737BA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3355FA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19FC911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2.终止竞争性谈判采购活动</w:t>
      </w:r>
    </w:p>
    <w:p w14:paraId="158DE73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出现下列情形之一的，采购人或者采购代理机构应当终止竞争性谈判采购活动，发布项目终止公告并说明原因，重新开展采购活动：</w:t>
      </w:r>
    </w:p>
    <w:p w14:paraId="28603D4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（1）因情况变化，不再符合规定的竞争性谈判采购方式适用情形的； </w:t>
      </w:r>
    </w:p>
    <w:p w14:paraId="53C2B6F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42141B6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（3）在采购过程中符合竞争要求的供应商或者报价未超过采购预算的供应商不足3家的，但《政府采购非招标采购方式管理办法》第二十七条第二款规定的情形除外。</w:t>
      </w:r>
    </w:p>
    <w:p w14:paraId="79F78FD2">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17088"/>
      <w:bookmarkStart w:id="85" w:name="_Toc4384"/>
      <w:bookmarkStart w:id="86" w:name="_Toc12619"/>
      <w:r>
        <w:rPr>
          <w:rFonts w:hint="eastAsia" w:ascii="宋体" w:hAnsi="宋体" w:eastAsia="宋体" w:cs="宋体"/>
          <w:b w:val="0"/>
          <w:color w:val="auto"/>
          <w:highlight w:val="none"/>
        </w:rPr>
        <w:t>第三节 评标报告</w:t>
      </w:r>
      <w:bookmarkEnd w:id="84"/>
      <w:bookmarkEnd w:id="85"/>
      <w:bookmarkEnd w:id="86"/>
    </w:p>
    <w:p w14:paraId="6E82E57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3917AD3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7D599E8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4A7E794C">
      <w:pPr>
        <w:pStyle w:val="39"/>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谈判小组成员对需要共同认定的事项存在争议的，应当按照少数服从多数的原则作出结论。持不同意见的谈判小组成员应当在评标报告上签署不同意见及理由，否则视为同意评标报告。</w:t>
      </w:r>
    </w:p>
    <w:p w14:paraId="124D8F45">
      <w:pPr>
        <w:pStyle w:val="3"/>
        <w:spacing w:before="0" w:after="0" w:line="360" w:lineRule="auto"/>
        <w:ind w:firstLine="640" w:firstLineChars="200"/>
        <w:jc w:val="center"/>
        <w:rPr>
          <w:rFonts w:hint="eastAsia" w:ascii="宋体" w:hAnsi="宋体" w:eastAsia="宋体" w:cs="宋体"/>
          <w:b w:val="0"/>
          <w:color w:val="auto"/>
          <w:highlight w:val="none"/>
        </w:rPr>
      </w:pPr>
      <w:bookmarkStart w:id="87" w:name="_Toc1647"/>
      <w:bookmarkStart w:id="88" w:name="_Toc1734"/>
      <w:bookmarkStart w:id="89" w:name="_Toc29215"/>
      <w:r>
        <w:rPr>
          <w:rFonts w:hint="eastAsia" w:ascii="宋体" w:hAnsi="宋体" w:eastAsia="宋体" w:cs="宋体"/>
          <w:b w:val="0"/>
          <w:color w:val="auto"/>
          <w:highlight w:val="none"/>
        </w:rPr>
        <w:t>第四节 评审过程的保密与录像</w:t>
      </w:r>
      <w:bookmarkEnd w:id="87"/>
      <w:bookmarkEnd w:id="88"/>
      <w:bookmarkEnd w:id="89"/>
    </w:p>
    <w:p w14:paraId="18F1A7C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0FA8469">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highlight w:val="none"/>
          <w:lang w:eastAsia="zh-CN"/>
        </w:rPr>
        <w:t>谈判小组</w:t>
      </w:r>
      <w:r>
        <w:rPr>
          <w:rFonts w:hint="eastAsia" w:ascii="宋体" w:hAnsi="宋体" w:eastAsia="宋体" w:cs="宋体"/>
          <w:color w:val="auto"/>
          <w:highlight w:val="none"/>
        </w:rPr>
        <w:t>成员、采购人和采购机构工作人员、相关监督人员等与评审有关的人员应当予以保密。</w:t>
      </w:r>
    </w:p>
    <w:p w14:paraId="79EF7B1B">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6F0791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r>
        <w:rPr>
          <w:rFonts w:hint="eastAsia" w:ascii="宋体" w:hAnsi="宋体" w:eastAsia="宋体" w:cs="宋体"/>
          <w:color w:val="auto"/>
          <w:highlight w:val="none"/>
        </w:rPr>
        <w:br w:type="page"/>
      </w:r>
    </w:p>
    <w:p w14:paraId="4EF269C8">
      <w:pPr>
        <w:jc w:val="center"/>
        <w:rPr>
          <w:rFonts w:hint="eastAsia" w:ascii="宋体" w:hAnsi="宋体" w:eastAsia="宋体" w:cs="宋体"/>
          <w:color w:val="auto"/>
          <w:highlight w:val="none"/>
        </w:rPr>
      </w:pPr>
    </w:p>
    <w:p w14:paraId="774A3E46">
      <w:pPr>
        <w:jc w:val="center"/>
        <w:rPr>
          <w:rFonts w:hint="eastAsia" w:ascii="宋体" w:hAnsi="宋体" w:eastAsia="宋体" w:cs="宋体"/>
          <w:color w:val="auto"/>
          <w:highlight w:val="none"/>
        </w:rPr>
      </w:pPr>
    </w:p>
    <w:p w14:paraId="3E31A7FA">
      <w:pPr>
        <w:jc w:val="center"/>
        <w:rPr>
          <w:rFonts w:hint="eastAsia" w:ascii="宋体" w:hAnsi="宋体" w:eastAsia="宋体" w:cs="宋体"/>
          <w:color w:val="auto"/>
          <w:highlight w:val="none"/>
        </w:rPr>
      </w:pPr>
    </w:p>
    <w:p w14:paraId="7BD8B9CF">
      <w:pPr>
        <w:jc w:val="center"/>
        <w:rPr>
          <w:rFonts w:hint="eastAsia" w:ascii="宋体" w:hAnsi="宋体" w:eastAsia="宋体" w:cs="宋体"/>
          <w:color w:val="auto"/>
          <w:highlight w:val="none"/>
        </w:rPr>
      </w:pPr>
    </w:p>
    <w:p w14:paraId="343A439C">
      <w:pPr>
        <w:jc w:val="center"/>
        <w:rPr>
          <w:rFonts w:hint="eastAsia" w:ascii="宋体" w:hAnsi="宋体" w:eastAsia="宋体" w:cs="宋体"/>
          <w:color w:val="auto"/>
          <w:highlight w:val="none"/>
        </w:rPr>
      </w:pPr>
    </w:p>
    <w:p w14:paraId="5D215EE9">
      <w:pPr>
        <w:pStyle w:val="2"/>
        <w:jc w:val="center"/>
        <w:rPr>
          <w:rFonts w:hint="eastAsia" w:ascii="宋体" w:hAnsi="宋体" w:eastAsia="宋体" w:cs="宋体"/>
          <w:color w:val="auto"/>
          <w:highlight w:val="none"/>
        </w:rPr>
      </w:pPr>
      <w:bookmarkStart w:id="90" w:name="_Toc7128"/>
      <w:bookmarkStart w:id="91" w:name="_Toc7633"/>
      <w:r>
        <w:rPr>
          <w:rFonts w:hint="eastAsia" w:ascii="宋体" w:hAnsi="宋体" w:eastAsia="宋体" w:cs="宋体"/>
          <w:color w:val="auto"/>
          <w:highlight w:val="none"/>
        </w:rPr>
        <w:t>第五章 响应文件格式</w:t>
      </w:r>
      <w:r>
        <w:rPr>
          <w:rFonts w:hint="eastAsia" w:ascii="宋体" w:hAnsi="宋体" w:eastAsia="宋体" w:cs="宋体"/>
          <w:color w:val="auto"/>
          <w:highlight w:val="none"/>
        </w:rPr>
        <w:br w:type="page"/>
      </w:r>
      <w:bookmarkEnd w:id="90"/>
      <w:bookmarkEnd w:id="91"/>
    </w:p>
    <w:p w14:paraId="4A2D0A34">
      <w:pPr>
        <w:pStyle w:val="3"/>
        <w:jc w:val="center"/>
        <w:rPr>
          <w:rFonts w:hint="eastAsia" w:ascii="宋体" w:hAnsi="宋体" w:eastAsia="宋体" w:cs="宋体"/>
          <w:b w:val="0"/>
          <w:color w:val="auto"/>
          <w:highlight w:val="none"/>
        </w:rPr>
      </w:pPr>
      <w:bookmarkStart w:id="92" w:name="_Toc19220"/>
      <w:bookmarkStart w:id="93" w:name="_Toc19245"/>
      <w:bookmarkStart w:id="94" w:name="_Toc22733"/>
      <w:r>
        <w:rPr>
          <w:rFonts w:hint="eastAsia" w:ascii="宋体" w:hAnsi="宋体" w:eastAsia="宋体" w:cs="宋体"/>
          <w:b w:val="0"/>
          <w:color w:val="auto"/>
          <w:highlight w:val="none"/>
        </w:rPr>
        <w:t>第一节 封面格式</w:t>
      </w:r>
      <w:bookmarkEnd w:id="92"/>
      <w:bookmarkEnd w:id="93"/>
      <w:bookmarkEnd w:id="94"/>
    </w:p>
    <w:p w14:paraId="486CD868">
      <w:pPr>
        <w:snapToGrid w:val="0"/>
        <w:spacing w:before="120" w:beforeLines="50" w:after="50"/>
        <w:rPr>
          <w:rFonts w:hint="eastAsia" w:ascii="宋体" w:hAnsi="宋体" w:eastAsia="宋体" w:cs="宋体"/>
          <w:color w:val="auto"/>
          <w:sz w:val="24"/>
          <w:szCs w:val="20"/>
          <w:highlight w:val="none"/>
        </w:rPr>
      </w:pPr>
    </w:p>
    <w:p w14:paraId="77560FC8">
      <w:pPr>
        <w:snapToGrid w:val="0"/>
        <w:spacing w:before="120" w:beforeLines="50" w:after="50"/>
        <w:jc w:val="center"/>
        <w:rPr>
          <w:rFonts w:hint="eastAsia" w:ascii="宋体" w:hAnsi="宋体" w:eastAsia="宋体" w:cs="宋体"/>
          <w:bCs/>
          <w:color w:val="auto"/>
          <w:sz w:val="24"/>
          <w:szCs w:val="20"/>
          <w:highlight w:val="none"/>
        </w:rPr>
      </w:pPr>
    </w:p>
    <w:p w14:paraId="5DF748E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2992037B">
      <w:pPr>
        <w:snapToGrid w:val="0"/>
        <w:spacing w:before="120" w:beforeLines="50" w:after="50"/>
        <w:rPr>
          <w:rFonts w:hint="eastAsia" w:ascii="宋体" w:hAnsi="宋体" w:eastAsia="宋体" w:cs="宋体"/>
          <w:bCs/>
          <w:color w:val="auto"/>
          <w:sz w:val="24"/>
          <w:szCs w:val="20"/>
          <w:highlight w:val="none"/>
        </w:rPr>
      </w:pPr>
    </w:p>
    <w:p w14:paraId="745D2219">
      <w:pPr>
        <w:snapToGrid w:val="0"/>
        <w:spacing w:before="120" w:beforeLines="50" w:after="50"/>
        <w:rPr>
          <w:rFonts w:hint="eastAsia" w:ascii="宋体" w:hAnsi="宋体" w:eastAsia="宋体" w:cs="宋体"/>
          <w:bCs/>
          <w:color w:val="auto"/>
          <w:sz w:val="24"/>
          <w:szCs w:val="20"/>
          <w:highlight w:val="none"/>
        </w:rPr>
      </w:pPr>
    </w:p>
    <w:p w14:paraId="7EDBEBD2">
      <w:pPr>
        <w:snapToGrid w:val="0"/>
        <w:spacing w:before="120" w:beforeLines="50" w:after="50"/>
        <w:rPr>
          <w:rFonts w:hint="eastAsia" w:ascii="宋体" w:hAnsi="宋体" w:eastAsia="宋体" w:cs="宋体"/>
          <w:bCs/>
          <w:color w:val="auto"/>
          <w:sz w:val="32"/>
          <w:szCs w:val="32"/>
          <w:highlight w:val="none"/>
        </w:rPr>
      </w:pPr>
    </w:p>
    <w:p w14:paraId="1A46B284">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南宁职业技术大学行人通道改造设备项目（重）</w:t>
      </w:r>
    </w:p>
    <w:p w14:paraId="17B727BA">
      <w:pPr>
        <w:snapToGrid w:val="0"/>
        <w:spacing w:before="120" w:beforeLines="50" w:after="50"/>
        <w:ind w:firstLine="480" w:firstLineChars="150"/>
        <w:rPr>
          <w:rFonts w:hint="eastAsia" w:ascii="宋体" w:hAnsi="宋体" w:eastAsia="宋体" w:cs="宋体"/>
          <w:bCs/>
          <w:color w:val="auto"/>
          <w:sz w:val="32"/>
          <w:szCs w:val="32"/>
          <w:highlight w:val="none"/>
        </w:rPr>
      </w:pPr>
    </w:p>
    <w:p w14:paraId="5962BBD9">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eastAsia="zh-CN"/>
        </w:rPr>
        <w:t>NNZC2025-J1-990717-JDZB</w:t>
      </w:r>
    </w:p>
    <w:p w14:paraId="64B73AC2">
      <w:pPr>
        <w:snapToGrid w:val="0"/>
        <w:spacing w:before="120" w:beforeLines="50" w:after="50"/>
        <w:ind w:firstLine="480" w:firstLineChars="150"/>
        <w:rPr>
          <w:rFonts w:hint="eastAsia" w:ascii="宋体" w:hAnsi="宋体" w:eastAsia="宋体" w:cs="宋体"/>
          <w:bCs/>
          <w:color w:val="auto"/>
          <w:sz w:val="32"/>
          <w:szCs w:val="32"/>
          <w:highlight w:val="none"/>
        </w:rPr>
      </w:pPr>
    </w:p>
    <w:p w14:paraId="6B1E3A9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E3DABE8">
      <w:pPr>
        <w:snapToGrid w:val="0"/>
        <w:spacing w:before="120" w:beforeLines="50" w:after="50"/>
        <w:rPr>
          <w:rFonts w:hint="eastAsia" w:ascii="宋体" w:hAnsi="宋体" w:eastAsia="宋体" w:cs="宋体"/>
          <w:bCs/>
          <w:color w:val="auto"/>
          <w:sz w:val="32"/>
          <w:szCs w:val="32"/>
          <w:highlight w:val="none"/>
        </w:rPr>
      </w:pPr>
    </w:p>
    <w:p w14:paraId="2A87690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03E1345">
      <w:pPr>
        <w:snapToGrid w:val="0"/>
        <w:spacing w:before="120" w:beforeLines="50" w:after="50"/>
        <w:rPr>
          <w:rFonts w:hint="eastAsia" w:ascii="宋体" w:hAnsi="宋体" w:eastAsia="宋体" w:cs="宋体"/>
          <w:bCs/>
          <w:color w:val="auto"/>
          <w:sz w:val="32"/>
          <w:szCs w:val="32"/>
          <w:highlight w:val="none"/>
        </w:rPr>
      </w:pPr>
    </w:p>
    <w:p w14:paraId="4423974C">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6EF0C8D1">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44DBE9F">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358D0A25">
      <w:pPr>
        <w:spacing w:line="240" w:lineRule="atLeast"/>
        <w:rPr>
          <w:rFonts w:hint="eastAsia" w:ascii="宋体" w:hAnsi="宋体" w:eastAsia="宋体" w:cs="宋体"/>
          <w:b/>
          <w:bCs/>
          <w:color w:val="auto"/>
          <w:highlight w:val="none"/>
        </w:rPr>
      </w:pPr>
      <w:r>
        <w:rPr>
          <w:rFonts w:hint="eastAsia" w:ascii="宋体" w:hAnsi="宋体" w:eastAsia="宋体" w:cs="宋体"/>
          <w:bCs/>
          <w:color w:val="auto"/>
          <w:sz w:val="24"/>
          <w:highlight w:val="none"/>
        </w:rPr>
        <w:br w:type="page"/>
      </w:r>
    </w:p>
    <w:p w14:paraId="59892310">
      <w:pPr>
        <w:snapToGrid w:val="0"/>
        <w:spacing w:before="120" w:beforeLines="50" w:after="50" w:line="360" w:lineRule="auto"/>
        <w:jc w:val="center"/>
        <w:outlineLvl w:val="1"/>
        <w:rPr>
          <w:rFonts w:hint="eastAsia" w:ascii="宋体" w:hAnsi="宋体" w:eastAsia="宋体" w:cs="宋体"/>
          <w:bCs/>
          <w:color w:val="auto"/>
          <w:sz w:val="32"/>
          <w:szCs w:val="32"/>
          <w:highlight w:val="none"/>
        </w:rPr>
      </w:pPr>
      <w:bookmarkStart w:id="95" w:name="_Toc11801"/>
      <w:bookmarkStart w:id="96" w:name="_Toc9511"/>
      <w:bookmarkStart w:id="97" w:name="_Toc27442"/>
      <w:r>
        <w:rPr>
          <w:rFonts w:hint="eastAsia" w:ascii="宋体" w:hAnsi="宋体" w:eastAsia="宋体" w:cs="宋体"/>
          <w:bCs/>
          <w:color w:val="auto"/>
          <w:sz w:val="32"/>
          <w:szCs w:val="32"/>
          <w:highlight w:val="none"/>
        </w:rPr>
        <w:t>第二节 资格证明文件格式</w:t>
      </w:r>
      <w:bookmarkEnd w:id="95"/>
      <w:bookmarkEnd w:id="96"/>
      <w:bookmarkEnd w:id="97"/>
    </w:p>
    <w:p w14:paraId="0E3331D3">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3A96102">
      <w:pPr>
        <w:snapToGrid w:val="0"/>
        <w:spacing w:before="120" w:beforeLines="50" w:after="50"/>
        <w:rPr>
          <w:rFonts w:hint="eastAsia" w:ascii="宋体" w:hAnsi="宋体" w:eastAsia="宋体" w:cs="宋体"/>
          <w:color w:val="auto"/>
          <w:sz w:val="24"/>
          <w:szCs w:val="20"/>
          <w:highlight w:val="none"/>
        </w:rPr>
      </w:pPr>
    </w:p>
    <w:p w14:paraId="2C97FD12">
      <w:pPr>
        <w:snapToGrid w:val="0"/>
        <w:spacing w:before="120" w:beforeLines="50" w:after="50"/>
        <w:rPr>
          <w:rFonts w:hint="eastAsia" w:ascii="宋体" w:hAnsi="宋体" w:eastAsia="宋体" w:cs="宋体"/>
          <w:color w:val="auto"/>
          <w:sz w:val="24"/>
          <w:szCs w:val="20"/>
          <w:highlight w:val="none"/>
        </w:rPr>
      </w:pPr>
    </w:p>
    <w:p w14:paraId="1ED793A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09BBAD0E">
      <w:pPr>
        <w:snapToGrid w:val="0"/>
        <w:spacing w:before="120" w:beforeLines="50" w:after="50"/>
        <w:rPr>
          <w:rFonts w:hint="eastAsia" w:ascii="宋体" w:hAnsi="宋体" w:eastAsia="宋体" w:cs="宋体"/>
          <w:bCs/>
          <w:color w:val="auto"/>
          <w:sz w:val="24"/>
          <w:szCs w:val="20"/>
          <w:highlight w:val="none"/>
        </w:rPr>
      </w:pPr>
    </w:p>
    <w:p w14:paraId="4E5F5639">
      <w:pPr>
        <w:snapToGrid w:val="0"/>
        <w:spacing w:before="120" w:beforeLines="50" w:after="50"/>
        <w:rPr>
          <w:rFonts w:hint="eastAsia" w:ascii="宋体" w:hAnsi="宋体" w:eastAsia="宋体" w:cs="宋体"/>
          <w:bCs/>
          <w:color w:val="auto"/>
          <w:sz w:val="24"/>
          <w:szCs w:val="20"/>
          <w:highlight w:val="none"/>
        </w:rPr>
      </w:pPr>
    </w:p>
    <w:p w14:paraId="335BD1FD">
      <w:pPr>
        <w:snapToGrid w:val="0"/>
        <w:spacing w:before="120" w:beforeLines="50" w:after="50"/>
        <w:rPr>
          <w:rFonts w:hint="eastAsia" w:ascii="宋体" w:hAnsi="宋体" w:eastAsia="宋体" w:cs="宋体"/>
          <w:bCs/>
          <w:color w:val="auto"/>
          <w:sz w:val="24"/>
          <w:szCs w:val="20"/>
          <w:highlight w:val="none"/>
        </w:rPr>
      </w:pPr>
    </w:p>
    <w:p w14:paraId="5722507B">
      <w:pPr>
        <w:snapToGrid w:val="0"/>
        <w:spacing w:before="120" w:beforeLines="50" w:after="50"/>
        <w:rPr>
          <w:rFonts w:hint="eastAsia" w:ascii="宋体" w:hAnsi="宋体" w:eastAsia="宋体" w:cs="宋体"/>
          <w:bCs/>
          <w:color w:val="auto"/>
          <w:sz w:val="24"/>
          <w:szCs w:val="20"/>
          <w:highlight w:val="none"/>
        </w:rPr>
      </w:pPr>
    </w:p>
    <w:p w14:paraId="36CA7C91">
      <w:pPr>
        <w:snapToGrid w:val="0"/>
        <w:spacing w:before="120" w:beforeLines="50" w:after="50"/>
        <w:rPr>
          <w:rFonts w:hint="eastAsia" w:ascii="宋体" w:hAnsi="宋体" w:eastAsia="宋体" w:cs="宋体"/>
          <w:bCs/>
          <w:color w:val="auto"/>
          <w:sz w:val="24"/>
          <w:szCs w:val="20"/>
          <w:highlight w:val="none"/>
        </w:rPr>
      </w:pPr>
    </w:p>
    <w:p w14:paraId="0D7CE733">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南宁职业技术大学行人通道改造设备项目（重）</w:t>
      </w:r>
    </w:p>
    <w:p w14:paraId="789B8930">
      <w:pPr>
        <w:snapToGrid w:val="0"/>
        <w:spacing w:before="120" w:beforeLines="50" w:after="50"/>
        <w:ind w:firstLine="720" w:firstLineChars="225"/>
        <w:rPr>
          <w:rFonts w:hint="eastAsia" w:ascii="宋体" w:hAnsi="宋体" w:eastAsia="宋体" w:cs="宋体"/>
          <w:bCs/>
          <w:color w:val="auto"/>
          <w:sz w:val="32"/>
          <w:szCs w:val="32"/>
          <w:highlight w:val="none"/>
        </w:rPr>
      </w:pPr>
    </w:p>
    <w:p w14:paraId="1DEA1297">
      <w:pPr>
        <w:snapToGrid w:val="0"/>
        <w:spacing w:before="120" w:beforeLines="50" w:after="50"/>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eastAsia="zh-CN"/>
        </w:rPr>
        <w:t>NNZC2025-J1-990717-JDZB</w:t>
      </w:r>
    </w:p>
    <w:p w14:paraId="016C9E3C">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AC3DB3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D5C7316">
      <w:pPr>
        <w:snapToGrid w:val="0"/>
        <w:spacing w:before="120" w:beforeLines="50" w:after="50"/>
        <w:ind w:firstLine="720" w:firstLineChars="225"/>
        <w:rPr>
          <w:rFonts w:hint="eastAsia" w:ascii="宋体" w:hAnsi="宋体" w:eastAsia="宋体" w:cs="宋体"/>
          <w:bCs/>
          <w:color w:val="auto"/>
          <w:sz w:val="32"/>
          <w:szCs w:val="32"/>
          <w:highlight w:val="none"/>
        </w:rPr>
      </w:pPr>
    </w:p>
    <w:p w14:paraId="793C86BD">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8E73BC4">
      <w:pPr>
        <w:pStyle w:val="8"/>
        <w:snapToGrid w:val="0"/>
        <w:spacing w:before="50" w:after="50"/>
        <w:ind w:firstLine="720" w:firstLineChars="225"/>
        <w:rPr>
          <w:rFonts w:hint="eastAsia" w:ascii="宋体" w:hAnsi="宋体" w:eastAsia="宋体" w:cs="宋体"/>
          <w:bCs/>
          <w:color w:val="auto"/>
          <w:sz w:val="32"/>
          <w:szCs w:val="32"/>
          <w:highlight w:val="none"/>
        </w:rPr>
      </w:pPr>
    </w:p>
    <w:p w14:paraId="16D5072F">
      <w:pPr>
        <w:pStyle w:val="8"/>
        <w:snapToGrid w:val="0"/>
        <w:spacing w:before="50" w:after="50"/>
        <w:ind w:firstLine="720" w:firstLineChars="225"/>
        <w:rPr>
          <w:rFonts w:hint="eastAsia" w:ascii="宋体" w:hAnsi="宋体" w:eastAsia="宋体" w:cs="宋体"/>
          <w:bCs/>
          <w:color w:val="auto"/>
          <w:sz w:val="32"/>
          <w:szCs w:val="32"/>
          <w:highlight w:val="none"/>
        </w:rPr>
      </w:pPr>
    </w:p>
    <w:p w14:paraId="03658DA7">
      <w:pPr>
        <w:pStyle w:val="8"/>
        <w:snapToGrid w:val="0"/>
        <w:spacing w:before="50" w:after="50"/>
        <w:ind w:firstLine="720" w:firstLineChars="225"/>
        <w:rPr>
          <w:rFonts w:hint="eastAsia" w:ascii="宋体" w:hAnsi="宋体" w:eastAsia="宋体" w:cs="宋体"/>
          <w:bCs/>
          <w:color w:val="auto"/>
          <w:sz w:val="32"/>
          <w:szCs w:val="32"/>
          <w:highlight w:val="none"/>
        </w:rPr>
      </w:pPr>
    </w:p>
    <w:p w14:paraId="6370876D">
      <w:pPr>
        <w:pStyle w:val="8"/>
        <w:snapToGrid w:val="0"/>
        <w:spacing w:before="50" w:after="50"/>
        <w:ind w:firstLine="1280" w:firstLineChars="400"/>
        <w:rPr>
          <w:rFonts w:hint="eastAsia" w:ascii="宋体" w:hAnsi="宋体" w:eastAsia="宋体" w:cs="宋体"/>
          <w:bCs/>
          <w:color w:val="auto"/>
          <w:sz w:val="32"/>
          <w:szCs w:val="32"/>
          <w:highlight w:val="none"/>
        </w:rPr>
      </w:pPr>
    </w:p>
    <w:p w14:paraId="3FF7733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F0AC0DD">
      <w:pPr>
        <w:snapToGrid w:val="0"/>
        <w:spacing w:before="120" w:beforeLines="50" w:after="50" w:line="360" w:lineRule="auto"/>
        <w:ind w:left="142" w:firstLine="480" w:firstLineChars="200"/>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二、资格证明文件目录</w:t>
      </w:r>
    </w:p>
    <w:p w14:paraId="2F82CB5C">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6311E3FC">
      <w:pPr>
        <w:snapToGrid w:val="0"/>
        <w:spacing w:line="360" w:lineRule="auto"/>
        <w:rPr>
          <w:rFonts w:hint="eastAsia" w:ascii="宋体" w:hAnsi="宋体" w:eastAsia="宋体" w:cs="宋体"/>
          <w:color w:val="auto"/>
          <w:kern w:val="0"/>
          <w:sz w:val="24"/>
          <w:highlight w:val="none"/>
        </w:rPr>
      </w:pPr>
    </w:p>
    <w:p w14:paraId="29DE2B0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5F898C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0149182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68F63B2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23491C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072D3BD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（页码）</w:t>
      </w:r>
    </w:p>
    <w:p w14:paraId="666CA2F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w:t>
      </w:r>
      <w:r>
        <w:rPr>
          <w:rFonts w:hint="eastAsia" w:ascii="宋体" w:hAnsi="宋体" w:eastAsia="宋体" w:cs="宋体"/>
          <w:color w:val="auto"/>
          <w:kern w:val="0"/>
          <w:sz w:val="24"/>
          <w:highlight w:val="none"/>
        </w:rPr>
        <w:t>、联合体协议书（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（页码）</w:t>
      </w:r>
    </w:p>
    <w:p w14:paraId="156BED1F">
      <w:pPr>
        <w:spacing w:line="360" w:lineRule="auto"/>
        <w:rPr>
          <w:rFonts w:hint="eastAsia" w:ascii="宋体" w:hAnsi="宋体" w:eastAsia="宋体" w:cs="宋体"/>
          <w:b/>
          <w:bCs/>
          <w:color w:val="auto"/>
          <w:sz w:val="24"/>
          <w:highlight w:val="none"/>
        </w:rPr>
      </w:pPr>
    </w:p>
    <w:p w14:paraId="35DBD67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0D3A1A73">
      <w:pPr>
        <w:widowControl/>
        <w:jc w:val="left"/>
        <w:rPr>
          <w:rFonts w:hint="eastAsia" w:ascii="宋体" w:hAnsi="宋体" w:eastAsia="宋体" w:cs="宋体"/>
          <w:color w:val="auto"/>
          <w:sz w:val="24"/>
          <w:szCs w:val="20"/>
          <w:highlight w:val="none"/>
        </w:rPr>
        <w:sectPr>
          <w:pgSz w:w="11911" w:h="16838"/>
          <w:pgMar w:top="1304" w:right="1417" w:bottom="1417" w:left="1417" w:header="720" w:footer="720" w:gutter="0"/>
          <w:paperSrc/>
          <w:pgNumType w:fmt="decimal"/>
          <w:cols w:space="720" w:num="1"/>
          <w:rtlGutter w:val="0"/>
          <w:docGrid w:linePitch="0" w:charSpace="0"/>
        </w:sectPr>
      </w:pPr>
    </w:p>
    <w:p w14:paraId="7818EE68">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一、营业执照(或事业法人登记证或其他工商等登记证明材料)复印件（供应商为自然人的，提供自然人的身份证明）</w:t>
      </w:r>
    </w:p>
    <w:p w14:paraId="36682790">
      <w:pPr>
        <w:pStyle w:val="15"/>
        <w:spacing w:line="360" w:lineRule="auto"/>
        <w:ind w:firstLine="602" w:firstLineChars="200"/>
        <w:rPr>
          <w:rFonts w:hint="eastAsia" w:ascii="宋体" w:hAnsi="宋体" w:eastAsia="宋体" w:cs="宋体"/>
          <w:b/>
          <w:color w:val="auto"/>
          <w:sz w:val="30"/>
          <w:szCs w:val="30"/>
          <w:highlight w:val="none"/>
        </w:rPr>
      </w:pPr>
    </w:p>
    <w:p w14:paraId="15E14F1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FEBF1E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1D75080">
      <w:pPr>
        <w:snapToGrid w:val="0"/>
        <w:spacing w:before="120" w:beforeLines="50" w:after="50"/>
        <w:rPr>
          <w:rFonts w:hint="eastAsia" w:ascii="宋体" w:hAnsi="宋体" w:eastAsia="宋体" w:cs="宋体"/>
          <w:color w:val="auto"/>
          <w:sz w:val="24"/>
          <w:szCs w:val="20"/>
          <w:highlight w:val="none"/>
        </w:rPr>
      </w:pPr>
    </w:p>
    <w:p w14:paraId="75C417F4">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二、符合参与政府采购活动的资格条件依法缴纳税收、社会保障资金等方面的材料</w:t>
      </w:r>
    </w:p>
    <w:p w14:paraId="6675619D">
      <w:pPr>
        <w:spacing w:line="300" w:lineRule="auto"/>
        <w:rPr>
          <w:rFonts w:hint="eastAsia" w:ascii="宋体" w:hAnsi="宋体" w:eastAsia="宋体" w:cs="宋体"/>
          <w:color w:val="auto"/>
          <w:szCs w:val="21"/>
          <w:highlight w:val="none"/>
        </w:rPr>
      </w:pPr>
    </w:p>
    <w:p w14:paraId="78FD45E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1EF5F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FF36A1E">
      <w:pPr>
        <w:spacing w:line="300" w:lineRule="auto"/>
        <w:rPr>
          <w:rFonts w:hint="eastAsia" w:ascii="宋体" w:hAnsi="宋体" w:eastAsia="宋体" w:cs="宋体"/>
          <w:color w:val="auto"/>
          <w:szCs w:val="21"/>
          <w:highlight w:val="none"/>
        </w:rPr>
      </w:pPr>
    </w:p>
    <w:p w14:paraId="4CC13B98">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1B0EFAEE">
      <w:pPr>
        <w:spacing w:line="300" w:lineRule="auto"/>
        <w:rPr>
          <w:rFonts w:hint="eastAsia" w:ascii="宋体" w:hAnsi="宋体" w:eastAsia="宋体" w:cs="宋体"/>
          <w:color w:val="auto"/>
          <w:szCs w:val="21"/>
          <w:highlight w:val="none"/>
        </w:rPr>
      </w:pPr>
    </w:p>
    <w:p w14:paraId="01556B6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3735EEE">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E5CD3B6">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1DBB25E">
      <w:pPr>
        <w:snapToGrid w:val="0"/>
        <w:spacing w:before="120" w:beforeLines="50" w:after="50" w:line="360" w:lineRule="auto"/>
        <w:jc w:val="center"/>
        <w:rPr>
          <w:rFonts w:hint="eastAsia" w:ascii="宋体" w:hAnsi="宋体" w:eastAsia="宋体" w:cs="宋体"/>
          <w:b/>
          <w:color w:val="auto"/>
          <w:sz w:val="24"/>
          <w:highlight w:val="none"/>
        </w:rPr>
      </w:pPr>
    </w:p>
    <w:p w14:paraId="26EF319F">
      <w:pPr>
        <w:spacing w:line="360" w:lineRule="auto"/>
        <w:ind w:firstLine="596" w:firstLineChars="198"/>
        <w:rPr>
          <w:rFonts w:hint="eastAsia" w:ascii="宋体" w:hAnsi="宋体" w:eastAsia="宋体" w:cs="宋体"/>
          <w:b/>
          <w:color w:val="auto"/>
          <w:kern w:val="0"/>
          <w:sz w:val="30"/>
          <w:szCs w:val="30"/>
          <w:highlight w:val="none"/>
        </w:rPr>
      </w:pPr>
    </w:p>
    <w:p w14:paraId="638153EA">
      <w:pPr>
        <w:spacing w:line="360" w:lineRule="auto"/>
        <w:ind w:firstLine="596" w:firstLineChars="198"/>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br w:type="page"/>
      </w:r>
      <w:r>
        <w:rPr>
          <w:rFonts w:hint="eastAsia" w:ascii="宋体" w:hAnsi="宋体" w:eastAsia="宋体" w:cs="宋体"/>
          <w:b/>
          <w:color w:val="auto"/>
          <w:kern w:val="0"/>
          <w:sz w:val="30"/>
          <w:szCs w:val="30"/>
          <w:highlight w:val="none"/>
        </w:rPr>
        <w:t>四、供应商直接控股股东信息</w:t>
      </w:r>
      <w:r>
        <w:rPr>
          <w:rFonts w:hint="eastAsia" w:ascii="宋体" w:hAnsi="宋体" w:eastAsia="宋体" w:cs="宋体"/>
          <w:b/>
          <w:color w:val="auto"/>
          <w:kern w:val="0"/>
          <w:sz w:val="30"/>
          <w:szCs w:val="30"/>
          <w:highlight w:val="none"/>
          <w:lang w:val="en-US" w:eastAsia="zh-CN"/>
        </w:rPr>
        <w:t>表</w:t>
      </w:r>
    </w:p>
    <w:p w14:paraId="251B3CF3">
      <w:pPr>
        <w:spacing w:line="360" w:lineRule="auto"/>
        <w:jc w:val="center"/>
        <w:rPr>
          <w:rFonts w:hint="eastAsia" w:ascii="宋体" w:hAnsi="宋体" w:eastAsia="宋体" w:cs="宋体"/>
          <w:b/>
          <w:color w:val="auto"/>
          <w:sz w:val="24"/>
          <w:highlight w:val="none"/>
        </w:rPr>
      </w:pPr>
    </w:p>
    <w:tbl>
      <w:tblPr>
        <w:tblStyle w:val="27"/>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40ADC9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20B7A5">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841D73">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B15F3B">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9C15A3">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030204">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09709F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01E48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2B8E96">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B70F16">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C52DF1">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015FA8">
            <w:pPr>
              <w:widowControl/>
              <w:spacing w:line="360" w:lineRule="auto"/>
              <w:jc w:val="center"/>
              <w:rPr>
                <w:rFonts w:hint="eastAsia" w:ascii="宋体" w:hAnsi="宋体" w:eastAsia="宋体" w:cs="宋体"/>
                <w:color w:val="auto"/>
                <w:kern w:val="0"/>
                <w:sz w:val="24"/>
                <w:highlight w:val="none"/>
              </w:rPr>
            </w:pPr>
          </w:p>
        </w:tc>
      </w:tr>
      <w:tr w14:paraId="2B8699C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B108C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EB067B">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BA9D55">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1614F7">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29442B">
            <w:pPr>
              <w:widowControl/>
              <w:spacing w:line="360" w:lineRule="auto"/>
              <w:jc w:val="center"/>
              <w:rPr>
                <w:rFonts w:hint="eastAsia" w:ascii="宋体" w:hAnsi="宋体" w:eastAsia="宋体" w:cs="宋体"/>
                <w:color w:val="auto"/>
                <w:kern w:val="0"/>
                <w:sz w:val="24"/>
                <w:highlight w:val="none"/>
              </w:rPr>
            </w:pPr>
          </w:p>
        </w:tc>
      </w:tr>
    </w:tbl>
    <w:p w14:paraId="61024CF7">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2C81DBF">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78522F">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428B6DBA">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7D930B0B">
      <w:pPr>
        <w:snapToGrid w:val="0"/>
        <w:spacing w:line="360" w:lineRule="auto"/>
        <w:jc w:val="left"/>
        <w:rPr>
          <w:rFonts w:hint="eastAsia" w:ascii="宋体" w:hAnsi="宋体" w:eastAsia="宋体" w:cs="宋体"/>
          <w:color w:val="auto"/>
          <w:sz w:val="24"/>
          <w:highlight w:val="none"/>
        </w:rPr>
      </w:pPr>
    </w:p>
    <w:p w14:paraId="7B025D1E">
      <w:pPr>
        <w:snapToGrid w:val="0"/>
        <w:spacing w:line="360" w:lineRule="auto"/>
        <w:jc w:val="left"/>
        <w:rPr>
          <w:rFonts w:hint="eastAsia" w:ascii="宋体" w:hAnsi="宋体" w:eastAsia="宋体" w:cs="宋体"/>
          <w:color w:val="auto"/>
          <w:sz w:val="24"/>
          <w:highlight w:val="none"/>
        </w:rPr>
      </w:pPr>
    </w:p>
    <w:p w14:paraId="03551A74">
      <w:pPr>
        <w:snapToGrid w:val="0"/>
        <w:spacing w:line="360" w:lineRule="auto"/>
        <w:jc w:val="left"/>
        <w:rPr>
          <w:rFonts w:hint="eastAsia" w:ascii="宋体" w:hAnsi="宋体" w:eastAsia="宋体" w:cs="宋体"/>
          <w:color w:val="auto"/>
          <w:sz w:val="24"/>
          <w:highlight w:val="none"/>
        </w:rPr>
      </w:pPr>
    </w:p>
    <w:p w14:paraId="01EA7D2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5D3A09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94D0118">
      <w:pPr>
        <w:snapToGrid w:val="0"/>
        <w:rPr>
          <w:rFonts w:hint="eastAsia" w:ascii="宋体" w:hAnsi="宋体" w:eastAsia="宋体" w:cs="宋体"/>
          <w:b/>
          <w:color w:val="auto"/>
          <w:kern w:val="0"/>
          <w:sz w:val="30"/>
          <w:szCs w:val="30"/>
          <w:highlight w:val="none"/>
        </w:rPr>
      </w:pPr>
    </w:p>
    <w:p w14:paraId="099CC2AD">
      <w:pPr>
        <w:snapToGrid w:val="0"/>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r>
        <w:rPr>
          <w:rFonts w:hint="eastAsia" w:ascii="宋体" w:hAnsi="宋体" w:eastAsia="宋体" w:cs="宋体"/>
          <w:b/>
          <w:color w:val="auto"/>
          <w:kern w:val="0"/>
          <w:sz w:val="30"/>
          <w:szCs w:val="30"/>
          <w:highlight w:val="none"/>
        </w:rPr>
        <w:t>五、供应商直接管理关系信息表</w:t>
      </w:r>
    </w:p>
    <w:p w14:paraId="1235CBD9">
      <w:pPr>
        <w:snapToGrid w:val="0"/>
        <w:spacing w:line="360" w:lineRule="auto"/>
        <w:jc w:val="center"/>
        <w:rPr>
          <w:rFonts w:hint="eastAsia" w:ascii="宋体" w:hAnsi="宋体" w:eastAsia="宋体" w:cs="宋体"/>
          <w:b/>
          <w:color w:val="auto"/>
          <w:sz w:val="24"/>
          <w:highlight w:val="none"/>
        </w:rPr>
      </w:pPr>
    </w:p>
    <w:tbl>
      <w:tblPr>
        <w:tblStyle w:val="2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F818AC4">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57BD8D">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DD122F">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6F9749">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87E687">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DE7962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7AC06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163866">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6505D8">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2500B8">
            <w:pPr>
              <w:widowControl/>
              <w:spacing w:line="360" w:lineRule="auto"/>
              <w:jc w:val="center"/>
              <w:rPr>
                <w:rFonts w:hint="eastAsia" w:ascii="宋体" w:hAnsi="宋体" w:eastAsia="宋体" w:cs="宋体"/>
                <w:color w:val="auto"/>
                <w:kern w:val="0"/>
                <w:sz w:val="24"/>
                <w:highlight w:val="none"/>
              </w:rPr>
            </w:pPr>
          </w:p>
        </w:tc>
      </w:tr>
      <w:tr w14:paraId="4D33888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1EBC8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3DD025">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79FC1D">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1FBE19">
            <w:pPr>
              <w:widowControl/>
              <w:spacing w:line="360" w:lineRule="auto"/>
              <w:jc w:val="center"/>
              <w:rPr>
                <w:rFonts w:hint="eastAsia" w:ascii="宋体" w:hAnsi="宋体" w:eastAsia="宋体" w:cs="宋体"/>
                <w:color w:val="auto"/>
                <w:kern w:val="0"/>
                <w:sz w:val="24"/>
                <w:highlight w:val="none"/>
              </w:rPr>
            </w:pPr>
          </w:p>
        </w:tc>
      </w:tr>
    </w:tbl>
    <w:p w14:paraId="35DEAE87">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4B9F1B2F">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1BB59085">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48CC8E6C">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47738B42">
      <w:pPr>
        <w:spacing w:line="360" w:lineRule="auto"/>
        <w:jc w:val="left"/>
        <w:rPr>
          <w:rFonts w:hint="eastAsia" w:ascii="宋体" w:hAnsi="宋体" w:eastAsia="宋体" w:cs="宋体"/>
          <w:color w:val="auto"/>
          <w:sz w:val="24"/>
          <w:highlight w:val="none"/>
        </w:rPr>
      </w:pPr>
    </w:p>
    <w:p w14:paraId="73F8649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5C5194E">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3565F6E">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8AF3A06">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19621843">
      <w:pPr>
        <w:spacing w:line="320" w:lineRule="exact"/>
        <w:jc w:val="center"/>
        <w:rPr>
          <w:rFonts w:hint="eastAsia" w:ascii="宋体" w:hAnsi="宋体" w:eastAsia="宋体" w:cs="宋体"/>
          <w:b/>
          <w:color w:val="auto"/>
          <w:sz w:val="32"/>
          <w:szCs w:val="32"/>
          <w:highlight w:val="none"/>
        </w:rPr>
      </w:pPr>
    </w:p>
    <w:p w14:paraId="78D63151">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10B5D4E4">
      <w:pPr>
        <w:spacing w:line="320" w:lineRule="exact"/>
        <w:jc w:val="center"/>
        <w:rPr>
          <w:rFonts w:hint="eastAsia" w:ascii="宋体" w:hAnsi="宋体" w:eastAsia="宋体" w:cs="宋体"/>
          <w:color w:val="auto"/>
          <w:sz w:val="24"/>
          <w:szCs w:val="20"/>
          <w:highlight w:val="none"/>
        </w:rPr>
      </w:pPr>
    </w:p>
    <w:p w14:paraId="27C85A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广西机电设备招标有限公司</w:t>
      </w:r>
      <w:r>
        <w:rPr>
          <w:rFonts w:hint="eastAsia" w:ascii="宋体" w:hAnsi="宋体" w:eastAsia="宋体" w:cs="宋体"/>
          <w:color w:val="auto"/>
          <w:sz w:val="24"/>
          <w:highlight w:val="none"/>
        </w:rPr>
        <w:t>：</w:t>
      </w:r>
    </w:p>
    <w:p w14:paraId="3B0706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2ECA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eastAsia="zh-CN"/>
        </w:rPr>
        <w:t>南宁职业技术大学行人通道改造设备项目（重）</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4BF87F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5CCB35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2A345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77B00F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（1）将按谈判文件的约定履行合同责任和义务；</w:t>
      </w:r>
    </w:p>
    <w:p w14:paraId="270ACA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（2）已详细审查竞争性</w:t>
      </w:r>
      <w:r>
        <w:rPr>
          <w:rFonts w:hint="eastAsia" w:ascii="宋体" w:hAnsi="宋体" w:eastAsia="宋体" w:cs="宋体"/>
          <w:color w:val="auto"/>
          <w:sz w:val="24"/>
          <w:highlight w:val="none"/>
          <w:lang w:val="en-US" w:eastAsia="zh-CN"/>
        </w:rPr>
        <w:t>谈判文件的全部内容</w:t>
      </w:r>
      <w:r>
        <w:rPr>
          <w:rFonts w:hint="eastAsia" w:ascii="宋体" w:hAnsi="宋体" w:eastAsia="宋体" w:cs="宋体"/>
          <w:color w:val="auto"/>
          <w:sz w:val="24"/>
          <w:highlight w:val="none"/>
        </w:rPr>
        <w:t>，包括澄清或者更正公告（如有）；</w:t>
      </w:r>
    </w:p>
    <w:p w14:paraId="73043C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274E79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（4）响应谈判文件规定的竞标有效期。</w:t>
      </w:r>
    </w:p>
    <w:p w14:paraId="66AF32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426862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146374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4EC8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1D8114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C5A4C9B">
      <w:pPr>
        <w:pStyle w:val="15"/>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7.与本谈判有关的一切正式往来信函请寄：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0D6E2F49">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98F4A96">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580FA9B0">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6770AF40">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2798D94">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0A221FA9">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p>
    <w:p w14:paraId="3E53D14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2AB1744">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1" w:h="16838"/>
          <w:pgMar w:top="1417" w:right="1417" w:bottom="1417" w:left="1417" w:header="720" w:footer="720" w:gutter="0"/>
          <w:paperSrc/>
          <w:pgNumType w:fmt="decimal"/>
          <w:cols w:space="720" w:num="1"/>
          <w:rtlGutter w:val="0"/>
          <w:docGrid w:linePitch="0" w:charSpace="0"/>
        </w:sectPr>
      </w:pPr>
      <w:r>
        <w:rPr>
          <w:rFonts w:hint="eastAsia" w:ascii="宋体" w:hAnsi="宋体" w:eastAsia="宋体" w:cs="宋体"/>
          <w:color w:val="auto"/>
          <w:kern w:val="0"/>
          <w:sz w:val="24"/>
          <w:highlight w:val="none"/>
          <w:lang w:val="zh-CN"/>
        </w:rPr>
        <w:t>日期：  年  月   日</w:t>
      </w:r>
    </w:p>
    <w:p w14:paraId="6F1F2CE1">
      <w:pPr>
        <w:pStyle w:val="8"/>
        <w:overflowPunct w:val="0"/>
        <w:spacing w:line="520" w:lineRule="exact"/>
        <w:ind w:firstLine="0"/>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rPr>
        <w:t>、联合体协议书（如有）</w:t>
      </w:r>
    </w:p>
    <w:p w14:paraId="0C7C3140">
      <w:pPr>
        <w:pStyle w:val="15"/>
        <w:spacing w:line="600" w:lineRule="exact"/>
        <w:ind w:firstLine="880"/>
        <w:jc w:val="center"/>
        <w:rPr>
          <w:rFonts w:hint="eastAsia" w:ascii="宋体" w:hAnsi="宋体" w:eastAsia="宋体" w:cs="宋体"/>
          <w:color w:val="auto"/>
          <w:kern w:val="2"/>
          <w:sz w:val="44"/>
          <w:szCs w:val="44"/>
          <w:highlight w:val="none"/>
        </w:rPr>
      </w:pPr>
    </w:p>
    <w:p w14:paraId="653ABD9F">
      <w:pPr>
        <w:pStyle w:val="15"/>
        <w:spacing w:line="600" w:lineRule="exact"/>
        <w:ind w:firstLine="88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rPr>
        <w:t>联合体竞标协议书（格式）</w:t>
      </w:r>
    </w:p>
    <w:p w14:paraId="7F6CBD14">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48D1D16A">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广西机电设备招标有限公司</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南宁职业技术大学行人通道改造设备项目（重）</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NNZC2025-J1-990717-JDZB</w:t>
      </w:r>
      <w:r>
        <w:rPr>
          <w:rFonts w:hint="eastAsia" w:ascii="宋体" w:hAnsi="宋体" w:eastAsia="宋体" w:cs="宋体"/>
          <w:color w:val="auto"/>
          <w:kern w:val="0"/>
          <w:sz w:val="24"/>
          <w:highlight w:val="none"/>
        </w:rPr>
        <w:t>）竞争性谈判采购。现就联合体竞标事宜订立如下协议：</w:t>
      </w:r>
    </w:p>
    <w:p w14:paraId="55F8FF4B">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14:paraId="1F6F46D3">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1706F7EE">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14:paraId="30D46826">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single"/>
        </w:rPr>
        <w:t>________________________________________________</w:t>
      </w:r>
      <w:r>
        <w:rPr>
          <w:rFonts w:hint="eastAsia" w:ascii="宋体" w:hAnsi="宋体" w:eastAsia="宋体" w:cs="宋体"/>
          <w:color w:val="auto"/>
          <w:kern w:val="0"/>
          <w:sz w:val="24"/>
          <w:highlight w:val="none"/>
        </w:rPr>
        <w:t>。</w:t>
      </w:r>
    </w:p>
    <w:p w14:paraId="0A014B4B">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5、本联合体中</w:t>
      </w:r>
      <w:r>
        <w:rPr>
          <w:rFonts w:hint="eastAsia" w:ascii="宋体" w:hAnsi="宋体" w:eastAsia="宋体" w:cs="宋体"/>
          <w:color w:val="auto"/>
          <w:sz w:val="24"/>
          <w:szCs w:val="24"/>
          <w:highlight w:val="none"/>
          <w:u w:val="single"/>
        </w:rPr>
        <w:t>，________________________（某成员单位名称）为______</w:t>
      </w:r>
      <w:r>
        <w:rPr>
          <w:rFonts w:hint="eastAsia" w:ascii="宋体" w:hAnsi="宋体" w:eastAsia="宋体" w:cs="宋体"/>
          <w:color w:val="auto"/>
          <w:sz w:val="24"/>
          <w:szCs w:val="24"/>
          <w:highlight w:val="none"/>
        </w:rPr>
        <w:t>（请填写：中型、小型、微型）企业，其协议合同金额占联合体协议合同总金额的</w:t>
      </w:r>
      <w:r>
        <w:rPr>
          <w:rFonts w:hint="eastAsia" w:ascii="宋体" w:hAnsi="宋体" w:eastAsia="宋体" w:cs="宋体"/>
          <w:color w:val="auto"/>
          <w:sz w:val="24"/>
          <w:szCs w:val="24"/>
          <w:highlight w:val="none"/>
          <w:u w:val="single"/>
        </w:rPr>
        <w:t>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14:paraId="18EEC1BC">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5E3F1A5D">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4CBF22EC">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1C6F257F">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3BAB4276">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3748DA7D">
      <w:pPr>
        <w:autoSpaceDE w:val="0"/>
        <w:autoSpaceDN w:val="0"/>
        <w:adjustRightInd w:val="0"/>
        <w:spacing w:line="360" w:lineRule="auto"/>
        <w:jc w:val="left"/>
        <w:rPr>
          <w:rFonts w:hint="eastAsia" w:ascii="宋体" w:hAnsi="宋体" w:eastAsia="宋体" w:cs="宋体"/>
          <w:color w:val="auto"/>
          <w:kern w:val="0"/>
          <w:sz w:val="24"/>
          <w:highlight w:val="none"/>
        </w:rPr>
      </w:pPr>
    </w:p>
    <w:p w14:paraId="06C88636">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2FC390CE">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74EC109C">
      <w:pPr>
        <w:autoSpaceDE w:val="0"/>
        <w:autoSpaceDN w:val="0"/>
        <w:adjustRightInd w:val="0"/>
        <w:spacing w:line="360" w:lineRule="auto"/>
        <w:jc w:val="left"/>
        <w:rPr>
          <w:rFonts w:hint="eastAsia" w:ascii="宋体" w:hAnsi="宋体" w:eastAsia="宋体" w:cs="宋体"/>
          <w:color w:val="auto"/>
          <w:kern w:val="0"/>
          <w:szCs w:val="21"/>
          <w:highlight w:val="none"/>
        </w:rPr>
      </w:pPr>
    </w:p>
    <w:p w14:paraId="4C48FCBB">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293DE83A">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14:paraId="12276BC7">
      <w:pPr>
        <w:autoSpaceDE w:val="0"/>
        <w:autoSpaceDN w:val="0"/>
        <w:adjustRightInd w:val="0"/>
        <w:spacing w:line="360" w:lineRule="auto"/>
        <w:jc w:val="left"/>
        <w:rPr>
          <w:rFonts w:hint="eastAsia" w:ascii="宋体" w:hAnsi="宋体" w:eastAsia="宋体" w:cs="宋体"/>
          <w:color w:val="auto"/>
          <w:kern w:val="0"/>
          <w:sz w:val="24"/>
          <w:highlight w:val="none"/>
        </w:rPr>
      </w:pPr>
    </w:p>
    <w:p w14:paraId="5C834682">
      <w:pPr>
        <w:autoSpaceDE w:val="0"/>
        <w:autoSpaceDN w:val="0"/>
        <w:adjustRightInd w:val="0"/>
        <w:spacing w:line="360" w:lineRule="auto"/>
        <w:jc w:val="left"/>
        <w:rPr>
          <w:rFonts w:hint="eastAsia" w:ascii="宋体" w:hAnsi="宋体" w:eastAsia="宋体" w:cs="宋体"/>
          <w:color w:val="auto"/>
          <w:kern w:val="0"/>
          <w:sz w:val="24"/>
          <w:highlight w:val="none"/>
        </w:rPr>
      </w:pPr>
    </w:p>
    <w:p w14:paraId="09497DB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AF05DA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BED189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88545F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BAFC5FB">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DC26BBB">
      <w:pPr>
        <w:widowControl/>
        <w:spacing w:line="360" w:lineRule="auto"/>
        <w:jc w:val="left"/>
        <w:rPr>
          <w:rFonts w:hint="eastAsia" w:ascii="宋体" w:hAnsi="宋体" w:eastAsia="宋体" w:cs="宋体"/>
          <w:color w:val="auto"/>
          <w:highlight w:val="none"/>
        </w:rPr>
        <w:sectPr>
          <w:pgSz w:w="11911" w:h="16838"/>
          <w:pgMar w:top="1417" w:right="1417" w:bottom="1417" w:left="1417" w:header="720" w:footer="720" w:gutter="0"/>
          <w:paperSrc/>
          <w:pgNumType w:fmt="decimal"/>
          <w:cols w:space="720" w:num="1"/>
          <w:rtlGutter w:val="0"/>
          <w:docGrid w:linePitch="0" w:charSpace="0"/>
        </w:sectPr>
      </w:pPr>
    </w:p>
    <w:p w14:paraId="44F2AF9D">
      <w:pPr>
        <w:pStyle w:val="3"/>
        <w:jc w:val="center"/>
        <w:rPr>
          <w:rFonts w:hint="eastAsia" w:ascii="宋体" w:hAnsi="宋体" w:eastAsia="宋体" w:cs="宋体"/>
          <w:b w:val="0"/>
          <w:color w:val="auto"/>
          <w:highlight w:val="none"/>
        </w:rPr>
      </w:pPr>
      <w:bookmarkStart w:id="98" w:name="_Toc3930"/>
      <w:bookmarkStart w:id="99" w:name="_Toc24296"/>
      <w:bookmarkStart w:id="100" w:name="_Toc32006"/>
      <w:r>
        <w:rPr>
          <w:rFonts w:hint="eastAsia" w:ascii="宋体" w:hAnsi="宋体" w:eastAsia="宋体" w:cs="宋体"/>
          <w:b w:val="0"/>
          <w:bCs w:val="0"/>
          <w:color w:val="auto"/>
          <w:highlight w:val="none"/>
        </w:rPr>
        <w:t xml:space="preserve">第二节 </w:t>
      </w:r>
      <w:r>
        <w:rPr>
          <w:rFonts w:hint="eastAsia" w:ascii="宋体" w:hAnsi="宋体" w:eastAsia="宋体" w:cs="宋体"/>
          <w:b w:val="0"/>
          <w:color w:val="auto"/>
          <w:highlight w:val="none"/>
        </w:rPr>
        <w:t>商务技术文件格式</w:t>
      </w:r>
      <w:bookmarkEnd w:id="98"/>
      <w:bookmarkEnd w:id="99"/>
      <w:bookmarkEnd w:id="100"/>
    </w:p>
    <w:p w14:paraId="110EA67A">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D602DA2">
      <w:pPr>
        <w:snapToGrid w:val="0"/>
        <w:spacing w:before="120" w:beforeLines="50" w:after="50"/>
        <w:rPr>
          <w:rFonts w:hint="eastAsia" w:ascii="宋体" w:hAnsi="宋体" w:eastAsia="宋体" w:cs="宋体"/>
          <w:color w:val="auto"/>
          <w:sz w:val="24"/>
          <w:szCs w:val="20"/>
          <w:highlight w:val="none"/>
        </w:rPr>
      </w:pPr>
    </w:p>
    <w:p w14:paraId="1716D785">
      <w:pPr>
        <w:snapToGrid w:val="0"/>
        <w:spacing w:before="120" w:beforeLines="50" w:after="50"/>
        <w:rPr>
          <w:rFonts w:hint="eastAsia" w:ascii="宋体" w:hAnsi="宋体" w:eastAsia="宋体" w:cs="宋体"/>
          <w:color w:val="auto"/>
          <w:sz w:val="24"/>
          <w:szCs w:val="20"/>
          <w:highlight w:val="none"/>
        </w:rPr>
      </w:pPr>
    </w:p>
    <w:p w14:paraId="7F8E7D4D">
      <w:pPr>
        <w:snapToGrid w:val="0"/>
        <w:spacing w:before="120" w:beforeLines="50" w:after="50"/>
        <w:rPr>
          <w:rFonts w:hint="eastAsia" w:ascii="宋体" w:hAnsi="宋体" w:eastAsia="宋体" w:cs="宋体"/>
          <w:color w:val="auto"/>
          <w:sz w:val="24"/>
          <w:szCs w:val="20"/>
          <w:highlight w:val="none"/>
        </w:rPr>
      </w:pPr>
    </w:p>
    <w:p w14:paraId="7506B17C">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2713ED8F">
      <w:pPr>
        <w:snapToGrid w:val="0"/>
        <w:spacing w:before="120" w:beforeLines="50" w:after="50"/>
        <w:rPr>
          <w:rFonts w:hint="eastAsia" w:ascii="宋体" w:hAnsi="宋体" w:eastAsia="宋体" w:cs="宋体"/>
          <w:bCs/>
          <w:color w:val="auto"/>
          <w:sz w:val="24"/>
          <w:szCs w:val="20"/>
          <w:highlight w:val="none"/>
        </w:rPr>
      </w:pPr>
    </w:p>
    <w:p w14:paraId="78531B77">
      <w:pPr>
        <w:snapToGrid w:val="0"/>
        <w:spacing w:before="120" w:beforeLines="50" w:after="50"/>
        <w:rPr>
          <w:rFonts w:hint="eastAsia" w:ascii="宋体" w:hAnsi="宋体" w:eastAsia="宋体" w:cs="宋体"/>
          <w:bCs/>
          <w:color w:val="auto"/>
          <w:sz w:val="24"/>
          <w:szCs w:val="20"/>
          <w:highlight w:val="none"/>
        </w:rPr>
      </w:pPr>
    </w:p>
    <w:p w14:paraId="1537CA90">
      <w:pPr>
        <w:snapToGrid w:val="0"/>
        <w:spacing w:before="120" w:beforeLines="50" w:after="50"/>
        <w:rPr>
          <w:rFonts w:hint="eastAsia" w:ascii="宋体" w:hAnsi="宋体" w:eastAsia="宋体" w:cs="宋体"/>
          <w:bCs/>
          <w:color w:val="auto"/>
          <w:sz w:val="24"/>
          <w:szCs w:val="20"/>
          <w:highlight w:val="none"/>
        </w:rPr>
      </w:pPr>
    </w:p>
    <w:p w14:paraId="0134F45A">
      <w:pPr>
        <w:snapToGrid w:val="0"/>
        <w:spacing w:before="120" w:beforeLines="50" w:after="50"/>
        <w:rPr>
          <w:rFonts w:hint="eastAsia" w:ascii="宋体" w:hAnsi="宋体" w:eastAsia="宋体" w:cs="宋体"/>
          <w:bCs/>
          <w:color w:val="auto"/>
          <w:sz w:val="24"/>
          <w:szCs w:val="20"/>
          <w:highlight w:val="none"/>
        </w:rPr>
      </w:pPr>
    </w:p>
    <w:p w14:paraId="194AC84C">
      <w:pPr>
        <w:snapToGrid w:val="0"/>
        <w:spacing w:before="120" w:beforeLines="50" w:after="50"/>
        <w:rPr>
          <w:rFonts w:hint="eastAsia" w:ascii="宋体" w:hAnsi="宋体" w:eastAsia="宋体" w:cs="宋体"/>
          <w:bCs/>
          <w:color w:val="auto"/>
          <w:sz w:val="24"/>
          <w:szCs w:val="20"/>
          <w:highlight w:val="none"/>
        </w:rPr>
      </w:pPr>
    </w:p>
    <w:p w14:paraId="481AE198">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南宁职业技术大学行人通道改造设备项目（重）</w:t>
      </w:r>
    </w:p>
    <w:p w14:paraId="279B9A46">
      <w:pPr>
        <w:snapToGrid w:val="0"/>
        <w:spacing w:before="120" w:beforeLines="50" w:after="50"/>
        <w:ind w:firstLine="720" w:firstLineChars="225"/>
        <w:rPr>
          <w:rFonts w:hint="eastAsia" w:ascii="宋体" w:hAnsi="宋体" w:eastAsia="宋体" w:cs="宋体"/>
          <w:bCs/>
          <w:color w:val="auto"/>
          <w:sz w:val="32"/>
          <w:szCs w:val="32"/>
          <w:highlight w:val="none"/>
        </w:rPr>
      </w:pPr>
    </w:p>
    <w:p w14:paraId="5D63E7F1">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eastAsia="zh-CN"/>
        </w:rPr>
        <w:t>NNZC2025-J1-990717-JDZB</w:t>
      </w:r>
    </w:p>
    <w:p w14:paraId="78F71234">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F5302C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51DC4C6">
      <w:pPr>
        <w:snapToGrid w:val="0"/>
        <w:spacing w:before="120" w:beforeLines="50" w:after="50"/>
        <w:ind w:firstLine="720" w:firstLineChars="225"/>
        <w:rPr>
          <w:rFonts w:hint="eastAsia" w:ascii="宋体" w:hAnsi="宋体" w:eastAsia="宋体" w:cs="宋体"/>
          <w:bCs/>
          <w:color w:val="auto"/>
          <w:sz w:val="32"/>
          <w:szCs w:val="32"/>
          <w:highlight w:val="none"/>
        </w:rPr>
      </w:pPr>
    </w:p>
    <w:p w14:paraId="2316E420">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D2CE918">
      <w:pPr>
        <w:pStyle w:val="8"/>
        <w:snapToGrid w:val="0"/>
        <w:spacing w:before="50" w:after="50"/>
        <w:ind w:firstLine="720" w:firstLineChars="225"/>
        <w:rPr>
          <w:rFonts w:hint="eastAsia" w:ascii="宋体" w:hAnsi="宋体" w:eastAsia="宋体" w:cs="宋体"/>
          <w:bCs/>
          <w:color w:val="auto"/>
          <w:sz w:val="32"/>
          <w:szCs w:val="32"/>
          <w:highlight w:val="none"/>
        </w:rPr>
      </w:pPr>
    </w:p>
    <w:p w14:paraId="3FDEF8CF">
      <w:pPr>
        <w:pStyle w:val="8"/>
        <w:snapToGrid w:val="0"/>
        <w:spacing w:before="50" w:after="50"/>
        <w:ind w:firstLine="720" w:firstLineChars="225"/>
        <w:rPr>
          <w:rFonts w:hint="eastAsia" w:ascii="宋体" w:hAnsi="宋体" w:eastAsia="宋体" w:cs="宋体"/>
          <w:bCs/>
          <w:color w:val="auto"/>
          <w:sz w:val="32"/>
          <w:szCs w:val="32"/>
          <w:highlight w:val="none"/>
        </w:rPr>
      </w:pPr>
    </w:p>
    <w:p w14:paraId="3404F8E0">
      <w:pPr>
        <w:pStyle w:val="8"/>
        <w:snapToGrid w:val="0"/>
        <w:spacing w:before="50" w:after="50"/>
        <w:ind w:firstLine="1280" w:firstLineChars="400"/>
        <w:rPr>
          <w:rFonts w:hint="eastAsia" w:ascii="宋体" w:hAnsi="宋体" w:eastAsia="宋体" w:cs="宋体"/>
          <w:bCs/>
          <w:color w:val="auto"/>
          <w:sz w:val="32"/>
          <w:szCs w:val="32"/>
          <w:highlight w:val="none"/>
        </w:rPr>
      </w:pPr>
    </w:p>
    <w:p w14:paraId="516DA3E7">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4C54656">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14C28CC6">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无串通竞标行为的承诺函</w:t>
      </w:r>
      <w:r>
        <w:rPr>
          <w:rFonts w:hint="eastAsia" w:ascii="宋体" w:hAnsi="宋体" w:eastAsia="宋体" w:cs="宋体"/>
          <w:color w:val="auto"/>
          <w:highlight w:val="none"/>
        </w:rPr>
        <w:t>………………………………………………………（页码）</w:t>
      </w:r>
    </w:p>
    <w:p w14:paraId="497F4157">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4A3C31DA">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22DF7031">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7CFF170">
      <w:pPr>
        <w:pStyle w:val="40"/>
        <w:spacing w:line="360" w:lineRule="auto"/>
        <w:rPr>
          <w:rFonts w:hint="eastAsia" w:ascii="宋体" w:hAnsi="宋体" w:eastAsia="宋体" w:cs="宋体"/>
          <w:color w:val="auto"/>
          <w:highlight w:val="none"/>
        </w:rPr>
      </w:pPr>
      <w:bookmarkStart w:id="101" w:name="OLE_LINK6"/>
      <w:bookmarkStart w:id="102" w:name="OLE_LINK7"/>
      <w:bookmarkStart w:id="103" w:name="OLE_LINK5"/>
      <w:r>
        <w:rPr>
          <w:rFonts w:hint="eastAsia" w:ascii="宋体" w:hAnsi="宋体" w:eastAsia="宋体" w:cs="宋体"/>
          <w:color w:val="auto"/>
          <w:highlight w:val="none"/>
        </w:rPr>
        <w:t>五、</w:t>
      </w:r>
      <w:r>
        <w:rPr>
          <w:rFonts w:hint="eastAsia" w:ascii="宋体" w:hAnsi="宋体" w:eastAsia="宋体" w:cs="宋体"/>
          <w:color w:val="auto"/>
          <w:highlight w:val="none"/>
          <w:lang w:eastAsia="zh-CN"/>
        </w:rPr>
        <w:t>竞标供应商</w:t>
      </w:r>
      <w:r>
        <w:rPr>
          <w:rFonts w:hint="eastAsia" w:ascii="宋体" w:hAnsi="宋体" w:eastAsia="宋体" w:cs="宋体"/>
          <w:color w:val="auto"/>
          <w:highlight w:val="none"/>
        </w:rPr>
        <w:t>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65F923C">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101"/>
      <w:bookmarkEnd w:id="102"/>
    </w:p>
    <w:bookmarkEnd w:id="103"/>
    <w:p w14:paraId="3544A0AD">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w:t>
      </w:r>
      <w:r>
        <w:rPr>
          <w:rFonts w:hint="eastAsia" w:ascii="宋体" w:hAnsi="宋体" w:eastAsia="宋体" w:cs="宋体"/>
          <w:color w:val="auto"/>
          <w:highlight w:val="none"/>
          <w:lang w:eastAsia="zh-CN"/>
        </w:rPr>
        <w:t>技术要求偏离表</w:t>
      </w:r>
      <w:r>
        <w:rPr>
          <w:rFonts w:hint="eastAsia" w:ascii="宋体" w:hAnsi="宋体" w:eastAsia="宋体" w:cs="宋体"/>
          <w:color w:val="auto"/>
          <w:highlight w:val="none"/>
        </w:rPr>
        <w:t>…………………………………………………………（页码）</w:t>
      </w:r>
    </w:p>
    <w:p w14:paraId="2E9381A4">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八、组织服务方案……………………………………………………………（页码）</w:t>
      </w:r>
    </w:p>
    <w:p w14:paraId="60BF79D7">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17F0C9D">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1C6CFE6D">
      <w:pPr>
        <w:pStyle w:val="4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w:t>
      </w:r>
      <w:r>
        <w:rPr>
          <w:rFonts w:hint="eastAsia" w:ascii="宋体" w:hAnsi="宋体" w:eastAsia="宋体" w:cs="宋体"/>
          <w:color w:val="auto"/>
          <w:highlight w:val="none"/>
          <w:lang w:eastAsia="zh-CN"/>
        </w:rPr>
        <w:t>技术要求</w:t>
      </w:r>
      <w:r>
        <w:rPr>
          <w:rFonts w:hint="eastAsia" w:ascii="宋体" w:hAnsi="宋体" w:eastAsia="宋体" w:cs="宋体"/>
          <w:color w:val="auto"/>
          <w:highlight w:val="none"/>
        </w:rPr>
        <w:t>、商务条款要求提供的其他材料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0B178A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11BC1CD7">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5C9F1635">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无串通竞标行为的承诺函</w:t>
      </w:r>
    </w:p>
    <w:p w14:paraId="6BC6618F">
      <w:pPr>
        <w:spacing w:line="520" w:lineRule="exact"/>
        <w:jc w:val="center"/>
        <w:rPr>
          <w:rFonts w:hint="eastAsia" w:ascii="宋体" w:hAnsi="宋体" w:eastAsia="宋体" w:cs="宋体"/>
          <w:color w:val="auto"/>
          <w:sz w:val="44"/>
          <w:szCs w:val="44"/>
          <w:highlight w:val="none"/>
        </w:rPr>
      </w:pPr>
    </w:p>
    <w:p w14:paraId="79834CB0">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7CD68E0F">
      <w:pPr>
        <w:spacing w:line="360" w:lineRule="auto"/>
        <w:rPr>
          <w:rFonts w:hint="eastAsia" w:ascii="宋体" w:hAnsi="宋体" w:eastAsia="宋体" w:cs="宋体"/>
          <w:color w:val="auto"/>
          <w:sz w:val="32"/>
          <w:szCs w:val="32"/>
          <w:highlight w:val="none"/>
        </w:rPr>
      </w:pPr>
    </w:p>
    <w:p w14:paraId="22E8BE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74A50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1.不同供应商的响应文件由同一单位或者个人编制；或者不同供应商报名的IP地址一致的；或者编制响应文件硬件设备CPU编号、硬盘编号、网卡地址一致的情况。</w:t>
      </w:r>
    </w:p>
    <w:p w14:paraId="3E8A2D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6D2009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28E556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14C389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09578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保证金从同一单位或者个人账户转出。</w:t>
      </w:r>
    </w:p>
    <w:p w14:paraId="125AE88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5C6EB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051660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5C657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EB118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3493CB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2BF7DA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9D48F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2FB08B6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以上情形一经核查属实，我方愿意承担一切后果，接受政府采购监管部门对我方认定存在围标串标行为，并不再寻求任何旨在减轻或者免除法律责任的辩解。</w:t>
      </w:r>
    </w:p>
    <w:p w14:paraId="2F6D622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7CD3DDC">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二、法定代表人证明</w:t>
      </w:r>
      <w:r>
        <w:rPr>
          <w:rFonts w:hint="eastAsia" w:ascii="宋体" w:hAnsi="宋体" w:eastAsia="宋体" w:cs="宋体"/>
          <w:b/>
          <w:color w:val="auto"/>
          <w:sz w:val="30"/>
          <w:szCs w:val="30"/>
          <w:highlight w:val="none"/>
          <w:lang w:eastAsia="zh-CN"/>
        </w:rPr>
        <w:t>书</w:t>
      </w:r>
      <w:r>
        <w:rPr>
          <w:rFonts w:hint="eastAsia" w:ascii="宋体" w:hAnsi="宋体" w:eastAsia="宋体" w:cs="宋体"/>
          <w:b/>
          <w:color w:val="auto"/>
          <w:sz w:val="30"/>
          <w:szCs w:val="30"/>
          <w:highlight w:val="none"/>
        </w:rPr>
        <w:t>及法定代表人有效身份证正反面复印件</w:t>
      </w:r>
    </w:p>
    <w:p w14:paraId="249DBC61">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4832ABC0">
      <w:pPr>
        <w:spacing w:line="360" w:lineRule="auto"/>
        <w:ind w:left="540"/>
        <w:contextualSpacing/>
        <w:rPr>
          <w:rFonts w:hint="eastAsia" w:ascii="宋体" w:hAnsi="宋体" w:eastAsia="宋体" w:cs="宋体"/>
          <w:color w:val="auto"/>
          <w:sz w:val="32"/>
          <w:szCs w:val="32"/>
          <w:highlight w:val="none"/>
        </w:rPr>
      </w:pPr>
    </w:p>
    <w:p w14:paraId="2A8A9B8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76A2C5D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597F7B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6A9FADAB">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45E835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56825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2782D6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AC9FE81">
      <w:pPr>
        <w:spacing w:line="360" w:lineRule="auto"/>
        <w:ind w:left="540"/>
        <w:contextualSpacing/>
        <w:rPr>
          <w:rFonts w:hint="eastAsia" w:ascii="宋体" w:hAnsi="宋体" w:eastAsia="宋体" w:cs="宋体"/>
          <w:color w:val="auto"/>
          <w:sz w:val="24"/>
          <w:highlight w:val="none"/>
        </w:rPr>
      </w:pPr>
    </w:p>
    <w:p w14:paraId="0B6AE11B">
      <w:pPr>
        <w:spacing w:line="360" w:lineRule="auto"/>
        <w:ind w:left="540"/>
        <w:contextualSpacing/>
        <w:rPr>
          <w:rFonts w:hint="eastAsia" w:ascii="宋体" w:hAnsi="宋体" w:eastAsia="宋体" w:cs="宋体"/>
          <w:color w:val="auto"/>
          <w:sz w:val="24"/>
          <w:highlight w:val="none"/>
        </w:rPr>
      </w:pPr>
    </w:p>
    <w:p w14:paraId="6AE44A27">
      <w:pPr>
        <w:spacing w:line="360" w:lineRule="auto"/>
        <w:ind w:left="540"/>
        <w:contextualSpacing/>
        <w:rPr>
          <w:rFonts w:hint="eastAsia" w:ascii="宋体" w:hAnsi="宋体" w:eastAsia="宋体" w:cs="宋体"/>
          <w:color w:val="auto"/>
          <w:sz w:val="24"/>
          <w:highlight w:val="none"/>
        </w:rPr>
      </w:pPr>
    </w:p>
    <w:p w14:paraId="79B9A68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89C17A8">
      <w:pPr>
        <w:spacing w:line="360" w:lineRule="auto"/>
        <w:ind w:left="540"/>
        <w:contextualSpacing/>
        <w:rPr>
          <w:rFonts w:hint="eastAsia" w:ascii="宋体" w:hAnsi="宋体" w:eastAsia="宋体" w:cs="宋体"/>
          <w:color w:val="auto"/>
          <w:sz w:val="24"/>
          <w:highlight w:val="none"/>
        </w:rPr>
      </w:pPr>
    </w:p>
    <w:p w14:paraId="2CA7DFB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4D0F409">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1CEEED3A">
      <w:pPr>
        <w:spacing w:line="360" w:lineRule="auto"/>
        <w:jc w:val="left"/>
        <w:rPr>
          <w:rFonts w:hint="eastAsia" w:ascii="宋体" w:hAnsi="宋体" w:eastAsia="宋体" w:cs="宋体"/>
          <w:color w:val="auto"/>
          <w:sz w:val="24"/>
          <w:highlight w:val="none"/>
        </w:rPr>
      </w:pPr>
    </w:p>
    <w:p w14:paraId="346B375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510CDF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CA44B31">
      <w:pPr>
        <w:widowControl/>
        <w:spacing w:line="360" w:lineRule="auto"/>
        <w:jc w:val="left"/>
        <w:rPr>
          <w:rFonts w:hint="eastAsia" w:ascii="宋体" w:hAnsi="宋体" w:eastAsia="宋体" w:cs="宋体"/>
          <w:color w:val="auto"/>
          <w:sz w:val="24"/>
          <w:highlight w:val="none"/>
        </w:rPr>
        <w:sectPr>
          <w:pgSz w:w="11911" w:h="16838"/>
          <w:pgMar w:top="1417" w:right="1417" w:bottom="1417" w:left="1417" w:header="720" w:footer="720" w:gutter="0"/>
          <w:paperSrc/>
          <w:pgNumType w:fmt="decimal"/>
          <w:cols w:space="720" w:num="1"/>
          <w:rtlGutter w:val="0"/>
          <w:docGrid w:linePitch="0" w:charSpace="0"/>
        </w:sectPr>
      </w:pPr>
    </w:p>
    <w:tbl>
      <w:tblPr>
        <w:tblStyle w:val="27"/>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E06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14:paraId="26E45403">
            <w:pPr>
              <w:spacing w:line="360" w:lineRule="auto"/>
              <w:rPr>
                <w:rFonts w:hint="eastAsia" w:ascii="宋体" w:hAnsi="宋体" w:eastAsia="宋体" w:cs="宋体"/>
                <w:b/>
                <w:color w:val="auto"/>
                <w:sz w:val="24"/>
                <w:highlight w:val="none"/>
              </w:rPr>
            </w:pPr>
          </w:p>
          <w:p w14:paraId="53234D5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674193F1">
      <w:pPr>
        <w:spacing w:line="360" w:lineRule="auto"/>
        <w:ind w:firstLine="482" w:firstLineChars="200"/>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47FF2FC3">
      <w:pPr>
        <w:adjustRightInd w:val="0"/>
        <w:snapToGrid w:val="0"/>
        <w:spacing w:line="300" w:lineRule="auto"/>
        <w:jc w:val="left"/>
        <w:rPr>
          <w:rFonts w:hint="eastAsia" w:ascii="宋体" w:hAnsi="宋体" w:eastAsia="宋体" w:cs="宋体"/>
          <w:b/>
          <w:color w:val="auto"/>
          <w:szCs w:val="21"/>
          <w:highlight w:val="none"/>
        </w:rPr>
      </w:pPr>
    </w:p>
    <w:p w14:paraId="73C77B9F">
      <w:pPr>
        <w:snapToGrid w:val="0"/>
        <w:spacing w:line="360" w:lineRule="auto"/>
        <w:ind w:firstLine="880" w:firstLineChars="200"/>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745AC7B9">
      <w:pPr>
        <w:spacing w:line="500" w:lineRule="exact"/>
        <w:jc w:val="center"/>
        <w:rPr>
          <w:rFonts w:hint="eastAsia" w:ascii="宋体" w:hAnsi="宋体" w:eastAsia="宋体" w:cs="宋体"/>
          <w:color w:val="auto"/>
          <w:sz w:val="44"/>
          <w:szCs w:val="44"/>
          <w:highlight w:val="none"/>
        </w:rPr>
      </w:pPr>
    </w:p>
    <w:p w14:paraId="0ACC4A91">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1CC9221B">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444BCF40">
      <w:pPr>
        <w:spacing w:line="520" w:lineRule="exact"/>
        <w:rPr>
          <w:rFonts w:hint="eastAsia" w:ascii="宋体" w:hAnsi="宋体" w:eastAsia="宋体" w:cs="宋体"/>
          <w:color w:val="auto"/>
          <w:sz w:val="32"/>
          <w:szCs w:val="32"/>
          <w:highlight w:val="none"/>
        </w:rPr>
      </w:pPr>
    </w:p>
    <w:p w14:paraId="248CAC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广西机电设备招标有限公司</w:t>
      </w:r>
      <w:r>
        <w:rPr>
          <w:rFonts w:hint="eastAsia" w:ascii="宋体" w:hAnsi="宋体" w:eastAsia="宋体" w:cs="宋体"/>
          <w:color w:val="auto"/>
          <w:sz w:val="24"/>
          <w:highlight w:val="none"/>
        </w:rPr>
        <w:t>：</w:t>
      </w:r>
    </w:p>
    <w:p w14:paraId="5E3203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南宁职业技术大学行人通道改造设备项目（重）</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DF850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59F36B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6895C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21E69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附：法定代表人证明书及委托代理人有效身份证正反面复印件</w:t>
      </w:r>
    </w:p>
    <w:p w14:paraId="6C0880A8">
      <w:pPr>
        <w:spacing w:line="360" w:lineRule="auto"/>
        <w:rPr>
          <w:rFonts w:hint="eastAsia" w:ascii="宋体" w:hAnsi="宋体" w:eastAsia="宋体" w:cs="宋体"/>
          <w:color w:val="auto"/>
          <w:sz w:val="24"/>
          <w:highlight w:val="none"/>
        </w:rPr>
      </w:pPr>
    </w:p>
    <w:p w14:paraId="1D3D8C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428A7B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674A8E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B17C86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0BE2B4F9">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7BA66F90">
      <w:pPr>
        <w:spacing w:line="360" w:lineRule="auto"/>
        <w:rPr>
          <w:rFonts w:hint="eastAsia" w:ascii="宋体" w:hAnsi="宋体" w:eastAsia="宋体" w:cs="宋体"/>
          <w:color w:val="auto"/>
          <w:sz w:val="24"/>
          <w:highlight w:val="none"/>
        </w:rPr>
      </w:pPr>
    </w:p>
    <w:p w14:paraId="5D69A8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6ED19F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2B088D1">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568AEB1F">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01E0AD83">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19B48DBB">
      <w:pPr>
        <w:spacing w:line="500" w:lineRule="exact"/>
        <w:jc w:val="center"/>
        <w:rPr>
          <w:rFonts w:hint="eastAsia" w:ascii="宋体" w:hAnsi="宋体" w:eastAsia="宋体" w:cs="宋体"/>
          <w:color w:val="auto"/>
          <w:sz w:val="44"/>
          <w:szCs w:val="44"/>
          <w:highlight w:val="none"/>
        </w:rPr>
      </w:pPr>
    </w:p>
    <w:p w14:paraId="6659988C">
      <w:pPr>
        <w:spacing w:line="500" w:lineRule="exact"/>
        <w:jc w:val="center"/>
        <w:rPr>
          <w:rFonts w:hint="eastAsia" w:ascii="宋体" w:hAnsi="宋体" w:eastAsia="宋体" w:cs="宋体"/>
          <w:color w:val="auto"/>
          <w:sz w:val="32"/>
          <w:szCs w:val="32"/>
          <w:highlight w:val="none"/>
        </w:rPr>
      </w:pPr>
    </w:p>
    <w:p w14:paraId="058E974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69614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35C565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CB721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F7B8C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BC1588C">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3BBBCF37">
      <w:pPr>
        <w:spacing w:line="360" w:lineRule="auto"/>
        <w:ind w:firstLine="3000" w:firstLineChars="12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2F902614">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122461A">
      <w:pPr>
        <w:spacing w:line="360" w:lineRule="auto"/>
        <w:rPr>
          <w:rFonts w:hint="eastAsia" w:ascii="宋体" w:hAnsi="宋体" w:eastAsia="宋体" w:cs="宋体"/>
          <w:color w:val="auto"/>
          <w:sz w:val="24"/>
          <w:highlight w:val="none"/>
        </w:rPr>
      </w:pPr>
    </w:p>
    <w:p w14:paraId="3BCB4663">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0CA7B4EC">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CCA40DD">
      <w:pPr>
        <w:spacing w:line="360" w:lineRule="auto"/>
        <w:rPr>
          <w:rFonts w:hint="eastAsia" w:ascii="宋体" w:hAnsi="宋体" w:eastAsia="宋体" w:cs="宋体"/>
          <w:color w:val="auto"/>
          <w:sz w:val="24"/>
          <w:highlight w:val="none"/>
        </w:rPr>
      </w:pPr>
    </w:p>
    <w:p w14:paraId="5B51FA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10530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F07881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31AED4F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6722BD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4.法人、其他组织竞标时“我方”是指“我单位”，自然人竞标时“我方”是指“本人”。</w:t>
      </w:r>
    </w:p>
    <w:p w14:paraId="5637B9A0">
      <w:pPr>
        <w:snapToGrid w:val="0"/>
        <w:spacing w:line="360" w:lineRule="auto"/>
        <w:ind w:firstLine="64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36E63B59">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商务条款偏离表（格式）</w:t>
      </w:r>
    </w:p>
    <w:p w14:paraId="5A97081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2F6D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7521E92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1989F92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竞争性谈判采购文件的商务需求</w:t>
            </w:r>
          </w:p>
        </w:tc>
        <w:tc>
          <w:tcPr>
            <w:tcW w:w="2606" w:type="dxa"/>
            <w:tcBorders>
              <w:top w:val="single" w:color="auto" w:sz="4" w:space="0"/>
              <w:left w:val="single" w:color="auto" w:sz="4" w:space="0"/>
              <w:right w:val="single" w:color="auto" w:sz="4" w:space="0"/>
            </w:tcBorders>
            <w:noWrap w:val="0"/>
            <w:vAlign w:val="top"/>
          </w:tcPr>
          <w:p w14:paraId="103A482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2426" w:type="dxa"/>
            <w:tcBorders>
              <w:top w:val="single" w:color="auto" w:sz="4" w:space="0"/>
              <w:left w:val="single" w:color="auto" w:sz="4" w:space="0"/>
              <w:right w:val="single" w:color="auto" w:sz="4" w:space="0"/>
            </w:tcBorders>
            <w:noWrap w:val="0"/>
            <w:vAlign w:val="top"/>
          </w:tcPr>
          <w:p w14:paraId="2A99093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7E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71478C9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0D8F9C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606" w:type="dxa"/>
            <w:tcBorders>
              <w:top w:val="single" w:color="auto" w:sz="4" w:space="0"/>
              <w:left w:val="single" w:color="auto" w:sz="4" w:space="0"/>
              <w:right w:val="single" w:color="auto" w:sz="4" w:space="0"/>
            </w:tcBorders>
            <w:noWrap w:val="0"/>
            <w:vAlign w:val="top"/>
          </w:tcPr>
          <w:p w14:paraId="6801EF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426" w:type="dxa"/>
            <w:tcBorders>
              <w:top w:val="single" w:color="auto" w:sz="4" w:space="0"/>
              <w:left w:val="single" w:color="auto" w:sz="4" w:space="0"/>
              <w:right w:val="single" w:color="auto" w:sz="4" w:space="0"/>
            </w:tcBorders>
            <w:noWrap w:val="0"/>
            <w:vAlign w:val="top"/>
          </w:tcPr>
          <w:p w14:paraId="6D20365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345A5F98">
            <w:pPr>
              <w:spacing w:line="300" w:lineRule="exact"/>
              <w:rPr>
                <w:rFonts w:hint="eastAsia" w:ascii="宋体" w:hAnsi="宋体" w:eastAsia="宋体" w:cs="宋体"/>
                <w:color w:val="auto"/>
                <w:szCs w:val="21"/>
                <w:highlight w:val="none"/>
              </w:rPr>
            </w:pPr>
          </w:p>
        </w:tc>
      </w:tr>
      <w:tr w14:paraId="005E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228AEC1">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F814F4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A454287">
            <w:pPr>
              <w:spacing w:line="340" w:lineRule="exact"/>
              <w:rPr>
                <w:rFonts w:hint="eastAsia" w:ascii="宋体" w:hAnsi="宋体" w:eastAsia="宋体" w:cs="宋体"/>
                <w:color w:val="auto"/>
                <w:szCs w:val="21"/>
                <w:highlight w:val="none"/>
              </w:rPr>
            </w:pPr>
          </w:p>
        </w:tc>
        <w:tc>
          <w:tcPr>
            <w:tcW w:w="2606" w:type="dxa"/>
            <w:tcBorders>
              <w:left w:val="single" w:color="auto" w:sz="4" w:space="0"/>
              <w:right w:val="single" w:color="auto" w:sz="4" w:space="0"/>
            </w:tcBorders>
            <w:noWrap w:val="0"/>
            <w:vAlign w:val="top"/>
          </w:tcPr>
          <w:p w14:paraId="6D5A6AE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449447C">
            <w:pPr>
              <w:spacing w:line="300" w:lineRule="exact"/>
              <w:rPr>
                <w:rFonts w:hint="eastAsia" w:ascii="宋体" w:hAnsi="宋体" w:eastAsia="宋体" w:cs="宋体"/>
                <w:color w:val="auto"/>
                <w:szCs w:val="21"/>
                <w:highlight w:val="none"/>
              </w:rPr>
            </w:pPr>
          </w:p>
        </w:tc>
        <w:tc>
          <w:tcPr>
            <w:tcW w:w="2426" w:type="dxa"/>
            <w:tcBorders>
              <w:left w:val="single" w:color="auto" w:sz="4" w:space="0"/>
              <w:right w:val="single" w:color="auto" w:sz="4" w:space="0"/>
            </w:tcBorders>
            <w:noWrap w:val="0"/>
            <w:vAlign w:val="top"/>
          </w:tcPr>
          <w:p w14:paraId="61773941">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60440BF">
            <w:pPr>
              <w:spacing w:line="300" w:lineRule="exact"/>
              <w:rPr>
                <w:rFonts w:hint="eastAsia" w:ascii="宋体" w:hAnsi="宋体" w:eastAsia="宋体" w:cs="宋体"/>
                <w:color w:val="auto"/>
                <w:szCs w:val="21"/>
                <w:highlight w:val="none"/>
              </w:rPr>
            </w:pPr>
          </w:p>
        </w:tc>
      </w:tr>
      <w:tr w14:paraId="7CBE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A54C7E9">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DB1273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D5A36C3">
            <w:pPr>
              <w:spacing w:line="340" w:lineRule="exact"/>
              <w:rPr>
                <w:rFonts w:hint="eastAsia" w:ascii="宋体" w:hAnsi="宋体" w:eastAsia="宋体" w:cs="宋体"/>
                <w:color w:val="auto"/>
                <w:szCs w:val="21"/>
                <w:highlight w:val="none"/>
              </w:rPr>
            </w:pPr>
          </w:p>
        </w:tc>
        <w:tc>
          <w:tcPr>
            <w:tcW w:w="2606" w:type="dxa"/>
            <w:tcBorders>
              <w:left w:val="single" w:color="auto" w:sz="4" w:space="0"/>
              <w:right w:val="single" w:color="auto" w:sz="4" w:space="0"/>
            </w:tcBorders>
            <w:noWrap w:val="0"/>
            <w:vAlign w:val="top"/>
          </w:tcPr>
          <w:p w14:paraId="63B20E3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D66E35B">
            <w:pPr>
              <w:spacing w:line="300" w:lineRule="exact"/>
              <w:rPr>
                <w:rFonts w:hint="eastAsia" w:ascii="宋体" w:hAnsi="宋体" w:eastAsia="宋体" w:cs="宋体"/>
                <w:color w:val="auto"/>
                <w:szCs w:val="21"/>
                <w:highlight w:val="none"/>
              </w:rPr>
            </w:pPr>
          </w:p>
        </w:tc>
        <w:tc>
          <w:tcPr>
            <w:tcW w:w="2426" w:type="dxa"/>
            <w:tcBorders>
              <w:left w:val="single" w:color="auto" w:sz="4" w:space="0"/>
              <w:right w:val="single" w:color="auto" w:sz="4" w:space="0"/>
            </w:tcBorders>
            <w:noWrap w:val="0"/>
            <w:vAlign w:val="top"/>
          </w:tcPr>
          <w:p w14:paraId="1EA75C6B">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2F788E93">
            <w:pPr>
              <w:spacing w:line="300" w:lineRule="exact"/>
              <w:rPr>
                <w:rFonts w:hint="eastAsia" w:ascii="宋体" w:hAnsi="宋体" w:eastAsia="宋体" w:cs="宋体"/>
                <w:color w:val="auto"/>
                <w:szCs w:val="21"/>
                <w:highlight w:val="none"/>
              </w:rPr>
            </w:pPr>
          </w:p>
        </w:tc>
      </w:tr>
      <w:tr w14:paraId="4365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3766508C">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EC50B7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606" w:type="dxa"/>
            <w:tcBorders>
              <w:left w:val="single" w:color="auto" w:sz="4" w:space="0"/>
              <w:bottom w:val="single" w:color="auto" w:sz="4" w:space="0"/>
              <w:right w:val="single" w:color="auto" w:sz="4" w:space="0"/>
            </w:tcBorders>
            <w:noWrap w:val="0"/>
            <w:vAlign w:val="top"/>
          </w:tcPr>
          <w:p w14:paraId="3D4D7599">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26" w:type="dxa"/>
            <w:tcBorders>
              <w:left w:val="single" w:color="auto" w:sz="4" w:space="0"/>
              <w:bottom w:val="single" w:color="auto" w:sz="4" w:space="0"/>
              <w:right w:val="single" w:color="auto" w:sz="4" w:space="0"/>
            </w:tcBorders>
            <w:noWrap w:val="0"/>
            <w:vAlign w:val="top"/>
          </w:tcPr>
          <w:p w14:paraId="742586E7">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2101307C">
            <w:pPr>
              <w:spacing w:line="300" w:lineRule="exact"/>
              <w:rPr>
                <w:rFonts w:hint="eastAsia" w:ascii="宋体" w:hAnsi="宋体" w:eastAsia="宋体" w:cs="宋体"/>
                <w:color w:val="auto"/>
                <w:szCs w:val="21"/>
                <w:highlight w:val="none"/>
              </w:rPr>
            </w:pPr>
          </w:p>
        </w:tc>
      </w:tr>
      <w:tr w14:paraId="4941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421D471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483534F7">
      <w:pPr>
        <w:pStyle w:val="12"/>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644089A">
      <w:pPr>
        <w:pStyle w:val="12"/>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1.说明：应对照谈判文件“第二章 采购需求”中的商务条款逐条作出明确响应，并作出偏离说明。</w:t>
      </w:r>
    </w:p>
    <w:p w14:paraId="1470C2DD">
      <w:pPr>
        <w:pStyle w:val="12"/>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2.供应商应根据自身的承诺，对照谈判文件要求，在“偏离说明”中注明“正偏离”、“负偏离”或者“无偏离”。既不属于“正偏离”也不属于“负偏离”即为“无偏离”。 当响应文件的商务内容低于竞争性谈判采购文件要求时，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应当如实写明“负偏离”，否则视为虚假应标</w:t>
      </w:r>
    </w:p>
    <w:p w14:paraId="4D679ECB">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61F1CD27">
      <w:pPr>
        <w:pStyle w:val="15"/>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68C68EA7">
      <w:pPr>
        <w:spacing w:line="360" w:lineRule="auto"/>
        <w:ind w:right="-817" w:rightChars="-389"/>
        <w:contextualSpacing/>
        <w:rPr>
          <w:rFonts w:hint="eastAsia" w:ascii="宋体" w:hAnsi="宋体" w:eastAsia="宋体" w:cs="宋体"/>
          <w:color w:val="auto"/>
          <w:sz w:val="24"/>
          <w:highlight w:val="none"/>
        </w:rPr>
      </w:pPr>
    </w:p>
    <w:p w14:paraId="3CF922D4">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3DAE7BB6">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AF5A573">
      <w:pPr>
        <w:snapToGrid w:val="0"/>
        <w:spacing w:line="360" w:lineRule="auto"/>
        <w:ind w:firstLine="602" w:firstLineChars="200"/>
        <w:rPr>
          <w:rFonts w:hint="eastAsia" w:ascii="宋体" w:hAnsi="宋体" w:eastAsia="宋体" w:cs="宋体"/>
          <w:b/>
          <w:color w:val="auto"/>
          <w:sz w:val="30"/>
          <w:szCs w:val="30"/>
          <w:highlight w:val="none"/>
        </w:rPr>
      </w:pPr>
    </w:p>
    <w:p w14:paraId="280ED217">
      <w:pPr>
        <w:snapToGrid w:val="0"/>
        <w:spacing w:line="360" w:lineRule="auto"/>
        <w:ind w:firstLine="602" w:firstLineChars="200"/>
        <w:rPr>
          <w:rFonts w:hint="eastAsia" w:ascii="宋体" w:hAnsi="宋体" w:eastAsia="宋体" w:cs="宋体"/>
          <w:b/>
          <w:color w:val="auto"/>
          <w:sz w:val="30"/>
          <w:szCs w:val="30"/>
          <w:highlight w:val="none"/>
        </w:rPr>
      </w:pPr>
    </w:p>
    <w:p w14:paraId="021C8B11">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w:t>
      </w:r>
      <w:r>
        <w:rPr>
          <w:rFonts w:hint="eastAsia" w:ascii="宋体" w:hAnsi="宋体" w:eastAsia="宋体" w:cs="宋体"/>
          <w:b/>
          <w:color w:val="auto"/>
          <w:sz w:val="30"/>
          <w:szCs w:val="30"/>
          <w:highlight w:val="none"/>
          <w:lang w:eastAsia="zh-CN"/>
        </w:rPr>
        <w:t>竞标供应商</w:t>
      </w:r>
      <w:r>
        <w:rPr>
          <w:rFonts w:hint="eastAsia" w:ascii="宋体" w:hAnsi="宋体" w:eastAsia="宋体" w:cs="宋体"/>
          <w:b/>
          <w:color w:val="auto"/>
          <w:sz w:val="30"/>
          <w:szCs w:val="30"/>
          <w:highlight w:val="none"/>
        </w:rPr>
        <w:t>情况介绍</w:t>
      </w:r>
    </w:p>
    <w:p w14:paraId="3AF1A2DD">
      <w:pPr>
        <w:snapToGrid w:val="0"/>
        <w:spacing w:line="360" w:lineRule="auto"/>
        <w:ind w:firstLine="602" w:firstLineChars="200"/>
        <w:rPr>
          <w:rFonts w:hint="eastAsia" w:ascii="宋体" w:hAnsi="宋体" w:eastAsia="宋体" w:cs="宋体"/>
          <w:b/>
          <w:color w:val="auto"/>
          <w:sz w:val="30"/>
          <w:szCs w:val="30"/>
          <w:highlight w:val="none"/>
        </w:rPr>
      </w:pPr>
    </w:p>
    <w:p w14:paraId="2AFF837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5B2C158">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E958A73">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7D663EFE">
      <w:pPr>
        <w:pStyle w:val="20"/>
        <w:snapToGrid w:val="0"/>
        <w:ind w:left="480" w:hanging="480"/>
        <w:rPr>
          <w:rFonts w:hint="eastAsia" w:ascii="宋体" w:hAnsi="宋体" w:eastAsia="宋体" w:cs="宋体"/>
          <w:color w:val="auto"/>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11E24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66FE445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390D87D9">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39BEAA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42BA5996">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69CEE6A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5979DE1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5AB59B8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14FBD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37C7F268">
            <w:pPr>
              <w:widowControl/>
              <w:jc w:val="left"/>
              <w:rPr>
                <w:rFonts w:hint="eastAsia" w:ascii="宋体" w:hAnsi="宋体" w:eastAsia="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56F1E2E6">
            <w:pPr>
              <w:widowControl/>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1A41ADB">
            <w:pPr>
              <w:widowControl/>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7CAE7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593A60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CA7FC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662DFBDE">
            <w:pPr>
              <w:widowControl/>
              <w:jc w:val="left"/>
              <w:rPr>
                <w:rFonts w:hint="eastAsia" w:ascii="宋体" w:hAnsi="宋体" w:eastAsia="宋体" w:cs="宋体"/>
                <w:color w:val="auto"/>
                <w:sz w:val="24"/>
                <w:highlight w:val="none"/>
              </w:rPr>
            </w:pPr>
          </w:p>
        </w:tc>
      </w:tr>
      <w:tr w14:paraId="5191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0B185D3D">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118EA94">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1D48F13">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BFC546">
            <w:pPr>
              <w:snapToGrid w:val="0"/>
              <w:spacing w:line="24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40177680">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65803B">
            <w:pPr>
              <w:snapToGrid w:val="0"/>
              <w:spacing w:line="24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887F751">
            <w:pPr>
              <w:snapToGrid w:val="0"/>
              <w:spacing w:line="240" w:lineRule="exact"/>
              <w:jc w:val="left"/>
              <w:rPr>
                <w:rFonts w:hint="eastAsia" w:ascii="宋体" w:hAnsi="宋体" w:eastAsia="宋体" w:cs="宋体"/>
                <w:color w:val="auto"/>
                <w:sz w:val="24"/>
                <w:highlight w:val="none"/>
              </w:rPr>
            </w:pPr>
          </w:p>
        </w:tc>
      </w:tr>
      <w:tr w14:paraId="3D4EC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202FA843">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C541669">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BBAC4CC">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CAFFB3A">
            <w:pPr>
              <w:snapToGrid w:val="0"/>
              <w:spacing w:before="50" w:after="12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358A8222">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CB2D37">
            <w:pPr>
              <w:snapToGrid w:val="0"/>
              <w:spacing w:before="50" w:after="12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08F7670">
            <w:pPr>
              <w:snapToGrid w:val="0"/>
              <w:spacing w:before="50" w:after="120" w:afterLines="50" w:line="400" w:lineRule="exact"/>
              <w:jc w:val="left"/>
              <w:rPr>
                <w:rFonts w:hint="eastAsia" w:ascii="宋体" w:hAnsi="宋体" w:eastAsia="宋体" w:cs="宋体"/>
                <w:color w:val="auto"/>
                <w:sz w:val="24"/>
                <w:highlight w:val="none"/>
              </w:rPr>
            </w:pPr>
          </w:p>
        </w:tc>
      </w:tr>
      <w:tr w14:paraId="75110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4825468C">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C22BBB6">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4F235E1">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E71EA2B">
            <w:pPr>
              <w:snapToGrid w:val="0"/>
              <w:spacing w:before="50" w:after="12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692811C3">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18612A">
            <w:pPr>
              <w:snapToGrid w:val="0"/>
              <w:spacing w:before="50" w:after="12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216E090">
            <w:pPr>
              <w:snapToGrid w:val="0"/>
              <w:spacing w:before="50" w:after="120" w:afterLines="50" w:line="400" w:lineRule="exact"/>
              <w:jc w:val="left"/>
              <w:rPr>
                <w:rFonts w:hint="eastAsia" w:ascii="宋体" w:hAnsi="宋体" w:eastAsia="宋体" w:cs="宋体"/>
                <w:color w:val="auto"/>
                <w:sz w:val="24"/>
                <w:highlight w:val="none"/>
              </w:rPr>
            </w:pPr>
          </w:p>
        </w:tc>
      </w:tr>
      <w:tr w14:paraId="0823A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3B783C25">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0E8A5E9">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1298BDF">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DDDD140">
            <w:pPr>
              <w:snapToGrid w:val="0"/>
              <w:spacing w:before="50" w:after="12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2B7638F2">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74C2EC">
            <w:pPr>
              <w:snapToGrid w:val="0"/>
              <w:spacing w:before="50" w:after="12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128BCD2">
            <w:pPr>
              <w:snapToGrid w:val="0"/>
              <w:spacing w:before="50" w:after="120" w:afterLines="50" w:line="400" w:lineRule="exact"/>
              <w:jc w:val="left"/>
              <w:rPr>
                <w:rFonts w:hint="eastAsia" w:ascii="宋体" w:hAnsi="宋体" w:eastAsia="宋体" w:cs="宋体"/>
                <w:color w:val="auto"/>
                <w:sz w:val="24"/>
                <w:highlight w:val="none"/>
              </w:rPr>
            </w:pPr>
          </w:p>
        </w:tc>
      </w:tr>
      <w:tr w14:paraId="3B375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5E0234A9">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89C7024">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44DD8B8">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736B4B9">
            <w:pPr>
              <w:snapToGrid w:val="0"/>
              <w:spacing w:before="50" w:after="12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5B1FBA46">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9FB9B4">
            <w:pPr>
              <w:snapToGrid w:val="0"/>
              <w:spacing w:before="50" w:after="12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4EA5C1C">
            <w:pPr>
              <w:snapToGrid w:val="0"/>
              <w:spacing w:before="50" w:after="120" w:afterLines="50" w:line="400" w:lineRule="exact"/>
              <w:jc w:val="left"/>
              <w:rPr>
                <w:rFonts w:hint="eastAsia" w:ascii="宋体" w:hAnsi="宋体" w:eastAsia="宋体" w:cs="宋体"/>
                <w:color w:val="auto"/>
                <w:sz w:val="24"/>
                <w:highlight w:val="none"/>
              </w:rPr>
            </w:pPr>
          </w:p>
        </w:tc>
      </w:tr>
    </w:tbl>
    <w:p w14:paraId="04867C67">
      <w:pPr>
        <w:pStyle w:val="20"/>
        <w:snapToGrid w:val="0"/>
        <w:ind w:left="480" w:hanging="480"/>
        <w:rPr>
          <w:rFonts w:hint="eastAsia" w:ascii="宋体" w:hAnsi="宋体" w:eastAsia="宋体" w:cs="宋体"/>
          <w:color w:val="auto"/>
          <w:sz w:val="24"/>
          <w:highlight w:val="none"/>
        </w:rPr>
      </w:pPr>
    </w:p>
    <w:p w14:paraId="7133F5C3">
      <w:pPr>
        <w:pStyle w:val="20"/>
        <w:snapToGrid w:val="0"/>
        <w:ind w:left="480" w:hanging="480"/>
        <w:rPr>
          <w:rFonts w:hint="eastAsia" w:ascii="宋体" w:hAnsi="宋体" w:eastAsia="宋体" w:cs="宋体"/>
          <w:color w:val="auto"/>
          <w:sz w:val="24"/>
          <w:highlight w:val="none"/>
        </w:rPr>
      </w:pPr>
    </w:p>
    <w:p w14:paraId="12950E1C">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w:t>
      </w:r>
      <w:r>
        <w:rPr>
          <w:rFonts w:hint="eastAsia" w:ascii="宋体" w:hAnsi="宋体" w:eastAsia="宋体" w:cs="宋体"/>
          <w:b/>
          <w:color w:val="auto"/>
          <w:sz w:val="24"/>
          <w:highlight w:val="none"/>
          <w:lang w:val="en-US" w:eastAsia="zh-CN"/>
        </w:rPr>
        <w:t>类似</w:t>
      </w:r>
      <w:r>
        <w:rPr>
          <w:rFonts w:hint="eastAsia" w:ascii="宋体" w:hAnsi="宋体" w:eastAsia="宋体" w:cs="宋体"/>
          <w:b/>
          <w:color w:val="auto"/>
          <w:sz w:val="24"/>
          <w:highlight w:val="none"/>
        </w:rPr>
        <w:t>项目合同复印件、用户验收报告、用户评价意见格式自拟）</w:t>
      </w:r>
    </w:p>
    <w:p w14:paraId="090606BA">
      <w:pPr>
        <w:pStyle w:val="15"/>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注：供应商可按上述的格式自行编制，须随表提交相应的合同复印件和用户单位验收证明并注明所在供应商商务技术文件页码。</w:t>
      </w:r>
    </w:p>
    <w:p w14:paraId="6074E06B">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F908C9C">
      <w:pPr>
        <w:snapToGrid w:val="0"/>
        <w:spacing w:line="360" w:lineRule="auto"/>
        <w:ind w:firstLine="4935" w:firstLineChars="2350"/>
        <w:rPr>
          <w:rFonts w:hint="eastAsia" w:ascii="宋体" w:hAnsi="宋体" w:eastAsia="宋体" w:cs="宋体"/>
          <w:color w:val="auto"/>
          <w:szCs w:val="21"/>
          <w:highlight w:val="none"/>
        </w:rPr>
      </w:pPr>
    </w:p>
    <w:p w14:paraId="572F1433">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5C0D57CB">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A3711AA">
      <w:pPr>
        <w:widowControl/>
        <w:jc w:val="left"/>
        <w:rPr>
          <w:rFonts w:hint="eastAsia" w:ascii="宋体" w:hAnsi="宋体" w:eastAsia="宋体" w:cs="宋体"/>
          <w:color w:val="auto"/>
          <w:sz w:val="32"/>
          <w:szCs w:val="32"/>
          <w:highlight w:val="none"/>
        </w:rPr>
        <w:sectPr>
          <w:pgSz w:w="11911" w:h="16838"/>
          <w:pgMar w:top="1417" w:right="1417" w:bottom="1417" w:left="1417" w:header="720" w:footer="720" w:gutter="0"/>
          <w:paperSrc/>
          <w:pgNumType w:fmt="decimal"/>
          <w:cols w:space="720" w:num="1"/>
          <w:rtlGutter w:val="0"/>
          <w:docGrid w:linePitch="0" w:charSpace="0"/>
        </w:sectPr>
      </w:pPr>
    </w:p>
    <w:p w14:paraId="3A1A143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A8C8253">
      <w:pPr>
        <w:snapToGrid w:val="0"/>
        <w:spacing w:line="360" w:lineRule="auto"/>
        <w:ind w:firstLine="602" w:firstLineChars="2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七、</w:t>
      </w:r>
      <w:r>
        <w:rPr>
          <w:rFonts w:hint="eastAsia" w:ascii="宋体" w:hAnsi="宋体" w:eastAsia="宋体" w:cs="宋体"/>
          <w:b/>
          <w:color w:val="auto"/>
          <w:sz w:val="30"/>
          <w:szCs w:val="30"/>
          <w:highlight w:val="none"/>
          <w:lang w:eastAsia="zh-CN"/>
        </w:rPr>
        <w:t>技术要求偏离表</w:t>
      </w:r>
    </w:p>
    <w:p w14:paraId="41849EC8">
      <w:pPr>
        <w:spacing w:line="500" w:lineRule="exact"/>
        <w:jc w:val="center"/>
        <w:rPr>
          <w:rFonts w:hint="eastAsia" w:ascii="宋体" w:hAnsi="宋体" w:eastAsia="宋体" w:cs="宋体"/>
          <w:color w:val="auto"/>
          <w:sz w:val="32"/>
          <w:szCs w:val="32"/>
          <w:highlight w:val="none"/>
        </w:rPr>
      </w:pPr>
    </w:p>
    <w:p w14:paraId="56005E09">
      <w:pPr>
        <w:spacing w:line="500" w:lineRule="exact"/>
        <w:jc w:val="center"/>
        <w:rPr>
          <w:rFonts w:hint="eastAsia" w:ascii="宋体" w:hAnsi="宋体" w:eastAsia="宋体" w:cs="宋体"/>
          <w:bCs/>
          <w:color w:val="auto"/>
          <w:sz w:val="44"/>
          <w:szCs w:val="44"/>
          <w:highlight w:val="none"/>
          <w:lang w:eastAsia="zh-CN"/>
        </w:rPr>
      </w:pPr>
      <w:r>
        <w:rPr>
          <w:rFonts w:hint="eastAsia" w:ascii="宋体" w:hAnsi="宋体" w:eastAsia="宋体" w:cs="宋体"/>
          <w:bCs/>
          <w:color w:val="auto"/>
          <w:sz w:val="44"/>
          <w:szCs w:val="44"/>
          <w:highlight w:val="none"/>
          <w:lang w:eastAsia="zh-CN"/>
        </w:rPr>
        <w:t>技术要求偏离表</w:t>
      </w:r>
    </w:p>
    <w:p w14:paraId="5C91EB85">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4930D906">
      <w:pPr>
        <w:spacing w:line="360" w:lineRule="auto"/>
        <w:jc w:val="left"/>
        <w:rPr>
          <w:rFonts w:hint="eastAsia" w:ascii="宋体" w:hAnsi="宋体" w:eastAsia="宋体" w:cs="宋体"/>
          <w:color w:val="auto"/>
          <w:sz w:val="24"/>
          <w:highlight w:val="none"/>
        </w:rPr>
      </w:pPr>
    </w:p>
    <w:p w14:paraId="7E8B2B0A">
      <w:pPr>
        <w:pStyle w:val="1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4E4E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45F047E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65E496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2B3E72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A0D28C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EC3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B6F4D20">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51934FA">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32D84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5B69E96">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技术参数</w:t>
            </w:r>
            <w:r>
              <w:rPr>
                <w:rFonts w:hint="eastAsia" w:ascii="宋体" w:hAnsi="宋体" w:eastAsia="宋体" w:cs="宋体"/>
                <w:color w:val="auto"/>
                <w:szCs w:val="21"/>
                <w:highlight w:val="none"/>
              </w:rPr>
              <w:t>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254B478">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3B4538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3CA1142">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AA0A8D5">
            <w:pPr>
              <w:widowControl/>
              <w:jc w:val="left"/>
              <w:rPr>
                <w:rFonts w:hint="eastAsia" w:ascii="宋体" w:hAnsi="宋体" w:eastAsia="宋体" w:cs="宋体"/>
                <w:color w:val="auto"/>
                <w:szCs w:val="21"/>
                <w:highlight w:val="none"/>
              </w:rPr>
            </w:pPr>
          </w:p>
        </w:tc>
      </w:tr>
      <w:tr w14:paraId="6671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AB41E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B16D5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7828FF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D72DC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27FD7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E0C36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47DD5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22BF18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2EC7A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DA852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ACB7E8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CD230B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9B888F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2941C04">
            <w:pPr>
              <w:rPr>
                <w:rFonts w:hint="eastAsia" w:ascii="宋体" w:hAnsi="宋体" w:eastAsia="宋体" w:cs="宋体"/>
                <w:color w:val="auto"/>
                <w:szCs w:val="21"/>
                <w:highlight w:val="none"/>
              </w:rPr>
            </w:pPr>
          </w:p>
        </w:tc>
      </w:tr>
      <w:tr w14:paraId="0202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6AEDEB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24B821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6E2BE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122E4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C5787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F4714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B90B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7B5BE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D41947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3FF7C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1FF9E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BF897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3E2EC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6A26057">
            <w:pPr>
              <w:rPr>
                <w:rFonts w:hint="eastAsia" w:ascii="宋体" w:hAnsi="宋体" w:eastAsia="宋体" w:cs="宋体"/>
                <w:color w:val="auto"/>
                <w:szCs w:val="21"/>
                <w:highlight w:val="none"/>
              </w:rPr>
            </w:pPr>
          </w:p>
        </w:tc>
      </w:tr>
      <w:tr w14:paraId="0C2A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5B9D04D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14C8785">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46DEC86F">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00FFBC8">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7138CBE">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3A29424">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45AD74F">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1A45BEB">
            <w:pPr>
              <w:rPr>
                <w:rFonts w:hint="eastAsia" w:ascii="宋体" w:hAnsi="宋体" w:eastAsia="宋体" w:cs="宋体"/>
                <w:color w:val="auto"/>
                <w:szCs w:val="21"/>
                <w:highlight w:val="none"/>
              </w:rPr>
            </w:pPr>
          </w:p>
        </w:tc>
      </w:tr>
    </w:tbl>
    <w:p w14:paraId="7A489F9D">
      <w:pPr>
        <w:pStyle w:val="1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6794B87C">
      <w:pPr>
        <w:pStyle w:val="1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1.说明：应对照谈判文件“第二章”中“</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需求一览表”的</w:t>
      </w:r>
      <w:r>
        <w:rPr>
          <w:rFonts w:hint="eastAsia" w:ascii="宋体" w:hAnsi="宋体" w:eastAsia="宋体" w:cs="宋体"/>
          <w:color w:val="auto"/>
          <w:kern w:val="0"/>
          <w:sz w:val="21"/>
          <w:szCs w:val="21"/>
          <w:highlight w:val="none"/>
          <w:lang w:eastAsia="zh-CN"/>
        </w:rPr>
        <w:t>技术参数</w:t>
      </w:r>
      <w:r>
        <w:rPr>
          <w:rFonts w:hint="eastAsia" w:ascii="宋体" w:hAnsi="宋体" w:eastAsia="宋体" w:cs="宋体"/>
          <w:color w:val="auto"/>
          <w:kern w:val="0"/>
          <w:sz w:val="21"/>
          <w:szCs w:val="21"/>
          <w:highlight w:val="none"/>
        </w:rPr>
        <w:t>条款逐条作出明确响应，并作出偏离说明。</w:t>
      </w:r>
    </w:p>
    <w:p w14:paraId="5FD97CA1">
      <w:pPr>
        <w:pStyle w:val="12"/>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2.供应商应根据自身的承诺，对照谈判文件要求，在“偏离说明”中注明“正偏离”、“负偏离”或者“无偏离”。既不属于“正偏离”也不属于“负偏离”即为“无偏离”。 当响应文件的</w:t>
      </w:r>
      <w:r>
        <w:rPr>
          <w:rFonts w:hint="eastAsia" w:ascii="宋体" w:hAnsi="宋体" w:eastAsia="宋体" w:cs="宋体"/>
          <w:color w:val="auto"/>
          <w:sz w:val="21"/>
          <w:szCs w:val="21"/>
          <w:highlight w:val="none"/>
          <w:lang w:eastAsia="zh-CN"/>
        </w:rPr>
        <w:t>承诺</w:t>
      </w:r>
      <w:r>
        <w:rPr>
          <w:rFonts w:hint="eastAsia" w:ascii="宋体" w:hAnsi="宋体" w:eastAsia="宋体" w:cs="宋体"/>
          <w:color w:val="auto"/>
          <w:sz w:val="21"/>
          <w:szCs w:val="21"/>
          <w:highlight w:val="none"/>
        </w:rPr>
        <w:t>低于竞争性谈判采购文件要求时，</w:t>
      </w:r>
      <w:r>
        <w:rPr>
          <w:rFonts w:hint="eastAsia" w:ascii="宋体" w:hAnsi="宋体" w:eastAsia="宋体" w:cs="宋体"/>
          <w:color w:val="auto"/>
          <w:sz w:val="21"/>
          <w:szCs w:val="21"/>
          <w:highlight w:val="none"/>
          <w:lang w:eastAsia="zh-CN"/>
        </w:rPr>
        <w:t>竞标供应商</w:t>
      </w:r>
      <w:r>
        <w:rPr>
          <w:rFonts w:hint="eastAsia" w:ascii="宋体" w:hAnsi="宋体" w:eastAsia="宋体" w:cs="宋体"/>
          <w:color w:val="auto"/>
          <w:sz w:val="21"/>
          <w:szCs w:val="21"/>
          <w:highlight w:val="none"/>
        </w:rPr>
        <w:t>应当如实写明“负偏离”，否则视为虚假应标</w:t>
      </w:r>
    </w:p>
    <w:p w14:paraId="16BF7B99">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30F43957">
      <w:pPr>
        <w:pStyle w:val="15"/>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70C6D66">
      <w:pPr>
        <w:pStyle w:val="12"/>
        <w:spacing w:line="360" w:lineRule="auto"/>
        <w:ind w:firstLine="0" w:firstLineChars="0"/>
        <w:rPr>
          <w:rFonts w:hint="eastAsia" w:ascii="宋体" w:hAnsi="宋体" w:eastAsia="宋体" w:cs="宋体"/>
          <w:b/>
          <w:color w:val="auto"/>
          <w:sz w:val="30"/>
          <w:szCs w:val="30"/>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258561D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5527A40">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BED0D1A">
      <w:pPr>
        <w:widowControl/>
        <w:jc w:val="left"/>
        <w:rPr>
          <w:rFonts w:hint="eastAsia" w:ascii="宋体" w:hAnsi="宋体" w:eastAsia="宋体" w:cs="宋体"/>
          <w:color w:val="auto"/>
          <w:sz w:val="32"/>
          <w:szCs w:val="32"/>
          <w:highlight w:val="none"/>
        </w:rPr>
        <w:sectPr>
          <w:pgSz w:w="11911" w:h="16838"/>
          <w:pgMar w:top="1417" w:right="1417" w:bottom="1417" w:left="1417" w:header="720" w:footer="720" w:gutter="0"/>
          <w:paperSrc/>
          <w:pgNumType w:fmt="decimal"/>
          <w:cols w:space="720" w:num="1"/>
          <w:rtlGutter w:val="0"/>
          <w:docGrid w:linePitch="0" w:charSpace="0"/>
        </w:sectPr>
      </w:pPr>
    </w:p>
    <w:p w14:paraId="033801C5">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八、组织服务方案</w:t>
      </w:r>
    </w:p>
    <w:p w14:paraId="73001B8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14:paraId="105CC3EB">
      <w:pPr>
        <w:rPr>
          <w:rFonts w:hint="eastAsia" w:ascii="宋体" w:hAnsi="宋体" w:eastAsia="宋体" w:cs="宋体"/>
          <w:b/>
          <w:bCs/>
          <w:color w:val="auto"/>
          <w:kern w:val="0"/>
          <w:sz w:val="24"/>
          <w:highlight w:val="none"/>
          <w:lang w:val="zh-CN"/>
        </w:rPr>
      </w:pPr>
      <w:bookmarkStart w:id="104"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104"/>
      <w:r>
        <w:rPr>
          <w:rFonts w:hint="eastAsia" w:ascii="宋体" w:hAnsi="宋体" w:eastAsia="宋体" w:cs="宋体"/>
          <w:b/>
          <w:color w:val="auto"/>
          <w:sz w:val="24"/>
          <w:highlight w:val="none"/>
        </w:rPr>
        <w:t xml:space="preserve"> </w:t>
      </w:r>
    </w:p>
    <w:tbl>
      <w:tblPr>
        <w:tblStyle w:val="2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B3E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1B600F4">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5A031DEE">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A8CEA25">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3B57EE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v:fill on="f" focussize="0,0"/>
                        <v:stroke on="f"/>
                        <v:imagedata o:title=""/>
                        <o:lock v:ext="edit" aspectratio="f"/>
                        <v:textbox inset="0mm,0mm,0mm,0mm">
                          <w:txbxContent>
                            <w:p w14:paraId="5A031DEE">
                              <w:pPr>
                                <w:snapToGrid w:val="0"/>
                              </w:pPr>
                              <w:r>
                                <w:rPr>
                                  <w:rFonts w:hint="eastAsia"/>
                                </w:rPr>
                                <w:t>工</w:t>
                              </w:r>
                            </w:p>
                          </w:txbxContent>
                        </v:textbox>
                      </v:shape>
                      <v:shape id="__TH_B124" o:spid="_x0000_s1026" o:spt="202" type="#_x0000_t202" style="position:absolute;left:643;top:419;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fill on="f" focussize="0,0"/>
                        <v:stroke on="f"/>
                        <v:imagedata o:title=""/>
                        <o:lock v:ext="edit" aspectratio="f"/>
                        <v:textbox inset="0mm,0mm,0mm,0mm">
                          <w:txbxContent>
                            <w:p w14:paraId="2A8CEA25">
                              <w:pPr>
                                <w:snapToGrid w:val="0"/>
                              </w:pPr>
                              <w:r>
                                <w:rPr>
                                  <w:rFonts w:hint="eastAsia"/>
                                </w:rPr>
                                <w:t>作</w:t>
                              </w:r>
                            </w:p>
                          </w:txbxContent>
                        </v:textbox>
                      </v:shape>
                      <v:shape id="__TH_B135" o:spid="_x0000_s1026" o:spt="202" type="#_x0000_t202" style="position:absolute;left:831;top:71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v:fill on="f" focussize="0,0"/>
                        <v:stroke on="f"/>
                        <v:imagedata o:title=""/>
                        <o:lock v:ext="edit" aspectratio="f"/>
                        <v:textbox inset="0mm,0mm,0mm,0mm">
                          <w:txbxContent>
                            <w:p w14:paraId="63B57EE0">
                              <w:pPr>
                                <w:snapToGrid w:val="0"/>
                              </w:pPr>
                              <w:r>
                                <w:rPr>
                                  <w:rFonts w:hint="eastAsia"/>
                                </w:rPr>
                                <w:t>日</w:t>
                              </w:r>
                            </w:p>
                          </w:txbxContent>
                        </v:textbox>
                      </v:shape>
                    </v:group>
                  </w:pict>
                </mc:Fallback>
              </mc:AlternateContent>
            </w:r>
          </w:p>
          <w:p w14:paraId="407607C3">
            <w:pPr>
              <w:spacing w:line="360" w:lineRule="auto"/>
              <w:rPr>
                <w:rFonts w:hint="eastAsia" w:ascii="宋体" w:hAnsi="宋体" w:eastAsia="宋体" w:cs="宋体"/>
                <w:color w:val="auto"/>
                <w:sz w:val="24"/>
                <w:highlight w:val="none"/>
              </w:rPr>
            </w:pPr>
          </w:p>
          <w:p w14:paraId="28A97858">
            <w:pPr>
              <w:spacing w:line="360" w:lineRule="auto"/>
              <w:rPr>
                <w:rFonts w:hint="eastAsia" w:ascii="宋体" w:hAnsi="宋体" w:eastAsia="宋体" w:cs="宋体"/>
                <w:color w:val="auto"/>
                <w:sz w:val="24"/>
                <w:highlight w:val="none"/>
              </w:rPr>
            </w:pPr>
          </w:p>
          <w:p w14:paraId="0EC465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DB60B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23BA0E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198D69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20D50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6CC7E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BCE69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76D92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EDB46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E5FD7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C7EC1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F2374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7EFD1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A6D6E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722E0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753F2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91D3F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EE8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A0D41C5">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7310ACA">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B8F53BB">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390F75C">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352830A">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1F67B73">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6D5F70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A81303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AD0560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A5886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7783E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BDA2FC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7E59A5">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9CD215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C161E9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50643D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662DD4B">
            <w:pPr>
              <w:spacing w:line="360" w:lineRule="auto"/>
              <w:rPr>
                <w:rFonts w:hint="eastAsia" w:ascii="宋体" w:hAnsi="宋体" w:eastAsia="宋体" w:cs="宋体"/>
                <w:color w:val="auto"/>
                <w:sz w:val="24"/>
                <w:highlight w:val="none"/>
              </w:rPr>
            </w:pPr>
          </w:p>
        </w:tc>
      </w:tr>
      <w:tr w14:paraId="1C98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1F9F087">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6C1DB85">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04BB597">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54E7F1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F03B22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48D11A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FF56F4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B4EA3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A16B2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A213CBD">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A57040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22BBBC">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2701EC">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F252F6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0FB88B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3FA324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9F1F460">
            <w:pPr>
              <w:spacing w:line="360" w:lineRule="auto"/>
              <w:rPr>
                <w:rFonts w:hint="eastAsia" w:ascii="宋体" w:hAnsi="宋体" w:eastAsia="宋体" w:cs="宋体"/>
                <w:color w:val="auto"/>
                <w:sz w:val="24"/>
                <w:highlight w:val="none"/>
              </w:rPr>
            </w:pPr>
          </w:p>
        </w:tc>
      </w:tr>
      <w:tr w14:paraId="47C1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82960C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1782511">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9D80473">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15E9318">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4696D81">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BDBE601">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1EF2F1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6954EE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7298BDD">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08D076D">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3DFF4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69D4A5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8E4B3C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7082A9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11FF7E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E9B9CC">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98869D">
            <w:pPr>
              <w:spacing w:line="360" w:lineRule="auto"/>
              <w:rPr>
                <w:rFonts w:hint="eastAsia" w:ascii="宋体" w:hAnsi="宋体" w:eastAsia="宋体" w:cs="宋体"/>
                <w:color w:val="auto"/>
                <w:sz w:val="24"/>
                <w:highlight w:val="none"/>
              </w:rPr>
            </w:pPr>
          </w:p>
        </w:tc>
      </w:tr>
      <w:tr w14:paraId="62A8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3A0DC4A">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C12494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5DB4982">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10AEE58">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723522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ED98FC0">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6CC838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4277C30">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D8A220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F39BB5">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79921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AE760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4A3697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FB902E7">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A2F5E7">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559ABCB">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AB116D5">
            <w:pPr>
              <w:spacing w:line="360" w:lineRule="auto"/>
              <w:rPr>
                <w:rFonts w:hint="eastAsia" w:ascii="宋体" w:hAnsi="宋体" w:eastAsia="宋体" w:cs="宋体"/>
                <w:color w:val="auto"/>
                <w:sz w:val="24"/>
                <w:highlight w:val="none"/>
              </w:rPr>
            </w:pPr>
          </w:p>
        </w:tc>
      </w:tr>
      <w:tr w14:paraId="75AC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67D699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8A97BEC">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BB7E8D4">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F65FCC1">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903C0D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92CAF2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B0B151B">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7352C9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DAA847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697B9B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625298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14E3AE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B5D86B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E3BCD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984DC3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73882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68B9B1">
            <w:pPr>
              <w:spacing w:line="360" w:lineRule="auto"/>
              <w:rPr>
                <w:rFonts w:hint="eastAsia" w:ascii="宋体" w:hAnsi="宋体" w:eastAsia="宋体" w:cs="宋体"/>
                <w:color w:val="auto"/>
                <w:sz w:val="24"/>
                <w:highlight w:val="none"/>
              </w:rPr>
            </w:pPr>
          </w:p>
        </w:tc>
      </w:tr>
      <w:tr w14:paraId="01F1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2E5D68B">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F0BD5BF">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3A8CFB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B258DD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E880481">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FF935B8">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6A6401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2F787E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17C698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5804E8D">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99514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5C73CDD">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2815C5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4DA0B95">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DD0EF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4EB7B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F843C7">
            <w:pPr>
              <w:spacing w:line="360" w:lineRule="auto"/>
              <w:rPr>
                <w:rFonts w:hint="eastAsia" w:ascii="宋体" w:hAnsi="宋体" w:eastAsia="宋体" w:cs="宋体"/>
                <w:color w:val="auto"/>
                <w:sz w:val="24"/>
                <w:highlight w:val="none"/>
              </w:rPr>
            </w:pPr>
          </w:p>
        </w:tc>
      </w:tr>
      <w:tr w14:paraId="444D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BDDC8FA">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B9B65ED">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A3B6FE0">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EE9B8B5">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873D71F">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F7F13C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F6A0A4C">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3DE31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72850C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3EBFAB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D6B9D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EA241D0">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A9029B7">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EAE73D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89E406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CF9643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759ECC">
            <w:pPr>
              <w:spacing w:line="360" w:lineRule="auto"/>
              <w:rPr>
                <w:rFonts w:hint="eastAsia" w:ascii="宋体" w:hAnsi="宋体" w:eastAsia="宋体" w:cs="宋体"/>
                <w:color w:val="auto"/>
                <w:sz w:val="24"/>
                <w:highlight w:val="none"/>
              </w:rPr>
            </w:pPr>
          </w:p>
        </w:tc>
      </w:tr>
      <w:tr w14:paraId="3D3D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C687615">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252829F">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E5D70C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FEE7EB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E7FE37D">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1F82F14">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445166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AC8C41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F03085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CE8AB5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DF28A20">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3A94D6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ECA770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F5C6E2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0234D00">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FF0315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A64DF6F">
            <w:pPr>
              <w:spacing w:line="360" w:lineRule="auto"/>
              <w:rPr>
                <w:rFonts w:hint="eastAsia" w:ascii="宋体" w:hAnsi="宋体" w:eastAsia="宋体" w:cs="宋体"/>
                <w:color w:val="auto"/>
                <w:sz w:val="24"/>
                <w:highlight w:val="none"/>
              </w:rPr>
            </w:pPr>
          </w:p>
        </w:tc>
      </w:tr>
      <w:tr w14:paraId="198D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D06E6F2">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656C97F">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87310AF">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002DA27">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C04F087">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AE06080">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5BF137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38355A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B00DCA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7017D10">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31DAE5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E45E620">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EAA333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0631EF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EDAABF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440772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437F33">
            <w:pPr>
              <w:spacing w:line="360" w:lineRule="auto"/>
              <w:rPr>
                <w:rFonts w:hint="eastAsia" w:ascii="宋体" w:hAnsi="宋体" w:eastAsia="宋体" w:cs="宋体"/>
                <w:color w:val="auto"/>
                <w:sz w:val="24"/>
                <w:highlight w:val="none"/>
              </w:rPr>
            </w:pPr>
          </w:p>
        </w:tc>
      </w:tr>
    </w:tbl>
    <w:p w14:paraId="3B7AE3F8">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52D5CC7A">
      <w:pPr>
        <w:spacing w:line="500" w:lineRule="exact"/>
        <w:rPr>
          <w:rFonts w:hint="eastAsia" w:ascii="宋体" w:hAnsi="宋体" w:eastAsia="宋体" w:cs="宋体"/>
          <w:color w:val="auto"/>
          <w:sz w:val="32"/>
          <w:szCs w:val="32"/>
          <w:highlight w:val="none"/>
        </w:rPr>
      </w:pPr>
    </w:p>
    <w:p w14:paraId="2C0E9B4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0068691">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235F5C7">
      <w:pPr>
        <w:spacing w:line="500" w:lineRule="exact"/>
        <w:rPr>
          <w:rFonts w:hint="eastAsia" w:ascii="宋体" w:hAnsi="宋体" w:eastAsia="宋体" w:cs="宋体"/>
          <w:color w:val="auto"/>
          <w:sz w:val="32"/>
          <w:szCs w:val="32"/>
          <w:highlight w:val="none"/>
        </w:rPr>
      </w:pPr>
    </w:p>
    <w:p w14:paraId="463EC2E7">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九、服务方案</w:t>
      </w:r>
    </w:p>
    <w:p w14:paraId="0DADD23D">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竞标供应商</w:t>
      </w:r>
      <w:r>
        <w:rPr>
          <w:rFonts w:hint="eastAsia" w:ascii="宋体" w:hAnsi="宋体" w:eastAsia="宋体" w:cs="宋体"/>
          <w:color w:val="auto"/>
          <w:highlight w:val="none"/>
        </w:rPr>
        <w:t>按本项目竞争性谈判采购文件第二章“</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需求一览表”中商务条款部分的</w:t>
      </w:r>
      <w:r>
        <w:rPr>
          <w:rFonts w:hint="eastAsia" w:ascii="宋体" w:hAnsi="宋体" w:eastAsia="宋体" w:cs="宋体"/>
          <w:color w:val="auto"/>
          <w:highlight w:val="none"/>
          <w:lang w:eastAsia="zh-CN"/>
        </w:rPr>
        <w:t>售后</w:t>
      </w:r>
      <w:r>
        <w:rPr>
          <w:rFonts w:hint="eastAsia" w:ascii="宋体" w:hAnsi="宋体" w:eastAsia="宋体" w:cs="宋体"/>
          <w:color w:val="auto"/>
          <w:highlight w:val="none"/>
        </w:rPr>
        <w:t>服务要求自行填写，其中要包含</w:t>
      </w:r>
      <w:r>
        <w:rPr>
          <w:rFonts w:hint="eastAsia" w:ascii="宋体" w:hAnsi="宋体" w:eastAsia="宋体" w:cs="宋体"/>
          <w:color w:val="auto"/>
          <w:highlight w:val="none"/>
          <w:lang w:eastAsia="zh-CN"/>
        </w:rPr>
        <w:t>售后</w:t>
      </w:r>
      <w:r>
        <w:rPr>
          <w:rFonts w:hint="eastAsia" w:ascii="宋体" w:hAnsi="宋体" w:eastAsia="宋体" w:cs="宋体"/>
          <w:color w:val="auto"/>
          <w:highlight w:val="none"/>
        </w:rPr>
        <w:t>服务承诺书。</w:t>
      </w:r>
    </w:p>
    <w:p w14:paraId="5166084B">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eastAsia="zh-CN"/>
        </w:rPr>
        <w:t>售后</w:t>
      </w:r>
      <w:r>
        <w:rPr>
          <w:rFonts w:hint="eastAsia" w:ascii="宋体" w:hAnsi="宋体" w:eastAsia="宋体" w:cs="宋体"/>
          <w:b/>
          <w:color w:val="auto"/>
          <w:sz w:val="32"/>
          <w:szCs w:val="32"/>
          <w:highlight w:val="none"/>
        </w:rPr>
        <w:t>服务承诺</w:t>
      </w:r>
    </w:p>
    <w:p w14:paraId="4D05CE8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w:t>
      </w:r>
      <w:r>
        <w:rPr>
          <w:rFonts w:hint="eastAsia" w:ascii="宋体" w:hAnsi="宋体" w:eastAsia="宋体" w:cs="宋体"/>
          <w:b/>
          <w:color w:val="auto"/>
          <w:sz w:val="24"/>
          <w:highlight w:val="none"/>
          <w:lang w:eastAsia="zh-CN"/>
        </w:rPr>
        <w:t>售后</w:t>
      </w:r>
      <w:r>
        <w:rPr>
          <w:rFonts w:hint="eastAsia" w:ascii="宋体" w:hAnsi="宋体" w:eastAsia="宋体" w:cs="宋体"/>
          <w:b/>
          <w:color w:val="auto"/>
          <w:sz w:val="24"/>
          <w:highlight w:val="none"/>
        </w:rPr>
        <w:t>服务机构情况表</w:t>
      </w:r>
      <w:r>
        <w:rPr>
          <w:rFonts w:hint="eastAsia" w:ascii="宋体" w:hAnsi="宋体" w:eastAsia="宋体" w:cs="宋体"/>
          <w:color w:val="auto"/>
          <w:sz w:val="24"/>
          <w:highlight w:val="none"/>
        </w:rPr>
        <w:t>（按此格式自制）</w:t>
      </w: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05E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41E8DF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34354C7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78D76DF2">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50853FFA">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0252B6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货物</w:t>
            </w:r>
            <w:r>
              <w:rPr>
                <w:rFonts w:hint="eastAsia" w:ascii="宋体" w:hAnsi="宋体" w:eastAsia="宋体" w:cs="宋体"/>
                <w:b/>
                <w:color w:val="auto"/>
                <w:sz w:val="24"/>
                <w:highlight w:val="none"/>
              </w:rPr>
              <w:t>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AACC76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00E8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2A9BC45">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2F6B7D7">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751AC36">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53CFA45E">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DA8D30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4950BA8">
            <w:pPr>
              <w:autoSpaceDE w:val="0"/>
              <w:autoSpaceDN w:val="0"/>
              <w:spacing w:line="360" w:lineRule="auto"/>
              <w:jc w:val="center"/>
              <w:rPr>
                <w:rFonts w:hint="eastAsia" w:ascii="宋体" w:hAnsi="宋体" w:eastAsia="宋体" w:cs="宋体"/>
                <w:color w:val="auto"/>
                <w:sz w:val="24"/>
                <w:highlight w:val="none"/>
              </w:rPr>
            </w:pPr>
          </w:p>
        </w:tc>
      </w:tr>
      <w:tr w14:paraId="6A72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0C81403">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2CAD792">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3E2274">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5814CA61">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D4F295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7A9E634">
            <w:pPr>
              <w:autoSpaceDE w:val="0"/>
              <w:autoSpaceDN w:val="0"/>
              <w:spacing w:line="360" w:lineRule="auto"/>
              <w:jc w:val="center"/>
              <w:rPr>
                <w:rFonts w:hint="eastAsia" w:ascii="宋体" w:hAnsi="宋体" w:eastAsia="宋体" w:cs="宋体"/>
                <w:color w:val="auto"/>
                <w:sz w:val="24"/>
                <w:highlight w:val="none"/>
              </w:rPr>
            </w:pPr>
          </w:p>
        </w:tc>
      </w:tr>
      <w:tr w14:paraId="6B42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2E2DA4C">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E512AF6">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C25920E">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368150C1">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C00098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682B13">
            <w:pPr>
              <w:autoSpaceDE w:val="0"/>
              <w:autoSpaceDN w:val="0"/>
              <w:spacing w:line="360" w:lineRule="auto"/>
              <w:jc w:val="center"/>
              <w:rPr>
                <w:rFonts w:hint="eastAsia" w:ascii="宋体" w:hAnsi="宋体" w:eastAsia="宋体" w:cs="宋体"/>
                <w:color w:val="auto"/>
                <w:sz w:val="24"/>
                <w:highlight w:val="none"/>
              </w:rPr>
            </w:pPr>
          </w:p>
        </w:tc>
      </w:tr>
    </w:tbl>
    <w:p w14:paraId="0F9E09A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w:t>
      </w:r>
      <w:r>
        <w:rPr>
          <w:rFonts w:hint="eastAsia" w:ascii="宋体" w:hAnsi="宋体" w:eastAsia="宋体" w:cs="宋体"/>
          <w:b/>
          <w:color w:val="auto"/>
          <w:sz w:val="24"/>
          <w:highlight w:val="none"/>
          <w:lang w:eastAsia="zh-CN"/>
        </w:rPr>
        <w:t>售后</w:t>
      </w:r>
      <w:r>
        <w:rPr>
          <w:rFonts w:hint="eastAsia" w:ascii="宋体" w:hAnsi="宋体" w:eastAsia="宋体" w:cs="宋体"/>
          <w:b/>
          <w:color w:val="auto"/>
          <w:sz w:val="24"/>
          <w:highlight w:val="none"/>
        </w:rPr>
        <w:t>服务机构均在本表注明，包括供应商本单位和符合条件的第三方服务机构；</w:t>
      </w:r>
    </w:p>
    <w:p w14:paraId="47E1DABC">
      <w:pPr>
        <w:autoSpaceDE w:val="0"/>
        <w:autoSpaceDN w:val="0"/>
        <w:spacing w:line="360" w:lineRule="auto"/>
        <w:rPr>
          <w:rFonts w:hint="eastAsia" w:ascii="宋体" w:hAnsi="宋体" w:eastAsia="宋体" w:cs="宋体"/>
          <w:color w:val="auto"/>
          <w:kern w:val="0"/>
          <w:sz w:val="24"/>
          <w:highlight w:val="none"/>
        </w:rPr>
      </w:pPr>
    </w:p>
    <w:p w14:paraId="21979613">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w:t>
      </w:r>
      <w:r>
        <w:rPr>
          <w:rFonts w:hint="eastAsia" w:ascii="宋体" w:hAnsi="宋体" w:eastAsia="宋体" w:cs="宋体"/>
          <w:b/>
          <w:color w:val="auto"/>
          <w:kern w:val="0"/>
          <w:sz w:val="24"/>
          <w:highlight w:val="none"/>
          <w:lang w:eastAsia="zh-CN"/>
        </w:rPr>
        <w:t>售后</w:t>
      </w:r>
      <w:r>
        <w:rPr>
          <w:rFonts w:hint="eastAsia" w:ascii="宋体" w:hAnsi="宋体" w:eastAsia="宋体" w:cs="宋体"/>
          <w:b/>
          <w:color w:val="auto"/>
          <w:kern w:val="0"/>
          <w:sz w:val="24"/>
          <w:highlight w:val="none"/>
        </w:rPr>
        <w:t>服务人员情况表</w:t>
      </w:r>
      <w:r>
        <w:rPr>
          <w:rFonts w:hint="eastAsia" w:ascii="宋体" w:hAnsi="宋体" w:eastAsia="宋体" w:cs="宋体"/>
          <w:color w:val="auto"/>
          <w:sz w:val="24"/>
          <w:highlight w:val="none"/>
        </w:rPr>
        <w:t>（按此格式自制）</w:t>
      </w:r>
    </w:p>
    <w:tbl>
      <w:tblPr>
        <w:tblStyle w:val="27"/>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E2DC18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2B4C15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7D902F94">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09CF53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4A69D43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745C4E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ED0E4B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FACF16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111293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2032D6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94FE3A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C32CEF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7290379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1663E308">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DFC6D49">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454B79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34A297D1">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5C361C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04A437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D6147B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4A895D2">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5682A6F">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A6E057D">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54AF4AA">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8DB0787">
            <w:pPr>
              <w:autoSpaceDE w:val="0"/>
              <w:autoSpaceDN w:val="0"/>
              <w:spacing w:line="360" w:lineRule="auto"/>
              <w:rPr>
                <w:rFonts w:hint="eastAsia" w:ascii="宋体" w:hAnsi="宋体" w:eastAsia="宋体" w:cs="宋体"/>
                <w:color w:val="auto"/>
                <w:sz w:val="24"/>
                <w:highlight w:val="none"/>
              </w:rPr>
            </w:pPr>
          </w:p>
        </w:tc>
      </w:tr>
      <w:tr w14:paraId="344D760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E10D43B">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274E64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A2F0C43">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BEF731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83ABB0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27DE6A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4EA7C8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04B8ECA">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169BD5D">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ED4A05D">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9F2AF44">
            <w:pPr>
              <w:autoSpaceDE w:val="0"/>
              <w:autoSpaceDN w:val="0"/>
              <w:spacing w:line="360" w:lineRule="auto"/>
              <w:rPr>
                <w:rFonts w:hint="eastAsia" w:ascii="宋体" w:hAnsi="宋体" w:eastAsia="宋体" w:cs="宋体"/>
                <w:color w:val="auto"/>
                <w:sz w:val="24"/>
                <w:highlight w:val="none"/>
              </w:rPr>
            </w:pPr>
          </w:p>
        </w:tc>
      </w:tr>
      <w:tr w14:paraId="49E6B76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28C981B">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0B11856">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6B6DD4F">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12C9DAC">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E9D7F7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A72E8C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98F13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D21B45F">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7363DB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7353E06">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81AFF00">
            <w:pPr>
              <w:autoSpaceDE w:val="0"/>
              <w:autoSpaceDN w:val="0"/>
              <w:spacing w:line="360" w:lineRule="auto"/>
              <w:rPr>
                <w:rFonts w:hint="eastAsia" w:ascii="宋体" w:hAnsi="宋体" w:eastAsia="宋体" w:cs="宋体"/>
                <w:color w:val="auto"/>
                <w:sz w:val="24"/>
                <w:highlight w:val="none"/>
              </w:rPr>
            </w:pPr>
          </w:p>
        </w:tc>
      </w:tr>
      <w:tr w14:paraId="393E9E6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4362578">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E70A8F0">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4F4A604">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8278D7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9ECF65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CB0302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F9833F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C27AA63">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0A93A5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5E72C57">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EFFBBAB">
            <w:pPr>
              <w:autoSpaceDE w:val="0"/>
              <w:autoSpaceDN w:val="0"/>
              <w:spacing w:line="360" w:lineRule="auto"/>
              <w:rPr>
                <w:rFonts w:hint="eastAsia" w:ascii="宋体" w:hAnsi="宋体" w:eastAsia="宋体" w:cs="宋体"/>
                <w:color w:val="auto"/>
                <w:sz w:val="24"/>
                <w:highlight w:val="none"/>
              </w:rPr>
            </w:pPr>
          </w:p>
        </w:tc>
      </w:tr>
    </w:tbl>
    <w:p w14:paraId="7ACD0C78">
      <w:pPr>
        <w:pStyle w:val="15"/>
        <w:spacing w:line="440" w:lineRule="exact"/>
        <w:ind w:firstLine="396" w:firstLineChars="198"/>
        <w:rPr>
          <w:rFonts w:hint="eastAsia" w:ascii="宋体" w:hAnsi="宋体" w:eastAsia="宋体" w:cs="宋体"/>
          <w:color w:val="auto"/>
          <w:highlight w:val="none"/>
        </w:rPr>
      </w:pPr>
    </w:p>
    <w:p w14:paraId="635CC3F2">
      <w:pPr>
        <w:spacing w:line="500" w:lineRule="exact"/>
        <w:rPr>
          <w:rFonts w:hint="eastAsia" w:ascii="宋体" w:hAnsi="宋体" w:eastAsia="宋体" w:cs="宋体"/>
          <w:color w:val="auto"/>
          <w:sz w:val="32"/>
          <w:szCs w:val="32"/>
          <w:highlight w:val="none"/>
        </w:rPr>
      </w:pPr>
    </w:p>
    <w:p w14:paraId="7BF3B28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C341EA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506F82D">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十、项目实施人员一览表</w:t>
      </w:r>
    </w:p>
    <w:p w14:paraId="20250E12">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16F44B60">
      <w:pPr>
        <w:pStyle w:val="15"/>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0D291489">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7"/>
        <w:tblW w:w="0" w:type="auto"/>
        <w:tblInd w:w="116" w:type="dxa"/>
        <w:tblLayout w:type="fixed"/>
        <w:tblCellMar>
          <w:top w:w="0" w:type="dxa"/>
          <w:left w:w="108" w:type="dxa"/>
          <w:bottom w:w="0" w:type="dxa"/>
          <w:right w:w="108" w:type="dxa"/>
        </w:tblCellMar>
      </w:tblPr>
      <w:tblGrid>
        <w:gridCol w:w="2061"/>
        <w:gridCol w:w="1287"/>
        <w:gridCol w:w="1260"/>
        <w:gridCol w:w="4147"/>
      </w:tblGrid>
      <w:tr w14:paraId="235EA0D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94F6B1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220B9DC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AE975A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D96572A">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1EE03F2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2001D3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B56513B">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B44357D">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0450806E">
            <w:pPr>
              <w:autoSpaceDE w:val="0"/>
              <w:autoSpaceDN w:val="0"/>
              <w:spacing w:line="360" w:lineRule="auto"/>
              <w:jc w:val="center"/>
              <w:rPr>
                <w:rFonts w:hint="eastAsia" w:ascii="宋体" w:hAnsi="宋体" w:eastAsia="宋体" w:cs="宋体"/>
                <w:color w:val="auto"/>
                <w:sz w:val="24"/>
                <w:highlight w:val="none"/>
              </w:rPr>
            </w:pPr>
          </w:p>
        </w:tc>
      </w:tr>
      <w:tr w14:paraId="33EB318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F433FC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4EC86D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E515264">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216B509">
            <w:pPr>
              <w:widowControl/>
              <w:jc w:val="left"/>
              <w:rPr>
                <w:rFonts w:hint="eastAsia" w:ascii="宋体" w:hAnsi="宋体" w:eastAsia="宋体" w:cs="宋体"/>
                <w:color w:val="auto"/>
                <w:sz w:val="24"/>
                <w:highlight w:val="none"/>
              </w:rPr>
            </w:pPr>
          </w:p>
        </w:tc>
      </w:tr>
      <w:tr w14:paraId="240C852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7393E4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9792E7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6A61D9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F355542">
            <w:pPr>
              <w:widowControl/>
              <w:jc w:val="left"/>
              <w:rPr>
                <w:rFonts w:hint="eastAsia" w:ascii="宋体" w:hAnsi="宋体" w:eastAsia="宋体" w:cs="宋体"/>
                <w:color w:val="auto"/>
                <w:sz w:val="24"/>
                <w:highlight w:val="none"/>
              </w:rPr>
            </w:pPr>
          </w:p>
        </w:tc>
      </w:tr>
      <w:tr w14:paraId="2DDEF94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C48130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EC800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BC2C8E4">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154E1FD">
            <w:pPr>
              <w:widowControl/>
              <w:jc w:val="left"/>
              <w:rPr>
                <w:rFonts w:hint="eastAsia" w:ascii="宋体" w:hAnsi="宋体" w:eastAsia="宋体" w:cs="宋体"/>
                <w:color w:val="auto"/>
                <w:sz w:val="24"/>
                <w:highlight w:val="none"/>
              </w:rPr>
            </w:pPr>
          </w:p>
        </w:tc>
      </w:tr>
      <w:tr w14:paraId="561DF8A4">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ECE403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00EE0D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03FD74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68E4E2E">
            <w:pPr>
              <w:widowControl/>
              <w:jc w:val="left"/>
              <w:rPr>
                <w:rFonts w:hint="eastAsia" w:ascii="宋体" w:hAnsi="宋体" w:eastAsia="宋体" w:cs="宋体"/>
                <w:color w:val="auto"/>
                <w:sz w:val="24"/>
                <w:highlight w:val="none"/>
              </w:rPr>
            </w:pPr>
          </w:p>
        </w:tc>
      </w:tr>
      <w:tr w14:paraId="0DEA959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9C4C3C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289263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473D047">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880DE80">
            <w:pPr>
              <w:widowControl/>
              <w:jc w:val="left"/>
              <w:rPr>
                <w:rFonts w:hint="eastAsia" w:ascii="宋体" w:hAnsi="宋体" w:eastAsia="宋体" w:cs="宋体"/>
                <w:color w:val="auto"/>
                <w:sz w:val="24"/>
                <w:highlight w:val="none"/>
              </w:rPr>
            </w:pPr>
          </w:p>
        </w:tc>
      </w:tr>
      <w:tr w14:paraId="3AC2390D">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896564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826001A">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EA8A737">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0BEC498">
            <w:pPr>
              <w:widowControl/>
              <w:jc w:val="left"/>
              <w:rPr>
                <w:rFonts w:hint="eastAsia" w:ascii="宋体" w:hAnsi="宋体" w:eastAsia="宋体" w:cs="宋体"/>
                <w:color w:val="auto"/>
                <w:sz w:val="24"/>
                <w:highlight w:val="none"/>
              </w:rPr>
            </w:pPr>
          </w:p>
        </w:tc>
      </w:tr>
      <w:tr w14:paraId="093D076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8A982C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3E2207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57E52C5">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374823E">
            <w:pPr>
              <w:widowControl/>
              <w:jc w:val="left"/>
              <w:rPr>
                <w:rFonts w:hint="eastAsia" w:ascii="宋体" w:hAnsi="宋体" w:eastAsia="宋体" w:cs="宋体"/>
                <w:color w:val="auto"/>
                <w:sz w:val="24"/>
                <w:highlight w:val="none"/>
              </w:rPr>
            </w:pPr>
          </w:p>
        </w:tc>
      </w:tr>
      <w:tr w14:paraId="25E08932">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AC4F2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26FCD8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10DAA1A">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E837F8D">
            <w:pPr>
              <w:widowControl/>
              <w:jc w:val="left"/>
              <w:rPr>
                <w:rFonts w:hint="eastAsia" w:ascii="宋体" w:hAnsi="宋体" w:eastAsia="宋体" w:cs="宋体"/>
                <w:color w:val="auto"/>
                <w:sz w:val="24"/>
                <w:highlight w:val="none"/>
              </w:rPr>
            </w:pPr>
          </w:p>
        </w:tc>
      </w:tr>
    </w:tbl>
    <w:p w14:paraId="792EC94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6FD6340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7"/>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142630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24B891E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47617F5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79B09F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09536B7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128C50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34BFF82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50A4E5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506F91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A439C5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3B5C61E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2CCF66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09FCCE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797B70A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1329A1A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36A6BA9">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5062E9F">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73C5430">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0C20E7C">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5172EE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BF32D6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328911E">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BCF2E35">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3637EA3">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97A59DF">
            <w:pPr>
              <w:autoSpaceDE w:val="0"/>
              <w:autoSpaceDN w:val="0"/>
              <w:spacing w:line="360" w:lineRule="auto"/>
              <w:rPr>
                <w:rFonts w:hint="eastAsia" w:ascii="宋体" w:hAnsi="宋体" w:eastAsia="宋体" w:cs="宋体"/>
                <w:color w:val="auto"/>
                <w:sz w:val="24"/>
                <w:highlight w:val="none"/>
              </w:rPr>
            </w:pPr>
          </w:p>
        </w:tc>
      </w:tr>
      <w:tr w14:paraId="7A2B08F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A35F473">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9178242">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11BA167">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1248910">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8AB3BD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7C49A3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7374671">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EA085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BCEE769">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4495D16A">
            <w:pPr>
              <w:autoSpaceDE w:val="0"/>
              <w:autoSpaceDN w:val="0"/>
              <w:spacing w:line="360" w:lineRule="auto"/>
              <w:rPr>
                <w:rFonts w:hint="eastAsia" w:ascii="宋体" w:hAnsi="宋体" w:eastAsia="宋体" w:cs="宋体"/>
                <w:color w:val="auto"/>
                <w:sz w:val="24"/>
                <w:highlight w:val="none"/>
              </w:rPr>
            </w:pPr>
          </w:p>
        </w:tc>
      </w:tr>
    </w:tbl>
    <w:p w14:paraId="36B146AF">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046942ED">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w:t>
      </w:r>
      <w:r>
        <w:rPr>
          <w:rFonts w:hint="eastAsia" w:ascii="宋体" w:hAnsi="宋体" w:eastAsia="宋体" w:cs="宋体"/>
          <w:b/>
          <w:color w:val="auto"/>
          <w:sz w:val="24"/>
          <w:szCs w:val="24"/>
          <w:highlight w:val="none"/>
        </w:rPr>
        <w:t>项目经理和考点售后负责人劳动合同、及近</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个月公司关联的薪资个税记录情况表（以银行或个税官网凭证作附件）</w:t>
      </w:r>
    </w:p>
    <w:p w14:paraId="0434E903">
      <w:pPr>
        <w:snapToGrid w:val="0"/>
        <w:spacing w:line="360" w:lineRule="auto"/>
        <w:ind w:firstLine="602" w:firstLineChars="200"/>
        <w:rPr>
          <w:rFonts w:hint="eastAsia" w:ascii="宋体" w:hAnsi="宋体" w:eastAsia="宋体" w:cs="宋体"/>
          <w:b/>
          <w:color w:val="auto"/>
          <w:sz w:val="30"/>
          <w:szCs w:val="30"/>
          <w:highlight w:val="none"/>
        </w:rPr>
      </w:pPr>
    </w:p>
    <w:p w14:paraId="13E0FC43">
      <w:pPr>
        <w:autoSpaceDE w:val="0"/>
        <w:autoSpaceDN w:val="0"/>
        <w:spacing w:line="360" w:lineRule="auto"/>
        <w:ind w:firstLine="6505" w:firstLineChars="2700"/>
        <w:rPr>
          <w:rFonts w:hint="eastAsia" w:ascii="宋体" w:hAnsi="宋体" w:eastAsia="宋体" w:cs="宋体"/>
          <w:b/>
          <w:bCs/>
          <w:color w:val="auto"/>
          <w:sz w:val="24"/>
          <w:highlight w:val="none"/>
        </w:rPr>
      </w:pPr>
    </w:p>
    <w:p w14:paraId="7A0EF61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165AB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4FB8C58">
      <w:pPr>
        <w:spacing w:line="500" w:lineRule="exact"/>
        <w:rPr>
          <w:rFonts w:hint="eastAsia" w:ascii="宋体" w:hAnsi="宋体" w:eastAsia="宋体" w:cs="宋体"/>
          <w:color w:val="auto"/>
          <w:sz w:val="32"/>
          <w:szCs w:val="32"/>
          <w:highlight w:val="none"/>
        </w:rPr>
      </w:pPr>
    </w:p>
    <w:p w14:paraId="7C69127D">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w:t>
      </w:r>
      <w:r>
        <w:rPr>
          <w:rFonts w:hint="eastAsia" w:ascii="宋体" w:hAnsi="宋体" w:eastAsia="宋体" w:cs="宋体"/>
          <w:b/>
          <w:color w:val="auto"/>
          <w:sz w:val="30"/>
          <w:szCs w:val="30"/>
          <w:highlight w:val="none"/>
          <w:lang w:eastAsia="zh-CN"/>
        </w:rPr>
        <w:t>技术要求</w:t>
      </w:r>
      <w:r>
        <w:rPr>
          <w:rFonts w:hint="eastAsia" w:ascii="宋体" w:hAnsi="宋体" w:eastAsia="宋体" w:cs="宋体"/>
          <w:b/>
          <w:color w:val="auto"/>
          <w:sz w:val="30"/>
          <w:szCs w:val="30"/>
          <w:highlight w:val="none"/>
        </w:rPr>
        <w:t>、商务条款要求提供的其他材料</w:t>
      </w:r>
    </w:p>
    <w:p w14:paraId="78A2E7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4C58D0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559F225">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3D91C4A">
      <w:pPr>
        <w:snapToGrid w:val="0"/>
        <w:spacing w:line="360" w:lineRule="auto"/>
        <w:ind w:firstLine="602" w:firstLineChars="200"/>
        <w:rPr>
          <w:rFonts w:hint="eastAsia" w:ascii="宋体" w:hAnsi="宋体" w:eastAsia="宋体" w:cs="宋体"/>
          <w:b/>
          <w:color w:val="auto"/>
          <w:sz w:val="30"/>
          <w:szCs w:val="30"/>
          <w:highlight w:val="none"/>
        </w:rPr>
      </w:pPr>
    </w:p>
    <w:p w14:paraId="714C7DCC">
      <w:pPr>
        <w:widowControl/>
        <w:jc w:val="left"/>
        <w:rPr>
          <w:rFonts w:hint="eastAsia" w:ascii="宋体" w:hAnsi="宋体" w:eastAsia="宋体" w:cs="宋体"/>
          <w:color w:val="auto"/>
          <w:sz w:val="32"/>
          <w:szCs w:val="32"/>
          <w:highlight w:val="none"/>
        </w:rPr>
        <w:sectPr>
          <w:pgSz w:w="11911" w:h="16838"/>
          <w:pgMar w:top="1417" w:right="1417" w:bottom="1417" w:left="1417" w:header="720" w:footer="720" w:gutter="0"/>
          <w:paperSrc/>
          <w:pgNumType w:fmt="decimal"/>
          <w:cols w:space="720" w:num="1"/>
          <w:rtlGutter w:val="0"/>
          <w:docGrid w:linePitch="0" w:charSpace="0"/>
        </w:sectPr>
      </w:pPr>
    </w:p>
    <w:p w14:paraId="7E1420A9">
      <w:pPr>
        <w:adjustRightInd w:val="0"/>
        <w:snapToGrid w:val="0"/>
        <w:spacing w:line="300" w:lineRule="auto"/>
        <w:rPr>
          <w:rFonts w:hint="eastAsia" w:ascii="宋体" w:hAnsi="宋体" w:eastAsia="宋体" w:cs="宋体"/>
          <w:color w:val="auto"/>
          <w:szCs w:val="21"/>
          <w:highlight w:val="none"/>
          <w:u w:val="single"/>
        </w:rPr>
      </w:pPr>
    </w:p>
    <w:p w14:paraId="43BDB1EE">
      <w:pPr>
        <w:pStyle w:val="3"/>
        <w:jc w:val="center"/>
        <w:rPr>
          <w:rFonts w:hint="eastAsia" w:ascii="宋体" w:hAnsi="宋体" w:eastAsia="宋体" w:cs="宋体"/>
          <w:color w:val="auto"/>
          <w:highlight w:val="none"/>
        </w:rPr>
      </w:pPr>
      <w:bookmarkStart w:id="105" w:name="_Toc10966"/>
      <w:bookmarkStart w:id="106" w:name="_Toc4539"/>
      <w:bookmarkStart w:id="107" w:name="_Toc25667"/>
      <w:r>
        <w:rPr>
          <w:rFonts w:hint="eastAsia" w:ascii="宋体" w:hAnsi="宋体" w:eastAsia="宋体" w:cs="宋体"/>
          <w:color w:val="auto"/>
          <w:highlight w:val="none"/>
        </w:rPr>
        <w:t>第四节 报价文件格式</w:t>
      </w:r>
      <w:bookmarkEnd w:id="105"/>
      <w:bookmarkEnd w:id="106"/>
      <w:bookmarkEnd w:id="107"/>
    </w:p>
    <w:p w14:paraId="30671836">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87F024F">
      <w:pPr>
        <w:snapToGrid w:val="0"/>
        <w:spacing w:before="120" w:beforeLines="50" w:after="50"/>
        <w:rPr>
          <w:rFonts w:hint="eastAsia" w:ascii="宋体" w:hAnsi="宋体" w:eastAsia="宋体" w:cs="宋体"/>
          <w:color w:val="auto"/>
          <w:sz w:val="24"/>
          <w:szCs w:val="20"/>
          <w:highlight w:val="none"/>
        </w:rPr>
      </w:pPr>
    </w:p>
    <w:p w14:paraId="5DDD1532">
      <w:pPr>
        <w:snapToGrid w:val="0"/>
        <w:spacing w:before="120" w:beforeLines="50" w:after="50"/>
        <w:rPr>
          <w:rFonts w:hint="eastAsia" w:ascii="宋体" w:hAnsi="宋体" w:eastAsia="宋体" w:cs="宋体"/>
          <w:color w:val="auto"/>
          <w:sz w:val="24"/>
          <w:szCs w:val="20"/>
          <w:highlight w:val="none"/>
        </w:rPr>
      </w:pPr>
    </w:p>
    <w:p w14:paraId="5B684B15">
      <w:pPr>
        <w:snapToGrid w:val="0"/>
        <w:spacing w:before="120" w:beforeLines="50" w:after="50"/>
        <w:rPr>
          <w:rFonts w:hint="eastAsia" w:ascii="宋体" w:hAnsi="宋体" w:eastAsia="宋体" w:cs="宋体"/>
          <w:color w:val="auto"/>
          <w:sz w:val="24"/>
          <w:szCs w:val="20"/>
          <w:highlight w:val="none"/>
        </w:rPr>
      </w:pPr>
    </w:p>
    <w:p w14:paraId="21535576">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107EF08A">
      <w:pPr>
        <w:snapToGrid w:val="0"/>
        <w:spacing w:before="120" w:beforeLines="50" w:after="50"/>
        <w:rPr>
          <w:rFonts w:hint="eastAsia" w:ascii="宋体" w:hAnsi="宋体" w:eastAsia="宋体" w:cs="宋体"/>
          <w:bCs/>
          <w:color w:val="auto"/>
          <w:sz w:val="24"/>
          <w:szCs w:val="20"/>
          <w:highlight w:val="none"/>
        </w:rPr>
      </w:pPr>
    </w:p>
    <w:p w14:paraId="61A65B91">
      <w:pPr>
        <w:snapToGrid w:val="0"/>
        <w:spacing w:before="120" w:beforeLines="50" w:after="50"/>
        <w:rPr>
          <w:rFonts w:hint="eastAsia" w:ascii="宋体" w:hAnsi="宋体" w:eastAsia="宋体" w:cs="宋体"/>
          <w:bCs/>
          <w:color w:val="auto"/>
          <w:sz w:val="24"/>
          <w:szCs w:val="20"/>
          <w:highlight w:val="none"/>
        </w:rPr>
      </w:pPr>
    </w:p>
    <w:p w14:paraId="485FE40C">
      <w:pPr>
        <w:snapToGrid w:val="0"/>
        <w:spacing w:before="120" w:beforeLines="50" w:after="50"/>
        <w:rPr>
          <w:rFonts w:hint="eastAsia" w:ascii="宋体" w:hAnsi="宋体" w:eastAsia="宋体" w:cs="宋体"/>
          <w:bCs/>
          <w:color w:val="auto"/>
          <w:sz w:val="24"/>
          <w:szCs w:val="20"/>
          <w:highlight w:val="none"/>
        </w:rPr>
      </w:pPr>
    </w:p>
    <w:p w14:paraId="38AC2516">
      <w:pPr>
        <w:snapToGrid w:val="0"/>
        <w:spacing w:before="120" w:beforeLines="50" w:after="50"/>
        <w:rPr>
          <w:rFonts w:hint="eastAsia" w:ascii="宋体" w:hAnsi="宋体" w:eastAsia="宋体" w:cs="宋体"/>
          <w:bCs/>
          <w:color w:val="auto"/>
          <w:sz w:val="24"/>
          <w:szCs w:val="20"/>
          <w:highlight w:val="none"/>
        </w:rPr>
      </w:pPr>
    </w:p>
    <w:p w14:paraId="5385778C">
      <w:pPr>
        <w:snapToGrid w:val="0"/>
        <w:spacing w:before="120" w:beforeLines="50" w:after="50"/>
        <w:rPr>
          <w:rFonts w:hint="eastAsia" w:ascii="宋体" w:hAnsi="宋体" w:eastAsia="宋体" w:cs="宋体"/>
          <w:bCs/>
          <w:color w:val="auto"/>
          <w:sz w:val="24"/>
          <w:szCs w:val="20"/>
          <w:highlight w:val="none"/>
        </w:rPr>
      </w:pPr>
    </w:p>
    <w:p w14:paraId="021C1E6B">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南宁职业技术大学行人通道改造设备项目（重）</w:t>
      </w:r>
    </w:p>
    <w:p w14:paraId="44BAF4D5">
      <w:pPr>
        <w:snapToGrid w:val="0"/>
        <w:spacing w:before="120" w:beforeLines="50" w:after="50"/>
        <w:ind w:firstLine="720" w:firstLineChars="225"/>
        <w:rPr>
          <w:rFonts w:hint="eastAsia" w:ascii="宋体" w:hAnsi="宋体" w:eastAsia="宋体" w:cs="宋体"/>
          <w:bCs/>
          <w:color w:val="auto"/>
          <w:sz w:val="32"/>
          <w:szCs w:val="32"/>
          <w:highlight w:val="none"/>
        </w:rPr>
      </w:pPr>
    </w:p>
    <w:p w14:paraId="048A32A5">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eastAsia="zh-CN"/>
        </w:rPr>
        <w:t>NNZC2025-J1-990717-JDZB</w:t>
      </w:r>
    </w:p>
    <w:p w14:paraId="6EB2BF7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8ECBE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6F5092F">
      <w:pPr>
        <w:snapToGrid w:val="0"/>
        <w:spacing w:before="120" w:beforeLines="50" w:after="50"/>
        <w:ind w:firstLine="720" w:firstLineChars="225"/>
        <w:rPr>
          <w:rFonts w:hint="eastAsia" w:ascii="宋体" w:hAnsi="宋体" w:eastAsia="宋体" w:cs="宋体"/>
          <w:bCs/>
          <w:color w:val="auto"/>
          <w:sz w:val="32"/>
          <w:szCs w:val="32"/>
          <w:highlight w:val="none"/>
        </w:rPr>
      </w:pPr>
    </w:p>
    <w:p w14:paraId="0E855DCE">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220B4C4">
      <w:pPr>
        <w:pStyle w:val="8"/>
        <w:snapToGrid w:val="0"/>
        <w:spacing w:before="50" w:after="50"/>
        <w:ind w:firstLine="720" w:firstLineChars="225"/>
        <w:rPr>
          <w:rFonts w:hint="eastAsia" w:ascii="宋体" w:hAnsi="宋体" w:eastAsia="宋体" w:cs="宋体"/>
          <w:bCs/>
          <w:color w:val="auto"/>
          <w:sz w:val="32"/>
          <w:szCs w:val="32"/>
          <w:highlight w:val="none"/>
        </w:rPr>
      </w:pPr>
    </w:p>
    <w:p w14:paraId="74E2130C">
      <w:pPr>
        <w:pStyle w:val="8"/>
        <w:snapToGrid w:val="0"/>
        <w:spacing w:before="50" w:after="50"/>
        <w:ind w:firstLine="720" w:firstLineChars="225"/>
        <w:rPr>
          <w:rFonts w:hint="eastAsia" w:ascii="宋体" w:hAnsi="宋体" w:eastAsia="宋体" w:cs="宋体"/>
          <w:bCs/>
          <w:color w:val="auto"/>
          <w:sz w:val="32"/>
          <w:szCs w:val="32"/>
          <w:highlight w:val="none"/>
        </w:rPr>
      </w:pPr>
    </w:p>
    <w:p w14:paraId="21147D30">
      <w:pPr>
        <w:pStyle w:val="8"/>
        <w:snapToGrid w:val="0"/>
        <w:spacing w:before="50" w:after="50"/>
        <w:ind w:firstLine="1280" w:firstLineChars="400"/>
        <w:rPr>
          <w:rFonts w:hint="eastAsia" w:ascii="宋体" w:hAnsi="宋体" w:eastAsia="宋体" w:cs="宋体"/>
          <w:bCs/>
          <w:color w:val="auto"/>
          <w:sz w:val="32"/>
          <w:szCs w:val="32"/>
          <w:highlight w:val="none"/>
        </w:rPr>
      </w:pPr>
    </w:p>
    <w:p w14:paraId="2985797A">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663FFBD">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762606AB">
      <w:pPr>
        <w:rPr>
          <w:rFonts w:hint="eastAsia" w:ascii="宋体" w:hAnsi="宋体" w:eastAsia="宋体" w:cs="宋体"/>
          <w:color w:val="auto"/>
          <w:highlight w:val="none"/>
        </w:rPr>
      </w:pPr>
    </w:p>
    <w:p w14:paraId="20263B82">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（页码）</w:t>
      </w:r>
    </w:p>
    <w:p w14:paraId="43CCEB6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（页码）</w:t>
      </w:r>
    </w:p>
    <w:p w14:paraId="2555E5E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中小企业声明函</w:t>
      </w:r>
      <w:r>
        <w:rPr>
          <w:rFonts w:hint="eastAsia" w:ascii="宋体" w:hAnsi="宋体" w:eastAsia="宋体" w:cs="宋体"/>
          <w:color w:val="auto"/>
          <w:kern w:val="0"/>
          <w:sz w:val="24"/>
          <w:highlight w:val="none"/>
        </w:rPr>
        <w:t>…………………………………………………（页码）</w:t>
      </w:r>
    </w:p>
    <w:p w14:paraId="14C23594">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27EA1329">
      <w:pPr>
        <w:pStyle w:val="15"/>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3403E9B9">
      <w:pPr>
        <w:pStyle w:val="15"/>
        <w:spacing w:line="500" w:lineRule="exact"/>
        <w:ind w:firstLine="60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195F2B80">
      <w:pPr>
        <w:pStyle w:val="1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hAnsi="宋体" w:eastAsia="宋体" w:cs="宋体"/>
          <w:color w:val="auto"/>
          <w:highlight w:val="none"/>
          <w:u w:val="single"/>
          <w:lang w:eastAsia="zh-CN"/>
        </w:rPr>
        <w:t>广西机电设备招标有限公司</w:t>
      </w:r>
      <w:r>
        <w:rPr>
          <w:rFonts w:hint="eastAsia" w:ascii="宋体" w:hAnsi="宋体" w:eastAsia="宋体" w:cs="宋体"/>
          <w:color w:val="auto"/>
          <w:highlight w:val="none"/>
          <w:u w:val="single"/>
        </w:rPr>
        <w:t xml:space="preserve"> </w:t>
      </w:r>
    </w:p>
    <w:p w14:paraId="56CAFCEA">
      <w:pPr>
        <w:pStyle w:val="15"/>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eastAsia="zh-CN"/>
        </w:rPr>
        <w:t>南宁职业技术大学行人通道改造设备项目（重）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hAnsi="宋体" w:eastAsia="宋体" w:cs="宋体"/>
          <w:color w:val="auto"/>
          <w:highlight w:val="none"/>
          <w:u w:val="single"/>
          <w:lang w:eastAsia="zh-CN"/>
        </w:rPr>
        <w:t>NNZC2025-J1-990717-JDZB</w:t>
      </w:r>
      <w:r>
        <w:rPr>
          <w:rFonts w:hint="eastAsia" w:ascii="宋体" w:hAnsi="宋体" w:eastAsia="宋体" w:cs="宋体"/>
          <w:color w:val="auto"/>
          <w:highlight w:val="none"/>
        </w:rPr>
        <w:t xml:space="preserve">）的竞争性谈判采购文件的全部内容，现正式递交下述文件参加贵方组织的本次政府采购活动： </w:t>
      </w:r>
    </w:p>
    <w:p w14:paraId="0146BD45">
      <w:pPr>
        <w:pStyle w:val="15"/>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w:t>
      </w:r>
    </w:p>
    <w:p w14:paraId="11B58DCE">
      <w:pPr>
        <w:pStyle w:val="15"/>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二、技术文件电子版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供应商须知”提交的全部文件）；（商务技术文件已合并装订成册）;</w:t>
      </w:r>
    </w:p>
    <w:p w14:paraId="1F09D119">
      <w:pPr>
        <w:pStyle w:val="15"/>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三、资格证明文件电子版（包含按“第三章供应商须知”提交的全部文件）；</w:t>
      </w:r>
    </w:p>
    <w:p w14:paraId="5262B1C9">
      <w:pPr>
        <w:pStyle w:val="15"/>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w:t>
      </w: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兹宣布：</w:t>
      </w:r>
    </w:p>
    <w:p w14:paraId="18BCF564">
      <w:pPr>
        <w:pStyle w:val="15"/>
        <w:pageBreakBefore w:val="0"/>
        <w:kinsoku/>
        <w:overflowPunct/>
        <w:topLinePunct w:val="0"/>
        <w:bidi w:val="0"/>
        <w:spacing w:beforeAutospacing="0" w:afterAutospacing="0" w:line="360" w:lineRule="auto"/>
        <w:ind w:left="0" w:leftChars="0" w:right="0"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w:t>
      </w:r>
      <w:r>
        <w:rPr>
          <w:rFonts w:hint="eastAsia" w:ascii="宋体" w:hAnsi="宋体" w:eastAsia="宋体" w:cs="宋体"/>
          <w:bCs/>
          <w:color w:val="auto"/>
          <w:szCs w:val="21"/>
          <w:highlight w:val="none"/>
        </w:rPr>
        <w:t>交货时间：</w:t>
      </w:r>
      <w:r>
        <w:rPr>
          <w:rFonts w:hint="eastAsia" w:ascii="宋体" w:hAnsi="宋体" w:eastAsia="宋体" w:cs="宋体"/>
          <w:color w:val="auto"/>
          <w:highlight w:val="none"/>
        </w:rPr>
        <w:t>（无分标时填写）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，提供本项目竞争性谈判采购文件第二章“</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需求”中的相应的采购内容。</w:t>
      </w:r>
    </w:p>
    <w:p w14:paraId="6876FF5F">
      <w:pPr>
        <w:pStyle w:val="15"/>
        <w:pageBreakBefore w:val="0"/>
        <w:kinsoku/>
        <w:overflowPunct/>
        <w:topLinePunct w:val="0"/>
        <w:bidi w:val="0"/>
        <w:spacing w:beforeAutospacing="0" w:afterAutospacing="0" w:line="360" w:lineRule="auto"/>
        <w:ind w:left="0" w:leftChars="0" w:right="0"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5607CFE2">
      <w:pPr>
        <w:pStyle w:val="15"/>
        <w:pageBreakBefore w:val="0"/>
        <w:kinsoku/>
        <w:overflowPunct/>
        <w:topLinePunct w:val="0"/>
        <w:bidi w:val="0"/>
        <w:spacing w:beforeAutospacing="0" w:afterAutospacing="0" w:line="360" w:lineRule="auto"/>
        <w:ind w:left="0" w:leftChars="0" w:right="0"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bCs/>
          <w:color w:val="auto"/>
          <w:szCs w:val="21"/>
          <w:highlight w:val="none"/>
        </w:rPr>
        <w:t>交货时间：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C5F76D">
      <w:pPr>
        <w:pStyle w:val="15"/>
        <w:pageBreakBefore w:val="0"/>
        <w:kinsoku/>
        <w:overflowPunct/>
        <w:topLinePunct w:val="0"/>
        <w:bidi w:val="0"/>
        <w:spacing w:beforeAutospacing="0" w:afterAutospacing="0" w:line="360" w:lineRule="auto"/>
        <w:ind w:left="0" w:leftChars="0" w:right="0"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bCs/>
          <w:color w:val="auto"/>
          <w:szCs w:val="21"/>
          <w:highlight w:val="none"/>
        </w:rPr>
        <w:t>交货时间：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9B2CD23">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rPr>
        <w:t>.</w:t>
      </w:r>
    </w:p>
    <w:p w14:paraId="611DB967">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2、我方同意自本项目竞争性谈判采购文件采购公告规定的递交响应文件截止时间起遵循本响应函，并承诺在“第三章 供应商须知”规定的</w:t>
      </w:r>
      <w:r>
        <w:rPr>
          <w:rFonts w:hint="eastAsia" w:ascii="宋体" w:hAnsi="宋体" w:eastAsia="宋体" w:cs="宋体"/>
          <w:color w:val="auto"/>
          <w:highlight w:val="none"/>
          <w:lang w:val="en-US" w:eastAsia="zh-CN"/>
        </w:rPr>
        <w:t>竞标有效期</w:t>
      </w:r>
      <w:r>
        <w:rPr>
          <w:rFonts w:hint="eastAsia" w:ascii="宋体" w:hAnsi="宋体" w:eastAsia="宋体" w:cs="宋体"/>
          <w:color w:val="auto"/>
          <w:highlight w:val="none"/>
        </w:rPr>
        <w:t>内不修改、撤销响应文件。</w:t>
      </w:r>
    </w:p>
    <w:p w14:paraId="49B0234D">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3、我方在此声明，所递交的响应文件及有关资料内容完整、真实和准确。</w:t>
      </w:r>
    </w:p>
    <w:p w14:paraId="21E35577">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47AC559D">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我方承诺在收到成交通知书后，在成交通知书规定的期限内，根据竞争性谈判采购文件、我方的响应文件及有关澄清承诺书的要求按第六章“合同文本”与采购人订立书面合同，并按照合同约定承担完成合同的责任和义务。</w:t>
      </w:r>
    </w:p>
    <w:p w14:paraId="0446040D">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6、我方已详细审核竞争性谈判采购文件，我方知道必须放弃提出含糊不清或误解问题的权利。</w:t>
      </w:r>
    </w:p>
    <w:p w14:paraId="770AE0D3">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7、我方承诺满足竞争性谈判采购文件第六章“合同文本”的条款，承担完成合同的责任和义务。</w:t>
      </w:r>
    </w:p>
    <w:p w14:paraId="522A6E40">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8、我方同意应贵方要求提供与本竞标有关的任何数据或资料。若贵方需要，我方愿意提供我方作出的一切承诺的证明材料。</w:t>
      </w:r>
    </w:p>
    <w:p w14:paraId="36A54CF7">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9、我方完全理解贵方不一定接受响应报价最低的</w:t>
      </w:r>
      <w:r>
        <w:rPr>
          <w:rFonts w:hint="eastAsia" w:ascii="宋体" w:hAnsi="宋体" w:eastAsia="宋体" w:cs="宋体"/>
          <w:color w:val="auto"/>
          <w:highlight w:val="none"/>
          <w:lang w:eastAsia="zh-CN"/>
        </w:rPr>
        <w:t>竞标供应商</w:t>
      </w:r>
      <w:r>
        <w:rPr>
          <w:rFonts w:hint="eastAsia" w:ascii="宋体" w:hAnsi="宋体" w:eastAsia="宋体" w:cs="宋体"/>
          <w:color w:val="auto"/>
          <w:highlight w:val="none"/>
        </w:rPr>
        <w:t>为成交供应商的行为。</w:t>
      </w:r>
    </w:p>
    <w:p w14:paraId="7FE62DC7">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FA68B4">
      <w:pPr>
        <w:pStyle w:val="15"/>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56036254">
      <w:pPr>
        <w:pStyle w:val="15"/>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6240ECF9">
      <w:pPr>
        <w:pStyle w:val="15"/>
        <w:numPr>
          <w:ilvl w:val="0"/>
          <w:numId w:val="4"/>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14:paraId="1806A87E">
      <w:pPr>
        <w:pStyle w:val="15"/>
        <w:numPr>
          <w:ilvl w:val="0"/>
          <w:numId w:val="4"/>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14:paraId="2982C6EC">
      <w:pPr>
        <w:pStyle w:val="15"/>
        <w:numPr>
          <w:ilvl w:val="0"/>
          <w:numId w:val="4"/>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在采购过程中与采购人进行协商谈判的；</w:t>
      </w:r>
    </w:p>
    <w:p w14:paraId="0D841948">
      <w:pPr>
        <w:pStyle w:val="15"/>
        <w:numPr>
          <w:ilvl w:val="0"/>
          <w:numId w:val="4"/>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14:paraId="39D77FA7">
      <w:pPr>
        <w:pStyle w:val="15"/>
        <w:spacing w:line="360" w:lineRule="auto"/>
        <w:ind w:firstLine="420"/>
        <w:rPr>
          <w:rFonts w:hint="eastAsia"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11、以上事项如有虚假或者隐瞒，我方愿意承担一切后果，并不再寻求任何旨在减轻或者免除法律责任的辩解。</w:t>
      </w:r>
    </w:p>
    <w:p w14:paraId="04D47347">
      <w:pPr>
        <w:pStyle w:val="15"/>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lang w:val="en-US" w:eastAsia="zh-CN"/>
        </w:rPr>
        <w:t>12</w:t>
      </w:r>
      <w:r>
        <w:rPr>
          <w:rFonts w:hint="eastAsia" w:ascii="宋体" w:hAnsi="宋体" w:eastAsia="宋体" w:cs="宋体"/>
          <w:color w:val="auto"/>
          <w:szCs w:val="20"/>
          <w:highlight w:val="none"/>
        </w:rPr>
        <w:t>.与本谈判有关的一切正式往来信函请寄：</w:t>
      </w:r>
      <w:r>
        <w:rPr>
          <w:rFonts w:hint="eastAsia" w:ascii="宋体" w:hAnsi="宋体" w:eastAsia="宋体" w:cs="宋体"/>
          <w:color w:val="auto"/>
          <w:szCs w:val="20"/>
          <w:highlight w:val="none"/>
          <w:u w:val="single"/>
        </w:rPr>
        <w:t xml:space="preserve"> </w:t>
      </w:r>
    </w:p>
    <w:p w14:paraId="5BDD2218">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FE0D661">
      <w:pPr>
        <w:pStyle w:val="15"/>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068AE541">
      <w:pPr>
        <w:pStyle w:val="15"/>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31D04DA7">
      <w:pPr>
        <w:pStyle w:val="15"/>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44C63E31">
      <w:pPr>
        <w:pStyle w:val="15"/>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58E0E50A">
      <w:pPr>
        <w:pStyle w:val="15"/>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5BA244C">
      <w:pPr>
        <w:pStyle w:val="15"/>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58ACD829">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928BE7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83E9D12">
      <w:pPr>
        <w:ind w:firstLine="6000" w:firstLineChars="25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日期：  年  月   日</w:t>
      </w:r>
    </w:p>
    <w:p w14:paraId="4B59B6CB">
      <w:pPr>
        <w:pStyle w:val="15"/>
        <w:spacing w:line="360" w:lineRule="auto"/>
        <w:ind w:firstLine="420"/>
        <w:rPr>
          <w:rFonts w:hint="eastAsia" w:ascii="宋体" w:hAnsi="宋体" w:eastAsia="宋体" w:cs="宋体"/>
          <w:color w:val="auto"/>
          <w:highlight w:val="none"/>
        </w:rPr>
      </w:pPr>
    </w:p>
    <w:p w14:paraId="301D5757">
      <w:pPr>
        <w:widowControl/>
        <w:jc w:val="left"/>
        <w:rPr>
          <w:rFonts w:hint="eastAsia" w:ascii="宋体" w:hAnsi="宋体" w:eastAsia="宋体" w:cs="宋体"/>
          <w:color w:val="auto"/>
          <w:highlight w:val="none"/>
        </w:rPr>
        <w:sectPr>
          <w:pgSz w:w="11911" w:h="16838"/>
          <w:pgMar w:top="1417" w:right="1417" w:bottom="1417" w:left="1417" w:header="720" w:footer="720" w:gutter="0"/>
          <w:paperSrc/>
          <w:pgNumType w:fmt="decimal"/>
          <w:cols w:space="720" w:num="1"/>
          <w:rtlGutter w:val="0"/>
          <w:docGrid w:linePitch="0" w:charSpace="0"/>
        </w:sectPr>
      </w:pPr>
    </w:p>
    <w:p w14:paraId="7DF0085F">
      <w:pPr>
        <w:pStyle w:val="15"/>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20AB9750">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南宁职业技术大学行人通道改造设备项目（重）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52B9A6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lang w:eastAsia="zh-CN"/>
        </w:rPr>
        <w:t>NNZC2025-J1-990717-JDZB</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p>
    <w:p w14:paraId="4F193AE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7"/>
        <w:tblW w:w="93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77"/>
        <w:gridCol w:w="1765"/>
        <w:gridCol w:w="924"/>
        <w:gridCol w:w="924"/>
        <w:gridCol w:w="1078"/>
        <w:gridCol w:w="2116"/>
        <w:gridCol w:w="819"/>
      </w:tblGrid>
      <w:tr w14:paraId="12A0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14:paraId="1071F2B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44EE8F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标的</w:t>
            </w:r>
            <w:r>
              <w:rPr>
                <w:rFonts w:hint="eastAsia" w:ascii="宋体" w:hAnsi="宋体" w:eastAsia="宋体" w:cs="宋体"/>
                <w:color w:val="auto"/>
                <w:szCs w:val="22"/>
                <w:highlight w:val="none"/>
              </w:rPr>
              <w:t>名称</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0487B5F9">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品牌及</w:t>
            </w:r>
            <w:r>
              <w:rPr>
                <w:rFonts w:hint="eastAsia" w:ascii="宋体" w:hAnsi="宋体" w:eastAsia="宋体" w:cs="宋体"/>
                <w:color w:val="auto"/>
                <w:szCs w:val="22"/>
                <w:highlight w:val="none"/>
              </w:rPr>
              <w:t>规格型号</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3FA99646">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生产厂家</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1E9C4527">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177D1A4">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27F2CE69">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11222149">
            <w:pPr>
              <w:spacing w:line="360" w:lineRule="auto"/>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688525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DB6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14:paraId="394E482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32061D3">
            <w:pPr>
              <w:jc w:val="center"/>
              <w:rPr>
                <w:rFonts w:hint="eastAsia" w:ascii="宋体" w:hAnsi="宋体" w:eastAsia="宋体" w:cs="宋体"/>
                <w:color w:val="auto"/>
                <w:szCs w:val="22"/>
                <w:highlight w:val="none"/>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58968010">
            <w:pPr>
              <w:jc w:val="center"/>
              <w:rPr>
                <w:rFonts w:hint="eastAsia" w:ascii="宋体" w:hAnsi="宋体" w:eastAsia="宋体" w:cs="宋体"/>
                <w:color w:val="auto"/>
                <w:szCs w:val="22"/>
                <w:highlight w:val="none"/>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79AA6618">
            <w:pPr>
              <w:jc w:val="center"/>
              <w:rPr>
                <w:rFonts w:hint="eastAsia" w:ascii="宋体" w:hAnsi="宋体" w:eastAsia="宋体" w:cs="宋体"/>
                <w:color w:val="auto"/>
                <w:szCs w:val="22"/>
                <w:highlight w:val="none"/>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33C4D0C2">
            <w:pPr>
              <w:jc w:val="center"/>
              <w:rPr>
                <w:rFonts w:hint="eastAsia" w:ascii="宋体" w:hAnsi="宋体" w:eastAsia="宋体" w:cs="宋体"/>
                <w:color w:val="auto"/>
                <w:szCs w:val="22"/>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1285D3A">
            <w:pPr>
              <w:jc w:val="center"/>
              <w:rPr>
                <w:rFonts w:hint="eastAsia" w:ascii="宋体" w:hAnsi="宋体" w:eastAsia="宋体" w:cs="宋体"/>
                <w:color w:val="auto"/>
                <w:szCs w:val="22"/>
                <w:highlight w:val="none"/>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1CE4E010">
            <w:pPr>
              <w:jc w:val="center"/>
              <w:rPr>
                <w:rFonts w:hint="eastAsia" w:ascii="宋体" w:hAnsi="宋体" w:eastAsia="宋体" w:cs="宋体"/>
                <w:color w:val="auto"/>
                <w:szCs w:val="22"/>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AE84F18">
            <w:pPr>
              <w:jc w:val="center"/>
              <w:rPr>
                <w:rFonts w:hint="eastAsia" w:ascii="宋体" w:hAnsi="宋体" w:eastAsia="宋体" w:cs="宋体"/>
                <w:color w:val="auto"/>
                <w:szCs w:val="22"/>
                <w:highlight w:val="none"/>
              </w:rPr>
            </w:pPr>
          </w:p>
        </w:tc>
      </w:tr>
      <w:tr w14:paraId="75C1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14:paraId="4DDF526A">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F6CD28F">
            <w:pPr>
              <w:jc w:val="center"/>
              <w:rPr>
                <w:rFonts w:hint="eastAsia" w:ascii="宋体" w:hAnsi="宋体" w:eastAsia="宋体" w:cs="宋体"/>
                <w:color w:val="auto"/>
                <w:szCs w:val="22"/>
                <w:highlight w:val="none"/>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5664AE8A">
            <w:pPr>
              <w:jc w:val="center"/>
              <w:rPr>
                <w:rFonts w:hint="eastAsia" w:ascii="宋体" w:hAnsi="宋体" w:eastAsia="宋体" w:cs="宋体"/>
                <w:color w:val="auto"/>
                <w:szCs w:val="22"/>
                <w:highlight w:val="none"/>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1A6CF4A3">
            <w:pPr>
              <w:jc w:val="center"/>
              <w:rPr>
                <w:rFonts w:hint="eastAsia" w:ascii="宋体" w:hAnsi="宋体" w:eastAsia="宋体" w:cs="宋体"/>
                <w:color w:val="auto"/>
                <w:szCs w:val="22"/>
                <w:highlight w:val="none"/>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720D69E8">
            <w:pPr>
              <w:jc w:val="center"/>
              <w:rPr>
                <w:rFonts w:hint="eastAsia" w:ascii="宋体" w:hAnsi="宋体" w:eastAsia="宋体" w:cs="宋体"/>
                <w:color w:val="auto"/>
                <w:szCs w:val="22"/>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E1BAC5A">
            <w:pPr>
              <w:jc w:val="center"/>
              <w:rPr>
                <w:rFonts w:hint="eastAsia" w:ascii="宋体" w:hAnsi="宋体" w:eastAsia="宋体" w:cs="宋体"/>
                <w:color w:val="auto"/>
                <w:szCs w:val="22"/>
                <w:highlight w:val="none"/>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6D5550F2">
            <w:pPr>
              <w:jc w:val="center"/>
              <w:rPr>
                <w:rFonts w:hint="eastAsia" w:ascii="宋体" w:hAnsi="宋体" w:eastAsia="宋体" w:cs="宋体"/>
                <w:color w:val="auto"/>
                <w:szCs w:val="22"/>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42F1449">
            <w:pPr>
              <w:jc w:val="center"/>
              <w:rPr>
                <w:rFonts w:hint="eastAsia" w:ascii="宋体" w:hAnsi="宋体" w:eastAsia="宋体" w:cs="宋体"/>
                <w:color w:val="auto"/>
                <w:szCs w:val="22"/>
                <w:highlight w:val="none"/>
              </w:rPr>
            </w:pPr>
          </w:p>
        </w:tc>
      </w:tr>
      <w:tr w14:paraId="6A5F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14:paraId="0E1DD2EB">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604A36D">
            <w:pPr>
              <w:jc w:val="center"/>
              <w:rPr>
                <w:rFonts w:hint="eastAsia" w:ascii="宋体" w:hAnsi="宋体" w:eastAsia="宋体" w:cs="宋体"/>
                <w:color w:val="auto"/>
                <w:szCs w:val="22"/>
                <w:highlight w:val="none"/>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2D336ED0">
            <w:pPr>
              <w:jc w:val="center"/>
              <w:rPr>
                <w:rFonts w:hint="eastAsia" w:ascii="宋体" w:hAnsi="宋体" w:eastAsia="宋体" w:cs="宋体"/>
                <w:color w:val="auto"/>
                <w:szCs w:val="22"/>
                <w:highlight w:val="none"/>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208E30D0">
            <w:pPr>
              <w:jc w:val="center"/>
              <w:rPr>
                <w:rFonts w:hint="eastAsia" w:ascii="宋体" w:hAnsi="宋体" w:eastAsia="宋体" w:cs="宋体"/>
                <w:color w:val="auto"/>
                <w:szCs w:val="22"/>
                <w:highlight w:val="none"/>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62D29B7B">
            <w:pPr>
              <w:jc w:val="center"/>
              <w:rPr>
                <w:rFonts w:hint="eastAsia" w:ascii="宋体" w:hAnsi="宋体" w:eastAsia="宋体" w:cs="宋体"/>
                <w:color w:val="auto"/>
                <w:szCs w:val="22"/>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2B97FC5">
            <w:pPr>
              <w:jc w:val="center"/>
              <w:rPr>
                <w:rFonts w:hint="eastAsia" w:ascii="宋体" w:hAnsi="宋体" w:eastAsia="宋体" w:cs="宋体"/>
                <w:color w:val="auto"/>
                <w:szCs w:val="22"/>
                <w:highlight w:val="none"/>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647A6FE0">
            <w:pPr>
              <w:jc w:val="center"/>
              <w:rPr>
                <w:rFonts w:hint="eastAsia" w:ascii="宋体" w:hAnsi="宋体" w:eastAsia="宋体" w:cs="宋体"/>
                <w:color w:val="auto"/>
                <w:szCs w:val="22"/>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37D5996">
            <w:pPr>
              <w:jc w:val="center"/>
              <w:rPr>
                <w:rFonts w:hint="eastAsia" w:ascii="宋体" w:hAnsi="宋体" w:eastAsia="宋体" w:cs="宋体"/>
                <w:color w:val="auto"/>
                <w:szCs w:val="22"/>
                <w:highlight w:val="none"/>
              </w:rPr>
            </w:pPr>
          </w:p>
        </w:tc>
      </w:tr>
      <w:tr w14:paraId="462E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9317" w:type="dxa"/>
            <w:gridSpan w:val="8"/>
            <w:tcBorders>
              <w:top w:val="single" w:color="auto" w:sz="4" w:space="0"/>
              <w:left w:val="single" w:color="auto" w:sz="4" w:space="0"/>
              <w:bottom w:val="single" w:color="auto" w:sz="4" w:space="0"/>
              <w:right w:val="single" w:color="auto" w:sz="4" w:space="0"/>
            </w:tcBorders>
            <w:noWrap w:val="0"/>
            <w:vAlign w:val="top"/>
          </w:tcPr>
          <w:p w14:paraId="74C36067">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rPr>
              <w:t xml:space="preserve">  （￥      元）</w:t>
            </w:r>
          </w:p>
        </w:tc>
      </w:tr>
      <w:tr w14:paraId="203C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317" w:type="dxa"/>
            <w:gridSpan w:val="8"/>
            <w:tcBorders>
              <w:top w:val="single" w:color="auto" w:sz="4" w:space="0"/>
              <w:left w:val="single" w:color="auto" w:sz="4" w:space="0"/>
              <w:bottom w:val="single" w:color="auto" w:sz="4" w:space="0"/>
              <w:right w:val="single" w:color="auto" w:sz="4" w:space="0"/>
            </w:tcBorders>
            <w:noWrap w:val="0"/>
            <w:vAlign w:val="top"/>
          </w:tcPr>
          <w:p w14:paraId="522EA51F">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3C031D51">
      <w:pPr>
        <w:pageBreakBefore w:val="0"/>
        <w:kinsoku/>
        <w:overflowPunct/>
        <w:topLinePunct w:val="0"/>
        <w:bidi w:val="0"/>
        <w:snapToGrid w:val="0"/>
        <w:spacing w:beforeAutospacing="0" w:afterAutospacing="0" w:line="360" w:lineRule="auto"/>
        <w:ind w:left="0" w:leftChars="0" w:right="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4C3DCB6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1、供应商需按本表格式填写，不得自行更改，也不得留空, 如有多分标，按分标分别提供响应报价表，必须加盖供应商有效电子公章，</w:t>
      </w:r>
      <w:r>
        <w:rPr>
          <w:rFonts w:hint="eastAsia" w:ascii="宋体" w:hAnsi="宋体" w:eastAsia="宋体" w:cs="宋体"/>
          <w:b/>
          <w:color w:val="auto"/>
          <w:kern w:val="0"/>
          <w:sz w:val="21"/>
          <w:szCs w:val="21"/>
          <w:highlight w:val="none"/>
          <w:lang w:val="zh-CN"/>
        </w:rPr>
        <w:t>否则其响应作无效响应处理。</w:t>
      </w:r>
    </w:p>
    <w:p w14:paraId="4A13F1A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否则其响应作无效响应处理。</w:t>
      </w:r>
    </w:p>
    <w:p w14:paraId="172BF8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3、如为联合体投标，“供应商名称”处必须列明联合体各方名称，并标注联合体牵头人名称，且盖章处须加盖联合体各方公章，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否则其响应作无效响应处理。</w:t>
      </w:r>
    </w:p>
    <w:p w14:paraId="2865754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4、特别提示：采购机构将对项目名称和项目编号，成交供应商名称、地址和成交金额，主要成交标的的名称、规格型号、数量、单价、货物要求等予以公示。</w:t>
      </w:r>
    </w:p>
    <w:p w14:paraId="62CAED2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F89667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EEF7CC7">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1AE82AA">
      <w:pPr>
        <w:pStyle w:val="15"/>
        <w:spacing w:line="500" w:lineRule="exact"/>
        <w:ind w:firstLine="480" w:firstLineChars="200"/>
        <w:rPr>
          <w:rFonts w:hint="eastAsia" w:ascii="宋体" w:hAnsi="宋体" w:eastAsia="宋体" w:cs="宋体"/>
          <w:b/>
          <w:color w:val="auto"/>
          <w:kern w:val="2"/>
          <w:sz w:val="30"/>
          <w:szCs w:val="30"/>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color w:val="auto"/>
          <w:kern w:val="0"/>
          <w:sz w:val="30"/>
          <w:szCs w:val="30"/>
          <w:highlight w:val="none"/>
          <w:lang w:val="en-US" w:eastAsia="zh-CN"/>
        </w:rPr>
        <w:t>三</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2"/>
          <w:sz w:val="30"/>
          <w:szCs w:val="30"/>
          <w:highlight w:val="none"/>
        </w:rPr>
        <w:t>中小企业声明函</w:t>
      </w:r>
    </w:p>
    <w:p w14:paraId="5812D282">
      <w:pPr>
        <w:pStyle w:val="12"/>
        <w:pageBreakBefore w:val="0"/>
        <w:kinsoku/>
        <w:overflowPunct/>
        <w:topLinePunct w:val="0"/>
        <w:bidi w:val="0"/>
        <w:spacing w:beforeAutospacing="0" w:afterAutospacing="0" w:line="360" w:lineRule="auto"/>
        <w:ind w:left="0" w:leftChars="0" w:right="0" w:firstLine="0"/>
        <w:jc w:val="center"/>
        <w:rPr>
          <w:rFonts w:hint="eastAsia" w:ascii="宋体" w:hAnsi="宋体" w:eastAsia="宋体" w:cs="宋体"/>
          <w:color w:val="auto"/>
          <w:sz w:val="21"/>
          <w:szCs w:val="21"/>
          <w:highlight w:val="none"/>
        </w:rPr>
      </w:pPr>
      <w:r>
        <w:rPr>
          <w:rFonts w:hint="eastAsia" w:ascii="宋体" w:hAnsi="宋体" w:eastAsia="宋体" w:cs="宋体"/>
          <w:b/>
          <w:color w:val="auto"/>
          <w:kern w:val="2"/>
          <w:sz w:val="30"/>
          <w:szCs w:val="30"/>
          <w:highlight w:val="none"/>
        </w:rPr>
        <w:t>中小企业声明函</w:t>
      </w:r>
    </w:p>
    <w:p w14:paraId="2DBC677B">
      <w:pPr>
        <w:pStyle w:val="12"/>
        <w:pageBreakBefore w:val="0"/>
        <w:kinsoku/>
        <w:overflowPunct/>
        <w:topLinePunct w:val="0"/>
        <w:bidi w:val="0"/>
        <w:spacing w:beforeAutospacing="0" w:afterAutospacing="0" w:line="36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4A8254CC">
      <w:pPr>
        <w:pStyle w:val="12"/>
        <w:pageBreakBefore w:val="0"/>
        <w:kinsoku/>
        <w:overflowPunct/>
        <w:topLinePunct w:val="0"/>
        <w:bidi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1、本声明函主要供参加政府采购活动的中小企业填写，非中小企业无需填写。</w:t>
      </w:r>
    </w:p>
    <w:p w14:paraId="1550ECAF">
      <w:pPr>
        <w:pStyle w:val="12"/>
        <w:pageBreakBefore w:val="0"/>
        <w:kinsoku/>
        <w:overflowPunct/>
        <w:topLinePunct w:val="0"/>
        <w:bidi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2、小型、微型企业提供中型企业提供的货物的，视同为中型企业。</w:t>
      </w:r>
    </w:p>
    <w:p w14:paraId="44A8564E">
      <w:pPr>
        <w:pStyle w:val="12"/>
        <w:pageBreakBefore w:val="0"/>
        <w:kinsoku/>
        <w:overflowPunct/>
        <w:topLinePunct w:val="0"/>
        <w:bidi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rPr>
      </w:pPr>
    </w:p>
    <w:p w14:paraId="6C76F7A4">
      <w:pPr>
        <w:pStyle w:val="11"/>
        <w:pageBreakBefore w:val="0"/>
        <w:kinsoku/>
        <w:overflowPunct/>
        <w:topLinePunct w:val="0"/>
        <w:bidi w:val="0"/>
        <w:spacing w:beforeAutospacing="0" w:after="0" w:afterAutospacing="0" w:line="360" w:lineRule="auto"/>
        <w:ind w:left="0" w:leftChars="0" w:right="0" w:firstLine="420" w:firstLineChars="200"/>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本公司（联合体）郑重声明，根据《政府采购促进中小企业发展管理办法》（财库﹝2020﹞46号）的规定，本公司（联合体）参加</w:t>
      </w:r>
      <w:bookmarkStart w:id="108" w:name="PO_3000001867_PM026_3"/>
      <w:r>
        <w:rPr>
          <w:rFonts w:hint="eastAsia" w:ascii="宋体" w:hAnsi="宋体" w:eastAsia="宋体" w:cs="宋体"/>
          <w:color w:val="auto"/>
          <w:kern w:val="24"/>
          <w:highlight w:val="none"/>
          <w:u w:val="single"/>
        </w:rPr>
        <w:t>[项目采购-采购人_]</w:t>
      </w:r>
      <w:bookmarkEnd w:id="108"/>
      <w:r>
        <w:rPr>
          <w:rFonts w:hint="eastAsia" w:ascii="宋体" w:hAnsi="宋体" w:eastAsia="宋体" w:cs="宋体"/>
          <w:color w:val="auto"/>
          <w:kern w:val="24"/>
          <w:highlight w:val="none"/>
        </w:rPr>
        <w:t>的</w:t>
      </w:r>
      <w:bookmarkStart w:id="109" w:name="PO_3000001867_PM002_8"/>
      <w:r>
        <w:rPr>
          <w:rFonts w:hint="eastAsia" w:ascii="宋体" w:hAnsi="宋体" w:eastAsia="宋体" w:cs="宋体"/>
          <w:color w:val="auto"/>
          <w:kern w:val="24"/>
          <w:highlight w:val="none"/>
          <w:u w:val="single"/>
        </w:rPr>
        <w:t>[项目采购-项目名称_]</w:t>
      </w:r>
      <w:bookmarkEnd w:id="109"/>
      <w:r>
        <w:rPr>
          <w:rFonts w:hint="eastAsia" w:ascii="宋体" w:hAnsi="宋体" w:eastAsia="宋体" w:cs="宋体"/>
          <w:color w:val="auto"/>
          <w:kern w:val="24"/>
          <w:highlight w:val="none"/>
        </w:rPr>
        <w:t>采购活动，提供的货物全部由符合政策要求的中小企业制造。相关企业（含联合体中的中小企业、签订分包意向协议的中小企业）的具体情况如下：</w:t>
      </w:r>
    </w:p>
    <w:p w14:paraId="58A436AE">
      <w:pPr>
        <w:pageBreakBefore w:val="0"/>
        <w:tabs>
          <w:tab w:val="left" w:pos="1384"/>
          <w:tab w:val="left" w:pos="4562"/>
          <w:tab w:val="left" w:pos="6803"/>
        </w:tabs>
        <w:kinsoku/>
        <w:overflowPunct/>
        <w:topLinePunct w:val="0"/>
        <w:bidi w:val="0"/>
        <w:spacing w:beforeAutospacing="0" w:afterAutospacing="0" w:line="360" w:lineRule="auto"/>
        <w:ind w:left="0" w:leftChars="0" w:right="0"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行业；制造商为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4F819294">
      <w:pPr>
        <w:pageBreakBefore w:val="0"/>
        <w:tabs>
          <w:tab w:val="left" w:pos="1065"/>
          <w:tab w:val="left" w:pos="6477"/>
        </w:tabs>
        <w:kinsoku/>
        <w:overflowPunct/>
        <w:topLinePunct w:val="0"/>
        <w:bidi w:val="0"/>
        <w:spacing w:beforeAutospacing="0" w:afterAutospacing="0" w:line="360" w:lineRule="auto"/>
        <w:ind w:left="0" w:leftChars="0" w:right="0"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2.</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行业；制造商为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7EED7E00">
      <w:pPr>
        <w:pStyle w:val="11"/>
        <w:pageBreakBefore w:val="0"/>
        <w:kinsoku/>
        <w:overflowPunct/>
        <w:topLinePunct w:val="0"/>
        <w:bidi w:val="0"/>
        <w:spacing w:beforeAutospacing="0" w:after="0" w:afterAutospacing="0" w:line="360" w:lineRule="auto"/>
        <w:ind w:left="0" w:leftChars="0" w:right="0"/>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 xml:space="preserve">…… </w:t>
      </w:r>
    </w:p>
    <w:p w14:paraId="4ACA942F">
      <w:pPr>
        <w:pStyle w:val="11"/>
        <w:pageBreakBefore w:val="0"/>
        <w:kinsoku/>
        <w:overflowPunct/>
        <w:topLinePunct w:val="0"/>
        <w:bidi w:val="0"/>
        <w:spacing w:beforeAutospacing="0" w:after="0" w:afterAutospacing="0" w:line="360" w:lineRule="auto"/>
        <w:ind w:left="0" w:leftChars="0" w:right="0" w:firstLine="396" w:firstLineChars="189"/>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以上企业，不属于大企业的分支机构，不存在控股股东为大企业的情形，也不存在与大企业的负责人为同一人的情形。</w:t>
      </w:r>
    </w:p>
    <w:p w14:paraId="767EB9DC">
      <w:pPr>
        <w:pStyle w:val="11"/>
        <w:pageBreakBefore w:val="0"/>
        <w:kinsoku/>
        <w:overflowPunct/>
        <w:topLinePunct w:val="0"/>
        <w:bidi w:val="0"/>
        <w:spacing w:beforeAutospacing="0" w:after="0" w:afterAutospacing="0" w:line="360" w:lineRule="auto"/>
        <w:ind w:left="0" w:leftChars="0" w:right="0" w:firstLine="567"/>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本企业对上述声明内容的真实性负责。如有虚假，将依法承担相应责任。</w:t>
      </w:r>
    </w:p>
    <w:p w14:paraId="73CC9472">
      <w:pPr>
        <w:pStyle w:val="15"/>
        <w:pageBreakBefore w:val="0"/>
        <w:kinsoku/>
        <w:overflowPunct/>
        <w:topLinePunct w:val="0"/>
        <w:bidi w:val="0"/>
        <w:spacing w:beforeAutospacing="0" w:afterAutospacing="0" w:line="360" w:lineRule="auto"/>
        <w:ind w:left="0" w:leftChars="0" w:right="0" w:firstLine="400" w:firstLineChars="200"/>
        <w:rPr>
          <w:rFonts w:hint="eastAsia" w:ascii="宋体" w:hAnsi="宋体" w:eastAsia="宋体" w:cs="宋体"/>
          <w:color w:val="auto"/>
          <w:szCs w:val="21"/>
          <w:highlight w:val="none"/>
        </w:rPr>
      </w:pPr>
    </w:p>
    <w:p w14:paraId="3653A30F">
      <w:pPr>
        <w:pStyle w:val="15"/>
        <w:pageBreakBefore w:val="0"/>
        <w:kinsoku/>
        <w:overflowPunct/>
        <w:topLinePunct w:val="0"/>
        <w:bidi w:val="0"/>
        <w:spacing w:beforeAutospacing="0" w:afterAutospacing="0" w:line="360" w:lineRule="auto"/>
        <w:ind w:left="0" w:leftChars="0" w:right="0" w:firstLine="400" w:firstLineChars="200"/>
        <w:rPr>
          <w:rFonts w:hint="eastAsia" w:ascii="宋体" w:hAnsi="宋体" w:eastAsia="宋体" w:cs="宋体"/>
          <w:color w:val="auto"/>
          <w:szCs w:val="21"/>
          <w:highlight w:val="none"/>
        </w:rPr>
      </w:pPr>
    </w:p>
    <w:p w14:paraId="135E6030">
      <w:pPr>
        <w:pageBreakBefore w:val="0"/>
        <w:kinsoku/>
        <w:overflowPunct/>
        <w:topLinePunct w:val="0"/>
        <w:bidi w:val="0"/>
        <w:snapToGrid w:val="0"/>
        <w:spacing w:beforeAutospacing="0" w:after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58348913">
      <w:pPr>
        <w:pageBreakBefore w:val="0"/>
        <w:kinsoku/>
        <w:overflowPunct/>
        <w:topLinePunct w:val="0"/>
        <w:bidi w:val="0"/>
        <w:snapToGrid w:val="0"/>
        <w:spacing w:beforeAutospacing="0" w:after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4AC6BAD">
      <w:pPr>
        <w:pStyle w:val="15"/>
        <w:pageBreakBefore w:val="0"/>
        <w:kinsoku/>
        <w:overflowPunct/>
        <w:topLinePunct w:val="0"/>
        <w:bidi w:val="0"/>
        <w:spacing w:beforeAutospacing="0" w:afterAutospacing="0" w:line="360" w:lineRule="auto"/>
        <w:ind w:left="0" w:leftChars="0" w:right="0" w:firstLine="400" w:firstLineChars="200"/>
        <w:rPr>
          <w:rFonts w:hint="eastAsia" w:ascii="宋体" w:hAnsi="宋体" w:eastAsia="宋体" w:cs="宋体"/>
          <w:color w:val="auto"/>
          <w:szCs w:val="21"/>
          <w:highlight w:val="none"/>
        </w:rPr>
      </w:pPr>
    </w:p>
    <w:p w14:paraId="637C300E">
      <w:pPr>
        <w:pageBreakBefore w:val="0"/>
        <w:kinsoku/>
        <w:overflowPunct/>
        <w:topLinePunct w:val="0"/>
        <w:bidi w:val="0"/>
        <w:snapToGrid w:val="0"/>
        <w:spacing w:beforeAutospacing="0" w:afterAutospacing="0" w:line="360" w:lineRule="auto"/>
        <w:ind w:left="0" w:leftChars="0" w:right="0"/>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0C8A8C38">
      <w:pPr>
        <w:pageBreakBefore w:val="0"/>
        <w:numPr>
          <w:ilvl w:val="0"/>
          <w:numId w:val="5"/>
        </w:numPr>
        <w:kinsoku/>
        <w:overflowPunct/>
        <w:topLinePunct w:val="0"/>
        <w:bidi w:val="0"/>
        <w:snapToGrid w:val="0"/>
        <w:spacing w:beforeAutospacing="0" w:afterAutospacing="0" w:line="360" w:lineRule="auto"/>
        <w:ind w:left="0" w:leftChars="0" w:right="0"/>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0263224D">
      <w:pPr>
        <w:pageBreakBefore w:val="0"/>
        <w:kinsoku/>
        <w:overflowPunct/>
        <w:topLinePunct w:val="0"/>
        <w:bidi w:val="0"/>
        <w:snapToGrid w:val="0"/>
        <w:spacing w:beforeAutospacing="0" w:afterAutospacing="0" w:line="360" w:lineRule="auto"/>
        <w:ind w:left="0" w:leftChars="0" w:right="0" w:firstLine="300" w:firstLineChars="150"/>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30E6847D">
      <w:pPr>
        <w:spacing w:line="360" w:lineRule="auto"/>
        <w:jc w:val="left"/>
        <w:rPr>
          <w:rFonts w:hint="eastAsia" w:ascii="宋体" w:hAnsi="宋体" w:eastAsia="宋体" w:cs="宋体"/>
          <w:b/>
          <w:color w:val="auto"/>
          <w:sz w:val="32"/>
          <w:szCs w:val="32"/>
          <w:highlight w:val="none"/>
        </w:rPr>
      </w:pPr>
    </w:p>
    <w:p w14:paraId="23B8BF1C">
      <w:pPr>
        <w:numPr>
          <w:ilvl w:val="0"/>
          <w:numId w:val="0"/>
        </w:numPr>
        <w:spacing w:line="520" w:lineRule="exact"/>
        <w:jc w:val="both"/>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14:paraId="68C8C60F">
      <w:pPr>
        <w:numPr>
          <w:ilvl w:val="0"/>
          <w:numId w:val="0"/>
        </w:numPr>
        <w:spacing w:line="520" w:lineRule="exact"/>
        <w:jc w:val="both"/>
        <w:rPr>
          <w:rFonts w:hint="eastAsia" w:ascii="宋体" w:hAnsi="宋体" w:eastAsia="宋体" w:cs="宋体"/>
          <w:color w:val="auto"/>
          <w:sz w:val="44"/>
          <w:szCs w:val="44"/>
          <w:highlight w:val="none"/>
        </w:rPr>
      </w:pPr>
    </w:p>
    <w:p w14:paraId="366223F5">
      <w:pPr>
        <w:numPr>
          <w:ilvl w:val="0"/>
          <w:numId w:val="0"/>
        </w:num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79200B3">
      <w:pPr>
        <w:spacing w:line="520" w:lineRule="exact"/>
        <w:rPr>
          <w:rFonts w:hint="eastAsia" w:ascii="宋体" w:hAnsi="宋体" w:eastAsia="宋体" w:cs="宋体"/>
          <w:color w:val="auto"/>
          <w:sz w:val="32"/>
          <w:szCs w:val="32"/>
          <w:highlight w:val="none"/>
        </w:rPr>
      </w:pPr>
    </w:p>
    <w:p w14:paraId="0E2435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lang w:eastAsia="zh-CN"/>
        </w:rPr>
        <w:t>南宁职业技术大学</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eastAsia="zh-CN"/>
        </w:rPr>
        <w:t>南宁职业技术大学行人通道改造设备项目（重）</w:t>
      </w:r>
      <w:r>
        <w:rPr>
          <w:rFonts w:hint="eastAsia" w:ascii="宋体" w:hAnsi="宋体" w:eastAsia="宋体" w:cs="宋体"/>
          <w:color w:val="auto"/>
          <w:sz w:val="24"/>
          <w:highlight w:val="none"/>
        </w:rPr>
        <w:t>项目采购活动由本单位提供服务。</w:t>
      </w:r>
    </w:p>
    <w:p w14:paraId="7DE3CF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15035CA">
      <w:pPr>
        <w:spacing w:line="360" w:lineRule="auto"/>
        <w:rPr>
          <w:rFonts w:hint="eastAsia" w:ascii="宋体" w:hAnsi="宋体" w:eastAsia="宋体" w:cs="宋体"/>
          <w:color w:val="auto"/>
          <w:sz w:val="24"/>
          <w:highlight w:val="none"/>
        </w:rPr>
      </w:pPr>
    </w:p>
    <w:p w14:paraId="421A9DDB">
      <w:pPr>
        <w:spacing w:line="360" w:lineRule="auto"/>
        <w:rPr>
          <w:rFonts w:hint="eastAsia" w:ascii="宋体" w:hAnsi="宋体" w:eastAsia="宋体" w:cs="宋体"/>
          <w:color w:val="auto"/>
          <w:sz w:val="24"/>
          <w:highlight w:val="none"/>
        </w:rPr>
      </w:pPr>
    </w:p>
    <w:p w14:paraId="2AC8DB7A">
      <w:pPr>
        <w:spacing w:line="360" w:lineRule="auto"/>
        <w:rPr>
          <w:rFonts w:hint="eastAsia" w:ascii="宋体" w:hAnsi="宋体" w:eastAsia="宋体" w:cs="宋体"/>
          <w:color w:val="auto"/>
          <w:sz w:val="24"/>
          <w:highlight w:val="none"/>
        </w:rPr>
      </w:pPr>
    </w:p>
    <w:p w14:paraId="707801A9">
      <w:pPr>
        <w:spacing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0D9D2341">
      <w:pPr>
        <w:spacing w:line="360" w:lineRule="auto"/>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BC2248E">
      <w:pPr>
        <w:spacing w:line="360" w:lineRule="auto"/>
        <w:rPr>
          <w:rFonts w:hint="eastAsia" w:ascii="宋体" w:hAnsi="宋体" w:eastAsia="宋体" w:cs="宋体"/>
          <w:color w:val="auto"/>
          <w:sz w:val="24"/>
          <w:highlight w:val="none"/>
        </w:rPr>
      </w:pPr>
    </w:p>
    <w:p w14:paraId="2B8FE005">
      <w:pPr>
        <w:spacing w:line="360" w:lineRule="auto"/>
        <w:rPr>
          <w:rFonts w:hint="eastAsia" w:ascii="宋体" w:hAnsi="宋体" w:eastAsia="宋体" w:cs="宋体"/>
          <w:color w:val="auto"/>
          <w:sz w:val="24"/>
          <w:highlight w:val="none"/>
        </w:rPr>
      </w:pPr>
    </w:p>
    <w:p w14:paraId="6CCB74B0">
      <w:pPr>
        <w:spacing w:line="360" w:lineRule="auto"/>
        <w:rPr>
          <w:rFonts w:hint="eastAsia" w:ascii="宋体" w:hAnsi="宋体" w:eastAsia="宋体" w:cs="宋体"/>
          <w:color w:val="auto"/>
          <w:sz w:val="24"/>
          <w:highlight w:val="none"/>
        </w:rPr>
      </w:pPr>
    </w:p>
    <w:p w14:paraId="239679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根据《关于政府采购支持监狱企业发展有关问题的通知》（财库[2014]68号）的规定，</w:t>
      </w:r>
      <w:r>
        <w:rPr>
          <w:rFonts w:hint="eastAsia" w:ascii="宋体" w:hAnsi="宋体" w:eastAsia="宋体" w:cs="宋体"/>
          <w:color w:val="auto"/>
          <w:sz w:val="24"/>
          <w:highlight w:val="none"/>
          <w:lang w:eastAsia="zh-CN"/>
        </w:rPr>
        <w:t>竞标供应商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7C0C92BA">
      <w:pPr>
        <w:spacing w:line="520" w:lineRule="exact"/>
        <w:jc w:val="center"/>
        <w:rPr>
          <w:rFonts w:hint="eastAsia" w:ascii="宋体" w:hAnsi="宋体" w:eastAsia="宋体" w:cs="宋体"/>
          <w:color w:val="auto"/>
          <w:sz w:val="24"/>
          <w:highlight w:val="none"/>
        </w:rPr>
      </w:pPr>
    </w:p>
    <w:p w14:paraId="1296506F">
      <w:pPr>
        <w:widowControl/>
        <w:spacing w:line="360" w:lineRule="auto"/>
        <w:jc w:val="left"/>
        <w:rPr>
          <w:rFonts w:hint="eastAsia" w:ascii="宋体" w:hAnsi="宋体" w:eastAsia="宋体" w:cs="宋体"/>
          <w:color w:val="auto"/>
          <w:kern w:val="0"/>
          <w:sz w:val="24"/>
          <w:highlight w:val="none"/>
          <w:lang w:val="zh-CN"/>
        </w:rPr>
        <w:sectPr>
          <w:pgSz w:w="11911" w:h="16838"/>
          <w:pgMar w:top="1417" w:right="1417" w:bottom="1417" w:left="1417" w:header="720" w:footer="720" w:gutter="0"/>
          <w:paperSrc/>
          <w:pgNumType w:fmt="decimal"/>
          <w:cols w:space="720" w:num="1"/>
          <w:rtlGutter w:val="0"/>
          <w:docGrid w:linePitch="331" w:charSpace="0"/>
        </w:sectPr>
      </w:pPr>
    </w:p>
    <w:p w14:paraId="7756BAB9">
      <w:pPr>
        <w:spacing w:line="520" w:lineRule="exact"/>
        <w:jc w:val="center"/>
        <w:rPr>
          <w:rFonts w:hint="eastAsia" w:ascii="宋体" w:hAnsi="宋体" w:eastAsia="宋体" w:cs="宋体"/>
          <w:color w:val="auto"/>
          <w:sz w:val="24"/>
          <w:highlight w:val="none"/>
        </w:rPr>
      </w:pPr>
    </w:p>
    <w:p w14:paraId="0C63D476">
      <w:pPr>
        <w:pStyle w:val="8"/>
        <w:overflowPunct w:val="0"/>
        <w:spacing w:line="520" w:lineRule="exact"/>
        <w:ind w:firstLine="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其他格式文书</w:t>
      </w:r>
    </w:p>
    <w:p w14:paraId="6B5983F3">
      <w:pPr>
        <w:widowControl w:val="0"/>
        <w:spacing w:line="600" w:lineRule="exact"/>
        <w:ind w:firstLine="880"/>
        <w:jc w:val="center"/>
        <w:rPr>
          <w:rFonts w:hint="eastAsia" w:ascii="宋体" w:hAnsi="宋体" w:eastAsia="宋体" w:cs="宋体"/>
          <w:color w:val="auto"/>
          <w:kern w:val="2"/>
          <w:sz w:val="44"/>
          <w:szCs w:val="44"/>
          <w:highlight w:val="none"/>
          <w:lang w:val="en-US" w:eastAsia="zh-CN" w:bidi="ar-SA"/>
        </w:rPr>
      </w:pPr>
    </w:p>
    <w:p w14:paraId="29EBCD1F">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2CA0CB88">
      <w:pPr>
        <w:ind w:firstLine="600" w:firstLineChars="200"/>
        <w:rPr>
          <w:rFonts w:hint="eastAsia" w:ascii="宋体" w:hAnsi="宋体" w:eastAsia="宋体" w:cs="宋体"/>
          <w:color w:val="auto"/>
          <w:sz w:val="30"/>
          <w:szCs w:val="30"/>
          <w:highlight w:val="none"/>
        </w:rPr>
      </w:pPr>
    </w:p>
    <w:p w14:paraId="4E9C864A">
      <w:pPr>
        <w:spacing w:line="360" w:lineRule="auto"/>
        <w:ind w:firstLine="480" w:firstLineChars="200"/>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
        </w:rPr>
        <w:t>企业（单位）自愿参与政府投资政府采购的</w:t>
      </w:r>
      <w:r>
        <w:rPr>
          <w:rFonts w:hint="eastAsia" w:ascii="宋体" w:hAnsi="宋体" w:eastAsia="宋体" w:cs="宋体"/>
          <w:color w:val="auto"/>
          <w:sz w:val="24"/>
          <w:szCs w:val="24"/>
          <w:highlight w:val="none"/>
          <w:u w:val="single"/>
          <w:lang w:val="en" w:eastAsia="zh-CN"/>
        </w:rPr>
        <w:t>南宁职业技术大学行人通道改造设备项目（重）</w:t>
      </w:r>
      <w:r>
        <w:rPr>
          <w:rFonts w:hint="eastAsia" w:ascii="宋体" w:hAnsi="宋体" w:eastAsia="宋体" w:cs="宋体"/>
          <w:color w:val="auto"/>
          <w:sz w:val="24"/>
          <w:szCs w:val="24"/>
          <w:highlight w:val="none"/>
          <w:lang w:val="en"/>
        </w:rPr>
        <w:t>项目，</w:t>
      </w:r>
      <w:r>
        <w:rPr>
          <w:rFonts w:hint="eastAsia" w:ascii="宋体" w:hAnsi="宋体" w:eastAsia="宋体" w:cs="宋体"/>
          <w:b/>
          <w:bCs/>
          <w:color w:val="auto"/>
          <w:sz w:val="24"/>
          <w:szCs w:val="24"/>
          <w:highlight w:val="none"/>
          <w:lang w:val="en"/>
        </w:rPr>
        <w:t>在此郑重承诺：</w:t>
      </w:r>
      <w:r>
        <w:rPr>
          <w:rFonts w:hint="eastAsia" w:ascii="宋体" w:hAnsi="宋体" w:eastAsia="宋体" w:cs="宋体"/>
          <w:color w:val="auto"/>
          <w:sz w:val="24"/>
          <w:szCs w:val="24"/>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val="en"/>
        </w:rPr>
        <w:t>）将承担由此产生的全部责任。</w:t>
      </w:r>
    </w:p>
    <w:p w14:paraId="59A7EF07">
      <w:pPr>
        <w:snapToGrid w:val="0"/>
        <w:spacing w:line="360" w:lineRule="auto"/>
        <w:ind w:left="5634" w:leftChars="1736" w:hanging="1988" w:hangingChars="8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5DBF459F">
      <w:pPr>
        <w:snapToGrid w:val="0"/>
        <w:spacing w:line="360" w:lineRule="auto"/>
        <w:ind w:left="5634" w:leftChars="1736" w:hanging="1988" w:hangingChars="825"/>
        <w:rPr>
          <w:rFonts w:hint="eastAsia" w:ascii="宋体" w:hAnsi="宋体" w:eastAsia="宋体" w:cs="宋体"/>
          <w:b/>
          <w:color w:val="auto"/>
          <w:sz w:val="24"/>
          <w:szCs w:val="24"/>
          <w:highlight w:val="none"/>
        </w:rPr>
      </w:pPr>
    </w:p>
    <w:p w14:paraId="0160EDC7">
      <w:pPr>
        <w:snapToGrid w:val="0"/>
        <w:spacing w:line="360" w:lineRule="auto"/>
        <w:ind w:left="5634" w:leftChars="1736" w:hanging="1988" w:hangingChars="825"/>
        <w:rPr>
          <w:rFonts w:hint="eastAsia" w:ascii="宋体" w:hAnsi="宋体" w:eastAsia="宋体" w:cs="宋体"/>
          <w:b/>
          <w:color w:val="auto"/>
          <w:sz w:val="24"/>
          <w:szCs w:val="24"/>
          <w:highlight w:val="none"/>
        </w:rPr>
      </w:pPr>
    </w:p>
    <w:p w14:paraId="59115755">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758A5371">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竞标供应商名称(电子签章)：</w:t>
      </w:r>
    </w:p>
    <w:p w14:paraId="376D7744">
      <w:pPr>
        <w:pStyle w:val="8"/>
        <w:overflowPunct w:val="0"/>
        <w:spacing w:line="520" w:lineRule="exact"/>
        <w:ind w:firstLine="4800" w:firstLineChars="2000"/>
        <w:rPr>
          <w:rFonts w:hint="eastAsia" w:ascii="宋体" w:hAnsi="宋体" w:eastAsia="宋体" w:cs="宋体"/>
          <w:b/>
          <w:color w:val="auto"/>
          <w:kern w:val="0"/>
          <w:sz w:val="30"/>
          <w:szCs w:val="30"/>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9412B04">
      <w:pPr>
        <w:pStyle w:val="8"/>
        <w:overflowPunct w:val="0"/>
        <w:spacing w:line="520" w:lineRule="exact"/>
        <w:ind w:firstLine="0"/>
        <w:rPr>
          <w:rFonts w:hint="eastAsia" w:ascii="宋体" w:hAnsi="宋体" w:eastAsia="宋体" w:cs="宋体"/>
          <w:b/>
          <w:color w:val="auto"/>
          <w:kern w:val="0"/>
          <w:sz w:val="30"/>
          <w:szCs w:val="30"/>
          <w:highlight w:val="none"/>
        </w:rPr>
      </w:pPr>
    </w:p>
    <w:p w14:paraId="447DB968">
      <w:pPr>
        <w:spacing w:line="520" w:lineRule="exact"/>
        <w:jc w:val="center"/>
        <w:rPr>
          <w:rFonts w:hint="eastAsia" w:ascii="宋体" w:hAnsi="宋体" w:eastAsia="宋体" w:cs="宋体"/>
          <w:color w:val="auto"/>
          <w:sz w:val="24"/>
          <w:highlight w:val="none"/>
        </w:rPr>
      </w:pPr>
      <w:r>
        <w:rPr>
          <w:rFonts w:hint="eastAsia" w:ascii="宋体" w:hAnsi="宋体" w:eastAsia="宋体" w:cs="宋体"/>
          <w:b/>
          <w:color w:val="auto"/>
          <w:kern w:val="0"/>
          <w:sz w:val="30"/>
          <w:szCs w:val="30"/>
          <w:highlight w:val="none"/>
          <w:lang w:eastAsia="zh-CN"/>
        </w:rPr>
        <w:br w:type="page"/>
      </w:r>
    </w:p>
    <w:p w14:paraId="7135BF1F">
      <w:pPr>
        <w:spacing w:line="520" w:lineRule="exact"/>
        <w:jc w:val="both"/>
        <w:rPr>
          <w:rFonts w:hint="eastAsia" w:ascii="宋体" w:hAnsi="宋体" w:eastAsia="宋体" w:cs="宋体"/>
          <w:color w:val="auto"/>
          <w:sz w:val="24"/>
          <w:highlight w:val="none"/>
        </w:rPr>
      </w:pPr>
    </w:p>
    <w:p w14:paraId="4987CA50">
      <w:pPr>
        <w:spacing w:line="360" w:lineRule="auto"/>
        <w:jc w:val="center"/>
        <w:rPr>
          <w:rFonts w:hint="eastAsia" w:ascii="宋体" w:hAnsi="宋体" w:eastAsia="宋体" w:cs="宋体"/>
          <w:b/>
          <w:bCs/>
          <w:color w:val="auto"/>
          <w:sz w:val="44"/>
          <w:szCs w:val="44"/>
          <w:highlight w:val="none"/>
        </w:rPr>
      </w:pPr>
    </w:p>
    <w:p w14:paraId="36FB6468">
      <w:pPr>
        <w:spacing w:line="360" w:lineRule="auto"/>
        <w:jc w:val="center"/>
        <w:rPr>
          <w:rFonts w:hint="eastAsia" w:ascii="宋体" w:hAnsi="宋体" w:eastAsia="宋体" w:cs="宋体"/>
          <w:b/>
          <w:bCs/>
          <w:color w:val="auto"/>
          <w:sz w:val="44"/>
          <w:szCs w:val="44"/>
          <w:highlight w:val="none"/>
        </w:rPr>
      </w:pPr>
    </w:p>
    <w:p w14:paraId="045F9799">
      <w:pPr>
        <w:spacing w:line="360" w:lineRule="auto"/>
        <w:jc w:val="center"/>
        <w:rPr>
          <w:rFonts w:hint="eastAsia" w:ascii="宋体" w:hAnsi="宋体" w:eastAsia="宋体" w:cs="宋体"/>
          <w:b/>
          <w:bCs/>
          <w:color w:val="auto"/>
          <w:sz w:val="44"/>
          <w:szCs w:val="44"/>
          <w:highlight w:val="none"/>
        </w:rPr>
      </w:pPr>
    </w:p>
    <w:p w14:paraId="4193F732">
      <w:pPr>
        <w:spacing w:line="360" w:lineRule="auto"/>
        <w:jc w:val="center"/>
        <w:rPr>
          <w:rFonts w:hint="eastAsia" w:ascii="宋体" w:hAnsi="宋体" w:eastAsia="宋体" w:cs="宋体"/>
          <w:b/>
          <w:bCs/>
          <w:color w:val="auto"/>
          <w:sz w:val="44"/>
          <w:szCs w:val="44"/>
          <w:highlight w:val="none"/>
        </w:rPr>
      </w:pPr>
    </w:p>
    <w:p w14:paraId="67EF9326">
      <w:pPr>
        <w:spacing w:line="360" w:lineRule="auto"/>
        <w:jc w:val="center"/>
        <w:rPr>
          <w:rFonts w:hint="eastAsia" w:ascii="宋体" w:hAnsi="宋体" w:eastAsia="宋体" w:cs="宋体"/>
          <w:b/>
          <w:bCs/>
          <w:color w:val="auto"/>
          <w:sz w:val="44"/>
          <w:szCs w:val="44"/>
          <w:highlight w:val="none"/>
        </w:rPr>
      </w:pPr>
    </w:p>
    <w:p w14:paraId="7CD65583">
      <w:pPr>
        <w:spacing w:line="360" w:lineRule="auto"/>
        <w:jc w:val="center"/>
        <w:rPr>
          <w:rFonts w:hint="eastAsia" w:ascii="宋体" w:hAnsi="宋体" w:eastAsia="宋体" w:cs="宋体"/>
          <w:b/>
          <w:bCs/>
          <w:color w:val="auto"/>
          <w:sz w:val="44"/>
          <w:szCs w:val="44"/>
          <w:highlight w:val="none"/>
        </w:rPr>
      </w:pPr>
    </w:p>
    <w:p w14:paraId="54F96013">
      <w:pPr>
        <w:pStyle w:val="2"/>
        <w:jc w:val="center"/>
        <w:rPr>
          <w:rFonts w:hint="eastAsia" w:ascii="宋体" w:hAnsi="宋体" w:eastAsia="宋体" w:cs="宋体"/>
          <w:color w:val="auto"/>
          <w:sz w:val="24"/>
          <w:highlight w:val="none"/>
          <w:u w:val="single"/>
        </w:rPr>
      </w:pPr>
      <w:bookmarkStart w:id="110" w:name="_Toc2573"/>
      <w:bookmarkStart w:id="111" w:name="_Toc20269"/>
      <w:r>
        <w:rPr>
          <w:rFonts w:hint="eastAsia" w:ascii="宋体" w:hAnsi="宋体" w:eastAsia="宋体" w:cs="宋体"/>
          <w:b w:val="0"/>
          <w:bCs w:val="0"/>
          <w:color w:val="auto"/>
          <w:highlight w:val="none"/>
        </w:rPr>
        <w:t>第六章 合同文本</w:t>
      </w:r>
      <w:r>
        <w:rPr>
          <w:rFonts w:hint="eastAsia" w:ascii="宋体" w:hAnsi="宋体" w:eastAsia="宋体" w:cs="宋体"/>
          <w:b w:val="0"/>
          <w:bCs w:val="0"/>
          <w:color w:val="auto"/>
          <w:highlight w:val="none"/>
        </w:rPr>
        <w:br w:type="page"/>
      </w:r>
      <w:bookmarkEnd w:id="110"/>
      <w:bookmarkEnd w:id="111"/>
    </w:p>
    <w:p w14:paraId="7DDB0ACB">
      <w:pPr>
        <w:spacing w:line="360" w:lineRule="auto"/>
        <w:rPr>
          <w:rFonts w:hint="eastAsia" w:ascii="宋体" w:hAnsi="宋体" w:eastAsia="宋体" w:cs="宋体"/>
          <w:b/>
          <w:bCs/>
          <w:color w:val="auto"/>
          <w:highlight w:val="none"/>
        </w:rPr>
      </w:pPr>
      <w:r>
        <w:rPr>
          <w:rFonts w:hint="eastAsia" w:ascii="宋体" w:hAnsi="宋体" w:eastAsia="宋体" w:cs="宋体"/>
          <w:b w:val="0"/>
          <w:bCs w:val="0"/>
          <w:color w:val="auto"/>
          <w:sz w:val="24"/>
          <w:szCs w:val="24"/>
          <w:highlight w:val="none"/>
          <w:lang w:val="en-US" w:eastAsia="zh-CN"/>
        </w:rPr>
        <w:t>广西政府采购云平台</w:t>
      </w:r>
      <w:r>
        <w:rPr>
          <w:rFonts w:hint="eastAsia" w:ascii="宋体" w:hAnsi="宋体" w:eastAsia="宋体" w:cs="宋体"/>
          <w:color w:val="auto"/>
          <w:sz w:val="24"/>
          <w:highlight w:val="none"/>
        </w:rPr>
        <w:t>合同编号：</w:t>
      </w:r>
    </w:p>
    <w:p w14:paraId="100C9B01">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4474D6A9">
      <w:pPr>
        <w:spacing w:line="360" w:lineRule="auto"/>
        <w:ind w:firstLine="420" w:firstLineChars="200"/>
        <w:rPr>
          <w:rFonts w:hint="eastAsia" w:ascii="宋体" w:hAnsi="宋体" w:eastAsia="宋体" w:cs="宋体"/>
          <w:color w:val="auto"/>
          <w:highlight w:val="none"/>
        </w:rPr>
      </w:pPr>
    </w:p>
    <w:p w14:paraId="6CC97C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71D09EC">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u w:val="single"/>
          <w:lang w:eastAsia="zh-CN"/>
        </w:rPr>
        <w:t>南宁职业技术大学行人通道改造设备项目（重）</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1E3108B1">
      <w:pPr>
        <w:spacing w:line="360" w:lineRule="auto"/>
        <w:jc w:val="center"/>
        <w:rPr>
          <w:rFonts w:hint="eastAsia" w:ascii="宋体" w:hAnsi="宋体" w:eastAsia="宋体" w:cs="宋体"/>
          <w:b/>
          <w:bCs/>
          <w:color w:val="auto"/>
          <w:sz w:val="44"/>
          <w:highlight w:val="none"/>
        </w:rPr>
      </w:pPr>
    </w:p>
    <w:p w14:paraId="42377594">
      <w:pPr>
        <w:spacing w:line="360" w:lineRule="auto"/>
        <w:ind w:firstLine="3507" w:firstLineChars="794"/>
        <w:rPr>
          <w:rFonts w:hint="eastAsia" w:ascii="宋体" w:hAnsi="宋体" w:eastAsia="宋体" w:cs="宋体"/>
          <w:b/>
          <w:bCs/>
          <w:color w:val="auto"/>
          <w:sz w:val="44"/>
          <w:highlight w:val="none"/>
        </w:rPr>
      </w:pPr>
    </w:p>
    <w:p w14:paraId="59B14B64">
      <w:pPr>
        <w:spacing w:line="360" w:lineRule="auto"/>
        <w:ind w:firstLine="3507" w:firstLineChars="794"/>
        <w:rPr>
          <w:rFonts w:hint="eastAsia" w:ascii="宋体" w:hAnsi="宋体" w:eastAsia="宋体" w:cs="宋体"/>
          <w:b/>
          <w:bCs/>
          <w:color w:val="auto"/>
          <w:sz w:val="44"/>
          <w:highlight w:val="none"/>
        </w:rPr>
      </w:pPr>
    </w:p>
    <w:p w14:paraId="0A97EE1F">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eastAsia="zh-CN"/>
        </w:rPr>
        <w:t>NNZC2025-J1-990717-JDZB</w:t>
      </w:r>
      <w:r>
        <w:rPr>
          <w:rFonts w:hint="eastAsia" w:ascii="宋体" w:hAnsi="宋体" w:eastAsia="宋体" w:cs="宋体"/>
          <w:b/>
          <w:color w:val="auto"/>
          <w:sz w:val="36"/>
          <w:szCs w:val="36"/>
          <w:highlight w:val="none"/>
          <w:u w:val="single"/>
        </w:rPr>
        <w:t xml:space="preserve"> </w:t>
      </w:r>
    </w:p>
    <w:p w14:paraId="320D51F6">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p>
    <w:p w14:paraId="5ED05B4F">
      <w:pPr>
        <w:ind w:firstLine="1308" w:firstLineChars="545"/>
        <w:rPr>
          <w:rFonts w:hint="eastAsia" w:ascii="宋体" w:hAnsi="宋体" w:eastAsia="宋体" w:cs="宋体"/>
          <w:color w:val="auto"/>
          <w:sz w:val="24"/>
          <w:highlight w:val="none"/>
        </w:rPr>
      </w:pPr>
    </w:p>
    <w:p w14:paraId="5B1911CE">
      <w:pPr>
        <w:ind w:firstLine="1995" w:firstLineChars="552"/>
        <w:rPr>
          <w:rFonts w:hint="eastAsia" w:ascii="宋体" w:hAnsi="宋体" w:eastAsia="宋体" w:cs="宋体"/>
          <w:b/>
          <w:color w:val="auto"/>
          <w:sz w:val="36"/>
          <w:szCs w:val="36"/>
          <w:highlight w:val="none"/>
          <w:u w:val="single"/>
        </w:rPr>
      </w:pPr>
    </w:p>
    <w:p w14:paraId="5040DC61">
      <w:pPr>
        <w:ind w:firstLine="1995" w:firstLineChars="552"/>
        <w:rPr>
          <w:rFonts w:hint="eastAsia" w:ascii="宋体" w:hAnsi="宋体" w:eastAsia="宋体" w:cs="宋体"/>
          <w:b/>
          <w:color w:val="auto"/>
          <w:sz w:val="36"/>
          <w:szCs w:val="36"/>
          <w:highlight w:val="none"/>
          <w:u w:val="single"/>
        </w:rPr>
      </w:pPr>
    </w:p>
    <w:p w14:paraId="573C3D6B">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eastAsia="zh-CN"/>
        </w:rPr>
        <w:t>南宁职业技术大学</w:t>
      </w:r>
      <w:r>
        <w:rPr>
          <w:rFonts w:hint="eastAsia" w:ascii="宋体" w:hAnsi="宋体" w:eastAsia="宋体" w:cs="宋体"/>
          <w:b/>
          <w:color w:val="auto"/>
          <w:sz w:val="36"/>
          <w:szCs w:val="36"/>
          <w:highlight w:val="none"/>
          <w:u w:val="single"/>
        </w:rPr>
        <w:t xml:space="preserve"> </w:t>
      </w:r>
    </w:p>
    <w:p w14:paraId="3789A5AD">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lang w:eastAsia="zh-CN"/>
        </w:rPr>
        <w:t>成交</w:t>
      </w:r>
      <w:r>
        <w:rPr>
          <w:rFonts w:hint="eastAsia" w:ascii="宋体" w:hAnsi="宋体" w:eastAsia="宋体" w:cs="宋体"/>
          <w:b/>
          <w:color w:val="auto"/>
          <w:sz w:val="36"/>
          <w:szCs w:val="36"/>
          <w:highlight w:val="none"/>
        </w:rPr>
        <w:t>供应商：</w:t>
      </w:r>
      <w:r>
        <w:rPr>
          <w:rFonts w:hint="eastAsia" w:ascii="宋体" w:hAnsi="宋体" w:eastAsia="宋体" w:cs="宋体"/>
          <w:b/>
          <w:color w:val="auto"/>
          <w:sz w:val="36"/>
          <w:szCs w:val="36"/>
          <w:highlight w:val="none"/>
          <w:u w:val="single"/>
        </w:rPr>
        <w:t xml:space="preserve">                   </w:t>
      </w:r>
    </w:p>
    <w:p w14:paraId="6DB1A465">
      <w:pPr>
        <w:tabs>
          <w:tab w:val="left" w:pos="7380"/>
        </w:tabs>
        <w:spacing w:line="360" w:lineRule="auto"/>
        <w:rPr>
          <w:rFonts w:hint="eastAsia" w:ascii="宋体" w:hAnsi="宋体" w:eastAsia="宋体" w:cs="宋体"/>
          <w:b/>
          <w:bCs/>
          <w:color w:val="auto"/>
          <w:sz w:val="44"/>
          <w:highlight w:val="none"/>
        </w:rPr>
      </w:pPr>
    </w:p>
    <w:p w14:paraId="79162654">
      <w:pPr>
        <w:tabs>
          <w:tab w:val="left" w:pos="7380"/>
        </w:tabs>
        <w:spacing w:line="360" w:lineRule="auto"/>
        <w:ind w:firstLine="3360" w:firstLineChars="1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签订时间：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6A6E8FA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052FD566">
      <w:pPr>
        <w:snapToGrid w:val="0"/>
        <w:spacing w:line="360" w:lineRule="auto"/>
        <w:jc w:val="center"/>
        <w:rPr>
          <w:rFonts w:hint="eastAsia" w:ascii="宋体" w:hAnsi="宋体" w:eastAsia="宋体" w:cs="宋体"/>
          <w:b/>
          <w:bCs/>
          <w:color w:val="auto"/>
          <w:sz w:val="44"/>
          <w:highlight w:val="none"/>
        </w:rPr>
      </w:pPr>
    </w:p>
    <w:p w14:paraId="6405FD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140FA5C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2B6CB8B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4945AF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0646DEE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14:paraId="50FA2AF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需求一览表 …………………………………………………（页码）</w:t>
      </w:r>
    </w:p>
    <w:p w14:paraId="736397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14:paraId="06E8CE5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14:paraId="2C2C44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14:paraId="7F0280F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w:t>
      </w:r>
      <w:r>
        <w:rPr>
          <w:rFonts w:hint="eastAsia" w:ascii="宋体" w:hAnsi="宋体" w:eastAsia="宋体" w:cs="宋体"/>
          <w:color w:val="auto"/>
          <w:kern w:val="0"/>
          <w:sz w:val="24"/>
          <w:highlight w:val="none"/>
          <w:lang w:eastAsia="zh-CN"/>
        </w:rPr>
        <w:t>技术要求偏离</w:t>
      </w:r>
      <w:r>
        <w:rPr>
          <w:rFonts w:hint="eastAsia" w:ascii="宋体" w:hAnsi="宋体" w:eastAsia="宋体" w:cs="宋体"/>
          <w:color w:val="auto"/>
          <w:kern w:val="0"/>
          <w:sz w:val="24"/>
          <w:highlight w:val="none"/>
        </w:rPr>
        <w:t>表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（页码）</w:t>
      </w:r>
    </w:p>
    <w:p w14:paraId="3121725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7A3FA6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14:paraId="4609C4A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769F12FB">
      <w:pPr>
        <w:snapToGrid w:val="0"/>
        <w:spacing w:line="360" w:lineRule="auto"/>
        <w:rPr>
          <w:rFonts w:hint="eastAsia" w:ascii="宋体" w:hAnsi="宋体" w:eastAsia="宋体" w:cs="宋体"/>
          <w:color w:val="auto"/>
          <w:kern w:val="0"/>
          <w:sz w:val="24"/>
          <w:highlight w:val="none"/>
        </w:rPr>
      </w:pPr>
    </w:p>
    <w:p w14:paraId="427511B8">
      <w:pPr>
        <w:widowControl/>
        <w:jc w:val="left"/>
        <w:rPr>
          <w:rFonts w:hint="eastAsia" w:ascii="宋体" w:hAnsi="宋体" w:eastAsia="宋体" w:cs="宋体"/>
          <w:color w:val="auto"/>
          <w:kern w:val="0"/>
          <w:sz w:val="32"/>
          <w:szCs w:val="20"/>
          <w:highlight w:val="none"/>
        </w:rPr>
        <w:sectPr>
          <w:pgSz w:w="11911" w:h="16838"/>
          <w:pgMar w:top="1417" w:right="1417" w:bottom="1417" w:left="1417" w:header="720" w:footer="720" w:gutter="0"/>
          <w:paperSrc/>
          <w:pgNumType w:fmt="decimal"/>
          <w:cols w:space="720" w:num="1"/>
          <w:rtlGutter w:val="0"/>
          <w:docGrid w:linePitch="331" w:charSpace="0"/>
        </w:sectPr>
      </w:pPr>
    </w:p>
    <w:p w14:paraId="5F5E1916">
      <w:pPr>
        <w:pStyle w:val="42"/>
        <w:ind w:firstLine="562"/>
        <w:jc w:val="center"/>
        <w:outlineLvl w:val="1"/>
        <w:rPr>
          <w:rFonts w:hint="eastAsia" w:ascii="宋体" w:hAnsi="宋体" w:eastAsia="宋体" w:cs="宋体"/>
          <w:b/>
          <w:color w:val="auto"/>
          <w:sz w:val="28"/>
          <w:szCs w:val="28"/>
          <w:highlight w:val="none"/>
        </w:rPr>
      </w:pPr>
      <w:bookmarkStart w:id="112" w:name="_Toc2069"/>
      <w:bookmarkStart w:id="113" w:name="_Toc22433"/>
      <w:bookmarkStart w:id="114" w:name="_Toc2093"/>
      <w:r>
        <w:rPr>
          <w:rFonts w:hint="eastAsia" w:ascii="宋体" w:hAnsi="宋体" w:eastAsia="宋体" w:cs="宋体"/>
          <w:b/>
          <w:color w:val="auto"/>
          <w:sz w:val="28"/>
          <w:szCs w:val="28"/>
          <w:highlight w:val="none"/>
        </w:rPr>
        <w:t>第一部分 合同书</w:t>
      </w:r>
      <w:bookmarkEnd w:id="112"/>
      <w:bookmarkEnd w:id="113"/>
      <w:bookmarkEnd w:id="114"/>
    </w:p>
    <w:p w14:paraId="2F799E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南宁职业技术大学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竞争性谈判方式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日内，按照采购文件确定的事项签订本合同。</w:t>
      </w:r>
    </w:p>
    <w:p w14:paraId="1EEA9D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南宁职业技术大学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成交供应商</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C6FCB22">
      <w:pPr>
        <w:spacing w:line="360" w:lineRule="auto"/>
        <w:ind w:firstLine="482" w:firstLineChars="200"/>
        <w:rPr>
          <w:rFonts w:hint="eastAsia" w:ascii="宋体" w:hAnsi="宋体" w:eastAsia="宋体" w:cs="宋体"/>
          <w:b/>
          <w:color w:val="auto"/>
          <w:sz w:val="24"/>
          <w:highlight w:val="none"/>
        </w:rPr>
      </w:pPr>
      <w:bookmarkStart w:id="115" w:name="_Toc3029"/>
      <w:bookmarkStart w:id="116" w:name="_Toc24059"/>
      <w:bookmarkStart w:id="117" w:name="_Toc2232"/>
      <w:r>
        <w:rPr>
          <w:rFonts w:hint="eastAsia" w:ascii="宋体" w:hAnsi="宋体" w:eastAsia="宋体" w:cs="宋体"/>
          <w:b/>
          <w:color w:val="auto"/>
          <w:sz w:val="24"/>
          <w:highlight w:val="none"/>
        </w:rPr>
        <w:t>1.1 合同组成部分</w:t>
      </w:r>
      <w:bookmarkEnd w:id="115"/>
      <w:bookmarkEnd w:id="116"/>
      <w:bookmarkEnd w:id="117"/>
    </w:p>
    <w:p w14:paraId="053ED8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079C9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65AF1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0977BD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采购文件及“响应报价”（含澄清或者说明文件）；</w:t>
      </w:r>
    </w:p>
    <w:p w14:paraId="0F561F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0F4954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DC684A5">
      <w:pPr>
        <w:spacing w:line="360" w:lineRule="auto"/>
        <w:ind w:firstLine="482" w:firstLineChars="200"/>
        <w:rPr>
          <w:rFonts w:hint="eastAsia" w:ascii="宋体" w:hAnsi="宋体" w:eastAsia="宋体" w:cs="宋体"/>
          <w:b/>
          <w:color w:val="auto"/>
          <w:sz w:val="24"/>
          <w:highlight w:val="none"/>
        </w:rPr>
      </w:pPr>
      <w:bookmarkStart w:id="118" w:name="_Toc21295"/>
      <w:bookmarkStart w:id="119" w:name="_Toc27126"/>
      <w:bookmarkStart w:id="120" w:name="_Toc24300"/>
      <w:r>
        <w:rPr>
          <w:rFonts w:hint="eastAsia" w:ascii="宋体" w:hAnsi="宋体" w:eastAsia="宋体" w:cs="宋体"/>
          <w:b/>
          <w:color w:val="auto"/>
          <w:sz w:val="24"/>
          <w:highlight w:val="none"/>
        </w:rPr>
        <w:t>1.2 标的物</w:t>
      </w:r>
      <w:bookmarkEnd w:id="118"/>
      <w:bookmarkEnd w:id="119"/>
      <w:bookmarkEnd w:id="120"/>
    </w:p>
    <w:p w14:paraId="22C778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3D7E86B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FDC11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0B684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FD05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3680DFC">
      <w:pPr>
        <w:spacing w:line="360" w:lineRule="auto"/>
        <w:ind w:firstLine="482" w:firstLineChars="200"/>
        <w:rPr>
          <w:rFonts w:hint="eastAsia" w:ascii="宋体" w:hAnsi="宋体" w:eastAsia="宋体" w:cs="宋体"/>
          <w:b/>
          <w:color w:val="auto"/>
          <w:sz w:val="24"/>
          <w:highlight w:val="none"/>
        </w:rPr>
      </w:pPr>
      <w:bookmarkStart w:id="121" w:name="_Toc21551"/>
      <w:bookmarkStart w:id="122" w:name="_Toc21631"/>
      <w:bookmarkStart w:id="123" w:name="_Toc23292"/>
      <w:r>
        <w:rPr>
          <w:rFonts w:hint="eastAsia" w:ascii="宋体" w:hAnsi="宋体" w:eastAsia="宋体" w:cs="宋体"/>
          <w:b/>
          <w:color w:val="auto"/>
          <w:sz w:val="24"/>
          <w:highlight w:val="none"/>
        </w:rPr>
        <w:t>1.3 价款</w:t>
      </w:r>
      <w:bookmarkEnd w:id="121"/>
      <w:bookmarkEnd w:id="122"/>
      <w:bookmarkEnd w:id="123"/>
    </w:p>
    <w:p w14:paraId="1FE032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10DCAD4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B51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682AB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B8349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DB23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0F9D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FBD9379">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544FAF4">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6C962B7">
            <w:pPr>
              <w:spacing w:line="360" w:lineRule="auto"/>
              <w:ind w:firstLine="480" w:firstLineChars="200"/>
              <w:rPr>
                <w:rFonts w:hint="eastAsia" w:ascii="宋体" w:hAnsi="宋体" w:eastAsia="宋体" w:cs="宋体"/>
                <w:color w:val="auto"/>
                <w:sz w:val="24"/>
                <w:highlight w:val="none"/>
              </w:rPr>
            </w:pPr>
          </w:p>
        </w:tc>
      </w:tr>
      <w:tr w14:paraId="2E85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A780068">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83D62FB">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B422417">
            <w:pPr>
              <w:spacing w:line="360" w:lineRule="auto"/>
              <w:ind w:firstLine="480" w:firstLineChars="200"/>
              <w:rPr>
                <w:rFonts w:hint="eastAsia" w:ascii="宋体" w:hAnsi="宋体" w:eastAsia="宋体" w:cs="宋体"/>
                <w:color w:val="auto"/>
                <w:sz w:val="24"/>
                <w:highlight w:val="none"/>
              </w:rPr>
            </w:pPr>
          </w:p>
        </w:tc>
      </w:tr>
      <w:tr w14:paraId="403E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E5775CC">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5AB5767">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82FABB1">
            <w:pPr>
              <w:spacing w:line="360" w:lineRule="auto"/>
              <w:ind w:firstLine="480" w:firstLineChars="200"/>
              <w:rPr>
                <w:rFonts w:hint="eastAsia" w:ascii="宋体" w:hAnsi="宋体" w:eastAsia="宋体" w:cs="宋体"/>
                <w:color w:val="auto"/>
                <w:sz w:val="24"/>
                <w:highlight w:val="none"/>
              </w:rPr>
            </w:pPr>
          </w:p>
        </w:tc>
      </w:tr>
      <w:tr w14:paraId="2FD0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67BF63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1116524">
            <w:pPr>
              <w:spacing w:line="360" w:lineRule="auto"/>
              <w:ind w:firstLine="480" w:firstLineChars="200"/>
              <w:rPr>
                <w:rFonts w:hint="eastAsia" w:ascii="宋体" w:hAnsi="宋体" w:eastAsia="宋体" w:cs="宋体"/>
                <w:color w:val="auto"/>
                <w:sz w:val="24"/>
                <w:highlight w:val="none"/>
              </w:rPr>
            </w:pPr>
          </w:p>
        </w:tc>
      </w:tr>
    </w:tbl>
    <w:p w14:paraId="0DE350A8">
      <w:pPr>
        <w:spacing w:line="360" w:lineRule="auto"/>
        <w:ind w:firstLine="482" w:firstLineChars="200"/>
        <w:rPr>
          <w:rFonts w:hint="eastAsia" w:ascii="宋体" w:hAnsi="宋体" w:eastAsia="宋体" w:cs="宋体"/>
          <w:b/>
          <w:color w:val="auto"/>
          <w:sz w:val="24"/>
          <w:highlight w:val="none"/>
        </w:rPr>
      </w:pPr>
      <w:bookmarkStart w:id="124" w:name="_Toc22618"/>
      <w:bookmarkStart w:id="125" w:name="_Toc10340"/>
      <w:bookmarkStart w:id="126" w:name="_Toc1814"/>
      <w:r>
        <w:rPr>
          <w:rFonts w:hint="eastAsia" w:ascii="宋体" w:hAnsi="宋体" w:eastAsia="宋体" w:cs="宋体"/>
          <w:b/>
          <w:color w:val="auto"/>
          <w:sz w:val="24"/>
          <w:highlight w:val="none"/>
        </w:rPr>
        <w:t>1.4 付款方式和发票开具方式</w:t>
      </w:r>
      <w:bookmarkEnd w:id="124"/>
      <w:bookmarkEnd w:id="125"/>
      <w:bookmarkEnd w:id="126"/>
    </w:p>
    <w:p w14:paraId="38F518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8EA0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F84D96B">
      <w:pPr>
        <w:spacing w:line="360" w:lineRule="auto"/>
        <w:ind w:firstLine="482" w:firstLineChars="200"/>
        <w:rPr>
          <w:rFonts w:hint="eastAsia" w:ascii="宋体" w:hAnsi="宋体" w:eastAsia="宋体" w:cs="宋体"/>
          <w:b/>
          <w:color w:val="auto"/>
          <w:sz w:val="24"/>
          <w:highlight w:val="none"/>
        </w:rPr>
      </w:pPr>
      <w:bookmarkStart w:id="127" w:name="_Toc2846"/>
      <w:bookmarkStart w:id="128" w:name="_Toc32071"/>
      <w:bookmarkStart w:id="129" w:name="_Toc19304"/>
      <w:r>
        <w:rPr>
          <w:rFonts w:hint="eastAsia" w:ascii="宋体" w:hAnsi="宋体" w:eastAsia="宋体" w:cs="宋体"/>
          <w:b/>
          <w:color w:val="auto"/>
          <w:sz w:val="24"/>
          <w:highlight w:val="none"/>
        </w:rPr>
        <w:t>1.5 标的物交付期限、地点、方式</w:t>
      </w:r>
      <w:bookmarkEnd w:id="127"/>
      <w:bookmarkEnd w:id="128"/>
      <w:bookmarkEnd w:id="129"/>
      <w:r>
        <w:rPr>
          <w:rFonts w:hint="eastAsia" w:ascii="宋体" w:hAnsi="宋体" w:eastAsia="宋体" w:cs="宋体"/>
          <w:b/>
          <w:color w:val="auto"/>
          <w:sz w:val="24"/>
          <w:highlight w:val="none"/>
        </w:rPr>
        <w:t>和</w:t>
      </w:r>
      <w:r>
        <w:rPr>
          <w:rFonts w:hint="eastAsia" w:ascii="宋体" w:hAnsi="宋体" w:eastAsia="宋体" w:cs="宋体"/>
          <w:b/>
          <w:color w:val="auto"/>
          <w:sz w:val="24"/>
          <w:highlight w:val="none"/>
        </w:rPr>
        <w:t>货物</w:t>
      </w:r>
      <w:r>
        <w:rPr>
          <w:rFonts w:hint="eastAsia" w:ascii="宋体" w:hAnsi="宋体" w:eastAsia="宋体" w:cs="宋体"/>
          <w:b/>
          <w:color w:val="auto"/>
          <w:sz w:val="24"/>
          <w:highlight w:val="none"/>
        </w:rPr>
        <w:t>期限</w:t>
      </w:r>
    </w:p>
    <w:p w14:paraId="4AEC206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1.5.1 </w:t>
      </w:r>
      <w:r>
        <w:rPr>
          <w:rFonts w:hint="eastAsia" w:ascii="宋体" w:hAnsi="宋体" w:eastAsia="宋体" w:cs="宋体"/>
          <w:color w:val="auto"/>
          <w:sz w:val="24"/>
          <w:highlight w:val="none"/>
          <w:lang w:val="en-US" w:eastAsia="zh-CN"/>
        </w:rPr>
        <w:t>交付</w:t>
      </w:r>
      <w:r>
        <w:rPr>
          <w:rFonts w:hint="eastAsia" w:ascii="宋体" w:hAnsi="宋体" w:eastAsia="宋体" w:cs="宋体"/>
          <w:color w:val="auto"/>
          <w:sz w:val="24"/>
          <w:highlight w:val="none"/>
        </w:rPr>
        <w:t>期限：</w:t>
      </w:r>
      <w:r>
        <w:rPr>
          <w:rFonts w:hint="eastAsia" w:ascii="宋体" w:hAnsi="宋体" w:eastAsia="宋体" w:cs="宋体"/>
          <w:color w:val="auto"/>
          <w:sz w:val="24"/>
          <w:highlight w:val="none"/>
          <w:u w:val="single"/>
        </w:rPr>
        <w:t xml:space="preserve">                                                 ；</w:t>
      </w:r>
    </w:p>
    <w:p w14:paraId="5111B9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1.5.2 </w:t>
      </w:r>
      <w:r>
        <w:rPr>
          <w:rFonts w:hint="eastAsia" w:ascii="宋体" w:hAnsi="宋体" w:eastAsia="宋体" w:cs="宋体"/>
          <w:color w:val="auto"/>
          <w:sz w:val="24"/>
          <w:highlight w:val="none"/>
          <w:lang w:val="en-US" w:eastAsia="zh-CN"/>
        </w:rPr>
        <w:t>交付</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543A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r>
        <w:rPr>
          <w:rFonts w:hint="eastAsia" w:ascii="宋体" w:hAnsi="宋体" w:eastAsia="宋体" w:cs="宋体"/>
          <w:color w:val="auto"/>
          <w:sz w:val="24"/>
          <w:highlight w:val="none"/>
          <w:lang w:val="en-US" w:eastAsia="zh-CN"/>
        </w:rPr>
        <w:t>交付</w:t>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6013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1.5.4 </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40A6D87">
      <w:pPr>
        <w:spacing w:line="360" w:lineRule="auto"/>
        <w:ind w:firstLine="482" w:firstLineChars="200"/>
        <w:rPr>
          <w:rFonts w:hint="eastAsia" w:ascii="宋体" w:hAnsi="宋体" w:eastAsia="宋体" w:cs="宋体"/>
          <w:b/>
          <w:color w:val="auto"/>
          <w:sz w:val="24"/>
          <w:highlight w:val="none"/>
        </w:rPr>
      </w:pPr>
      <w:bookmarkStart w:id="130" w:name="_Toc21423"/>
      <w:bookmarkStart w:id="131" w:name="_Toc19554"/>
      <w:bookmarkStart w:id="132" w:name="_Toc27250"/>
      <w:r>
        <w:rPr>
          <w:rFonts w:hint="eastAsia" w:ascii="宋体" w:hAnsi="宋体" w:eastAsia="宋体" w:cs="宋体"/>
          <w:b/>
          <w:color w:val="auto"/>
          <w:sz w:val="24"/>
          <w:highlight w:val="none"/>
        </w:rPr>
        <w:t>1.6 违约责任</w:t>
      </w:r>
      <w:bookmarkEnd w:id="130"/>
      <w:bookmarkEnd w:id="131"/>
      <w:bookmarkEnd w:id="132"/>
    </w:p>
    <w:p w14:paraId="63CBE5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%向甲方支付违约金；</w:t>
      </w:r>
    </w:p>
    <w:p w14:paraId="50ED0B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计算，最高限额为欠付金额的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1A96C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96F4BF">
      <w:pPr>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2000 </w:t>
      </w:r>
      <w:r>
        <w:rPr>
          <w:rFonts w:hint="eastAsia" w:ascii="宋体" w:hAnsi="宋体" w:eastAsia="宋体" w:cs="宋体"/>
          <w:color w:val="auto"/>
          <w:sz w:val="24"/>
          <w:highlight w:val="none"/>
        </w:rPr>
        <w:t>元的违约金。</w:t>
      </w:r>
    </w:p>
    <w:p w14:paraId="3AC9DF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A781B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49FB8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1AE3B68">
      <w:pPr>
        <w:spacing w:line="360" w:lineRule="auto"/>
        <w:ind w:firstLine="482" w:firstLineChars="200"/>
        <w:rPr>
          <w:rFonts w:hint="eastAsia" w:ascii="宋体" w:hAnsi="宋体" w:eastAsia="宋体" w:cs="宋体"/>
          <w:b/>
          <w:color w:val="auto"/>
          <w:sz w:val="24"/>
          <w:highlight w:val="none"/>
        </w:rPr>
      </w:pPr>
      <w:bookmarkStart w:id="133" w:name="_Toc15583"/>
      <w:bookmarkStart w:id="134" w:name="_Toc16021"/>
      <w:bookmarkStart w:id="135" w:name="_Toc28375"/>
      <w:r>
        <w:rPr>
          <w:rFonts w:hint="eastAsia" w:ascii="宋体" w:hAnsi="宋体" w:eastAsia="宋体" w:cs="宋体"/>
          <w:b/>
          <w:color w:val="auto"/>
          <w:sz w:val="24"/>
          <w:highlight w:val="none"/>
        </w:rPr>
        <w:t>1.7 合同争议的解决</w:t>
      </w:r>
      <w:bookmarkEnd w:id="133"/>
      <w:bookmarkEnd w:id="134"/>
      <w:bookmarkEnd w:id="135"/>
    </w:p>
    <w:p w14:paraId="780D33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种方式解决：</w:t>
      </w:r>
    </w:p>
    <w:p w14:paraId="12729D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48326E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23C0D109">
      <w:pPr>
        <w:spacing w:line="360" w:lineRule="auto"/>
        <w:ind w:firstLine="482" w:firstLineChars="200"/>
        <w:rPr>
          <w:rFonts w:hint="eastAsia" w:ascii="宋体" w:hAnsi="宋体" w:eastAsia="宋体" w:cs="宋体"/>
          <w:b/>
          <w:color w:val="auto"/>
          <w:sz w:val="24"/>
          <w:highlight w:val="none"/>
        </w:rPr>
      </w:pPr>
      <w:bookmarkStart w:id="136" w:name="_Toc11173"/>
      <w:bookmarkStart w:id="137" w:name="_Toc7245"/>
      <w:bookmarkStart w:id="138" w:name="_Toc15322"/>
      <w:r>
        <w:rPr>
          <w:rFonts w:hint="eastAsia" w:ascii="宋体" w:hAnsi="宋体" w:eastAsia="宋体" w:cs="宋体"/>
          <w:b/>
          <w:color w:val="auto"/>
          <w:sz w:val="24"/>
          <w:highlight w:val="none"/>
        </w:rPr>
        <w:t>1.8 合同生效</w:t>
      </w:r>
      <w:bookmarkEnd w:id="136"/>
      <w:bookmarkEnd w:id="137"/>
      <w:bookmarkEnd w:id="138"/>
    </w:p>
    <w:p w14:paraId="18C3119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1950AAF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66A70DD2">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465EC55">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C5B3774">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EDD00C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授权代表（签字或盖章）: </w:t>
      </w:r>
    </w:p>
    <w:p w14:paraId="6866C7C0">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E0A4192">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1DAFE3B">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31C8628">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8CDC2F5">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D654A0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683B5CD">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DDD3727">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D7FE8DB">
      <w:pPr>
        <w:pStyle w:val="6"/>
        <w:rPr>
          <w:rFonts w:hint="eastAsia"/>
          <w:color w:val="auto"/>
          <w:highlight w:val="none"/>
        </w:rPr>
      </w:pPr>
    </w:p>
    <w:p w14:paraId="7420AD11">
      <w:pPr>
        <w:spacing w:line="360" w:lineRule="auto"/>
        <w:ind w:firstLine="200"/>
        <w:jc w:val="both"/>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eastAsia="zh-CN"/>
        </w:rPr>
        <w:t>：</w:t>
      </w:r>
      <w:r>
        <w:rPr>
          <w:rFonts w:hint="eastAsia" w:ascii="宋体" w:hAnsi="宋体" w:eastAsia="宋体" w:cs="宋体"/>
          <w:b/>
          <w:color w:val="auto"/>
          <w:highlight w:val="none"/>
        </w:rPr>
        <w:br w:type="page"/>
      </w:r>
      <w:bookmarkStart w:id="139" w:name="_Toc20699"/>
      <w:bookmarkStart w:id="140" w:name="_Toc331685783"/>
      <w:r>
        <w:rPr>
          <w:rFonts w:hint="eastAsia" w:ascii="宋体" w:hAnsi="宋体" w:eastAsia="宋体" w:cs="宋体"/>
          <w:b/>
          <w:color w:val="auto"/>
          <w:sz w:val="28"/>
          <w:szCs w:val="28"/>
          <w:highlight w:val="none"/>
        </w:rPr>
        <w:t>第二部分 合同一般条款</w:t>
      </w:r>
      <w:bookmarkEnd w:id="139"/>
      <w:bookmarkEnd w:id="140"/>
    </w:p>
    <w:p w14:paraId="2D5125CB">
      <w:pPr>
        <w:spacing w:line="360" w:lineRule="auto"/>
        <w:ind w:firstLine="482" w:firstLineChars="200"/>
        <w:rPr>
          <w:rFonts w:hint="eastAsia" w:ascii="宋体" w:hAnsi="宋体" w:eastAsia="宋体" w:cs="宋体"/>
          <w:b/>
          <w:color w:val="auto"/>
          <w:sz w:val="24"/>
          <w:highlight w:val="none"/>
        </w:rPr>
      </w:pPr>
      <w:bookmarkStart w:id="141" w:name="_Toc279701240"/>
      <w:bookmarkStart w:id="142" w:name="_Ref467379214"/>
      <w:bookmarkStart w:id="143" w:name="_Toc259093669"/>
      <w:bookmarkStart w:id="144" w:name="_Toc28763"/>
      <w:bookmarkStart w:id="145" w:name="_Toc19614"/>
      <w:bookmarkStart w:id="146" w:name="_Ref467379195"/>
      <w:bookmarkStart w:id="147" w:name="_Ref467378499"/>
      <w:bookmarkStart w:id="148" w:name="_Ref467379101"/>
      <w:bookmarkStart w:id="149" w:name="_Ref467379205"/>
      <w:bookmarkStart w:id="150" w:name="_Ref467379225"/>
      <w:bookmarkStart w:id="151" w:name="_Ref467378463"/>
      <w:bookmarkStart w:id="152" w:name="_Toc487900349"/>
      <w:bookmarkStart w:id="153" w:name="_Ref467379109"/>
      <w:bookmarkStart w:id="154" w:name="_Ref467378404"/>
      <w:bookmarkStart w:id="155" w:name="_Ref467379094"/>
      <w:bookmarkStart w:id="156" w:name="_Toc16917"/>
      <w:r>
        <w:rPr>
          <w:rFonts w:hint="eastAsia" w:ascii="宋体" w:hAnsi="宋体" w:eastAsia="宋体" w:cs="宋体"/>
          <w:b/>
          <w:color w:val="auto"/>
          <w:sz w:val="24"/>
          <w:highlight w:val="none"/>
        </w:rPr>
        <w:t>2.1 定义</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3F6A9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957E6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签订的载明双方当事人所达成的协议，并包括所有的附件、附录和构成合同的其他文件。</w:t>
      </w:r>
    </w:p>
    <w:p w14:paraId="74D9A8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在完全履行合同义务后，采购人应支付给</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的价格。</w:t>
      </w:r>
    </w:p>
    <w:p w14:paraId="2632CE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3CECA3C">
      <w:pPr>
        <w:spacing w:line="360" w:lineRule="auto"/>
        <w:ind w:firstLine="480" w:firstLineChars="200"/>
        <w:rPr>
          <w:rFonts w:hint="eastAsia" w:ascii="宋体" w:hAnsi="宋体" w:eastAsia="宋体" w:cs="宋体"/>
          <w:color w:val="auto"/>
          <w:sz w:val="24"/>
          <w:highlight w:val="none"/>
        </w:rPr>
      </w:pPr>
      <w:bookmarkStart w:id="157" w:name="_Ref467378840"/>
      <w:r>
        <w:rPr>
          <w:rFonts w:hint="eastAsia" w:ascii="宋体" w:hAnsi="宋体" w:eastAsia="宋体" w:cs="宋体"/>
          <w:color w:val="auto"/>
          <w:sz w:val="24"/>
          <w:highlight w:val="none"/>
        </w:rPr>
        <w:t>2.1.4 “甲方”系指与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签署合同的采购人</w:t>
      </w:r>
      <w:bookmarkEnd w:id="157"/>
      <w:r>
        <w:rPr>
          <w:rFonts w:hint="eastAsia" w:ascii="宋体" w:hAnsi="宋体" w:eastAsia="宋体" w:cs="宋体"/>
          <w:color w:val="auto"/>
          <w:sz w:val="24"/>
          <w:highlight w:val="none"/>
        </w:rPr>
        <w:t>；采购人委托采购机构代表其与乙方签订合同的，采购人的授权委托书作为合同附件。</w:t>
      </w:r>
    </w:p>
    <w:p w14:paraId="161C6D24">
      <w:pPr>
        <w:spacing w:line="360" w:lineRule="auto"/>
        <w:ind w:firstLine="480" w:firstLineChars="200"/>
        <w:rPr>
          <w:rFonts w:hint="eastAsia" w:ascii="宋体" w:hAnsi="宋体" w:eastAsia="宋体" w:cs="宋体"/>
          <w:color w:val="auto"/>
          <w:sz w:val="24"/>
          <w:highlight w:val="none"/>
        </w:rPr>
      </w:pPr>
      <w:bookmarkStart w:id="158" w:name="_Ref467379400"/>
      <w:r>
        <w:rPr>
          <w:rFonts w:hint="eastAsia" w:ascii="宋体" w:hAnsi="宋体" w:eastAsia="宋体" w:cs="宋体"/>
          <w:color w:val="auto"/>
          <w:sz w:val="24"/>
          <w:highlight w:val="none"/>
        </w:rPr>
        <w:t>2.1.5 “乙方”系指根据合同约定交付标的物的</w:t>
      </w:r>
      <w:bookmarkEnd w:id="158"/>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5110861">
      <w:pPr>
        <w:spacing w:line="360" w:lineRule="auto"/>
        <w:ind w:firstLine="480" w:firstLineChars="200"/>
        <w:rPr>
          <w:rFonts w:hint="eastAsia" w:ascii="宋体" w:hAnsi="宋体" w:eastAsia="宋体" w:cs="宋体"/>
          <w:color w:val="auto"/>
          <w:sz w:val="24"/>
          <w:highlight w:val="none"/>
        </w:rPr>
      </w:pPr>
      <w:bookmarkStart w:id="159" w:name="_Ref467379436"/>
      <w:r>
        <w:rPr>
          <w:rFonts w:hint="eastAsia" w:ascii="宋体" w:hAnsi="宋体" w:eastAsia="宋体" w:cs="宋体"/>
          <w:color w:val="auto"/>
          <w:sz w:val="24"/>
          <w:highlight w:val="none"/>
        </w:rPr>
        <w:t>2.1.6 “现场”系指合同约定标的物将要运至或者实施或者安装的地点。</w:t>
      </w:r>
      <w:bookmarkEnd w:id="159"/>
    </w:p>
    <w:p w14:paraId="3DD5CEFE">
      <w:pPr>
        <w:spacing w:line="360" w:lineRule="auto"/>
        <w:ind w:firstLine="482" w:firstLineChars="200"/>
        <w:rPr>
          <w:rFonts w:hint="eastAsia" w:ascii="宋体" w:hAnsi="宋体" w:eastAsia="宋体" w:cs="宋体"/>
          <w:b/>
          <w:color w:val="auto"/>
          <w:sz w:val="24"/>
          <w:highlight w:val="none"/>
        </w:rPr>
      </w:pPr>
      <w:bookmarkStart w:id="160" w:name="_Toc27635"/>
      <w:bookmarkStart w:id="161" w:name="_Toc279701241"/>
      <w:bookmarkStart w:id="162" w:name="_Toc259093670"/>
      <w:bookmarkStart w:id="163" w:name="_Toc13336"/>
      <w:bookmarkStart w:id="164" w:name="_Toc487900350"/>
      <w:bookmarkStart w:id="165" w:name="_Toc32504"/>
      <w:r>
        <w:rPr>
          <w:rFonts w:hint="eastAsia" w:ascii="宋体" w:hAnsi="宋体" w:eastAsia="宋体" w:cs="宋体"/>
          <w:b/>
          <w:color w:val="auto"/>
          <w:sz w:val="24"/>
          <w:highlight w:val="none"/>
        </w:rPr>
        <w:t>2.2 技术规范</w:t>
      </w:r>
      <w:bookmarkEnd w:id="160"/>
      <w:bookmarkEnd w:id="161"/>
      <w:bookmarkEnd w:id="162"/>
      <w:bookmarkEnd w:id="163"/>
      <w:bookmarkEnd w:id="164"/>
      <w:bookmarkEnd w:id="165"/>
    </w:p>
    <w:p w14:paraId="7B0F02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E44D952">
      <w:pPr>
        <w:spacing w:line="360" w:lineRule="auto"/>
        <w:ind w:firstLine="482" w:firstLineChars="200"/>
        <w:rPr>
          <w:rFonts w:hint="eastAsia" w:ascii="宋体" w:hAnsi="宋体" w:eastAsia="宋体" w:cs="宋体"/>
          <w:b/>
          <w:color w:val="auto"/>
          <w:sz w:val="24"/>
          <w:highlight w:val="none"/>
        </w:rPr>
      </w:pPr>
      <w:bookmarkStart w:id="166" w:name="_Toc9829"/>
      <w:bookmarkStart w:id="167" w:name="_Toc27853"/>
      <w:bookmarkStart w:id="168" w:name="_Toc31634"/>
      <w:bookmarkStart w:id="169" w:name="_Toc487900351"/>
      <w:bookmarkStart w:id="170" w:name="_Toc259093671"/>
      <w:bookmarkStart w:id="171" w:name="_Toc279701242"/>
      <w:r>
        <w:rPr>
          <w:rFonts w:hint="eastAsia" w:ascii="宋体" w:hAnsi="宋体" w:eastAsia="宋体" w:cs="宋体"/>
          <w:b/>
          <w:color w:val="auto"/>
          <w:sz w:val="24"/>
          <w:highlight w:val="none"/>
        </w:rPr>
        <w:t>2.3 知识产权</w:t>
      </w:r>
      <w:bookmarkEnd w:id="166"/>
      <w:bookmarkEnd w:id="167"/>
      <w:bookmarkEnd w:id="168"/>
      <w:bookmarkEnd w:id="169"/>
      <w:bookmarkEnd w:id="170"/>
      <w:bookmarkEnd w:id="171"/>
    </w:p>
    <w:p w14:paraId="6038CF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A4DC1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CAE1F69">
      <w:pPr>
        <w:spacing w:line="360" w:lineRule="auto"/>
        <w:ind w:firstLine="482" w:firstLineChars="200"/>
        <w:rPr>
          <w:rFonts w:hint="eastAsia" w:ascii="宋体" w:hAnsi="宋体" w:eastAsia="宋体" w:cs="宋体"/>
          <w:b/>
          <w:color w:val="auto"/>
          <w:sz w:val="24"/>
          <w:highlight w:val="none"/>
        </w:rPr>
      </w:pPr>
      <w:bookmarkStart w:id="172" w:name="_Toc4194"/>
      <w:bookmarkStart w:id="173" w:name="_Toc29149"/>
      <w:bookmarkStart w:id="174" w:name="_Toc11932"/>
      <w:r>
        <w:rPr>
          <w:rFonts w:hint="eastAsia" w:ascii="宋体" w:hAnsi="宋体" w:eastAsia="宋体" w:cs="宋体"/>
          <w:b/>
          <w:color w:val="auto"/>
          <w:sz w:val="24"/>
          <w:highlight w:val="none"/>
        </w:rPr>
        <w:t>2.4 包装和装运</w:t>
      </w:r>
      <w:bookmarkEnd w:id="172"/>
      <w:bookmarkEnd w:id="173"/>
      <w:bookmarkEnd w:id="174"/>
    </w:p>
    <w:p w14:paraId="591CA8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FEEC0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E480303">
      <w:pPr>
        <w:spacing w:line="360" w:lineRule="auto"/>
        <w:ind w:firstLine="482" w:firstLineChars="200"/>
        <w:rPr>
          <w:rFonts w:hint="eastAsia" w:ascii="宋体" w:hAnsi="宋体" w:eastAsia="宋体" w:cs="宋体"/>
          <w:b/>
          <w:color w:val="auto"/>
          <w:sz w:val="24"/>
          <w:highlight w:val="none"/>
        </w:rPr>
      </w:pPr>
      <w:bookmarkStart w:id="175" w:name="_Ref467378541"/>
      <w:bookmarkStart w:id="176" w:name="_Toc259093674"/>
      <w:bookmarkStart w:id="177" w:name="_Ref467379542"/>
      <w:bookmarkStart w:id="178" w:name="_Toc487900354"/>
      <w:bookmarkStart w:id="179" w:name="_Toc279701245"/>
      <w:bookmarkStart w:id="180" w:name="_Ref467379536"/>
      <w:bookmarkStart w:id="181" w:name="_Ref467379527"/>
      <w:bookmarkStart w:id="182" w:name="_Ref467378591"/>
      <w:bookmarkStart w:id="183" w:name="_Toc26182"/>
      <w:bookmarkStart w:id="184" w:name="_Toc30272"/>
      <w:bookmarkStart w:id="185" w:name="_Toc19074"/>
      <w:r>
        <w:rPr>
          <w:rFonts w:hint="eastAsia" w:ascii="宋体" w:hAnsi="宋体" w:eastAsia="宋体" w:cs="宋体"/>
          <w:b/>
          <w:color w:val="auto"/>
          <w:sz w:val="24"/>
          <w:highlight w:val="none"/>
        </w:rPr>
        <w:t>2.</w:t>
      </w:r>
      <w:bookmarkEnd w:id="175"/>
      <w:bookmarkEnd w:id="176"/>
      <w:bookmarkEnd w:id="177"/>
      <w:bookmarkEnd w:id="178"/>
      <w:bookmarkEnd w:id="179"/>
      <w:bookmarkEnd w:id="180"/>
      <w:bookmarkEnd w:id="181"/>
      <w:bookmarkEnd w:id="182"/>
      <w:r>
        <w:rPr>
          <w:rFonts w:hint="eastAsia" w:ascii="宋体" w:hAnsi="宋体" w:eastAsia="宋体" w:cs="宋体"/>
          <w:b/>
          <w:color w:val="auto"/>
          <w:sz w:val="24"/>
          <w:highlight w:val="none"/>
        </w:rPr>
        <w:t>5 履约检查和问题反馈</w:t>
      </w:r>
      <w:bookmarkEnd w:id="183"/>
      <w:bookmarkEnd w:id="184"/>
      <w:bookmarkEnd w:id="185"/>
    </w:p>
    <w:p w14:paraId="50D627C1">
      <w:pPr>
        <w:spacing w:line="360" w:lineRule="auto"/>
        <w:ind w:firstLine="480" w:firstLineChars="200"/>
        <w:rPr>
          <w:rFonts w:hint="eastAsia" w:ascii="宋体" w:hAnsi="宋体" w:eastAsia="宋体" w:cs="宋体"/>
          <w:color w:val="auto"/>
          <w:sz w:val="24"/>
          <w:highlight w:val="none"/>
        </w:rPr>
      </w:pPr>
      <w:bookmarkStart w:id="186" w:name="_Ref467379657"/>
      <w:r>
        <w:rPr>
          <w:rFonts w:hint="eastAsia" w:ascii="宋体" w:hAnsi="宋体" w:eastAsia="宋体" w:cs="宋体"/>
          <w:color w:val="auto"/>
          <w:sz w:val="24"/>
          <w:highlight w:val="none"/>
        </w:rPr>
        <w:t>2.5.1</w:t>
      </w:r>
      <w:bookmarkEnd w:id="186"/>
      <w:bookmarkStart w:id="187" w:name="_Toc186431854"/>
      <w:bookmarkStart w:id="188" w:name="_Toc259093676"/>
      <w:bookmarkStart w:id="189" w:name="_Ref467379793"/>
      <w:bookmarkStart w:id="190" w:name="_Ref467379807"/>
      <w:bookmarkStart w:id="191" w:name="_Toc279701247"/>
      <w:bookmarkStart w:id="192" w:name="_Toc48790035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3BA5A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87"/>
      <w:bookmarkStart w:id="193" w:name="_Toc186431855"/>
      <w:r>
        <w:rPr>
          <w:rFonts w:hint="eastAsia" w:ascii="宋体" w:hAnsi="宋体" w:eastAsia="宋体" w:cs="宋体"/>
          <w:color w:val="auto"/>
          <w:sz w:val="24"/>
          <w:highlight w:val="none"/>
        </w:rPr>
        <w:t>。</w:t>
      </w:r>
    </w:p>
    <w:bookmarkEnd w:id="193"/>
    <w:p w14:paraId="79678ECD">
      <w:pPr>
        <w:spacing w:line="360" w:lineRule="auto"/>
        <w:ind w:firstLine="482" w:firstLineChars="200"/>
        <w:rPr>
          <w:rFonts w:hint="eastAsia" w:ascii="宋体" w:hAnsi="宋体" w:eastAsia="宋体" w:cs="宋体"/>
          <w:b/>
          <w:color w:val="auto"/>
          <w:sz w:val="24"/>
          <w:highlight w:val="none"/>
        </w:rPr>
      </w:pPr>
      <w:bookmarkStart w:id="194" w:name="_Toc19219"/>
      <w:bookmarkStart w:id="195" w:name="_Toc7836"/>
      <w:bookmarkStart w:id="196" w:name="_Toc28451"/>
      <w:r>
        <w:rPr>
          <w:rFonts w:hint="eastAsia" w:ascii="宋体" w:hAnsi="宋体" w:eastAsia="宋体" w:cs="宋体"/>
          <w:b/>
          <w:color w:val="auto"/>
          <w:sz w:val="24"/>
          <w:highlight w:val="none"/>
        </w:rPr>
        <w:t>2.6 结算方式和付款条件</w:t>
      </w:r>
      <w:bookmarkEnd w:id="188"/>
      <w:bookmarkEnd w:id="189"/>
      <w:bookmarkEnd w:id="190"/>
      <w:bookmarkEnd w:id="191"/>
      <w:bookmarkEnd w:id="192"/>
      <w:bookmarkEnd w:id="194"/>
      <w:bookmarkEnd w:id="195"/>
      <w:bookmarkEnd w:id="196"/>
    </w:p>
    <w:p w14:paraId="06AA32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71E7676">
      <w:pPr>
        <w:spacing w:line="360" w:lineRule="auto"/>
        <w:ind w:firstLine="482" w:firstLineChars="200"/>
        <w:rPr>
          <w:rFonts w:hint="eastAsia" w:ascii="宋体" w:hAnsi="宋体" w:eastAsia="宋体" w:cs="宋体"/>
          <w:b/>
          <w:color w:val="auto"/>
          <w:sz w:val="24"/>
          <w:highlight w:val="none"/>
        </w:rPr>
      </w:pPr>
      <w:bookmarkStart w:id="197" w:name="_Ref467379852"/>
      <w:bookmarkStart w:id="198" w:name="_Toc487900358"/>
      <w:bookmarkStart w:id="199" w:name="_Ref467379863"/>
      <w:bookmarkStart w:id="200" w:name="_Toc279701248"/>
      <w:bookmarkStart w:id="201" w:name="_Ref467379923"/>
      <w:bookmarkStart w:id="202" w:name="_Toc259093677"/>
      <w:bookmarkStart w:id="203" w:name="_Toc774"/>
      <w:bookmarkStart w:id="204" w:name="_Toc3225"/>
      <w:bookmarkStart w:id="205" w:name="_Toc16110"/>
      <w:r>
        <w:rPr>
          <w:rFonts w:hint="eastAsia" w:ascii="宋体" w:hAnsi="宋体" w:eastAsia="宋体" w:cs="宋体"/>
          <w:b/>
          <w:color w:val="auto"/>
          <w:sz w:val="24"/>
          <w:highlight w:val="none"/>
        </w:rPr>
        <w:t>2.7 技术资料</w:t>
      </w:r>
      <w:bookmarkEnd w:id="197"/>
      <w:bookmarkEnd w:id="198"/>
      <w:bookmarkEnd w:id="199"/>
      <w:bookmarkEnd w:id="200"/>
      <w:bookmarkEnd w:id="201"/>
      <w:bookmarkEnd w:id="202"/>
      <w:r>
        <w:rPr>
          <w:rFonts w:hint="eastAsia" w:ascii="宋体" w:hAnsi="宋体" w:eastAsia="宋体" w:cs="宋体"/>
          <w:b/>
          <w:color w:val="auto"/>
          <w:sz w:val="24"/>
          <w:highlight w:val="none"/>
        </w:rPr>
        <w:t>和保密义务</w:t>
      </w:r>
      <w:bookmarkEnd w:id="203"/>
      <w:bookmarkEnd w:id="204"/>
      <w:bookmarkEnd w:id="205"/>
    </w:p>
    <w:p w14:paraId="5E7D38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295920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0EAE12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7CADC7B">
      <w:pPr>
        <w:spacing w:line="360" w:lineRule="auto"/>
        <w:ind w:firstLine="482" w:firstLineChars="200"/>
        <w:rPr>
          <w:rFonts w:hint="eastAsia" w:ascii="宋体" w:hAnsi="宋体" w:eastAsia="宋体" w:cs="宋体"/>
          <w:b/>
          <w:color w:val="auto"/>
          <w:sz w:val="24"/>
          <w:highlight w:val="none"/>
        </w:rPr>
      </w:pPr>
      <w:bookmarkStart w:id="206" w:name="_Toc7860"/>
      <w:r>
        <w:rPr>
          <w:rFonts w:hint="eastAsia" w:ascii="宋体" w:hAnsi="宋体" w:eastAsia="宋体" w:cs="宋体"/>
          <w:b/>
          <w:color w:val="auto"/>
          <w:sz w:val="24"/>
          <w:highlight w:val="none"/>
        </w:rPr>
        <w:t>2.8 质量保证</w:t>
      </w:r>
      <w:bookmarkEnd w:id="206"/>
    </w:p>
    <w:p w14:paraId="62D26F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1DAA3D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5288D11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文件一致。未经甲方书面同意，乙方不得擅自更换</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文件中注明的项目经理和技术负责人。否则</w:t>
      </w:r>
      <w:r>
        <w:rPr>
          <w:rFonts w:hint="eastAsia" w:ascii="宋体" w:hAnsi="宋体" w:eastAsia="宋体" w:cs="宋体"/>
          <w:color w:val="auto"/>
          <w:kern w:val="0"/>
          <w:sz w:val="24"/>
          <w:highlight w:val="none"/>
        </w:rPr>
        <w:t>甲方有权放弃或终止合同。</w:t>
      </w:r>
    </w:p>
    <w:p w14:paraId="4E1814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w:t>
      </w:r>
    </w:p>
    <w:p w14:paraId="22A25A4B">
      <w:pPr>
        <w:spacing w:line="360" w:lineRule="auto"/>
        <w:ind w:firstLine="482" w:firstLineChars="200"/>
        <w:rPr>
          <w:rFonts w:hint="eastAsia" w:ascii="宋体" w:hAnsi="宋体" w:eastAsia="宋体" w:cs="宋体"/>
          <w:b/>
          <w:color w:val="auto"/>
          <w:sz w:val="24"/>
          <w:highlight w:val="none"/>
        </w:rPr>
      </w:pPr>
      <w:bookmarkStart w:id="207" w:name="_Toc17244"/>
      <w:bookmarkStart w:id="208" w:name="_Toc259093681"/>
      <w:bookmarkStart w:id="209" w:name="_Toc487900362"/>
      <w:bookmarkStart w:id="210" w:name="_Toc279701252"/>
      <w:r>
        <w:rPr>
          <w:rFonts w:hint="eastAsia" w:ascii="宋体" w:hAnsi="宋体" w:eastAsia="宋体" w:cs="宋体"/>
          <w:b/>
          <w:color w:val="auto"/>
          <w:sz w:val="24"/>
          <w:highlight w:val="none"/>
        </w:rPr>
        <w:t>2.9 标的物的风险负担</w:t>
      </w:r>
      <w:bookmarkEnd w:id="207"/>
    </w:p>
    <w:p w14:paraId="105D04C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2A821EB">
      <w:pPr>
        <w:spacing w:line="360" w:lineRule="auto"/>
        <w:ind w:firstLine="482" w:firstLineChars="200"/>
        <w:rPr>
          <w:rFonts w:hint="eastAsia" w:ascii="宋体" w:hAnsi="宋体" w:eastAsia="宋体" w:cs="宋体"/>
          <w:b/>
          <w:color w:val="auto"/>
          <w:sz w:val="24"/>
          <w:highlight w:val="none"/>
        </w:rPr>
      </w:pPr>
      <w:bookmarkStart w:id="211" w:name="_Toc14055"/>
      <w:r>
        <w:rPr>
          <w:rFonts w:hint="eastAsia" w:ascii="宋体" w:hAnsi="宋体" w:eastAsia="宋体" w:cs="宋体"/>
          <w:b/>
          <w:color w:val="auto"/>
          <w:sz w:val="24"/>
          <w:highlight w:val="none"/>
        </w:rPr>
        <w:t>2.10 延迟交货</w:t>
      </w:r>
      <w:bookmarkEnd w:id="208"/>
      <w:bookmarkEnd w:id="209"/>
      <w:bookmarkEnd w:id="210"/>
      <w:bookmarkEnd w:id="211"/>
      <w:r>
        <w:rPr>
          <w:rFonts w:hint="eastAsia" w:ascii="宋体" w:hAnsi="宋体" w:eastAsia="宋体" w:cs="宋体"/>
          <w:b/>
          <w:color w:val="auto"/>
          <w:sz w:val="24"/>
          <w:highlight w:val="none"/>
        </w:rPr>
        <w:t>/交付</w:t>
      </w:r>
    </w:p>
    <w:p w14:paraId="73D105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54B4523">
      <w:pPr>
        <w:spacing w:line="360" w:lineRule="auto"/>
        <w:ind w:firstLine="482" w:firstLineChars="200"/>
        <w:rPr>
          <w:rFonts w:hint="eastAsia" w:ascii="宋体" w:hAnsi="宋体" w:eastAsia="宋体" w:cs="宋体"/>
          <w:b/>
          <w:color w:val="auto"/>
          <w:sz w:val="24"/>
          <w:highlight w:val="none"/>
        </w:rPr>
      </w:pPr>
      <w:bookmarkStart w:id="212" w:name="_Toc7502"/>
      <w:bookmarkStart w:id="213" w:name="_Toc259093683"/>
      <w:bookmarkStart w:id="214" w:name="_Toc279701254"/>
      <w:bookmarkStart w:id="215" w:name="_Ref467378121"/>
      <w:bookmarkStart w:id="216" w:name="_Toc487900364"/>
      <w:r>
        <w:rPr>
          <w:rFonts w:hint="eastAsia" w:ascii="宋体" w:hAnsi="宋体" w:eastAsia="宋体" w:cs="宋体"/>
          <w:b/>
          <w:color w:val="auto"/>
          <w:sz w:val="24"/>
          <w:highlight w:val="none"/>
        </w:rPr>
        <w:t>2.11 合同变更</w:t>
      </w:r>
      <w:bookmarkEnd w:id="212"/>
    </w:p>
    <w:p w14:paraId="7D7C42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93232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7" w:name="_Toc487900369"/>
      <w:bookmarkStart w:id="218" w:name="_Toc259093688"/>
      <w:bookmarkStart w:id="219" w:name="_Toc279701259"/>
    </w:p>
    <w:p w14:paraId="24709411">
      <w:pPr>
        <w:spacing w:line="360" w:lineRule="auto"/>
        <w:ind w:firstLine="482" w:firstLineChars="200"/>
        <w:rPr>
          <w:rFonts w:hint="eastAsia" w:ascii="宋体" w:hAnsi="宋体" w:eastAsia="宋体" w:cs="宋体"/>
          <w:b/>
          <w:color w:val="auto"/>
          <w:sz w:val="24"/>
          <w:highlight w:val="none"/>
        </w:rPr>
      </w:pPr>
      <w:bookmarkStart w:id="220" w:name="_Toc10366"/>
      <w:bookmarkStart w:id="221" w:name="_Toc22955"/>
      <w:bookmarkStart w:id="222" w:name="_Toc15237"/>
      <w:r>
        <w:rPr>
          <w:rFonts w:hint="eastAsia" w:ascii="宋体" w:hAnsi="宋体" w:eastAsia="宋体" w:cs="宋体"/>
          <w:b/>
          <w:color w:val="auto"/>
          <w:sz w:val="24"/>
          <w:highlight w:val="none"/>
        </w:rPr>
        <w:t>2.12 合同转让</w:t>
      </w:r>
      <w:bookmarkEnd w:id="217"/>
      <w:bookmarkEnd w:id="218"/>
      <w:bookmarkEnd w:id="219"/>
      <w:r>
        <w:rPr>
          <w:rFonts w:hint="eastAsia" w:ascii="宋体" w:hAnsi="宋体" w:eastAsia="宋体" w:cs="宋体"/>
          <w:b/>
          <w:color w:val="auto"/>
          <w:sz w:val="24"/>
          <w:highlight w:val="none"/>
        </w:rPr>
        <w:t>和分包</w:t>
      </w:r>
      <w:bookmarkEnd w:id="220"/>
      <w:bookmarkEnd w:id="221"/>
      <w:bookmarkEnd w:id="222"/>
    </w:p>
    <w:p w14:paraId="1AEFFD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F354AD9">
      <w:pPr>
        <w:spacing w:line="360" w:lineRule="auto"/>
        <w:ind w:firstLine="482" w:firstLineChars="200"/>
        <w:rPr>
          <w:rFonts w:hint="eastAsia" w:ascii="宋体" w:hAnsi="宋体" w:eastAsia="宋体" w:cs="宋体"/>
          <w:b/>
          <w:color w:val="auto"/>
          <w:sz w:val="24"/>
          <w:highlight w:val="none"/>
        </w:rPr>
      </w:pPr>
      <w:bookmarkStart w:id="223" w:name="_Toc16508"/>
      <w:bookmarkStart w:id="224" w:name="_Toc13566"/>
      <w:bookmarkStart w:id="225" w:name="_Toc14066"/>
      <w:r>
        <w:rPr>
          <w:rFonts w:hint="eastAsia" w:ascii="宋体" w:hAnsi="宋体" w:eastAsia="宋体" w:cs="宋体"/>
          <w:b/>
          <w:color w:val="auto"/>
          <w:sz w:val="24"/>
          <w:highlight w:val="none"/>
        </w:rPr>
        <w:t>2.13 不可抗力</w:t>
      </w:r>
      <w:bookmarkEnd w:id="223"/>
      <w:bookmarkEnd w:id="224"/>
      <w:bookmarkEnd w:id="225"/>
    </w:p>
    <w:p w14:paraId="3B9D3E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35EE6A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4F77D4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0DC0F3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83A0FBA">
      <w:pPr>
        <w:spacing w:line="360" w:lineRule="auto"/>
        <w:ind w:firstLine="482" w:firstLineChars="200"/>
        <w:rPr>
          <w:rFonts w:hint="eastAsia" w:ascii="宋体" w:hAnsi="宋体" w:eastAsia="宋体" w:cs="宋体"/>
          <w:b/>
          <w:color w:val="auto"/>
          <w:sz w:val="24"/>
          <w:highlight w:val="none"/>
        </w:rPr>
      </w:pPr>
      <w:bookmarkStart w:id="226" w:name="_Toc259093684"/>
      <w:bookmarkStart w:id="227" w:name="_Toc30676"/>
      <w:bookmarkStart w:id="228" w:name="_Toc689"/>
      <w:bookmarkStart w:id="229" w:name="_Toc279701255"/>
      <w:bookmarkStart w:id="230" w:name="_Toc6969"/>
      <w:bookmarkStart w:id="231" w:name="_Toc487900365"/>
      <w:r>
        <w:rPr>
          <w:rFonts w:hint="eastAsia" w:ascii="宋体" w:hAnsi="宋体" w:eastAsia="宋体" w:cs="宋体"/>
          <w:b/>
          <w:color w:val="auto"/>
          <w:sz w:val="24"/>
          <w:highlight w:val="none"/>
        </w:rPr>
        <w:t>2.14 税费</w:t>
      </w:r>
      <w:bookmarkEnd w:id="226"/>
      <w:bookmarkEnd w:id="227"/>
      <w:bookmarkEnd w:id="228"/>
      <w:bookmarkEnd w:id="229"/>
      <w:bookmarkEnd w:id="230"/>
      <w:bookmarkEnd w:id="231"/>
    </w:p>
    <w:p w14:paraId="58D457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7A7D8540">
      <w:pPr>
        <w:spacing w:line="360" w:lineRule="auto"/>
        <w:ind w:firstLine="482" w:firstLineChars="200"/>
        <w:rPr>
          <w:rFonts w:hint="eastAsia" w:ascii="宋体" w:hAnsi="宋体" w:eastAsia="宋体" w:cs="宋体"/>
          <w:b/>
          <w:color w:val="auto"/>
          <w:sz w:val="24"/>
          <w:highlight w:val="none"/>
        </w:rPr>
      </w:pPr>
      <w:bookmarkStart w:id="232" w:name="_Toc487900368"/>
      <w:bookmarkStart w:id="233" w:name="_Toc259093687"/>
      <w:bookmarkStart w:id="234" w:name="_Toc7102"/>
      <w:bookmarkStart w:id="235" w:name="_Toc279701258"/>
      <w:bookmarkStart w:id="236" w:name="_Toc16959"/>
      <w:bookmarkStart w:id="237" w:name="_Toc8298"/>
      <w:r>
        <w:rPr>
          <w:rFonts w:hint="eastAsia" w:ascii="宋体" w:hAnsi="宋体" w:eastAsia="宋体" w:cs="宋体"/>
          <w:b/>
          <w:color w:val="auto"/>
          <w:sz w:val="24"/>
          <w:highlight w:val="none"/>
        </w:rPr>
        <w:t>2.15 乙方破产</w:t>
      </w:r>
      <w:bookmarkEnd w:id="232"/>
      <w:bookmarkEnd w:id="233"/>
      <w:bookmarkEnd w:id="234"/>
      <w:bookmarkEnd w:id="235"/>
      <w:bookmarkEnd w:id="236"/>
      <w:bookmarkEnd w:id="237"/>
    </w:p>
    <w:p w14:paraId="5D3BEF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BA8389">
      <w:pPr>
        <w:spacing w:line="360" w:lineRule="auto"/>
        <w:ind w:firstLine="482" w:firstLineChars="200"/>
        <w:rPr>
          <w:rFonts w:hint="eastAsia" w:ascii="宋体" w:hAnsi="宋体" w:eastAsia="宋体" w:cs="宋体"/>
          <w:b/>
          <w:color w:val="auto"/>
          <w:sz w:val="24"/>
          <w:highlight w:val="none"/>
        </w:rPr>
      </w:pPr>
      <w:bookmarkStart w:id="238" w:name="_Toc29333"/>
      <w:bookmarkStart w:id="239" w:name="_Toc15387"/>
      <w:bookmarkStart w:id="240" w:name="_Toc6134"/>
      <w:r>
        <w:rPr>
          <w:rFonts w:hint="eastAsia" w:ascii="宋体" w:hAnsi="宋体" w:eastAsia="宋体" w:cs="宋体"/>
          <w:b/>
          <w:color w:val="auto"/>
          <w:sz w:val="24"/>
          <w:highlight w:val="none"/>
        </w:rPr>
        <w:t>2.16 合同中止、终止</w:t>
      </w:r>
      <w:bookmarkEnd w:id="238"/>
      <w:bookmarkEnd w:id="239"/>
      <w:bookmarkEnd w:id="240"/>
    </w:p>
    <w:p w14:paraId="6C4635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4DB482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45C2B4CB">
      <w:pPr>
        <w:spacing w:line="360" w:lineRule="auto"/>
        <w:ind w:firstLine="482" w:firstLineChars="200"/>
        <w:rPr>
          <w:rFonts w:hint="eastAsia" w:ascii="宋体" w:hAnsi="宋体" w:eastAsia="宋体" w:cs="宋体"/>
          <w:b/>
          <w:color w:val="auto"/>
          <w:sz w:val="24"/>
          <w:highlight w:val="none"/>
        </w:rPr>
      </w:pPr>
      <w:bookmarkStart w:id="241" w:name="_Toc6596"/>
      <w:bookmarkStart w:id="242" w:name="_Toc14563"/>
      <w:bookmarkStart w:id="243" w:name="_Toc1125"/>
      <w:r>
        <w:rPr>
          <w:rFonts w:hint="eastAsia" w:ascii="宋体" w:hAnsi="宋体" w:eastAsia="宋体" w:cs="宋体"/>
          <w:b/>
          <w:color w:val="auto"/>
          <w:sz w:val="24"/>
          <w:highlight w:val="none"/>
        </w:rPr>
        <w:t>2.17 检验和验收</w:t>
      </w:r>
      <w:bookmarkEnd w:id="241"/>
      <w:bookmarkEnd w:id="242"/>
      <w:bookmarkEnd w:id="243"/>
    </w:p>
    <w:p w14:paraId="5DA67B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1DF115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186EC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213"/>
    <w:bookmarkEnd w:id="214"/>
    <w:bookmarkEnd w:id="215"/>
    <w:bookmarkEnd w:id="216"/>
    <w:p w14:paraId="6CF230C4">
      <w:pPr>
        <w:spacing w:line="360" w:lineRule="auto"/>
        <w:ind w:firstLine="482" w:firstLineChars="200"/>
        <w:rPr>
          <w:rFonts w:hint="eastAsia" w:ascii="宋体" w:hAnsi="宋体" w:eastAsia="宋体" w:cs="宋体"/>
          <w:b/>
          <w:color w:val="auto"/>
          <w:sz w:val="24"/>
          <w:highlight w:val="none"/>
        </w:rPr>
      </w:pPr>
      <w:bookmarkStart w:id="244" w:name="_Toc279701261"/>
      <w:bookmarkStart w:id="245" w:name="_Toc259093690"/>
      <w:bookmarkStart w:id="246" w:name="_Toc487900371"/>
      <w:bookmarkStart w:id="247" w:name="_Toc25182"/>
      <w:bookmarkStart w:id="248" w:name="_Toc11284"/>
      <w:bookmarkStart w:id="249" w:name="_Toc19604"/>
      <w:r>
        <w:rPr>
          <w:rFonts w:hint="eastAsia" w:ascii="宋体" w:hAnsi="宋体" w:eastAsia="宋体" w:cs="宋体"/>
          <w:b/>
          <w:color w:val="auto"/>
          <w:sz w:val="24"/>
          <w:highlight w:val="none"/>
        </w:rPr>
        <w:t>2.18 通知</w:t>
      </w:r>
      <w:bookmarkEnd w:id="244"/>
      <w:bookmarkEnd w:id="245"/>
      <w:bookmarkEnd w:id="246"/>
      <w:r>
        <w:rPr>
          <w:rFonts w:hint="eastAsia" w:ascii="宋体" w:hAnsi="宋体" w:eastAsia="宋体" w:cs="宋体"/>
          <w:b/>
          <w:color w:val="auto"/>
          <w:sz w:val="24"/>
          <w:highlight w:val="none"/>
        </w:rPr>
        <w:t>和送达</w:t>
      </w:r>
      <w:bookmarkEnd w:id="247"/>
      <w:bookmarkEnd w:id="248"/>
      <w:bookmarkEnd w:id="249"/>
    </w:p>
    <w:p w14:paraId="527B48F6">
      <w:pPr>
        <w:spacing w:line="360" w:lineRule="auto"/>
        <w:ind w:firstLine="480" w:firstLineChars="200"/>
        <w:rPr>
          <w:rFonts w:hint="eastAsia" w:ascii="宋体" w:hAnsi="宋体" w:eastAsia="宋体" w:cs="宋体"/>
          <w:color w:val="auto"/>
          <w:sz w:val="24"/>
          <w:highlight w:val="none"/>
        </w:rPr>
      </w:pPr>
      <w:bookmarkStart w:id="250" w:name="_Toc3135"/>
      <w:bookmarkStart w:id="251" w:name="_Toc6698"/>
      <w:bookmarkStart w:id="252" w:name="_Toc259093691"/>
      <w:bookmarkStart w:id="253" w:name="_Toc487900372"/>
      <w:bookmarkStart w:id="254" w:name="_Toc27970126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250"/>
      <w:bookmarkEnd w:id="251"/>
    </w:p>
    <w:p w14:paraId="3619C7BD">
      <w:pPr>
        <w:spacing w:line="360" w:lineRule="auto"/>
        <w:ind w:firstLine="480" w:firstLineChars="200"/>
        <w:rPr>
          <w:rFonts w:hint="eastAsia" w:ascii="宋体" w:hAnsi="宋体" w:eastAsia="宋体" w:cs="宋体"/>
          <w:color w:val="auto"/>
          <w:sz w:val="24"/>
          <w:highlight w:val="none"/>
        </w:rPr>
      </w:pPr>
      <w:bookmarkStart w:id="255" w:name="_Toc23128"/>
      <w:bookmarkStart w:id="256"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5"/>
      <w:bookmarkEnd w:id="256"/>
    </w:p>
    <w:p w14:paraId="5B4D2142">
      <w:pPr>
        <w:spacing w:line="360" w:lineRule="auto"/>
        <w:ind w:firstLine="482" w:firstLineChars="200"/>
        <w:rPr>
          <w:rFonts w:hint="eastAsia" w:ascii="宋体" w:hAnsi="宋体" w:eastAsia="宋体" w:cs="宋体"/>
          <w:b/>
          <w:color w:val="auto"/>
          <w:sz w:val="24"/>
          <w:highlight w:val="none"/>
        </w:rPr>
      </w:pPr>
      <w:bookmarkStart w:id="257" w:name="_Toc30599"/>
      <w:bookmarkStart w:id="258" w:name="_Toc18540"/>
      <w:bookmarkStart w:id="259" w:name="_Toc4355"/>
      <w:r>
        <w:rPr>
          <w:rFonts w:hint="eastAsia" w:ascii="宋体" w:hAnsi="宋体" w:eastAsia="宋体" w:cs="宋体"/>
          <w:b/>
          <w:color w:val="auto"/>
          <w:sz w:val="24"/>
          <w:highlight w:val="none"/>
        </w:rPr>
        <w:t>2.19 计量单位</w:t>
      </w:r>
      <w:bookmarkEnd w:id="252"/>
      <w:bookmarkEnd w:id="253"/>
      <w:bookmarkEnd w:id="254"/>
      <w:bookmarkEnd w:id="257"/>
      <w:bookmarkEnd w:id="258"/>
      <w:bookmarkEnd w:id="259"/>
    </w:p>
    <w:p w14:paraId="581E68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7973D80">
      <w:pPr>
        <w:spacing w:line="360" w:lineRule="auto"/>
        <w:ind w:firstLine="482" w:firstLineChars="200"/>
        <w:rPr>
          <w:rFonts w:hint="eastAsia" w:ascii="宋体" w:hAnsi="宋体" w:eastAsia="宋体" w:cs="宋体"/>
          <w:b/>
          <w:color w:val="auto"/>
          <w:sz w:val="24"/>
          <w:highlight w:val="none"/>
        </w:rPr>
      </w:pPr>
      <w:bookmarkStart w:id="260" w:name="_Toc487900373"/>
      <w:bookmarkStart w:id="261" w:name="_Toc18567"/>
      <w:bookmarkStart w:id="262" w:name="_Toc10330"/>
      <w:bookmarkStart w:id="263" w:name="_Toc279701263"/>
      <w:bookmarkStart w:id="264" w:name="_Toc259093692"/>
      <w:bookmarkStart w:id="265" w:name="_Toc12773"/>
      <w:r>
        <w:rPr>
          <w:rFonts w:hint="eastAsia" w:ascii="宋体" w:hAnsi="宋体" w:eastAsia="宋体" w:cs="宋体"/>
          <w:b/>
          <w:color w:val="auto"/>
          <w:sz w:val="24"/>
          <w:highlight w:val="none"/>
        </w:rPr>
        <w:t>2.20 合同使用的文字和适用的法律</w:t>
      </w:r>
      <w:bookmarkEnd w:id="260"/>
      <w:bookmarkEnd w:id="261"/>
      <w:bookmarkEnd w:id="262"/>
      <w:bookmarkEnd w:id="263"/>
      <w:bookmarkEnd w:id="264"/>
      <w:bookmarkEnd w:id="265"/>
    </w:p>
    <w:p w14:paraId="429B39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235876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128A0CE4">
      <w:pPr>
        <w:spacing w:line="360" w:lineRule="auto"/>
        <w:ind w:firstLine="482" w:firstLineChars="200"/>
        <w:rPr>
          <w:rFonts w:hint="eastAsia" w:ascii="宋体" w:hAnsi="宋体" w:eastAsia="宋体" w:cs="宋体"/>
          <w:b/>
          <w:color w:val="auto"/>
          <w:sz w:val="24"/>
          <w:highlight w:val="none"/>
        </w:rPr>
      </w:pPr>
      <w:bookmarkStart w:id="266" w:name="_Toc16673"/>
      <w:bookmarkStart w:id="267" w:name="_Toc3148"/>
      <w:bookmarkStart w:id="268" w:name="_Toc259093693"/>
      <w:bookmarkStart w:id="269" w:name="_Toc279701264"/>
      <w:bookmarkStart w:id="270" w:name="_Toc12004"/>
      <w:bookmarkStart w:id="271" w:name="_Toc487900374"/>
      <w:r>
        <w:rPr>
          <w:rFonts w:hint="eastAsia" w:ascii="宋体" w:hAnsi="宋体" w:eastAsia="宋体" w:cs="宋体"/>
          <w:b/>
          <w:color w:val="auto"/>
          <w:sz w:val="24"/>
          <w:highlight w:val="none"/>
        </w:rPr>
        <w:t>2.21 履约保证金</w:t>
      </w:r>
      <w:bookmarkEnd w:id="266"/>
      <w:bookmarkEnd w:id="267"/>
      <w:bookmarkEnd w:id="268"/>
      <w:bookmarkEnd w:id="269"/>
      <w:bookmarkEnd w:id="270"/>
    </w:p>
    <w:p w14:paraId="5357EE24">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75788312">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346F131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5AA6AA8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71"/>
    <w:p w14:paraId="368BEC9E">
      <w:pPr>
        <w:spacing w:line="360" w:lineRule="auto"/>
        <w:ind w:firstLine="482" w:firstLineChars="200"/>
        <w:rPr>
          <w:rFonts w:hint="eastAsia" w:ascii="宋体" w:hAnsi="宋体" w:eastAsia="宋体" w:cs="宋体"/>
          <w:b/>
          <w:color w:val="auto"/>
          <w:sz w:val="24"/>
          <w:highlight w:val="none"/>
        </w:rPr>
      </w:pPr>
      <w:bookmarkStart w:id="272" w:name="_Toc6885"/>
      <w:bookmarkStart w:id="273" w:name="_Toc19890"/>
      <w:bookmarkStart w:id="274" w:name="_Toc14001"/>
      <w:r>
        <w:rPr>
          <w:rFonts w:hint="eastAsia" w:ascii="宋体" w:hAnsi="宋体" w:eastAsia="宋体" w:cs="宋体"/>
          <w:b/>
          <w:color w:val="auto"/>
          <w:sz w:val="24"/>
          <w:highlight w:val="none"/>
        </w:rPr>
        <w:t>2.23 合同份数</w:t>
      </w:r>
      <w:bookmarkEnd w:id="272"/>
      <w:bookmarkEnd w:id="273"/>
      <w:bookmarkEnd w:id="274"/>
    </w:p>
    <w:p w14:paraId="16729A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5428B73F">
      <w:pPr>
        <w:pStyle w:val="42"/>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75" w:name="_Toc32171"/>
      <w:bookmarkStart w:id="276" w:name="_Toc28641"/>
      <w:bookmarkStart w:id="277" w:name="_Toc331685784"/>
      <w:bookmarkStart w:id="278" w:name="_Toc24716"/>
      <w:r>
        <w:rPr>
          <w:rFonts w:hint="eastAsia" w:ascii="宋体" w:hAnsi="宋体" w:eastAsia="宋体" w:cs="宋体"/>
          <w:b/>
          <w:color w:val="auto"/>
          <w:sz w:val="28"/>
          <w:szCs w:val="28"/>
          <w:highlight w:val="none"/>
        </w:rPr>
        <w:t>第三部分 合同专用条款</w:t>
      </w:r>
      <w:bookmarkEnd w:id="275"/>
      <w:bookmarkEnd w:id="276"/>
      <w:bookmarkEnd w:id="277"/>
      <w:bookmarkEnd w:id="278"/>
    </w:p>
    <w:p w14:paraId="0647C6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A7C5C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3.1具有知识产权的标的物知识产权归属：</w:t>
      </w:r>
    </w:p>
    <w:p w14:paraId="61C4E0EC">
      <w:pPr>
        <w:spacing w:line="360" w:lineRule="auto"/>
        <w:ind w:firstLine="480" w:firstLineChars="200"/>
        <w:rPr>
          <w:rFonts w:hint="eastAsia" w:ascii="宋体" w:hAnsi="宋体" w:eastAsia="宋体" w:cs="宋体"/>
          <w:color w:val="auto"/>
          <w:sz w:val="24"/>
          <w:highlight w:val="none"/>
        </w:rPr>
      </w:pPr>
    </w:p>
    <w:p w14:paraId="00FA3D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3.2包装和装运专用条款（如果有）：</w:t>
      </w:r>
    </w:p>
    <w:p w14:paraId="4C31CCAC">
      <w:pPr>
        <w:spacing w:line="360" w:lineRule="auto"/>
        <w:ind w:firstLine="480" w:firstLineChars="200"/>
        <w:rPr>
          <w:rFonts w:hint="eastAsia" w:ascii="宋体" w:hAnsi="宋体" w:eastAsia="宋体" w:cs="宋体"/>
          <w:color w:val="auto"/>
          <w:sz w:val="24"/>
          <w:highlight w:val="none"/>
          <w:u w:val="single"/>
        </w:rPr>
      </w:pPr>
    </w:p>
    <w:p w14:paraId="77F7E8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3.3装运标的物的要求和通知：</w:t>
      </w:r>
    </w:p>
    <w:p w14:paraId="6DD25F9E">
      <w:pPr>
        <w:spacing w:line="360" w:lineRule="auto"/>
        <w:ind w:firstLine="480" w:firstLineChars="200"/>
        <w:rPr>
          <w:rFonts w:hint="eastAsia" w:ascii="宋体" w:hAnsi="宋体" w:eastAsia="宋体" w:cs="宋体"/>
          <w:color w:val="auto"/>
          <w:sz w:val="24"/>
          <w:highlight w:val="none"/>
          <w:u w:val="single"/>
        </w:rPr>
      </w:pPr>
    </w:p>
    <w:p w14:paraId="4E5D8F1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结算方式和付款条件</w:t>
      </w:r>
    </w:p>
    <w:p w14:paraId="3A7D34C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6690C363">
      <w:pPr>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本项目无预付款，</w:t>
      </w:r>
      <w:r>
        <w:rPr>
          <w:rFonts w:hint="eastAsia" w:ascii="宋体" w:hAnsi="宋体" w:eastAsia="宋体" w:cs="宋体"/>
          <w:color w:val="auto"/>
          <w:kern w:val="0"/>
          <w:sz w:val="24"/>
          <w:highlight w:val="none"/>
          <w:u w:val="single"/>
          <w:lang w:val="en-US" w:eastAsia="zh-CN"/>
        </w:rPr>
        <w:t>乙方</w:t>
      </w:r>
      <w:r>
        <w:rPr>
          <w:rFonts w:hint="eastAsia" w:ascii="宋体" w:hAnsi="宋体" w:eastAsia="宋体" w:cs="宋体"/>
          <w:color w:val="auto"/>
          <w:kern w:val="0"/>
          <w:sz w:val="24"/>
          <w:highlight w:val="none"/>
          <w:u w:val="single"/>
        </w:rPr>
        <w:t>所提交的货物经</w:t>
      </w:r>
      <w:r>
        <w:rPr>
          <w:rFonts w:hint="eastAsia" w:ascii="宋体" w:hAnsi="宋体" w:eastAsia="宋体" w:cs="宋体"/>
          <w:color w:val="auto"/>
          <w:kern w:val="0"/>
          <w:sz w:val="24"/>
          <w:highlight w:val="none"/>
          <w:u w:val="single"/>
          <w:lang w:val="en-US" w:eastAsia="zh-CN"/>
        </w:rPr>
        <w:t>甲方</w:t>
      </w:r>
      <w:r>
        <w:rPr>
          <w:rFonts w:hint="eastAsia" w:ascii="宋体" w:hAnsi="宋体" w:eastAsia="宋体" w:cs="宋体"/>
          <w:color w:val="auto"/>
          <w:kern w:val="0"/>
          <w:sz w:val="24"/>
          <w:highlight w:val="none"/>
          <w:u w:val="single"/>
        </w:rPr>
        <w:t>书面验收合格后，一次性支付合同款</w:t>
      </w:r>
      <w:r>
        <w:rPr>
          <w:rFonts w:hint="eastAsia" w:ascii="宋体" w:hAnsi="宋体" w:eastAsia="宋体" w:cs="宋体"/>
          <w:color w:val="auto"/>
          <w:kern w:val="0"/>
          <w:sz w:val="24"/>
          <w:highlight w:val="none"/>
          <w:u w:val="single"/>
          <w:lang w:eastAsia="zh-CN"/>
        </w:rPr>
        <w:t>。</w:t>
      </w:r>
    </w:p>
    <w:p w14:paraId="311DFC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107501C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1BD07564">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7252D2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1F276B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承担违约责任，违约金上限按照《合同书》约定执行。</w:t>
      </w:r>
    </w:p>
    <w:p w14:paraId="769D5D5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温馨提示：根据《广西壮族自治区财政厅关于贯彻落实政府采购支持中小企业发展政策的通知》（桂财采〔2022〕31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4169140">
      <w:pPr>
        <w:spacing w:line="360" w:lineRule="auto"/>
        <w:ind w:firstLine="480" w:firstLineChars="200"/>
        <w:rPr>
          <w:rFonts w:hint="eastAsia" w:ascii="宋体" w:hAnsi="宋体" w:eastAsia="宋体" w:cs="宋体"/>
          <w:color w:val="auto"/>
          <w:sz w:val="24"/>
          <w:highlight w:val="none"/>
          <w:lang w:val="zh-CN"/>
        </w:rPr>
      </w:pPr>
    </w:p>
    <w:p w14:paraId="171A5BA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b/>
          <w:color w:val="auto"/>
          <w:sz w:val="24"/>
          <w:highlight w:val="none"/>
        </w:rPr>
        <w:t>标的物的风险负担</w:t>
      </w:r>
    </w:p>
    <w:p w14:paraId="3ECFE8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5057FA5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077F79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3.5.1受不可抗力影响的一方在不可抗力发生后，应在7日内以书面形式通知对方当事人，并在15日内，将有关部门出具的证明文件送达对方当事人。</w:t>
      </w:r>
    </w:p>
    <w:p w14:paraId="25202B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3.5.2因不可抗力致使合同有变更必要的，双方当事人应在15日内以书面形式变更合同；</w:t>
      </w:r>
    </w:p>
    <w:p w14:paraId="5CB9B3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标的物交付前，乙方应对标的物的质量、数量等方面进行详细、全面的检验，并向甲方出具证明标的物符合合同约定的文件；标的物交付时，乙方在25日内发起验收，并可依法邀请相关方参加，验收应出具验收书。</w:t>
      </w:r>
    </w:p>
    <w:p w14:paraId="349CE6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3.5.4检验和验收标准、程序等具体内容以及前述验收书的效力：</w:t>
      </w:r>
    </w:p>
    <w:p w14:paraId="154A3710">
      <w:pPr>
        <w:spacing w:line="360" w:lineRule="auto"/>
        <w:ind w:firstLine="480" w:firstLineChars="200"/>
        <w:rPr>
          <w:rFonts w:hint="eastAsia" w:ascii="宋体" w:hAnsi="宋体" w:eastAsia="宋体" w:cs="宋体"/>
          <w:color w:val="auto"/>
          <w:sz w:val="24"/>
          <w:highlight w:val="none"/>
          <w:u w:val="single"/>
        </w:rPr>
      </w:pPr>
    </w:p>
    <w:p w14:paraId="4A223E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3.5.5 其他：</w:t>
      </w:r>
    </w:p>
    <w:p w14:paraId="1B66E13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3.6项目验收：</w:t>
      </w:r>
    </w:p>
    <w:p w14:paraId="0D64B0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85C11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6B660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5C5C7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3.6.4验收产生的费用：首次验收费用由</w:t>
      </w:r>
      <w:r>
        <w:rPr>
          <w:rFonts w:hint="eastAsia" w:ascii="宋体" w:hAnsi="宋体" w:eastAsia="宋体" w:cs="宋体"/>
          <w:color w:val="auto"/>
          <w:sz w:val="24"/>
          <w:highlight w:val="none"/>
          <w:u w:val="single"/>
        </w:rPr>
        <w:t xml:space="preserve">  甲方    </w:t>
      </w:r>
      <w:r>
        <w:rPr>
          <w:rFonts w:hint="eastAsia" w:ascii="宋体" w:hAnsi="宋体" w:eastAsia="宋体" w:cs="宋体"/>
          <w:color w:val="auto"/>
          <w:sz w:val="24"/>
          <w:highlight w:val="none"/>
        </w:rPr>
        <w:t>承担，如首次验收不合格，后续验收费用由</w:t>
      </w:r>
      <w:r>
        <w:rPr>
          <w:rFonts w:hint="eastAsia" w:ascii="宋体" w:hAnsi="宋体" w:eastAsia="宋体" w:cs="宋体"/>
          <w:color w:val="auto"/>
          <w:sz w:val="24"/>
          <w:highlight w:val="none"/>
          <w:u w:val="single"/>
        </w:rPr>
        <w:t xml:space="preserve">  乙方   </w:t>
      </w:r>
      <w:r>
        <w:rPr>
          <w:rFonts w:hint="eastAsia" w:ascii="宋体" w:hAnsi="宋体" w:eastAsia="宋体" w:cs="宋体"/>
          <w:color w:val="auto"/>
          <w:sz w:val="24"/>
          <w:highlight w:val="none"/>
        </w:rPr>
        <w:t>支付。</w:t>
      </w:r>
    </w:p>
    <w:p w14:paraId="1FB748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3.6.5验收内容及资料要求：</w:t>
      </w:r>
    </w:p>
    <w:p w14:paraId="2C3F41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6FA834C7">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3.6.6验收内容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322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80218A4">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35FFEB0">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66F61B7">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验收标准</w:t>
            </w:r>
          </w:p>
        </w:tc>
      </w:tr>
      <w:tr w14:paraId="15D3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F1E5E3D">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00EA5F4">
            <w:pPr>
              <w:widowControl/>
              <w:spacing w:line="360" w:lineRule="auto"/>
              <w:ind w:firstLine="200"/>
              <w:jc w:val="center"/>
              <w:rPr>
                <w:rFonts w:hint="eastAsia" w:ascii="宋体" w:hAnsi="宋体" w:eastAsia="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D5D879D">
            <w:pPr>
              <w:widowControl/>
              <w:spacing w:line="360" w:lineRule="auto"/>
              <w:ind w:firstLine="200"/>
              <w:jc w:val="center"/>
              <w:rPr>
                <w:rFonts w:hint="eastAsia" w:ascii="宋体" w:hAnsi="宋体" w:eastAsia="宋体" w:cs="宋体"/>
                <w:color w:val="auto"/>
                <w:kern w:val="0"/>
                <w:sz w:val="24"/>
                <w:highlight w:val="none"/>
              </w:rPr>
            </w:pPr>
          </w:p>
        </w:tc>
      </w:tr>
      <w:tr w14:paraId="66C3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7089286">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1D13F2F">
            <w:pPr>
              <w:widowControl/>
              <w:spacing w:line="360" w:lineRule="auto"/>
              <w:ind w:firstLine="200"/>
              <w:jc w:val="center"/>
              <w:rPr>
                <w:rFonts w:hint="eastAsia" w:ascii="宋体" w:hAnsi="宋体" w:eastAsia="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71BFD30">
            <w:pPr>
              <w:widowControl/>
              <w:spacing w:line="360" w:lineRule="auto"/>
              <w:ind w:firstLine="200"/>
              <w:jc w:val="center"/>
              <w:rPr>
                <w:rFonts w:hint="eastAsia" w:ascii="宋体" w:hAnsi="宋体" w:eastAsia="宋体" w:cs="宋体"/>
                <w:color w:val="auto"/>
                <w:kern w:val="0"/>
                <w:sz w:val="24"/>
                <w:highlight w:val="none"/>
              </w:rPr>
            </w:pPr>
          </w:p>
        </w:tc>
      </w:tr>
      <w:tr w14:paraId="5221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B22E37E">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B201030">
            <w:pPr>
              <w:spacing w:line="360" w:lineRule="auto"/>
              <w:ind w:firstLine="200"/>
              <w:jc w:val="center"/>
              <w:rPr>
                <w:rFonts w:hint="eastAsia" w:ascii="宋体" w:hAnsi="宋体" w:eastAsia="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8BAE509">
            <w:pPr>
              <w:pStyle w:val="11"/>
              <w:spacing w:after="0" w:line="360" w:lineRule="auto"/>
              <w:ind w:firstLine="200"/>
              <w:jc w:val="left"/>
              <w:rPr>
                <w:rFonts w:hint="eastAsia" w:ascii="宋体" w:hAnsi="宋体" w:eastAsia="宋体" w:cs="宋体"/>
                <w:color w:val="auto"/>
                <w:highlight w:val="none"/>
              </w:rPr>
            </w:pPr>
          </w:p>
        </w:tc>
      </w:tr>
      <w:tr w14:paraId="7561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457A2FA">
            <w:pPr>
              <w:widowControl/>
              <w:spacing w:line="360" w:lineRule="auto"/>
              <w:ind w:firstLine="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5BADEC4">
            <w:pPr>
              <w:widowControl/>
              <w:spacing w:line="360" w:lineRule="auto"/>
              <w:ind w:firstLine="200"/>
              <w:jc w:val="center"/>
              <w:rPr>
                <w:rFonts w:hint="eastAsia" w:ascii="宋体" w:hAnsi="宋体" w:eastAsia="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7B02778A">
            <w:pPr>
              <w:widowControl/>
              <w:spacing w:line="360" w:lineRule="auto"/>
              <w:ind w:firstLine="200"/>
              <w:jc w:val="center"/>
              <w:rPr>
                <w:rFonts w:hint="eastAsia" w:ascii="宋体" w:hAnsi="宋体" w:eastAsia="宋体" w:cs="宋体"/>
                <w:color w:val="auto"/>
                <w:kern w:val="0"/>
                <w:sz w:val="24"/>
                <w:highlight w:val="none"/>
              </w:rPr>
            </w:pPr>
          </w:p>
        </w:tc>
      </w:tr>
      <w:tr w14:paraId="0435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A0B4CE1">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02A915D">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7A82AE2">
            <w:pPr>
              <w:widowControl/>
              <w:spacing w:line="360" w:lineRule="auto"/>
              <w:ind w:firstLine="200"/>
              <w:jc w:val="left"/>
              <w:rPr>
                <w:rFonts w:hint="eastAsia" w:ascii="宋体" w:hAnsi="宋体" w:eastAsia="宋体" w:cs="宋体"/>
                <w:color w:val="auto"/>
                <w:kern w:val="0"/>
                <w:sz w:val="24"/>
                <w:highlight w:val="none"/>
              </w:rPr>
            </w:pPr>
          </w:p>
        </w:tc>
      </w:tr>
    </w:tbl>
    <w:p w14:paraId="5B28BFFD">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温馨提示：根据《广西壮族自治区财政厅关于贯彻落实政府采购支持中小企业发展政策的通知》（桂财采〔2022〕31号），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24323F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3.6.7验收资料要求</w:t>
      </w:r>
    </w:p>
    <w:p w14:paraId="737EF1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2BBA41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001A60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w:t>
      </w:r>
    </w:p>
    <w:p w14:paraId="7328A3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4BEFA4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（4）其他需提供的相关材料：（由业主根据实际情况填写）。</w:t>
      </w:r>
    </w:p>
    <w:p w14:paraId="42158A3F">
      <w:pPr>
        <w:spacing w:line="360" w:lineRule="auto"/>
        <w:ind w:firstLine="420" w:firstLineChars="200"/>
        <w:rPr>
          <w:rFonts w:hint="eastAsia" w:ascii="宋体" w:hAnsi="宋体" w:eastAsia="宋体" w:cs="宋体"/>
          <w:color w:val="auto"/>
          <w:szCs w:val="21"/>
          <w:highlight w:val="none"/>
        </w:rPr>
      </w:pPr>
    </w:p>
    <w:p w14:paraId="4F0F5C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2D7D239">
      <w:pPr>
        <w:widowControl/>
        <w:ind w:firstLine="720" w:firstLineChars="300"/>
        <w:jc w:val="left"/>
        <w:rPr>
          <w:rFonts w:hint="eastAsia" w:ascii="宋体" w:hAnsi="宋体" w:eastAsia="宋体" w:cs="宋体"/>
          <w:bCs/>
          <w:color w:val="auto"/>
          <w:sz w:val="24"/>
          <w:highlight w:val="none"/>
        </w:rPr>
      </w:pPr>
    </w:p>
    <w:p w14:paraId="08126C0F">
      <w:pPr>
        <w:tabs>
          <w:tab w:val="left" w:pos="7380"/>
        </w:tabs>
        <w:spacing w:line="360" w:lineRule="auto"/>
        <w:jc w:val="center"/>
        <w:rPr>
          <w:rFonts w:hint="eastAsia" w:ascii="宋体" w:hAnsi="宋体" w:eastAsia="宋体" w:cs="宋体"/>
          <w:b/>
          <w:color w:val="auto"/>
          <w:sz w:val="44"/>
          <w:szCs w:val="44"/>
          <w:highlight w:val="none"/>
        </w:rPr>
      </w:pPr>
    </w:p>
    <w:p w14:paraId="0C1924EB">
      <w:pPr>
        <w:tabs>
          <w:tab w:val="left" w:pos="7380"/>
        </w:tabs>
        <w:spacing w:line="360" w:lineRule="auto"/>
        <w:jc w:val="center"/>
        <w:rPr>
          <w:rFonts w:hint="eastAsia" w:ascii="宋体" w:hAnsi="宋体" w:eastAsia="宋体" w:cs="宋体"/>
          <w:b/>
          <w:color w:val="auto"/>
          <w:sz w:val="44"/>
          <w:szCs w:val="44"/>
          <w:highlight w:val="none"/>
        </w:rPr>
      </w:pPr>
    </w:p>
    <w:p w14:paraId="6B1ED49E">
      <w:pPr>
        <w:tabs>
          <w:tab w:val="left" w:pos="7380"/>
        </w:tabs>
        <w:spacing w:line="360" w:lineRule="auto"/>
        <w:jc w:val="center"/>
        <w:rPr>
          <w:rFonts w:hint="eastAsia" w:ascii="宋体" w:hAnsi="宋体" w:eastAsia="宋体" w:cs="宋体"/>
          <w:b/>
          <w:color w:val="auto"/>
          <w:sz w:val="44"/>
          <w:szCs w:val="44"/>
          <w:highlight w:val="none"/>
        </w:rPr>
      </w:pPr>
    </w:p>
    <w:p w14:paraId="2F7C8BBB">
      <w:pPr>
        <w:tabs>
          <w:tab w:val="left" w:pos="3261"/>
        </w:tabs>
        <w:spacing w:line="360" w:lineRule="auto"/>
        <w:jc w:val="center"/>
        <w:rPr>
          <w:rFonts w:hint="eastAsia" w:ascii="宋体" w:hAnsi="宋体" w:eastAsia="宋体" w:cs="宋体"/>
          <w:b/>
          <w:color w:val="auto"/>
          <w:sz w:val="44"/>
          <w:szCs w:val="44"/>
          <w:highlight w:val="none"/>
        </w:rPr>
      </w:pPr>
    </w:p>
    <w:p w14:paraId="2003F6FB">
      <w:pPr>
        <w:tabs>
          <w:tab w:val="left" w:pos="3261"/>
        </w:tabs>
        <w:spacing w:line="360" w:lineRule="auto"/>
        <w:jc w:val="center"/>
        <w:rPr>
          <w:rFonts w:hint="eastAsia" w:ascii="宋体" w:hAnsi="宋体" w:eastAsia="宋体" w:cs="宋体"/>
          <w:b/>
          <w:color w:val="auto"/>
          <w:sz w:val="44"/>
          <w:szCs w:val="44"/>
          <w:highlight w:val="none"/>
        </w:rPr>
      </w:pPr>
    </w:p>
    <w:p w14:paraId="69EDE45B">
      <w:pPr>
        <w:tabs>
          <w:tab w:val="left" w:pos="3261"/>
        </w:tabs>
        <w:spacing w:line="360" w:lineRule="auto"/>
        <w:jc w:val="center"/>
        <w:rPr>
          <w:rFonts w:hint="eastAsia" w:ascii="宋体" w:hAnsi="宋体" w:eastAsia="宋体" w:cs="宋体"/>
          <w:b/>
          <w:color w:val="auto"/>
          <w:sz w:val="44"/>
          <w:szCs w:val="44"/>
          <w:highlight w:val="none"/>
        </w:rPr>
      </w:pPr>
    </w:p>
    <w:p w14:paraId="1943174F">
      <w:pPr>
        <w:jc w:val="center"/>
        <w:rPr>
          <w:rFonts w:hint="eastAsia" w:ascii="宋体" w:hAnsi="宋体" w:eastAsia="宋体" w:cs="宋体"/>
          <w:b/>
          <w:color w:val="auto"/>
          <w:highlight w:val="none"/>
        </w:rPr>
      </w:pPr>
    </w:p>
    <w:p w14:paraId="67622B41">
      <w:pPr>
        <w:jc w:val="center"/>
        <w:rPr>
          <w:rFonts w:hint="eastAsia" w:ascii="宋体" w:hAnsi="宋体" w:eastAsia="宋体" w:cs="宋体"/>
          <w:b/>
          <w:color w:val="auto"/>
          <w:highlight w:val="none"/>
        </w:rPr>
      </w:pPr>
    </w:p>
    <w:p w14:paraId="038766E1">
      <w:pPr>
        <w:pStyle w:val="2"/>
        <w:jc w:val="center"/>
        <w:rPr>
          <w:rFonts w:hint="eastAsia" w:ascii="宋体" w:hAnsi="宋体" w:eastAsia="宋体" w:cs="宋体"/>
          <w:color w:val="auto"/>
          <w:highlight w:val="none"/>
        </w:rPr>
      </w:pPr>
      <w:bookmarkStart w:id="279" w:name="_Toc11760"/>
      <w:bookmarkStart w:id="280" w:name="_Toc16607"/>
      <w:r>
        <w:rPr>
          <w:rFonts w:hint="eastAsia" w:ascii="宋体" w:hAnsi="宋体" w:eastAsia="宋体" w:cs="宋体"/>
          <w:b w:val="0"/>
          <w:color w:val="auto"/>
          <w:highlight w:val="none"/>
        </w:rPr>
        <w:t>第七章 质疑、投诉材料格式</w:t>
      </w:r>
      <w:bookmarkEnd w:id="279"/>
      <w:bookmarkEnd w:id="280"/>
    </w:p>
    <w:p w14:paraId="58DD4E58">
      <w:pPr>
        <w:widowControl/>
        <w:spacing w:line="576" w:lineRule="auto"/>
        <w:jc w:val="left"/>
        <w:rPr>
          <w:rFonts w:hint="eastAsia" w:ascii="宋体" w:hAnsi="宋体" w:eastAsia="宋体" w:cs="宋体"/>
          <w:b/>
          <w:bCs/>
          <w:color w:val="auto"/>
          <w:kern w:val="44"/>
          <w:sz w:val="44"/>
          <w:szCs w:val="44"/>
          <w:highlight w:val="none"/>
        </w:rPr>
        <w:sectPr>
          <w:pgSz w:w="11911" w:h="16838"/>
          <w:pgMar w:top="1417" w:right="1417" w:bottom="1417" w:left="1417" w:header="720" w:footer="720" w:gutter="0"/>
          <w:paperSrc/>
          <w:pgNumType w:fmt="decimal"/>
          <w:cols w:space="720" w:num="1"/>
          <w:rtlGutter w:val="0"/>
          <w:docGrid w:linePitch="0" w:charSpace="0"/>
        </w:sectPr>
      </w:pPr>
    </w:p>
    <w:p w14:paraId="7AC3D11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1C2C9EBC">
      <w:pPr>
        <w:pStyle w:val="15"/>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D390E25">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061F75">
      <w:pPr>
        <w:pStyle w:val="15"/>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88F4AAE">
      <w:pPr>
        <w:pStyle w:val="15"/>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0D7FE7A">
      <w:pPr>
        <w:pStyle w:val="15"/>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37BF582F">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E5DB849">
      <w:pPr>
        <w:pStyle w:val="15"/>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1B72EBC">
      <w:pPr>
        <w:pStyle w:val="15"/>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0835A08E">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eastAsia="zh-CN"/>
        </w:rPr>
        <w:t>南宁职业技术大学行人通道改造设备项目（重）</w:t>
      </w:r>
      <w:r>
        <w:rPr>
          <w:rFonts w:hint="eastAsia" w:ascii="宋体" w:hAnsi="宋体" w:eastAsia="宋体" w:cs="宋体"/>
          <w:bCs/>
          <w:color w:val="auto"/>
          <w:sz w:val="24"/>
          <w:szCs w:val="24"/>
          <w:highlight w:val="none"/>
          <w:u w:val="single"/>
        </w:rPr>
        <w:t xml:space="preserve"> </w:t>
      </w:r>
    </w:p>
    <w:p w14:paraId="24EF9B4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eastAsia="zh-CN"/>
        </w:rPr>
        <w:t>NNZC2025-J1-990717-JDZB</w:t>
      </w:r>
      <w:r>
        <w:rPr>
          <w:rFonts w:hint="eastAsia" w:ascii="宋体" w:hAnsi="宋体" w:eastAsia="宋体" w:cs="宋体"/>
          <w:bCs/>
          <w:color w:val="auto"/>
          <w:sz w:val="24"/>
          <w:szCs w:val="24"/>
          <w:highlight w:val="none"/>
          <w:u w:val="single"/>
        </w:rPr>
        <w:t xml:space="preserve"> </w:t>
      </w:r>
    </w:p>
    <w:p w14:paraId="13759FAB">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hAnsi="宋体" w:eastAsia="宋体" w:cs="宋体"/>
          <w:bCs/>
          <w:color w:val="auto"/>
          <w:sz w:val="24"/>
          <w:szCs w:val="24"/>
          <w:highlight w:val="none"/>
          <w:u w:val="single"/>
          <w:lang w:eastAsia="zh-CN"/>
        </w:rPr>
        <w:t>南宁职业技术大学</w:t>
      </w:r>
      <w:r>
        <w:rPr>
          <w:rFonts w:hint="eastAsia" w:ascii="宋体" w:hAnsi="宋体" w:eastAsia="宋体" w:cs="宋体"/>
          <w:bCs/>
          <w:color w:val="auto"/>
          <w:sz w:val="24"/>
          <w:szCs w:val="24"/>
          <w:highlight w:val="none"/>
          <w:u w:val="single"/>
        </w:rPr>
        <w:t xml:space="preserve"> </w:t>
      </w:r>
    </w:p>
    <w:p w14:paraId="458D2D8C">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60674BCE">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5E538F1F">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0C7F933F">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0C03CCB6">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1E6D4B4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F995921">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2A099C0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5AC8FB17">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7F1EFD9">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C0F46DE">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1555120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FCEE107">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35B2D90C">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22D6CED">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3DDBF0A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7C0E76E">
      <w:pPr>
        <w:pStyle w:val="15"/>
        <w:spacing w:line="360" w:lineRule="auto"/>
        <w:ind w:firstLine="482"/>
        <w:rPr>
          <w:rFonts w:hint="eastAsia" w:ascii="宋体" w:hAnsi="宋体" w:eastAsia="宋体" w:cs="宋体"/>
          <w:b/>
          <w:color w:val="auto"/>
          <w:sz w:val="24"/>
          <w:szCs w:val="24"/>
          <w:highlight w:val="none"/>
        </w:rPr>
      </w:pPr>
    </w:p>
    <w:p w14:paraId="59954D24">
      <w:pPr>
        <w:pStyle w:val="15"/>
        <w:spacing w:line="360" w:lineRule="auto"/>
        <w:ind w:firstLine="482"/>
        <w:rPr>
          <w:rFonts w:hint="eastAsia" w:ascii="宋体" w:hAnsi="宋体" w:eastAsia="宋体" w:cs="宋体"/>
          <w:b/>
          <w:color w:val="auto"/>
          <w:sz w:val="24"/>
          <w:szCs w:val="24"/>
          <w:highlight w:val="none"/>
        </w:rPr>
      </w:pPr>
    </w:p>
    <w:p w14:paraId="4473916E">
      <w:pPr>
        <w:pStyle w:val="15"/>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62EB6A0">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B042B1E">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46A744">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6EFB8A4F">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29860F7D">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0C522137">
      <w:pPr>
        <w:pStyle w:val="15"/>
        <w:snapToGrid w:val="0"/>
        <w:ind w:firstLine="482"/>
        <w:rPr>
          <w:rFonts w:hint="eastAsia" w:ascii="宋体" w:hAnsi="宋体" w:eastAsia="宋体" w:cs="宋体"/>
          <w:b/>
          <w:color w:val="auto"/>
          <w:sz w:val="24"/>
          <w:szCs w:val="24"/>
          <w:highlight w:val="none"/>
        </w:rPr>
      </w:pPr>
    </w:p>
    <w:p w14:paraId="10AC8784">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505C7C6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621A2C66">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73873D1C">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43AC7A4">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57D5EF6">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44BF76B5">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046362D">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3F597A1">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BA3E1F0">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9B777CE">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3237BBD6">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0FEF546">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B20E27D">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F3BAC93">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243AD977">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48D110B">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82FF1A2">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F1BCA36">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12BA635">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FDBBFF7">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eastAsia="zh-CN"/>
        </w:rPr>
        <w:t>南宁职业技术大学行人通道改造设备项目（重）</w:t>
      </w:r>
      <w:r>
        <w:rPr>
          <w:rFonts w:hint="eastAsia" w:ascii="宋体" w:hAnsi="宋体" w:eastAsia="宋体" w:cs="宋体"/>
          <w:bCs/>
          <w:color w:val="auto"/>
          <w:sz w:val="24"/>
          <w:szCs w:val="24"/>
          <w:highlight w:val="none"/>
          <w:u w:val="single"/>
        </w:rPr>
        <w:t xml:space="preserve"> </w:t>
      </w:r>
    </w:p>
    <w:p w14:paraId="63072521">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hAnsi="宋体" w:eastAsia="宋体" w:cs="宋体"/>
          <w:bCs/>
          <w:color w:val="auto"/>
          <w:sz w:val="24"/>
          <w:szCs w:val="24"/>
          <w:highlight w:val="none"/>
          <w:u w:val="single"/>
          <w:lang w:eastAsia="zh-CN"/>
        </w:rPr>
        <w:t>NNZC2025-J1-990717-JDZB</w:t>
      </w:r>
      <w:r>
        <w:rPr>
          <w:rFonts w:hint="eastAsia" w:ascii="宋体" w:hAnsi="宋体" w:eastAsia="宋体" w:cs="宋体"/>
          <w:bCs/>
          <w:color w:val="auto"/>
          <w:sz w:val="24"/>
          <w:szCs w:val="24"/>
          <w:highlight w:val="none"/>
          <w:u w:val="single"/>
        </w:rPr>
        <w:t xml:space="preserve"> </w:t>
      </w:r>
    </w:p>
    <w:p w14:paraId="45B2B4AD">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eastAsia="zh-CN"/>
        </w:rPr>
        <w:t>南宁职业技术大学</w:t>
      </w:r>
      <w:r>
        <w:rPr>
          <w:rFonts w:hint="eastAsia" w:ascii="宋体" w:hAnsi="宋体" w:eastAsia="宋体" w:cs="宋体"/>
          <w:bCs/>
          <w:color w:val="auto"/>
          <w:sz w:val="24"/>
          <w:szCs w:val="24"/>
          <w:highlight w:val="none"/>
          <w:u w:val="single"/>
        </w:rPr>
        <w:t xml:space="preserve">    </w:t>
      </w:r>
    </w:p>
    <w:p w14:paraId="34B2A38A">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eastAsia="zh-CN"/>
        </w:rPr>
        <w:t>广西机电设备招标有限公司</w:t>
      </w:r>
      <w:r>
        <w:rPr>
          <w:rFonts w:hint="eastAsia" w:ascii="宋体" w:hAnsi="宋体" w:eastAsia="宋体" w:cs="宋体"/>
          <w:bCs/>
          <w:color w:val="auto"/>
          <w:sz w:val="24"/>
          <w:szCs w:val="24"/>
          <w:highlight w:val="none"/>
          <w:u w:val="single"/>
        </w:rPr>
        <w:t xml:space="preserve"> </w:t>
      </w:r>
    </w:p>
    <w:p w14:paraId="76FC6F23">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竞争性谈判公告：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7803EEB">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1FEF381">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4ADA836E">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0514DD52">
      <w:pPr>
        <w:pStyle w:val="15"/>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40ECA8E">
      <w:pPr>
        <w:pStyle w:val="15"/>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E63CF23">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543CB26F">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07B6686">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586B72B9">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1D782F0">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535DA4F7">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3116DBB">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7403287">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0AFC97B">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9B3027F">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3DB5DCC">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ABDFF50">
      <w:pPr>
        <w:pStyle w:val="15"/>
        <w:spacing w:line="360" w:lineRule="auto"/>
        <w:ind w:left="25" w:leftChars="12" w:firstLine="352" w:firstLineChars="147"/>
        <w:rPr>
          <w:rFonts w:hint="eastAsia" w:ascii="宋体" w:hAnsi="宋体" w:eastAsia="宋体" w:cs="宋体"/>
          <w:color w:val="auto"/>
          <w:sz w:val="24"/>
          <w:szCs w:val="24"/>
          <w:highlight w:val="none"/>
        </w:rPr>
      </w:pPr>
    </w:p>
    <w:p w14:paraId="0E15B8E2">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5297C7DA">
      <w:pPr>
        <w:pStyle w:val="15"/>
        <w:spacing w:line="360" w:lineRule="auto"/>
        <w:ind w:left="25" w:leftChars="12" w:firstLine="352" w:firstLineChars="147"/>
        <w:rPr>
          <w:rFonts w:hint="eastAsia" w:ascii="宋体" w:hAnsi="宋体" w:eastAsia="宋体" w:cs="宋体"/>
          <w:color w:val="auto"/>
          <w:sz w:val="24"/>
          <w:szCs w:val="24"/>
          <w:highlight w:val="none"/>
        </w:rPr>
      </w:pPr>
    </w:p>
    <w:p w14:paraId="7A11CC00">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C967AD0">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3FC61892">
      <w:pPr>
        <w:pStyle w:val="15"/>
        <w:snapToGrid w:val="0"/>
        <w:spacing w:line="360" w:lineRule="auto"/>
        <w:ind w:firstLine="482"/>
        <w:rPr>
          <w:rFonts w:hint="eastAsia" w:ascii="宋体" w:hAnsi="宋体" w:eastAsia="宋体" w:cs="宋体"/>
          <w:b/>
          <w:color w:val="auto"/>
          <w:sz w:val="24"/>
          <w:szCs w:val="24"/>
          <w:highlight w:val="none"/>
        </w:rPr>
      </w:pPr>
    </w:p>
    <w:p w14:paraId="44EA918A">
      <w:pPr>
        <w:pStyle w:val="15"/>
        <w:snapToGrid w:val="0"/>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C771A5E">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3AB3B319">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6758E82">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9CACA5F">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7515518">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26304AE">
      <w:pPr>
        <w:pStyle w:val="15"/>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sectPr>
      <w:footerReference r:id="rId9" w:type="first"/>
      <w:headerReference r:id="rId7" w:type="default"/>
      <w:footerReference r:id="rId8" w:type="default"/>
      <w:pgSz w:w="11911" w:h="16838"/>
      <w:pgMar w:top="1417" w:right="1417" w:bottom="1417" w:left="1417" w:header="720" w:footer="720" w:gutter="0"/>
      <w:paperSrc/>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CD19">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F0BA67">
                          <w:pPr>
                            <w:pStyle w:val="1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14:paraId="24F0BA67">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B950">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B1071E">
                          <w:pPr>
                            <w:pStyle w:val="17"/>
                          </w:pPr>
                          <w:r>
                            <w:fldChar w:fldCharType="begin"/>
                          </w:r>
                          <w:r>
                            <w:instrText xml:space="preserve"> PAGE  \* MERGEFORMAT </w:instrText>
                          </w:r>
                          <w:r>
                            <w:fldChar w:fldCharType="separate"/>
                          </w:r>
                          <w:r>
                            <w:t>107</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14:paraId="15B1071E">
                    <w:pPr>
                      <w:pStyle w:val="17"/>
                    </w:pPr>
                    <w:r>
                      <w:fldChar w:fldCharType="begin"/>
                    </w:r>
                    <w:r>
                      <w:instrText xml:space="preserve"> PAGE  \* MERGEFORMAT </w:instrText>
                    </w:r>
                    <w:r>
                      <w:fldChar w:fldCharType="separate"/>
                    </w:r>
                    <w:r>
                      <w:t>107</w:t>
                    </w:r>
                    <w:r>
                      <w:fldChar w:fldCharType="end"/>
                    </w:r>
                  </w:p>
                </w:txbxContent>
              </v:textbox>
            </v:shape>
          </w:pict>
        </mc:Fallback>
      </mc:AlternateContent>
    </w:r>
  </w:p>
  <w:p w14:paraId="43BA8B2F">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CBB36">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AF9164">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5AF9164">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18D7">
    <w:pPr>
      <w:pStyle w:val="18"/>
      <w:tabs>
        <w:tab w:val="center" w:pos="0"/>
        <w:tab w:val="clear" w:pos="4153"/>
      </w:tabs>
    </w:pPr>
    <w:r>
      <w:rPr>
        <w:rFonts w:hint="eastAsia"/>
      </w:rPr>
      <w:t>南宁市政府采购竞争性谈判采购文件（项目编号</w:t>
    </w:r>
    <w:r>
      <w:rPr>
        <w:rFonts w:hint="eastAsia"/>
        <w:color w:val="auto"/>
      </w:rPr>
      <w:t>：</w:t>
    </w:r>
    <w:r>
      <w:rPr>
        <w:rFonts w:hint="eastAsia"/>
        <w:color w:val="auto"/>
        <w:lang w:eastAsia="zh-CN"/>
      </w:rPr>
      <w:t>NNZC2025-J1-990717-JDZB</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2E90">
    <w:pPr>
      <w:pStyle w:val="18"/>
      <w:tabs>
        <w:tab w:val="center" w:pos="0"/>
        <w:tab w:val="clear" w:pos="4153"/>
      </w:tabs>
    </w:pPr>
    <w:r>
      <w:rPr>
        <w:rFonts w:hint="eastAsia"/>
      </w:rPr>
      <w:t>南宁市政府采购竞争性谈判采购文件（项目编号：</w:t>
    </w:r>
    <w:r>
      <w:rPr>
        <w:rFonts w:hint="eastAsia"/>
        <w:color w:val="0000FF"/>
        <w:lang w:eastAsia="zh-CN"/>
      </w:rPr>
      <w:t>NNZC2025-J1-990717-JDZB</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F46D1"/>
    <w:multiLevelType w:val="singleLevel"/>
    <w:tmpl w:val="991F46D1"/>
    <w:lvl w:ilvl="0" w:tentative="0">
      <w:start w:val="1"/>
      <w:numFmt w:val="decimal"/>
      <w:pStyle w:val="7"/>
      <w:lvlText w:val="%1."/>
      <w:lvlJc w:val="left"/>
      <w:pPr>
        <w:tabs>
          <w:tab w:val="left" w:pos="360"/>
        </w:tabs>
        <w:ind w:left="360" w:hanging="360"/>
      </w:pPr>
    </w:lvl>
  </w:abstractNum>
  <w:abstractNum w:abstractNumId="1">
    <w:nsid w:val="C0164026"/>
    <w:multiLevelType w:val="singleLevel"/>
    <w:tmpl w:val="C0164026"/>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8D4E677"/>
    <w:multiLevelType w:val="singleLevel"/>
    <w:tmpl w:val="38D4E677"/>
    <w:lvl w:ilvl="0" w:tentative="0">
      <w:start w:val="3"/>
      <w:numFmt w:val="decimal"/>
      <w:suff w:val="nothing"/>
      <w:lvlText w:val="%1、"/>
      <w:lvlJc w:val="left"/>
    </w:lvl>
  </w:abstractNum>
  <w:num w:numId="1">
    <w:abstractNumId w:val="0"/>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MjUxMzM3ZGE0MjQyMTcyMTczYTMyODYwOWRkNWMifQ=="/>
  </w:docVars>
  <w:rsids>
    <w:rsidRoot w:val="0037374A"/>
    <w:rsid w:val="000B5F74"/>
    <w:rsid w:val="001B05A0"/>
    <w:rsid w:val="003259C3"/>
    <w:rsid w:val="0037374A"/>
    <w:rsid w:val="004277C9"/>
    <w:rsid w:val="00794FA6"/>
    <w:rsid w:val="007D6B3C"/>
    <w:rsid w:val="00CB1316"/>
    <w:rsid w:val="00D0323F"/>
    <w:rsid w:val="00F34A2B"/>
    <w:rsid w:val="012F3F7C"/>
    <w:rsid w:val="01730D1B"/>
    <w:rsid w:val="01800F4B"/>
    <w:rsid w:val="01D50B94"/>
    <w:rsid w:val="02B03595"/>
    <w:rsid w:val="02E81C42"/>
    <w:rsid w:val="03263382"/>
    <w:rsid w:val="033B1311"/>
    <w:rsid w:val="03442B7C"/>
    <w:rsid w:val="037D4797"/>
    <w:rsid w:val="03817D27"/>
    <w:rsid w:val="03FD03E9"/>
    <w:rsid w:val="04073203"/>
    <w:rsid w:val="04801618"/>
    <w:rsid w:val="04B40EFA"/>
    <w:rsid w:val="04C9670A"/>
    <w:rsid w:val="04DD66B9"/>
    <w:rsid w:val="05461B09"/>
    <w:rsid w:val="05595A7A"/>
    <w:rsid w:val="05DC7433"/>
    <w:rsid w:val="05F9301F"/>
    <w:rsid w:val="06547AB7"/>
    <w:rsid w:val="0661793E"/>
    <w:rsid w:val="06AA48E3"/>
    <w:rsid w:val="06B529D1"/>
    <w:rsid w:val="06F96E66"/>
    <w:rsid w:val="07176E83"/>
    <w:rsid w:val="07195649"/>
    <w:rsid w:val="07F6072D"/>
    <w:rsid w:val="08575657"/>
    <w:rsid w:val="09B0378E"/>
    <w:rsid w:val="0A233F92"/>
    <w:rsid w:val="0A6429F3"/>
    <w:rsid w:val="0A7000B5"/>
    <w:rsid w:val="0A7B4D26"/>
    <w:rsid w:val="0ABF65E6"/>
    <w:rsid w:val="0B22093E"/>
    <w:rsid w:val="0B315B40"/>
    <w:rsid w:val="0B6A490A"/>
    <w:rsid w:val="0BA34BFC"/>
    <w:rsid w:val="0BA7126B"/>
    <w:rsid w:val="0BD25EA5"/>
    <w:rsid w:val="0C6041B8"/>
    <w:rsid w:val="0C653B1F"/>
    <w:rsid w:val="0D370FDB"/>
    <w:rsid w:val="0DD6082F"/>
    <w:rsid w:val="0F3017DB"/>
    <w:rsid w:val="0FA81CBF"/>
    <w:rsid w:val="0FC379A3"/>
    <w:rsid w:val="109104C6"/>
    <w:rsid w:val="109D361D"/>
    <w:rsid w:val="11590949"/>
    <w:rsid w:val="116C6D9B"/>
    <w:rsid w:val="11973C82"/>
    <w:rsid w:val="11FC1F61"/>
    <w:rsid w:val="123F625E"/>
    <w:rsid w:val="1268167F"/>
    <w:rsid w:val="128673BA"/>
    <w:rsid w:val="12FC7CAB"/>
    <w:rsid w:val="132E42BA"/>
    <w:rsid w:val="13605B68"/>
    <w:rsid w:val="13A04ADA"/>
    <w:rsid w:val="13BF627E"/>
    <w:rsid w:val="13FF5844"/>
    <w:rsid w:val="14636234"/>
    <w:rsid w:val="14665D24"/>
    <w:rsid w:val="14DC1B42"/>
    <w:rsid w:val="15637002"/>
    <w:rsid w:val="15AA6F86"/>
    <w:rsid w:val="15FC6940"/>
    <w:rsid w:val="16155F42"/>
    <w:rsid w:val="163A5BAC"/>
    <w:rsid w:val="164D4F3D"/>
    <w:rsid w:val="16E256DA"/>
    <w:rsid w:val="17183708"/>
    <w:rsid w:val="175A501D"/>
    <w:rsid w:val="180325E8"/>
    <w:rsid w:val="186B609E"/>
    <w:rsid w:val="19022EE1"/>
    <w:rsid w:val="19A5471C"/>
    <w:rsid w:val="1A0D59C1"/>
    <w:rsid w:val="1A424B3D"/>
    <w:rsid w:val="1A48113D"/>
    <w:rsid w:val="1A5370E6"/>
    <w:rsid w:val="1A641EB7"/>
    <w:rsid w:val="1A9D6217"/>
    <w:rsid w:val="1AB53561"/>
    <w:rsid w:val="1ACA7A55"/>
    <w:rsid w:val="1B520DB0"/>
    <w:rsid w:val="1B97528B"/>
    <w:rsid w:val="1C2F4C4D"/>
    <w:rsid w:val="1C676ADD"/>
    <w:rsid w:val="1CD933BB"/>
    <w:rsid w:val="1CDE1C3B"/>
    <w:rsid w:val="1CEB374F"/>
    <w:rsid w:val="1D072CE5"/>
    <w:rsid w:val="1D331864"/>
    <w:rsid w:val="1D373E6B"/>
    <w:rsid w:val="1D391F02"/>
    <w:rsid w:val="1D602918"/>
    <w:rsid w:val="1DF45468"/>
    <w:rsid w:val="1E49317B"/>
    <w:rsid w:val="1E7E295D"/>
    <w:rsid w:val="1EE5621B"/>
    <w:rsid w:val="1EE61F3B"/>
    <w:rsid w:val="1EFD0D27"/>
    <w:rsid w:val="1F184A11"/>
    <w:rsid w:val="1F7A2683"/>
    <w:rsid w:val="1FBB057A"/>
    <w:rsid w:val="1FC93A32"/>
    <w:rsid w:val="1FDB3D03"/>
    <w:rsid w:val="20F16975"/>
    <w:rsid w:val="21631B76"/>
    <w:rsid w:val="222D5640"/>
    <w:rsid w:val="222D7EB6"/>
    <w:rsid w:val="22F831BE"/>
    <w:rsid w:val="233103D0"/>
    <w:rsid w:val="235A02F4"/>
    <w:rsid w:val="23645AE3"/>
    <w:rsid w:val="23A23277"/>
    <w:rsid w:val="24432236"/>
    <w:rsid w:val="25184E18"/>
    <w:rsid w:val="2552668A"/>
    <w:rsid w:val="25565941"/>
    <w:rsid w:val="257162D7"/>
    <w:rsid w:val="25A53F39"/>
    <w:rsid w:val="25B8279E"/>
    <w:rsid w:val="25D0124F"/>
    <w:rsid w:val="2611110C"/>
    <w:rsid w:val="261558F7"/>
    <w:rsid w:val="264C788C"/>
    <w:rsid w:val="265A042A"/>
    <w:rsid w:val="269B5B79"/>
    <w:rsid w:val="271479D4"/>
    <w:rsid w:val="276B7AC0"/>
    <w:rsid w:val="27957D1B"/>
    <w:rsid w:val="27D90A20"/>
    <w:rsid w:val="281D44F4"/>
    <w:rsid w:val="283A2CE2"/>
    <w:rsid w:val="29632BE6"/>
    <w:rsid w:val="29FB303B"/>
    <w:rsid w:val="2A040CD2"/>
    <w:rsid w:val="2A135BAE"/>
    <w:rsid w:val="2A564317"/>
    <w:rsid w:val="2A7A2F89"/>
    <w:rsid w:val="2A7D4089"/>
    <w:rsid w:val="2A816D38"/>
    <w:rsid w:val="2B16710A"/>
    <w:rsid w:val="2B7C3697"/>
    <w:rsid w:val="2BBE1097"/>
    <w:rsid w:val="2BDB094E"/>
    <w:rsid w:val="2BF51A0F"/>
    <w:rsid w:val="2C5758B6"/>
    <w:rsid w:val="2CB35BA8"/>
    <w:rsid w:val="2CE97714"/>
    <w:rsid w:val="2D3C7B87"/>
    <w:rsid w:val="2D824173"/>
    <w:rsid w:val="2DE570CA"/>
    <w:rsid w:val="2E012B6D"/>
    <w:rsid w:val="2E0F3570"/>
    <w:rsid w:val="2EDB0E93"/>
    <w:rsid w:val="2F396996"/>
    <w:rsid w:val="300F68E2"/>
    <w:rsid w:val="30817447"/>
    <w:rsid w:val="30C41EF0"/>
    <w:rsid w:val="30C61BCC"/>
    <w:rsid w:val="313C636C"/>
    <w:rsid w:val="315E0057"/>
    <w:rsid w:val="316A0244"/>
    <w:rsid w:val="3223421A"/>
    <w:rsid w:val="3237295B"/>
    <w:rsid w:val="329E61A8"/>
    <w:rsid w:val="331D001F"/>
    <w:rsid w:val="332364E3"/>
    <w:rsid w:val="34264F71"/>
    <w:rsid w:val="34457B40"/>
    <w:rsid w:val="34534933"/>
    <w:rsid w:val="352549E8"/>
    <w:rsid w:val="353C4281"/>
    <w:rsid w:val="359F281F"/>
    <w:rsid w:val="35BE30C0"/>
    <w:rsid w:val="35D51107"/>
    <w:rsid w:val="3626266A"/>
    <w:rsid w:val="37154FE1"/>
    <w:rsid w:val="3740493B"/>
    <w:rsid w:val="37770239"/>
    <w:rsid w:val="37816F9F"/>
    <w:rsid w:val="38294521"/>
    <w:rsid w:val="38936DF2"/>
    <w:rsid w:val="389771E3"/>
    <w:rsid w:val="38D904FA"/>
    <w:rsid w:val="39567680"/>
    <w:rsid w:val="39CB505E"/>
    <w:rsid w:val="3A0D682B"/>
    <w:rsid w:val="3B0A4DAB"/>
    <w:rsid w:val="3B181DC5"/>
    <w:rsid w:val="3B947197"/>
    <w:rsid w:val="3C91008F"/>
    <w:rsid w:val="3D112887"/>
    <w:rsid w:val="3D516792"/>
    <w:rsid w:val="3D7B3D3F"/>
    <w:rsid w:val="3DAB73A3"/>
    <w:rsid w:val="3DD005CB"/>
    <w:rsid w:val="3EAA734D"/>
    <w:rsid w:val="3F0F4AC3"/>
    <w:rsid w:val="3FE119D3"/>
    <w:rsid w:val="3FE759AF"/>
    <w:rsid w:val="4003476C"/>
    <w:rsid w:val="40064826"/>
    <w:rsid w:val="40161AFD"/>
    <w:rsid w:val="401F00BC"/>
    <w:rsid w:val="40B826A8"/>
    <w:rsid w:val="411C5370"/>
    <w:rsid w:val="414508EB"/>
    <w:rsid w:val="41894963"/>
    <w:rsid w:val="41CC3465"/>
    <w:rsid w:val="423211CE"/>
    <w:rsid w:val="42733236"/>
    <w:rsid w:val="43646B8B"/>
    <w:rsid w:val="43734749"/>
    <w:rsid w:val="43B65DA1"/>
    <w:rsid w:val="43D10022"/>
    <w:rsid w:val="43F24F37"/>
    <w:rsid w:val="443A5E4C"/>
    <w:rsid w:val="44464BF5"/>
    <w:rsid w:val="44981418"/>
    <w:rsid w:val="44FB5DB5"/>
    <w:rsid w:val="45E078F0"/>
    <w:rsid w:val="46665FC3"/>
    <w:rsid w:val="475121B4"/>
    <w:rsid w:val="47942B2B"/>
    <w:rsid w:val="47961C9D"/>
    <w:rsid w:val="48270D4B"/>
    <w:rsid w:val="48A35C7E"/>
    <w:rsid w:val="48B56FA5"/>
    <w:rsid w:val="48BC5A1A"/>
    <w:rsid w:val="48F777B0"/>
    <w:rsid w:val="48FE30D4"/>
    <w:rsid w:val="492268BD"/>
    <w:rsid w:val="496F014D"/>
    <w:rsid w:val="49772AC2"/>
    <w:rsid w:val="499A554C"/>
    <w:rsid w:val="49A62CA7"/>
    <w:rsid w:val="49EC0C9C"/>
    <w:rsid w:val="49FF2DF0"/>
    <w:rsid w:val="4A2120DB"/>
    <w:rsid w:val="4A3C09DF"/>
    <w:rsid w:val="4B3558B5"/>
    <w:rsid w:val="4BA821A3"/>
    <w:rsid w:val="4C017B05"/>
    <w:rsid w:val="4C041910"/>
    <w:rsid w:val="4C0705E6"/>
    <w:rsid w:val="4C2140C3"/>
    <w:rsid w:val="4C700E14"/>
    <w:rsid w:val="4CD77844"/>
    <w:rsid w:val="4CDA7F22"/>
    <w:rsid w:val="4CE6397B"/>
    <w:rsid w:val="4CF4516B"/>
    <w:rsid w:val="4D5A74CD"/>
    <w:rsid w:val="4D6B4A6C"/>
    <w:rsid w:val="4DA627A3"/>
    <w:rsid w:val="506C117F"/>
    <w:rsid w:val="50935D36"/>
    <w:rsid w:val="510C28C5"/>
    <w:rsid w:val="514A5492"/>
    <w:rsid w:val="517D7209"/>
    <w:rsid w:val="518871E8"/>
    <w:rsid w:val="52177639"/>
    <w:rsid w:val="52946FDD"/>
    <w:rsid w:val="54491D6C"/>
    <w:rsid w:val="546B47CD"/>
    <w:rsid w:val="548E178D"/>
    <w:rsid w:val="54C73613"/>
    <w:rsid w:val="54D257C3"/>
    <w:rsid w:val="55A85E07"/>
    <w:rsid w:val="56973FDE"/>
    <w:rsid w:val="56BA1F21"/>
    <w:rsid w:val="56D726B6"/>
    <w:rsid w:val="57505B76"/>
    <w:rsid w:val="57F72156"/>
    <w:rsid w:val="581B4F6A"/>
    <w:rsid w:val="5844193C"/>
    <w:rsid w:val="58D04AE7"/>
    <w:rsid w:val="59565A7E"/>
    <w:rsid w:val="5A5B2AD6"/>
    <w:rsid w:val="5AA6794C"/>
    <w:rsid w:val="5BCA1CC1"/>
    <w:rsid w:val="5C632440"/>
    <w:rsid w:val="5C9201FA"/>
    <w:rsid w:val="5CC36C9D"/>
    <w:rsid w:val="5D02172F"/>
    <w:rsid w:val="5D4B12AC"/>
    <w:rsid w:val="5E0A103D"/>
    <w:rsid w:val="5E1446AD"/>
    <w:rsid w:val="5E341674"/>
    <w:rsid w:val="5E3C078E"/>
    <w:rsid w:val="5EB86749"/>
    <w:rsid w:val="5EBD37C3"/>
    <w:rsid w:val="5EC41C05"/>
    <w:rsid w:val="5EFD5D70"/>
    <w:rsid w:val="5F1E2A19"/>
    <w:rsid w:val="5F3202A9"/>
    <w:rsid w:val="5F451E02"/>
    <w:rsid w:val="5F4B4EC7"/>
    <w:rsid w:val="5F4B75E4"/>
    <w:rsid w:val="5F6D7F0D"/>
    <w:rsid w:val="5F6E2A49"/>
    <w:rsid w:val="5F792905"/>
    <w:rsid w:val="5F7A1C50"/>
    <w:rsid w:val="5F943DD7"/>
    <w:rsid w:val="60333B0C"/>
    <w:rsid w:val="603E0B23"/>
    <w:rsid w:val="60932FCA"/>
    <w:rsid w:val="60BF52D7"/>
    <w:rsid w:val="61586233"/>
    <w:rsid w:val="61686B99"/>
    <w:rsid w:val="618869C4"/>
    <w:rsid w:val="61ED495B"/>
    <w:rsid w:val="623E223C"/>
    <w:rsid w:val="625705B3"/>
    <w:rsid w:val="62860010"/>
    <w:rsid w:val="62D2559A"/>
    <w:rsid w:val="62DF0489"/>
    <w:rsid w:val="63645BBC"/>
    <w:rsid w:val="63CC0A85"/>
    <w:rsid w:val="6461518D"/>
    <w:rsid w:val="64AA2455"/>
    <w:rsid w:val="65242E5D"/>
    <w:rsid w:val="6530528B"/>
    <w:rsid w:val="657C215B"/>
    <w:rsid w:val="65964ABA"/>
    <w:rsid w:val="65AA6C5A"/>
    <w:rsid w:val="660203FE"/>
    <w:rsid w:val="66450F49"/>
    <w:rsid w:val="66626836"/>
    <w:rsid w:val="678F7566"/>
    <w:rsid w:val="67AE1BCB"/>
    <w:rsid w:val="67DB7004"/>
    <w:rsid w:val="67E73B62"/>
    <w:rsid w:val="680A6032"/>
    <w:rsid w:val="682A4DF0"/>
    <w:rsid w:val="68742AE0"/>
    <w:rsid w:val="68FB5CBC"/>
    <w:rsid w:val="69570101"/>
    <w:rsid w:val="6A072C2E"/>
    <w:rsid w:val="6A151A27"/>
    <w:rsid w:val="6A2D6091"/>
    <w:rsid w:val="6A7B0FC2"/>
    <w:rsid w:val="6AF407BE"/>
    <w:rsid w:val="6B6764C2"/>
    <w:rsid w:val="6B9F67F9"/>
    <w:rsid w:val="6BE35462"/>
    <w:rsid w:val="6BFE2295"/>
    <w:rsid w:val="6C051370"/>
    <w:rsid w:val="6C072148"/>
    <w:rsid w:val="6C2E068C"/>
    <w:rsid w:val="6C3F1C3F"/>
    <w:rsid w:val="6C686B68"/>
    <w:rsid w:val="6C705127"/>
    <w:rsid w:val="6CD47F60"/>
    <w:rsid w:val="6CE77D69"/>
    <w:rsid w:val="6D055F4C"/>
    <w:rsid w:val="6D4D5460"/>
    <w:rsid w:val="6DBD3212"/>
    <w:rsid w:val="6DD77EB3"/>
    <w:rsid w:val="6E0D7AF6"/>
    <w:rsid w:val="6E4205C3"/>
    <w:rsid w:val="6EFB3EA2"/>
    <w:rsid w:val="6F0B01CF"/>
    <w:rsid w:val="6F42729F"/>
    <w:rsid w:val="6F7E01A5"/>
    <w:rsid w:val="70995012"/>
    <w:rsid w:val="70B015CA"/>
    <w:rsid w:val="70E92C15"/>
    <w:rsid w:val="71347EB1"/>
    <w:rsid w:val="714C3000"/>
    <w:rsid w:val="716A5647"/>
    <w:rsid w:val="71C225C6"/>
    <w:rsid w:val="71CA30BA"/>
    <w:rsid w:val="71F94C57"/>
    <w:rsid w:val="720A6E64"/>
    <w:rsid w:val="73A55AC9"/>
    <w:rsid w:val="73AB37C4"/>
    <w:rsid w:val="73D81305"/>
    <w:rsid w:val="73EA52B6"/>
    <w:rsid w:val="741024EC"/>
    <w:rsid w:val="742C7865"/>
    <w:rsid w:val="74373E2D"/>
    <w:rsid w:val="747F110F"/>
    <w:rsid w:val="74DE5985"/>
    <w:rsid w:val="75153414"/>
    <w:rsid w:val="754D3BC1"/>
    <w:rsid w:val="75614393"/>
    <w:rsid w:val="759C4277"/>
    <w:rsid w:val="75A07DA7"/>
    <w:rsid w:val="75CB3AFC"/>
    <w:rsid w:val="75CF01A8"/>
    <w:rsid w:val="76206C5C"/>
    <w:rsid w:val="76443C73"/>
    <w:rsid w:val="76674A46"/>
    <w:rsid w:val="76C07AF1"/>
    <w:rsid w:val="76CE56DB"/>
    <w:rsid w:val="76E34201"/>
    <w:rsid w:val="77753D8F"/>
    <w:rsid w:val="78111505"/>
    <w:rsid w:val="781D2829"/>
    <w:rsid w:val="78855DA8"/>
    <w:rsid w:val="79483F7A"/>
    <w:rsid w:val="799C6294"/>
    <w:rsid w:val="7A057136"/>
    <w:rsid w:val="7A752B5F"/>
    <w:rsid w:val="7B273FF1"/>
    <w:rsid w:val="7B591A2C"/>
    <w:rsid w:val="7B612A7B"/>
    <w:rsid w:val="7C224775"/>
    <w:rsid w:val="7C373ECB"/>
    <w:rsid w:val="7C5A3FE6"/>
    <w:rsid w:val="7C9B108E"/>
    <w:rsid w:val="7CB700BA"/>
    <w:rsid w:val="7D006E99"/>
    <w:rsid w:val="7D8176F8"/>
    <w:rsid w:val="7D891584"/>
    <w:rsid w:val="7D8C697F"/>
    <w:rsid w:val="7D9423C2"/>
    <w:rsid w:val="7D973686"/>
    <w:rsid w:val="7DDA3680"/>
    <w:rsid w:val="7DE14BE9"/>
    <w:rsid w:val="7E421CE0"/>
    <w:rsid w:val="7EF54D47"/>
    <w:rsid w:val="7F127358"/>
    <w:rsid w:val="7F8738A2"/>
    <w:rsid w:val="7FB83F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iPriority="39" w:semiHidden="0" w:name="toc 1"/>
    <w:lsdException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9">
    <w:name w:val="Default Paragraph Font"/>
    <w:semiHidden/>
    <w:uiPriority w:val="0"/>
  </w:style>
  <w:style w:type="table" w:default="1" w:styleId="2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27"/>
      <w:tblCellMar>
        <w:top w:w="0" w:type="dxa"/>
        <w:left w:w="108" w:type="dxa"/>
        <w:bottom w:w="0" w:type="dxa"/>
        <w:right w:w="108" w:type="dxa"/>
      </w:tblCellMar>
    </w:tblPr>
  </w:style>
  <w:style w:type="paragraph" w:styleId="6">
    <w:name w:val="index 8"/>
    <w:basedOn w:val="1"/>
    <w:next w:val="1"/>
    <w:unhideWhenUsed/>
    <w:qFormat/>
    <w:uiPriority w:val="99"/>
    <w:pPr>
      <w:ind w:left="1400" w:leftChars="1400"/>
    </w:pPr>
  </w:style>
  <w:style w:type="paragraph" w:styleId="7">
    <w:name w:val="List Number"/>
    <w:basedOn w:val="1"/>
    <w:uiPriority w:val="0"/>
    <w:pPr>
      <w:numPr>
        <w:ilvl w:val="0"/>
        <w:numId w:val="1"/>
      </w:numPr>
    </w:pPr>
  </w:style>
  <w:style w:type="paragraph" w:styleId="8">
    <w:name w:val="Normal Indent"/>
    <w:basedOn w:val="1"/>
    <w:qFormat/>
    <w:uiPriority w:val="99"/>
    <w:pPr>
      <w:ind w:firstLine="420"/>
    </w:pPr>
    <w:rPr>
      <w:szCs w:val="20"/>
    </w:rPr>
  </w:style>
  <w:style w:type="paragraph" w:styleId="9">
    <w:name w:val="annotation text"/>
    <w:basedOn w:val="1"/>
    <w:link w:val="34"/>
    <w:uiPriority w:val="99"/>
    <w:pPr>
      <w:jc w:val="left"/>
    </w:pPr>
  </w:style>
  <w:style w:type="paragraph" w:styleId="10">
    <w:name w:val="Body Text 3"/>
    <w:basedOn w:val="1"/>
    <w:unhideWhenUsed/>
    <w:uiPriority w:val="99"/>
    <w:pPr>
      <w:spacing w:after="120"/>
    </w:pPr>
    <w:rPr>
      <w:sz w:val="16"/>
      <w:szCs w:val="16"/>
    </w:rPr>
  </w:style>
  <w:style w:type="paragraph" w:styleId="11">
    <w:name w:val="Body Text"/>
    <w:basedOn w:val="1"/>
    <w:unhideWhenUsed/>
    <w:qFormat/>
    <w:uiPriority w:val="99"/>
    <w:pPr>
      <w:spacing w:after="120"/>
    </w:pPr>
  </w:style>
  <w:style w:type="paragraph" w:styleId="12">
    <w:name w:val="Body Text Indent"/>
    <w:basedOn w:val="1"/>
    <w:qFormat/>
    <w:uiPriority w:val="99"/>
    <w:pPr>
      <w:ind w:firstLine="830" w:firstLineChars="352"/>
    </w:pPr>
    <w:rPr>
      <w:rFonts w:ascii="仿宋_GB2312" w:eastAsia="仿宋_GB2312"/>
      <w:kern w:val="0"/>
      <w:sz w:val="32"/>
      <w:szCs w:val="20"/>
    </w:rPr>
  </w:style>
  <w:style w:type="paragraph" w:styleId="13">
    <w:name w:val="List 2"/>
    <w:basedOn w:val="1"/>
    <w:unhideWhenUsed/>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Plain Text"/>
    <w:basedOn w:val="1"/>
    <w:next w:val="5"/>
    <w:qFormat/>
    <w:uiPriority w:val="99"/>
    <w:rPr>
      <w:rFonts w:ascii="宋体" w:hAnsi="Courier New"/>
      <w:kern w:val="0"/>
      <w:sz w:val="20"/>
      <w:szCs w:val="21"/>
    </w:rPr>
  </w:style>
  <w:style w:type="paragraph" w:styleId="16">
    <w:name w:val="Balloon Text"/>
    <w:basedOn w:val="1"/>
    <w:link w:val="35"/>
    <w:uiPriority w:val="0"/>
    <w:rPr>
      <w:sz w:val="18"/>
      <w:szCs w:val="18"/>
    </w:rPr>
  </w:style>
  <w:style w:type="paragraph" w:styleId="17">
    <w:name w:val="footer"/>
    <w:basedOn w:val="1"/>
    <w:next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uiPriority w:val="39"/>
    <w:pPr>
      <w:spacing w:line="360" w:lineRule="auto"/>
    </w:pPr>
    <w:rPr>
      <w:rFonts w:eastAsia="宋体"/>
      <w:sz w:val="28"/>
    </w:rPr>
  </w:style>
  <w:style w:type="paragraph" w:styleId="20">
    <w:name w:val="List"/>
    <w:basedOn w:val="1"/>
    <w:unhideWhenUsed/>
    <w:uiPriority w:val="99"/>
    <w:pPr>
      <w:ind w:left="200" w:hanging="200" w:hangingChars="200"/>
      <w:contextualSpacing/>
    </w:pPr>
  </w:style>
  <w:style w:type="paragraph" w:styleId="21">
    <w:name w:val="toc 2"/>
    <w:basedOn w:val="1"/>
    <w:next w:val="1"/>
    <w:unhideWhenUsed/>
    <w:uiPriority w:val="39"/>
    <w:pPr>
      <w:tabs>
        <w:tab w:val="right" w:leader="dot" w:pos="8296"/>
      </w:tabs>
      <w:spacing w:line="360" w:lineRule="auto"/>
      <w:ind w:left="420" w:leftChars="200"/>
    </w:pPr>
    <w:rPr>
      <w:rFonts w:eastAsia="宋体"/>
      <w:sz w:val="24"/>
    </w:rPr>
  </w:style>
  <w:style w:type="paragraph" w:styleId="22">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24">
    <w:name w:val="annotation subject"/>
    <w:basedOn w:val="9"/>
    <w:next w:val="9"/>
    <w:link w:val="36"/>
    <w:uiPriority w:val="0"/>
    <w:rPr>
      <w:b/>
      <w:bCs/>
    </w:rPr>
  </w:style>
  <w:style w:type="paragraph" w:styleId="25">
    <w:name w:val="Body Text First Indent"/>
    <w:basedOn w:val="11"/>
    <w:unhideWhenUsed/>
    <w:qFormat/>
    <w:uiPriority w:val="99"/>
    <w:pPr>
      <w:ind w:firstLine="420" w:firstLineChars="100"/>
    </w:pPr>
  </w:style>
  <w:style w:type="paragraph" w:styleId="26">
    <w:name w:val="Body Text First Indent 2"/>
    <w:basedOn w:val="1"/>
    <w:uiPriority w:val="0"/>
    <w:pPr>
      <w:autoSpaceDE w:val="0"/>
      <w:autoSpaceDN w:val="0"/>
      <w:spacing w:after="120" w:afterLines="0" w:line="360" w:lineRule="auto"/>
      <w:ind w:left="420" w:leftChars="200" w:firstLine="420" w:firstLineChars="200"/>
    </w:pPr>
    <w:rPr>
      <w:sz w:val="21"/>
      <w:szCs w:val="24"/>
    </w:rPr>
  </w:style>
  <w:style w:type="table" w:styleId="28">
    <w:name w:val="Table Grid"/>
    <w:basedOn w:val="27"/>
    <w:uiPriority w:val="59"/>
    <w:tblPr>
      <w:tblStyle w:val="2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0"/>
    <w:rPr>
      <w:b/>
    </w:rPr>
  </w:style>
  <w:style w:type="character" w:styleId="31">
    <w:name w:val="Hyperlink"/>
    <w:unhideWhenUsed/>
    <w:uiPriority w:val="99"/>
    <w:rPr>
      <w:color w:val="0000FF"/>
      <w:u w:val="single"/>
    </w:rPr>
  </w:style>
  <w:style w:type="character" w:styleId="32">
    <w:name w:val="annotation reference"/>
    <w:uiPriority w:val="0"/>
    <w:rPr>
      <w:sz w:val="21"/>
      <w:szCs w:val="21"/>
    </w:rPr>
  </w:style>
  <w:style w:type="character" w:styleId="33">
    <w:name w:val="HTML Sample"/>
    <w:basedOn w:val="29"/>
    <w:uiPriority w:val="0"/>
    <w:rPr>
      <w:rFonts w:ascii="Courier New" w:hAnsi="Courier New"/>
    </w:rPr>
  </w:style>
  <w:style w:type="character" w:customStyle="1" w:styleId="34">
    <w:name w:val="批注文字 字符"/>
    <w:link w:val="9"/>
    <w:uiPriority w:val="99"/>
    <w:rPr>
      <w:rFonts w:ascii="Calibri" w:hAnsi="Calibri"/>
      <w:kern w:val="2"/>
      <w:sz w:val="21"/>
      <w:szCs w:val="24"/>
    </w:rPr>
  </w:style>
  <w:style w:type="character" w:customStyle="1" w:styleId="35">
    <w:name w:val="批注框文本 字符"/>
    <w:link w:val="16"/>
    <w:uiPriority w:val="0"/>
    <w:rPr>
      <w:rFonts w:ascii="Calibri" w:hAnsi="Calibri"/>
      <w:kern w:val="2"/>
      <w:sz w:val="18"/>
      <w:szCs w:val="18"/>
    </w:rPr>
  </w:style>
  <w:style w:type="character" w:customStyle="1" w:styleId="36">
    <w:name w:val="批注主题 字符"/>
    <w:link w:val="24"/>
    <w:uiPriority w:val="0"/>
    <w:rPr>
      <w:rFonts w:ascii="Calibri" w:hAnsi="Calibri"/>
      <w:b/>
      <w:bCs/>
      <w:kern w:val="2"/>
      <w:sz w:val="21"/>
      <w:szCs w:val="24"/>
    </w:rPr>
  </w:style>
  <w:style w:type="paragraph" w:customStyle="1" w:styleId="37">
    <w:name w:val="表格文字"/>
    <w:basedOn w:val="1"/>
    <w:qFormat/>
    <w:uiPriority w:val="99"/>
    <w:pPr>
      <w:spacing w:before="25" w:after="25"/>
      <w:jc w:val="left"/>
    </w:pPr>
    <w:rPr>
      <w:bCs/>
      <w:spacing w:val="10"/>
      <w:kern w:val="0"/>
      <w:sz w:val="24"/>
    </w:rPr>
  </w:style>
  <w:style w:type="paragraph" w:styleId="38">
    <w:name w:val="List Paragraph"/>
    <w:basedOn w:val="1"/>
    <w:qFormat/>
    <w:uiPriority w:val="34"/>
    <w:pPr>
      <w:ind w:firstLine="420" w:firstLineChars="200"/>
    </w:pPr>
  </w:style>
  <w:style w:type="paragraph" w:customStyle="1" w:styleId="39">
    <w:name w:val="正文2"/>
    <w:basedOn w:val="1"/>
    <w:qFormat/>
    <w:uiPriority w:val="0"/>
    <w:pPr>
      <w:adjustRightInd w:val="0"/>
      <w:spacing w:before="156" w:line="360" w:lineRule="auto"/>
      <w:ind w:firstLine="510" w:firstLineChars="200"/>
    </w:pPr>
    <w:rPr>
      <w:kern w:val="0"/>
      <w:sz w:val="24"/>
      <w:szCs w:val="20"/>
    </w:rPr>
  </w:style>
  <w:style w:type="paragraph" w:customStyle="1" w:styleId="4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41">
    <w:name w:val="_Style 8"/>
    <w:basedOn w:val="1"/>
    <w:next w:val="38"/>
    <w:qFormat/>
    <w:uiPriority w:val="34"/>
    <w:pPr>
      <w:ind w:firstLine="420" w:firstLineChars="200"/>
    </w:pPr>
  </w:style>
  <w:style w:type="paragraph" w:customStyle="1" w:styleId="42">
    <w:name w:val="正文缩进1"/>
    <w:basedOn w:val="1"/>
    <w:next w:val="12"/>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43">
    <w:name w:val="Table Text"/>
    <w:basedOn w:val="1"/>
    <w:semiHidden/>
    <w:qFormat/>
    <w:uiPriority w:val="0"/>
    <w:rPr>
      <w:rFonts w:ascii="宋体" w:hAnsi="宋体" w:eastAsia="宋体" w:cs="宋体"/>
      <w:sz w:val="20"/>
      <w:szCs w:val="20"/>
      <w:lang w:val="en-US" w:eastAsia="en-US" w:bidi="ar-SA"/>
    </w:rPr>
  </w:style>
  <w:style w:type="character" w:customStyle="1" w:styleId="4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9842</Words>
  <Characters>11857</Characters>
  <Lines>452</Lines>
  <Paragraphs>127</Paragraphs>
  <TotalTime>899</TotalTime>
  <ScaleCrop>false</ScaleCrop>
  <LinksUpToDate>false</LinksUpToDate>
  <CharactersWithSpaces>11996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2021-04-22T09:42:00Z</dcterms:created>
  <dc:creator>Administrator</dc:creator>
  <cp:lastModifiedBy>心亦77</cp:lastModifiedBy>
  <dcterms:modified xsi:type="dcterms:W3CDTF">2025-07-23T01:10:55Z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FEE71E06FCA14B26AFF158F9884AEEE4_13</vt:lpwstr>
  </property>
  <property fmtid="{D5CDD505-2E9C-101B-9397-08002B2CF9AE}" pid="4" name="KSOTemplateDocerSaveRecord">
    <vt:lpwstr>eyJoZGlkIjoiMzcwYTExYmIyZGMyMWM0ZjRkOWNmYmExYjAxZWNlYzgiLCJ1c2VySWQiOiIyOTUwMDM4NzAifQ==</vt:lpwstr>
  </property>
</Properties>
</file>