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451C09">
      <w:pPr>
        <w:spacing w:before="165" w:beforeLines="50" w:line="360" w:lineRule="auto"/>
        <w:jc w:val="center"/>
        <w:rPr>
          <w:rFonts w:hint="eastAsia" w:ascii="宋体" w:hAnsi="宋体"/>
          <w:color w:val="auto"/>
          <w:sz w:val="52"/>
          <w:szCs w:val="52"/>
          <w:highlight w:val="none"/>
        </w:rPr>
      </w:pPr>
      <w:r>
        <w:rPr>
          <w:rFonts w:hint="eastAsia" w:ascii="宋体" w:hAnsi="宋体"/>
          <w:color w:val="auto"/>
          <w:sz w:val="52"/>
          <w:szCs w:val="52"/>
          <w:highlight w:val="none"/>
        </w:rPr>
        <w:t>南宁市政府采购</w:t>
      </w:r>
    </w:p>
    <w:p w14:paraId="1F9EDD3F">
      <w:pPr>
        <w:spacing w:before="165" w:beforeLines="50" w:line="360" w:lineRule="auto"/>
        <w:jc w:val="center"/>
        <w:rPr>
          <w:rFonts w:hint="eastAsia" w:ascii="宋体" w:hAnsi="宋体"/>
          <w:color w:val="auto"/>
          <w:sz w:val="52"/>
          <w:szCs w:val="52"/>
          <w:highlight w:val="none"/>
        </w:rPr>
      </w:pPr>
      <w:r>
        <w:rPr>
          <w:rFonts w:hint="eastAsia" w:ascii="宋体" w:hAnsi="宋体"/>
          <w:color w:val="auto"/>
          <w:sz w:val="52"/>
          <w:szCs w:val="52"/>
          <w:highlight w:val="none"/>
        </w:rPr>
        <w:t>竞争性磋商文件（服务类）</w:t>
      </w:r>
    </w:p>
    <w:p w14:paraId="508ACDD1">
      <w:pPr>
        <w:spacing w:before="165" w:beforeLines="50" w:line="360" w:lineRule="auto"/>
        <w:jc w:val="center"/>
        <w:rPr>
          <w:rFonts w:hint="eastAsia" w:ascii="宋体" w:hAnsi="宋体"/>
          <w:color w:val="auto"/>
          <w:sz w:val="36"/>
          <w:szCs w:val="36"/>
          <w:highlight w:val="none"/>
        </w:rPr>
      </w:pPr>
    </w:p>
    <w:p w14:paraId="4E191128">
      <w:pPr>
        <w:snapToGrid w:val="0"/>
        <w:spacing w:before="165" w:beforeLines="50" w:line="360" w:lineRule="auto"/>
        <w:jc w:val="center"/>
        <w:rPr>
          <w:rFonts w:hint="eastAsia" w:ascii="方正小标宋简体" w:hAnsi="方正小标宋简体" w:eastAsia="方正小标宋简体" w:cs="方正小标宋简体"/>
          <w:color w:val="auto"/>
          <w:sz w:val="44"/>
          <w:szCs w:val="44"/>
          <w:highlight w:val="none"/>
        </w:rPr>
      </w:pPr>
      <w:r>
        <w:rPr>
          <w:rFonts w:hint="eastAsia" w:ascii="华文新魏" w:hAnsi="宋体" w:eastAsia="华文新魏"/>
          <w:color w:val="auto"/>
          <w:sz w:val="72"/>
          <w:szCs w:val="72"/>
          <w:highlight w:val="none"/>
        </w:rPr>
        <w:t>竞争性磋商文件</w:t>
      </w:r>
    </w:p>
    <w:p w14:paraId="23BD75BB">
      <w:pPr>
        <w:spacing w:before="331" w:beforeLines="100" w:after="165" w:afterLines="50" w:line="360" w:lineRule="auto"/>
        <w:jc w:val="center"/>
        <w:rPr>
          <w:rFonts w:hint="eastAsia" w:ascii="宋体" w:hAnsi="宋体"/>
          <w:color w:val="auto"/>
          <w:szCs w:val="21"/>
          <w:highlight w:val="none"/>
        </w:rPr>
      </w:pPr>
      <w:r>
        <w:rPr>
          <w:rFonts w:hint="eastAsia" w:ascii="宋体" w:hAnsi="宋体"/>
          <w:color w:val="auto"/>
          <w:szCs w:val="21"/>
          <w:highlight w:val="none"/>
        </w:rPr>
        <w:t>（全流程电子化评标）</w:t>
      </w:r>
    </w:p>
    <w:p w14:paraId="10E018CA">
      <w:pPr>
        <w:spacing w:line="360" w:lineRule="auto"/>
        <w:rPr>
          <w:rFonts w:hint="eastAsia" w:ascii="宋体" w:hAnsi="宋体"/>
          <w:b/>
          <w:color w:val="auto"/>
          <w:sz w:val="32"/>
          <w:szCs w:val="32"/>
          <w:highlight w:val="none"/>
        </w:rPr>
      </w:pPr>
    </w:p>
    <w:p w14:paraId="58987DE8">
      <w:pPr>
        <w:spacing w:line="360" w:lineRule="auto"/>
        <w:jc w:val="center"/>
        <w:rPr>
          <w:rFonts w:hint="eastAsia" w:ascii="宋体" w:hAnsi="宋体"/>
          <w:b/>
          <w:color w:val="auto"/>
          <w:sz w:val="32"/>
          <w:szCs w:val="32"/>
          <w:highlight w:val="none"/>
        </w:rPr>
      </w:pPr>
    </w:p>
    <w:p w14:paraId="43C78007">
      <w:pPr>
        <w:pStyle w:val="11"/>
        <w:snapToGrid w:val="0"/>
        <w:spacing w:before="50" w:after="120" w:line="360" w:lineRule="auto"/>
        <w:ind w:firstLine="301" w:firstLineChars="100"/>
        <w:rPr>
          <w:rFonts w:hint="eastAsia" w:ascii="仿宋_GB2312" w:hAnsi="宋体" w:eastAsia="仿宋_GB2312"/>
          <w:b/>
          <w:bCs/>
          <w:color w:val="auto"/>
          <w:sz w:val="30"/>
          <w:szCs w:val="30"/>
          <w:highlight w:val="none"/>
          <w:lang w:eastAsia="zh-CN"/>
        </w:rPr>
      </w:pPr>
      <w:r>
        <w:rPr>
          <w:rFonts w:hint="eastAsia" w:ascii="仿宋_GB2312" w:hAnsi="宋体" w:eastAsia="仿宋_GB2312"/>
          <w:b/>
          <w:bCs/>
          <w:color w:val="auto"/>
          <w:sz w:val="30"/>
          <w:szCs w:val="30"/>
          <w:highlight w:val="none"/>
        </w:rPr>
        <w:t>项目</w:t>
      </w:r>
      <w:r>
        <w:rPr>
          <w:rFonts w:hint="eastAsia" w:ascii="仿宋_GB2312" w:hAnsi="宋体" w:eastAsia="仿宋_GB2312" w:cs="Courier New"/>
          <w:b/>
          <w:bCs/>
          <w:color w:val="auto"/>
          <w:w w:val="95"/>
          <w:sz w:val="30"/>
          <w:szCs w:val="30"/>
          <w:highlight w:val="none"/>
        </w:rPr>
        <w:t>名称</w:t>
      </w:r>
      <w:r>
        <w:rPr>
          <w:rFonts w:hint="eastAsia" w:ascii="仿宋_GB2312" w:hAnsi="宋体" w:eastAsia="仿宋_GB2312"/>
          <w:b/>
          <w:bCs/>
          <w:color w:val="auto"/>
          <w:sz w:val="30"/>
          <w:szCs w:val="30"/>
          <w:highlight w:val="none"/>
        </w:rPr>
        <w:t>：</w:t>
      </w:r>
      <w:r>
        <w:rPr>
          <w:rFonts w:hint="eastAsia" w:ascii="仿宋_GB2312" w:hAnsi="宋体" w:eastAsia="仿宋_GB2312"/>
          <w:b/>
          <w:bCs/>
          <w:color w:val="auto"/>
          <w:sz w:val="30"/>
          <w:szCs w:val="30"/>
          <w:highlight w:val="none"/>
          <w:lang w:eastAsia="zh-CN"/>
        </w:rPr>
        <w:t>第三方机构审计、核验2025年财政资金计划补助项目服务（3分标重）</w:t>
      </w:r>
    </w:p>
    <w:p w14:paraId="5AD3392E">
      <w:pPr>
        <w:snapToGrid w:val="0"/>
        <w:spacing w:before="165" w:beforeLines="50" w:line="360" w:lineRule="auto"/>
        <w:ind w:firstLine="1145" w:firstLineChars="400"/>
        <w:rPr>
          <w:rFonts w:hint="eastAsia" w:ascii="仿宋_GB2312" w:hAnsi="宋体" w:eastAsia="仿宋_GB2312"/>
          <w:b/>
          <w:color w:val="auto"/>
          <w:sz w:val="30"/>
          <w:szCs w:val="48"/>
          <w:highlight w:val="none"/>
          <w:lang w:eastAsia="zh-CN"/>
        </w:rPr>
      </w:pPr>
      <w:r>
        <w:rPr>
          <w:rFonts w:hint="eastAsia" w:ascii="仿宋_GB2312" w:hAnsi="宋体" w:eastAsia="仿宋_GB2312" w:cs="Courier New"/>
          <w:b/>
          <w:bCs/>
          <w:color w:val="auto"/>
          <w:w w:val="95"/>
          <w:sz w:val="30"/>
          <w:szCs w:val="30"/>
          <w:highlight w:val="none"/>
        </w:rPr>
        <w:t>项目</w:t>
      </w:r>
      <w:r>
        <w:rPr>
          <w:rFonts w:hint="eastAsia" w:ascii="仿宋_GB2312" w:hAnsi="宋体" w:eastAsia="仿宋_GB2312"/>
          <w:b/>
          <w:bCs/>
          <w:color w:val="auto"/>
          <w:sz w:val="30"/>
          <w:szCs w:val="30"/>
          <w:highlight w:val="none"/>
        </w:rPr>
        <w:t>编号</w:t>
      </w:r>
      <w:r>
        <w:rPr>
          <w:rFonts w:hint="eastAsia" w:ascii="仿宋_GB2312" w:hAnsi="宋体" w:eastAsia="仿宋_GB2312" w:cs="Courier New"/>
          <w:b/>
          <w:bCs/>
          <w:color w:val="auto"/>
          <w:w w:val="95"/>
          <w:sz w:val="30"/>
          <w:szCs w:val="30"/>
          <w:highlight w:val="none"/>
        </w:rPr>
        <w:t>：</w:t>
      </w:r>
      <w:r>
        <w:rPr>
          <w:rFonts w:hint="eastAsia" w:ascii="仿宋_GB2312" w:hAnsi="宋体" w:eastAsia="仿宋_GB2312" w:cs="Courier New"/>
          <w:b/>
          <w:bCs/>
          <w:color w:val="auto"/>
          <w:w w:val="95"/>
          <w:sz w:val="30"/>
          <w:szCs w:val="30"/>
          <w:highlight w:val="none"/>
          <w:lang w:eastAsia="zh-CN"/>
        </w:rPr>
        <w:t>NNZC2025-C3-990371-JDZB</w:t>
      </w:r>
    </w:p>
    <w:p w14:paraId="3E74965F">
      <w:pPr>
        <w:snapToGrid w:val="0"/>
        <w:spacing w:before="165" w:beforeLines="50" w:line="360" w:lineRule="auto"/>
        <w:ind w:left="720" w:firstLine="420"/>
        <w:rPr>
          <w:rFonts w:hint="eastAsia" w:ascii="仿宋_GB2312" w:hAnsi="宋体" w:eastAsia="仿宋_GB2312"/>
          <w:b/>
          <w:color w:val="auto"/>
          <w:sz w:val="30"/>
          <w:szCs w:val="48"/>
          <w:highlight w:val="none"/>
        </w:rPr>
      </w:pPr>
      <w:r>
        <w:rPr>
          <w:rFonts w:hint="eastAsia" w:ascii="仿宋_GB2312" w:hAnsi="宋体" w:eastAsia="仿宋_GB2312"/>
          <w:b/>
          <w:color w:val="auto"/>
          <w:sz w:val="30"/>
          <w:szCs w:val="48"/>
          <w:highlight w:val="none"/>
        </w:rPr>
        <w:t>项目所属区划：南宁市本级</w:t>
      </w:r>
    </w:p>
    <w:p w14:paraId="25F6DD0A">
      <w:pPr>
        <w:pStyle w:val="11"/>
        <w:snapToGrid w:val="0"/>
        <w:spacing w:before="50" w:after="120" w:line="360" w:lineRule="auto"/>
        <w:ind w:firstLine="300"/>
        <w:rPr>
          <w:rFonts w:hint="eastAsia" w:ascii="仿宋_GB2312" w:hAnsi="宋体" w:eastAsia="仿宋_GB2312"/>
          <w:b/>
          <w:bCs/>
          <w:color w:val="auto"/>
          <w:w w:val="95"/>
          <w:sz w:val="30"/>
          <w:szCs w:val="30"/>
          <w:highlight w:val="none"/>
        </w:rPr>
      </w:pPr>
      <w:r>
        <w:rPr>
          <w:rFonts w:hint="eastAsia" w:ascii="仿宋_GB2312" w:hAnsi="宋体" w:eastAsia="仿宋_GB2312"/>
          <w:b/>
          <w:bCs/>
          <w:color w:val="auto"/>
          <w:w w:val="95"/>
          <w:sz w:val="30"/>
          <w:szCs w:val="30"/>
          <w:highlight w:val="none"/>
        </w:rPr>
        <w:t>采 购 人：南宁市工业和信息化局</w:t>
      </w:r>
    </w:p>
    <w:p w14:paraId="6A2BAC07">
      <w:pPr>
        <w:pStyle w:val="11"/>
        <w:snapToGrid w:val="0"/>
        <w:spacing w:before="50" w:after="120" w:line="360" w:lineRule="auto"/>
        <w:ind w:firstLine="300"/>
        <w:rPr>
          <w:rFonts w:hint="eastAsia" w:ascii="仿宋_GB2312" w:hAnsi="宋体" w:eastAsia="仿宋_GB2312"/>
          <w:b/>
          <w:bCs/>
          <w:color w:val="auto"/>
          <w:w w:val="95"/>
          <w:sz w:val="30"/>
          <w:szCs w:val="30"/>
          <w:highlight w:val="none"/>
        </w:rPr>
      </w:pPr>
      <w:r>
        <w:rPr>
          <w:rFonts w:hint="eastAsia" w:ascii="仿宋_GB2312" w:hAnsi="宋体" w:eastAsia="仿宋_GB2312"/>
          <w:b/>
          <w:bCs/>
          <w:color w:val="auto"/>
          <w:w w:val="95"/>
          <w:sz w:val="30"/>
          <w:szCs w:val="30"/>
          <w:highlight w:val="none"/>
        </w:rPr>
        <w:t>采购代理机构：广西机电设备招标有限公司</w:t>
      </w:r>
    </w:p>
    <w:p w14:paraId="169AA011">
      <w:pPr>
        <w:pStyle w:val="11"/>
        <w:snapToGrid w:val="0"/>
        <w:spacing w:before="50" w:after="120" w:line="360" w:lineRule="auto"/>
        <w:ind w:left="0" w:leftChars="0"/>
        <w:jc w:val="center"/>
        <w:rPr>
          <w:rFonts w:hint="eastAsia" w:ascii="仿宋_GB2312" w:hAnsi="宋体" w:eastAsia="仿宋_GB2312"/>
          <w:b/>
          <w:bCs/>
          <w:color w:val="auto"/>
          <w:w w:val="95"/>
          <w:sz w:val="30"/>
          <w:szCs w:val="30"/>
          <w:highlight w:val="none"/>
        </w:rPr>
      </w:pPr>
      <w:r>
        <w:rPr>
          <w:rFonts w:hint="eastAsia" w:ascii="仿宋_GB2312" w:hAnsi="宋体" w:eastAsia="仿宋_GB2312"/>
          <w:b/>
          <w:bCs/>
          <w:color w:val="auto"/>
          <w:w w:val="95"/>
          <w:sz w:val="30"/>
          <w:szCs w:val="30"/>
          <w:highlight w:val="none"/>
        </w:rPr>
        <w:t>2025年</w:t>
      </w:r>
      <w:r>
        <w:rPr>
          <w:rFonts w:hint="eastAsia" w:ascii="仿宋_GB2312" w:hAnsi="宋体" w:eastAsia="仿宋_GB2312"/>
          <w:b/>
          <w:bCs/>
          <w:color w:val="auto"/>
          <w:w w:val="95"/>
          <w:sz w:val="30"/>
          <w:szCs w:val="30"/>
          <w:highlight w:val="none"/>
          <w:lang w:val="en-US" w:eastAsia="zh-CN"/>
        </w:rPr>
        <w:t>5</w:t>
      </w:r>
      <w:r>
        <w:rPr>
          <w:rFonts w:hint="eastAsia" w:ascii="仿宋_GB2312" w:hAnsi="宋体" w:eastAsia="仿宋_GB2312"/>
          <w:b/>
          <w:bCs/>
          <w:color w:val="auto"/>
          <w:w w:val="95"/>
          <w:sz w:val="30"/>
          <w:szCs w:val="30"/>
          <w:highlight w:val="none"/>
        </w:rPr>
        <w:t>月</w:t>
      </w:r>
    </w:p>
    <w:p w14:paraId="23FEB69A">
      <w:pPr>
        <w:widowControl/>
        <w:spacing w:line="360" w:lineRule="auto"/>
        <w:jc w:val="left"/>
        <w:rPr>
          <w:rFonts w:hint="eastAsia" w:ascii="仿宋_GB2312" w:hAnsi="宋体" w:eastAsia="仿宋_GB2312"/>
          <w:b/>
          <w:bCs/>
          <w:color w:val="auto"/>
          <w:w w:val="95"/>
          <w:kern w:val="0"/>
          <w:sz w:val="30"/>
          <w:szCs w:val="30"/>
          <w:highlight w:val="none"/>
        </w:rPr>
        <w:sectPr>
          <w:headerReference r:id="rId3" w:type="default"/>
          <w:pgSz w:w="11911" w:h="16838"/>
          <w:pgMar w:top="1417" w:right="1417" w:bottom="1417" w:left="1417" w:header="720" w:footer="720" w:gutter="0"/>
          <w:pgNumType w:start="1"/>
          <w:cols w:space="0" w:num="1"/>
          <w:rtlGutter w:val="0"/>
          <w:docGrid w:linePitch="331" w:charSpace="0"/>
        </w:sectPr>
      </w:pPr>
    </w:p>
    <w:p w14:paraId="651973B0">
      <w:pPr>
        <w:spacing w:line="360" w:lineRule="auto"/>
        <w:jc w:val="center"/>
        <w:rPr>
          <w:rFonts w:hint="eastAsia" w:ascii="宋体" w:hAnsi="宋体"/>
          <w:b/>
          <w:color w:val="auto"/>
          <w:sz w:val="44"/>
          <w:szCs w:val="44"/>
          <w:highlight w:val="none"/>
        </w:rPr>
      </w:pPr>
      <w:r>
        <w:rPr>
          <w:rFonts w:hint="eastAsia" w:ascii="宋体" w:hAnsi="宋体"/>
          <w:b/>
          <w:color w:val="auto"/>
          <w:sz w:val="44"/>
          <w:szCs w:val="44"/>
          <w:highlight w:val="none"/>
        </w:rPr>
        <w:t>目   录</w:t>
      </w:r>
    </w:p>
    <w:p w14:paraId="7B0B78B6">
      <w:pPr>
        <w:spacing w:line="400" w:lineRule="exact"/>
        <w:jc w:val="center"/>
        <w:rPr>
          <w:rFonts w:hint="eastAsia" w:ascii="宋体" w:hAnsi="宋体"/>
          <w:b/>
          <w:color w:val="auto"/>
          <w:sz w:val="44"/>
          <w:szCs w:val="44"/>
          <w:highlight w:val="none"/>
        </w:rPr>
      </w:pPr>
    </w:p>
    <w:p w14:paraId="0EFDACE5">
      <w:pPr>
        <w:tabs>
          <w:tab w:val="right" w:leader="dot" w:pos="8879"/>
        </w:tabs>
        <w:rPr>
          <w:color w:val="auto"/>
          <w:highlight w:val="none"/>
        </w:rPr>
      </w:pPr>
      <w:r>
        <w:rPr>
          <w:rFonts w:hint="eastAsia" w:ascii="宋体" w:hAnsi="宋体"/>
          <w:b/>
          <w:color w:val="auto"/>
          <w:sz w:val="30"/>
          <w:szCs w:val="30"/>
          <w:highlight w:val="none"/>
        </w:rPr>
        <w:fldChar w:fldCharType="begin"/>
      </w:r>
      <w:r>
        <w:rPr>
          <w:rFonts w:hint="eastAsia" w:ascii="宋体" w:hAnsi="宋体"/>
          <w:b/>
          <w:color w:val="auto"/>
          <w:sz w:val="30"/>
          <w:szCs w:val="30"/>
          <w:highlight w:val="none"/>
        </w:rPr>
        <w:instrText xml:space="preserve"> TOC \o "1-3" \h \z \u </w:instrText>
      </w:r>
      <w:r>
        <w:rPr>
          <w:rFonts w:hint="eastAsia" w:ascii="宋体" w:hAnsi="宋体"/>
          <w:b/>
          <w:color w:val="auto"/>
          <w:sz w:val="30"/>
          <w:szCs w:val="30"/>
          <w:highlight w:val="none"/>
        </w:rPr>
        <w:fldChar w:fldCharType="separate"/>
      </w:r>
      <w:r>
        <w:rPr>
          <w:color w:val="auto"/>
          <w:highlight w:val="none"/>
        </w:rPr>
        <w:fldChar w:fldCharType="begin"/>
      </w:r>
      <w:r>
        <w:rPr>
          <w:color w:val="auto"/>
          <w:highlight w:val="none"/>
        </w:rPr>
        <w:instrText xml:space="preserve"> HYPERLINK \l "_Toc8095" </w:instrText>
      </w:r>
      <w:r>
        <w:rPr>
          <w:color w:val="auto"/>
          <w:highlight w:val="none"/>
        </w:rPr>
        <w:fldChar w:fldCharType="separate"/>
      </w:r>
      <w:r>
        <w:rPr>
          <w:rFonts w:hint="eastAsia"/>
          <w:color w:val="auto"/>
          <w:highlight w:val="none"/>
        </w:rPr>
        <w:t>第一章</w:t>
      </w:r>
      <w:r>
        <w:rPr>
          <w:color w:val="auto"/>
          <w:highlight w:val="none"/>
        </w:rPr>
        <w:t xml:space="preserve"> </w:t>
      </w:r>
      <w:r>
        <w:rPr>
          <w:rFonts w:hint="eastAsia"/>
          <w:color w:val="auto"/>
          <w:highlight w:val="none"/>
        </w:rPr>
        <w:t>竞争性磋商公告</w:t>
      </w:r>
      <w:r>
        <w:rPr>
          <w:color w:val="auto"/>
          <w:highlight w:val="none"/>
        </w:rPr>
        <w:tab/>
      </w:r>
      <w:r>
        <w:rPr>
          <w:color w:val="auto"/>
          <w:highlight w:val="none"/>
        </w:rPr>
        <w:fldChar w:fldCharType="begin"/>
      </w:r>
      <w:r>
        <w:rPr>
          <w:color w:val="auto"/>
          <w:highlight w:val="none"/>
        </w:rPr>
        <w:instrText xml:space="preserve"> PAGEREF _Toc8095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798F97C3">
      <w:pPr>
        <w:tabs>
          <w:tab w:val="right" w:leader="dot" w:pos="8879"/>
        </w:tabs>
        <w:rPr>
          <w:color w:val="auto"/>
          <w:highlight w:val="none"/>
        </w:rPr>
      </w:pPr>
      <w:r>
        <w:rPr>
          <w:color w:val="auto"/>
          <w:highlight w:val="none"/>
        </w:rPr>
        <w:fldChar w:fldCharType="begin"/>
      </w:r>
      <w:r>
        <w:rPr>
          <w:color w:val="auto"/>
          <w:highlight w:val="none"/>
        </w:rPr>
        <w:instrText xml:space="preserve"> HYPERLINK \l "_Toc16006" </w:instrText>
      </w:r>
      <w:r>
        <w:rPr>
          <w:color w:val="auto"/>
          <w:highlight w:val="none"/>
        </w:rPr>
        <w:fldChar w:fldCharType="separate"/>
      </w:r>
      <w:r>
        <w:rPr>
          <w:rFonts w:hint="eastAsia" w:ascii="Cambria" w:hAnsi="Cambria"/>
          <w:color w:val="auto"/>
          <w:szCs w:val="32"/>
          <w:highlight w:val="none"/>
        </w:rPr>
        <w:t>第二章</w:t>
      </w:r>
      <w:r>
        <w:rPr>
          <w:rFonts w:ascii="Cambria" w:hAnsi="Cambria"/>
          <w:color w:val="auto"/>
          <w:szCs w:val="32"/>
          <w:highlight w:val="none"/>
        </w:rPr>
        <w:t xml:space="preserve"> </w:t>
      </w:r>
      <w:r>
        <w:rPr>
          <w:rFonts w:hint="eastAsia" w:ascii="Cambria" w:hAnsi="Cambria"/>
          <w:color w:val="auto"/>
          <w:szCs w:val="32"/>
          <w:highlight w:val="none"/>
        </w:rPr>
        <w:t>采购需求</w:t>
      </w:r>
      <w:r>
        <w:rPr>
          <w:color w:val="auto"/>
          <w:highlight w:val="none"/>
        </w:rPr>
        <w:tab/>
      </w:r>
      <w:r>
        <w:rPr>
          <w:color w:val="auto"/>
          <w:highlight w:val="none"/>
        </w:rPr>
        <w:fldChar w:fldCharType="begin"/>
      </w:r>
      <w:r>
        <w:rPr>
          <w:color w:val="auto"/>
          <w:highlight w:val="none"/>
        </w:rPr>
        <w:instrText xml:space="preserve"> PAGEREF _Toc16006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4A0BF39F">
      <w:pPr>
        <w:tabs>
          <w:tab w:val="right" w:leader="dot" w:pos="8879"/>
        </w:tabs>
        <w:rPr>
          <w:color w:val="auto"/>
          <w:highlight w:val="none"/>
        </w:rPr>
      </w:pPr>
      <w:r>
        <w:rPr>
          <w:color w:val="auto"/>
          <w:highlight w:val="none"/>
        </w:rPr>
        <w:fldChar w:fldCharType="begin"/>
      </w:r>
      <w:r>
        <w:rPr>
          <w:color w:val="auto"/>
          <w:highlight w:val="none"/>
        </w:rPr>
        <w:instrText xml:space="preserve"> HYPERLINK \l "_Toc11561" </w:instrText>
      </w:r>
      <w:r>
        <w:rPr>
          <w:color w:val="auto"/>
          <w:highlight w:val="none"/>
        </w:rPr>
        <w:fldChar w:fldCharType="separate"/>
      </w:r>
      <w:r>
        <w:rPr>
          <w:rFonts w:hint="eastAsia" w:ascii="Cambria" w:hAnsi="Cambria"/>
          <w:color w:val="auto"/>
          <w:szCs w:val="32"/>
          <w:highlight w:val="none"/>
        </w:rPr>
        <w:t>第三章</w:t>
      </w:r>
      <w:r>
        <w:rPr>
          <w:rFonts w:ascii="Cambria" w:hAnsi="Cambria"/>
          <w:color w:val="auto"/>
          <w:szCs w:val="32"/>
          <w:highlight w:val="none"/>
        </w:rPr>
        <w:t xml:space="preserve"> </w:t>
      </w:r>
      <w:r>
        <w:rPr>
          <w:rFonts w:hint="eastAsia" w:ascii="Cambria" w:hAnsi="Cambria"/>
          <w:color w:val="auto"/>
          <w:szCs w:val="32"/>
          <w:highlight w:val="none"/>
        </w:rPr>
        <w:t>供应商须知</w:t>
      </w:r>
      <w:r>
        <w:rPr>
          <w:color w:val="auto"/>
          <w:highlight w:val="none"/>
        </w:rPr>
        <w:tab/>
      </w:r>
      <w:r>
        <w:rPr>
          <w:color w:val="auto"/>
          <w:highlight w:val="none"/>
        </w:rPr>
        <w:fldChar w:fldCharType="begin"/>
      </w:r>
      <w:r>
        <w:rPr>
          <w:color w:val="auto"/>
          <w:highlight w:val="none"/>
        </w:rPr>
        <w:instrText xml:space="preserve"> PAGEREF _Toc11561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14:paraId="2E615F2D">
      <w:pPr>
        <w:pStyle w:val="17"/>
        <w:tabs>
          <w:tab w:val="right" w:leader="dot" w:pos="8879"/>
        </w:tabs>
        <w:ind w:left="420" w:hanging="420"/>
        <w:rPr>
          <w:color w:val="auto"/>
          <w:highlight w:val="none"/>
        </w:rPr>
      </w:pPr>
      <w:r>
        <w:rPr>
          <w:color w:val="auto"/>
          <w:highlight w:val="none"/>
        </w:rPr>
        <w:fldChar w:fldCharType="begin"/>
      </w:r>
      <w:r>
        <w:rPr>
          <w:color w:val="auto"/>
          <w:highlight w:val="none"/>
        </w:rPr>
        <w:instrText xml:space="preserve"> HYPERLINK \l "_Toc25061" </w:instrText>
      </w:r>
      <w:r>
        <w:rPr>
          <w:color w:val="auto"/>
          <w:highlight w:val="none"/>
        </w:rPr>
        <w:fldChar w:fldCharType="separate"/>
      </w:r>
      <w:r>
        <w:rPr>
          <w:rFonts w:hint="eastAsia" w:ascii="宋体" w:hAnsi="宋体"/>
          <w:color w:val="auto"/>
          <w:highlight w:val="none"/>
        </w:rPr>
        <w:t>第一节 供应商须知前附表</w:t>
      </w:r>
      <w:r>
        <w:rPr>
          <w:color w:val="auto"/>
          <w:highlight w:val="none"/>
        </w:rPr>
        <w:tab/>
      </w:r>
      <w:r>
        <w:rPr>
          <w:color w:val="auto"/>
          <w:highlight w:val="none"/>
        </w:rPr>
        <w:fldChar w:fldCharType="begin"/>
      </w:r>
      <w:r>
        <w:rPr>
          <w:color w:val="auto"/>
          <w:highlight w:val="none"/>
        </w:rPr>
        <w:instrText xml:space="preserve"> PAGEREF _Toc25061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14:paraId="25C1D944">
      <w:pPr>
        <w:pStyle w:val="17"/>
        <w:tabs>
          <w:tab w:val="right" w:leader="dot" w:pos="8879"/>
        </w:tabs>
        <w:ind w:left="420" w:hanging="420"/>
        <w:rPr>
          <w:color w:val="auto"/>
          <w:highlight w:val="none"/>
        </w:rPr>
      </w:pPr>
      <w:r>
        <w:rPr>
          <w:color w:val="auto"/>
          <w:highlight w:val="none"/>
        </w:rPr>
        <w:fldChar w:fldCharType="begin"/>
      </w:r>
      <w:r>
        <w:rPr>
          <w:color w:val="auto"/>
          <w:highlight w:val="none"/>
        </w:rPr>
        <w:instrText xml:space="preserve"> HYPERLINK \l "_Toc22962" </w:instrText>
      </w:r>
      <w:r>
        <w:rPr>
          <w:color w:val="auto"/>
          <w:highlight w:val="none"/>
        </w:rPr>
        <w:fldChar w:fldCharType="separate"/>
      </w:r>
      <w:r>
        <w:rPr>
          <w:rFonts w:hint="eastAsia" w:ascii="宋体" w:hAnsi="宋体"/>
          <w:color w:val="auto"/>
          <w:highlight w:val="none"/>
        </w:rPr>
        <w:t>第二节 供应商须知正文</w:t>
      </w:r>
      <w:r>
        <w:rPr>
          <w:color w:val="auto"/>
          <w:highlight w:val="none"/>
        </w:rPr>
        <w:tab/>
      </w:r>
      <w:r>
        <w:rPr>
          <w:color w:val="auto"/>
          <w:highlight w:val="none"/>
        </w:rPr>
        <w:fldChar w:fldCharType="begin"/>
      </w:r>
      <w:r>
        <w:rPr>
          <w:color w:val="auto"/>
          <w:highlight w:val="none"/>
        </w:rPr>
        <w:instrText xml:space="preserve"> PAGEREF _Toc22962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14:paraId="092D6F0B">
      <w:pPr>
        <w:pStyle w:val="10"/>
        <w:tabs>
          <w:tab w:val="right" w:leader="dot" w:pos="8879"/>
        </w:tabs>
        <w:ind w:left="840" w:hanging="420"/>
        <w:rPr>
          <w:color w:val="auto"/>
          <w:highlight w:val="none"/>
        </w:rPr>
      </w:pPr>
      <w:r>
        <w:rPr>
          <w:color w:val="auto"/>
          <w:highlight w:val="none"/>
        </w:rPr>
        <w:fldChar w:fldCharType="begin"/>
      </w:r>
      <w:r>
        <w:rPr>
          <w:color w:val="auto"/>
          <w:highlight w:val="none"/>
        </w:rPr>
        <w:instrText xml:space="preserve"> HYPERLINK \l "_Toc10364" </w:instrText>
      </w:r>
      <w:r>
        <w:rPr>
          <w:color w:val="auto"/>
          <w:highlight w:val="none"/>
        </w:rPr>
        <w:fldChar w:fldCharType="separate"/>
      </w:r>
      <w:r>
        <w:rPr>
          <w:rFonts w:hint="eastAsia" w:ascii="宋体" w:hAnsi="宋体"/>
          <w:color w:val="auto"/>
          <w:highlight w:val="none"/>
        </w:rPr>
        <w:t>一、总则</w:t>
      </w:r>
      <w:r>
        <w:rPr>
          <w:color w:val="auto"/>
          <w:highlight w:val="none"/>
        </w:rPr>
        <w:tab/>
      </w:r>
      <w:r>
        <w:rPr>
          <w:color w:val="auto"/>
          <w:highlight w:val="none"/>
        </w:rPr>
        <w:fldChar w:fldCharType="begin"/>
      </w:r>
      <w:r>
        <w:rPr>
          <w:color w:val="auto"/>
          <w:highlight w:val="none"/>
        </w:rPr>
        <w:instrText xml:space="preserve"> PAGEREF _Toc10364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14:paraId="490A9354">
      <w:pPr>
        <w:pStyle w:val="10"/>
        <w:tabs>
          <w:tab w:val="right" w:leader="dot" w:pos="8879"/>
        </w:tabs>
        <w:ind w:left="840" w:hanging="420"/>
        <w:rPr>
          <w:color w:val="auto"/>
          <w:highlight w:val="none"/>
        </w:rPr>
      </w:pPr>
      <w:r>
        <w:rPr>
          <w:color w:val="auto"/>
          <w:highlight w:val="none"/>
        </w:rPr>
        <w:fldChar w:fldCharType="begin"/>
      </w:r>
      <w:r>
        <w:rPr>
          <w:color w:val="auto"/>
          <w:highlight w:val="none"/>
        </w:rPr>
        <w:instrText xml:space="preserve"> HYPERLINK \l "_Toc28927" </w:instrText>
      </w:r>
      <w:r>
        <w:rPr>
          <w:color w:val="auto"/>
          <w:highlight w:val="none"/>
        </w:rPr>
        <w:fldChar w:fldCharType="separate"/>
      </w:r>
      <w:r>
        <w:rPr>
          <w:rFonts w:hint="eastAsia" w:ascii="宋体" w:hAnsi="宋体"/>
          <w:color w:val="auto"/>
          <w:highlight w:val="none"/>
        </w:rPr>
        <w:t>二、磋商文件</w:t>
      </w:r>
      <w:r>
        <w:rPr>
          <w:color w:val="auto"/>
          <w:highlight w:val="none"/>
        </w:rPr>
        <w:tab/>
      </w:r>
      <w:r>
        <w:rPr>
          <w:color w:val="auto"/>
          <w:highlight w:val="none"/>
        </w:rPr>
        <w:fldChar w:fldCharType="begin"/>
      </w:r>
      <w:r>
        <w:rPr>
          <w:color w:val="auto"/>
          <w:highlight w:val="none"/>
        </w:rPr>
        <w:instrText xml:space="preserve"> PAGEREF _Toc28927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14:paraId="4BFCF294">
      <w:pPr>
        <w:pStyle w:val="10"/>
        <w:tabs>
          <w:tab w:val="right" w:leader="dot" w:pos="8879"/>
        </w:tabs>
        <w:ind w:left="840" w:hanging="420"/>
        <w:rPr>
          <w:color w:val="auto"/>
          <w:highlight w:val="none"/>
        </w:rPr>
      </w:pPr>
      <w:r>
        <w:rPr>
          <w:color w:val="auto"/>
          <w:highlight w:val="none"/>
        </w:rPr>
        <w:fldChar w:fldCharType="begin"/>
      </w:r>
      <w:r>
        <w:rPr>
          <w:color w:val="auto"/>
          <w:highlight w:val="none"/>
        </w:rPr>
        <w:instrText xml:space="preserve"> HYPERLINK \l "_Toc12927" </w:instrText>
      </w:r>
      <w:r>
        <w:rPr>
          <w:color w:val="auto"/>
          <w:highlight w:val="none"/>
        </w:rPr>
        <w:fldChar w:fldCharType="separate"/>
      </w:r>
      <w:r>
        <w:rPr>
          <w:rFonts w:hint="eastAsia" w:ascii="宋体" w:hAnsi="宋体"/>
          <w:color w:val="auto"/>
          <w:highlight w:val="none"/>
        </w:rPr>
        <w:t>三、响应文件的编制</w:t>
      </w:r>
      <w:r>
        <w:rPr>
          <w:color w:val="auto"/>
          <w:highlight w:val="none"/>
        </w:rPr>
        <w:tab/>
      </w:r>
      <w:r>
        <w:rPr>
          <w:color w:val="auto"/>
          <w:highlight w:val="none"/>
        </w:rPr>
        <w:fldChar w:fldCharType="begin"/>
      </w:r>
      <w:r>
        <w:rPr>
          <w:color w:val="auto"/>
          <w:highlight w:val="none"/>
        </w:rPr>
        <w:instrText xml:space="preserve"> PAGEREF _Toc12927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14:paraId="5EFAD65B">
      <w:pPr>
        <w:pStyle w:val="10"/>
        <w:tabs>
          <w:tab w:val="right" w:leader="dot" w:pos="8879"/>
        </w:tabs>
        <w:ind w:left="840" w:hanging="420"/>
        <w:rPr>
          <w:color w:val="auto"/>
          <w:highlight w:val="none"/>
        </w:rPr>
      </w:pPr>
      <w:r>
        <w:rPr>
          <w:color w:val="auto"/>
          <w:highlight w:val="none"/>
        </w:rPr>
        <w:fldChar w:fldCharType="begin"/>
      </w:r>
      <w:r>
        <w:rPr>
          <w:color w:val="auto"/>
          <w:highlight w:val="none"/>
        </w:rPr>
        <w:instrText xml:space="preserve"> HYPERLINK \l "_Toc12248" </w:instrText>
      </w:r>
      <w:r>
        <w:rPr>
          <w:color w:val="auto"/>
          <w:highlight w:val="none"/>
        </w:rPr>
        <w:fldChar w:fldCharType="separate"/>
      </w:r>
      <w:r>
        <w:rPr>
          <w:rFonts w:hint="eastAsia" w:ascii="宋体" w:hAnsi="宋体"/>
          <w:color w:val="auto"/>
          <w:highlight w:val="none"/>
        </w:rPr>
        <w:t>四、评审及磋商</w:t>
      </w:r>
      <w:r>
        <w:rPr>
          <w:color w:val="auto"/>
          <w:highlight w:val="none"/>
        </w:rPr>
        <w:tab/>
      </w:r>
      <w:r>
        <w:rPr>
          <w:color w:val="auto"/>
          <w:highlight w:val="none"/>
        </w:rPr>
        <w:fldChar w:fldCharType="begin"/>
      </w:r>
      <w:r>
        <w:rPr>
          <w:color w:val="auto"/>
          <w:highlight w:val="none"/>
        </w:rPr>
        <w:instrText xml:space="preserve"> PAGEREF _Toc12248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14:paraId="395847C7">
      <w:pPr>
        <w:pStyle w:val="10"/>
        <w:tabs>
          <w:tab w:val="right" w:leader="dot" w:pos="8879"/>
        </w:tabs>
        <w:ind w:left="840" w:hanging="420"/>
        <w:rPr>
          <w:color w:val="auto"/>
          <w:highlight w:val="none"/>
        </w:rPr>
      </w:pPr>
      <w:r>
        <w:rPr>
          <w:color w:val="auto"/>
          <w:highlight w:val="none"/>
        </w:rPr>
        <w:fldChar w:fldCharType="begin"/>
      </w:r>
      <w:r>
        <w:rPr>
          <w:color w:val="auto"/>
          <w:highlight w:val="none"/>
        </w:rPr>
        <w:instrText xml:space="preserve"> HYPERLINK \l "_Toc31092" </w:instrText>
      </w:r>
      <w:r>
        <w:rPr>
          <w:color w:val="auto"/>
          <w:highlight w:val="none"/>
        </w:rPr>
        <w:fldChar w:fldCharType="separate"/>
      </w:r>
      <w:r>
        <w:rPr>
          <w:rFonts w:hint="eastAsia" w:ascii="宋体" w:hAnsi="宋体"/>
          <w:color w:val="auto"/>
          <w:highlight w:val="none"/>
        </w:rPr>
        <w:t>五、成交及合同</w:t>
      </w:r>
      <w:r>
        <w:rPr>
          <w:color w:val="auto"/>
          <w:highlight w:val="none"/>
        </w:rPr>
        <w:tab/>
      </w:r>
      <w:r>
        <w:rPr>
          <w:color w:val="auto"/>
          <w:highlight w:val="none"/>
        </w:rPr>
        <w:fldChar w:fldCharType="begin"/>
      </w:r>
      <w:r>
        <w:rPr>
          <w:color w:val="auto"/>
          <w:highlight w:val="none"/>
        </w:rPr>
        <w:instrText xml:space="preserve"> PAGEREF _Toc31092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14:paraId="09834946">
      <w:pPr>
        <w:pStyle w:val="10"/>
        <w:tabs>
          <w:tab w:val="right" w:leader="dot" w:pos="8879"/>
        </w:tabs>
        <w:ind w:left="840" w:hanging="420"/>
        <w:rPr>
          <w:color w:val="auto"/>
          <w:highlight w:val="none"/>
        </w:rPr>
      </w:pPr>
      <w:r>
        <w:rPr>
          <w:color w:val="auto"/>
          <w:highlight w:val="none"/>
        </w:rPr>
        <w:fldChar w:fldCharType="begin"/>
      </w:r>
      <w:r>
        <w:rPr>
          <w:color w:val="auto"/>
          <w:highlight w:val="none"/>
        </w:rPr>
        <w:instrText xml:space="preserve"> HYPERLINK \l "_Toc536" </w:instrText>
      </w:r>
      <w:r>
        <w:rPr>
          <w:color w:val="auto"/>
          <w:highlight w:val="none"/>
        </w:rPr>
        <w:fldChar w:fldCharType="separate"/>
      </w:r>
      <w:r>
        <w:rPr>
          <w:rFonts w:hint="eastAsia" w:ascii="宋体" w:hAnsi="宋体"/>
          <w:color w:val="auto"/>
          <w:highlight w:val="none"/>
        </w:rPr>
        <w:t>六、验收</w:t>
      </w:r>
      <w:r>
        <w:rPr>
          <w:color w:val="auto"/>
          <w:highlight w:val="none"/>
        </w:rPr>
        <w:tab/>
      </w:r>
      <w:r>
        <w:rPr>
          <w:color w:val="auto"/>
          <w:highlight w:val="none"/>
        </w:rPr>
        <w:fldChar w:fldCharType="begin"/>
      </w:r>
      <w:r>
        <w:rPr>
          <w:color w:val="auto"/>
          <w:highlight w:val="none"/>
        </w:rPr>
        <w:instrText xml:space="preserve"> PAGEREF _Toc536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14:paraId="152D9F26">
      <w:pPr>
        <w:pStyle w:val="10"/>
        <w:tabs>
          <w:tab w:val="right" w:leader="dot" w:pos="8879"/>
        </w:tabs>
        <w:ind w:left="840" w:hanging="420"/>
        <w:rPr>
          <w:color w:val="auto"/>
          <w:highlight w:val="none"/>
        </w:rPr>
      </w:pPr>
      <w:r>
        <w:rPr>
          <w:color w:val="auto"/>
          <w:highlight w:val="none"/>
        </w:rPr>
        <w:fldChar w:fldCharType="begin"/>
      </w:r>
      <w:r>
        <w:rPr>
          <w:color w:val="auto"/>
          <w:highlight w:val="none"/>
        </w:rPr>
        <w:instrText xml:space="preserve"> HYPERLINK \l "_Toc30836" </w:instrText>
      </w:r>
      <w:r>
        <w:rPr>
          <w:color w:val="auto"/>
          <w:highlight w:val="none"/>
        </w:rPr>
        <w:fldChar w:fldCharType="separate"/>
      </w:r>
      <w:r>
        <w:rPr>
          <w:rFonts w:hint="eastAsia" w:ascii="宋体" w:hAnsi="宋体"/>
          <w:color w:val="auto"/>
          <w:highlight w:val="none"/>
        </w:rPr>
        <w:t>七、其他事项</w:t>
      </w:r>
      <w:r>
        <w:rPr>
          <w:color w:val="auto"/>
          <w:highlight w:val="none"/>
        </w:rPr>
        <w:tab/>
      </w:r>
      <w:r>
        <w:rPr>
          <w:color w:val="auto"/>
          <w:highlight w:val="none"/>
        </w:rPr>
        <w:fldChar w:fldCharType="begin"/>
      </w:r>
      <w:r>
        <w:rPr>
          <w:color w:val="auto"/>
          <w:highlight w:val="none"/>
        </w:rPr>
        <w:instrText xml:space="preserve"> PAGEREF _Toc30836 \h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14:paraId="1BCC5D14">
      <w:pPr>
        <w:tabs>
          <w:tab w:val="right" w:leader="dot" w:pos="8879"/>
        </w:tabs>
        <w:rPr>
          <w:color w:val="auto"/>
          <w:highlight w:val="none"/>
        </w:rPr>
      </w:pPr>
      <w:r>
        <w:rPr>
          <w:color w:val="auto"/>
          <w:highlight w:val="none"/>
        </w:rPr>
        <w:fldChar w:fldCharType="begin"/>
      </w:r>
      <w:r>
        <w:rPr>
          <w:color w:val="auto"/>
          <w:highlight w:val="none"/>
        </w:rPr>
        <w:instrText xml:space="preserve"> HYPERLINK \l "_Toc25211" </w:instrText>
      </w:r>
      <w:r>
        <w:rPr>
          <w:color w:val="auto"/>
          <w:highlight w:val="none"/>
        </w:rPr>
        <w:fldChar w:fldCharType="separate"/>
      </w:r>
      <w:r>
        <w:rPr>
          <w:rFonts w:hint="eastAsia"/>
          <w:color w:val="auto"/>
          <w:highlight w:val="none"/>
        </w:rPr>
        <w:t>第四章</w:t>
      </w:r>
      <w:r>
        <w:rPr>
          <w:color w:val="auto"/>
          <w:highlight w:val="none"/>
        </w:rPr>
        <w:t xml:space="preserve">  </w:t>
      </w:r>
      <w:r>
        <w:rPr>
          <w:rFonts w:hint="eastAsia"/>
          <w:color w:val="auto"/>
          <w:highlight w:val="none"/>
        </w:rPr>
        <w:t>评审</w:t>
      </w:r>
      <w:bookmarkStart w:id="0" w:name="_Hlt116481243"/>
      <w:r>
        <w:rPr>
          <w:rFonts w:hint="eastAsia"/>
          <w:color w:val="auto"/>
          <w:highlight w:val="none"/>
        </w:rPr>
        <w:t>程</w:t>
      </w:r>
      <w:bookmarkEnd w:id="0"/>
      <w:r>
        <w:rPr>
          <w:rFonts w:hint="eastAsia"/>
          <w:color w:val="auto"/>
          <w:highlight w:val="none"/>
        </w:rPr>
        <w:t>序、评审</w:t>
      </w:r>
      <w:bookmarkStart w:id="1" w:name="_Hlt129548490"/>
      <w:bookmarkStart w:id="2" w:name="_Hlt129548491"/>
      <w:r>
        <w:rPr>
          <w:rFonts w:hint="eastAsia"/>
          <w:color w:val="auto"/>
          <w:highlight w:val="none"/>
        </w:rPr>
        <w:t>方</w:t>
      </w:r>
      <w:bookmarkEnd w:id="1"/>
      <w:bookmarkEnd w:id="2"/>
      <w:bookmarkStart w:id="3" w:name="_Hlt177567352"/>
      <w:bookmarkStart w:id="4" w:name="_Hlt177567353"/>
      <w:r>
        <w:rPr>
          <w:rFonts w:hint="eastAsia"/>
          <w:color w:val="auto"/>
          <w:highlight w:val="none"/>
        </w:rPr>
        <w:t>法</w:t>
      </w:r>
      <w:bookmarkEnd w:id="3"/>
      <w:bookmarkEnd w:id="4"/>
      <w:r>
        <w:rPr>
          <w:rFonts w:hint="eastAsia"/>
          <w:color w:val="auto"/>
          <w:highlight w:val="none"/>
        </w:rPr>
        <w:t>和评</w:t>
      </w:r>
      <w:bookmarkStart w:id="5" w:name="_Hlt165383549"/>
      <w:r>
        <w:rPr>
          <w:rFonts w:hint="eastAsia"/>
          <w:color w:val="auto"/>
          <w:highlight w:val="none"/>
        </w:rPr>
        <w:t>审</w:t>
      </w:r>
      <w:bookmarkEnd w:id="5"/>
      <w:r>
        <w:rPr>
          <w:rFonts w:hint="eastAsia"/>
          <w:color w:val="auto"/>
          <w:highlight w:val="none"/>
        </w:rPr>
        <w:t>标准</w:t>
      </w:r>
      <w:r>
        <w:rPr>
          <w:color w:val="auto"/>
          <w:highlight w:val="none"/>
        </w:rPr>
        <w:tab/>
      </w:r>
      <w:r>
        <w:rPr>
          <w:color w:val="auto"/>
          <w:highlight w:val="none"/>
        </w:rPr>
        <w:fldChar w:fldCharType="begin"/>
      </w:r>
      <w:r>
        <w:rPr>
          <w:color w:val="auto"/>
          <w:highlight w:val="none"/>
        </w:rPr>
        <w:instrText xml:space="preserve"> PAGEREF _Toc25211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14:paraId="0BF38FC9">
      <w:pPr>
        <w:pStyle w:val="17"/>
        <w:tabs>
          <w:tab w:val="right" w:leader="dot" w:pos="8879"/>
        </w:tabs>
        <w:ind w:left="420" w:hanging="420"/>
        <w:rPr>
          <w:color w:val="auto"/>
          <w:highlight w:val="none"/>
        </w:rPr>
      </w:pPr>
      <w:r>
        <w:rPr>
          <w:color w:val="auto"/>
          <w:highlight w:val="none"/>
        </w:rPr>
        <w:fldChar w:fldCharType="begin"/>
      </w:r>
      <w:r>
        <w:rPr>
          <w:color w:val="auto"/>
          <w:highlight w:val="none"/>
        </w:rPr>
        <w:instrText xml:space="preserve"> HYPERLINK \l "_Toc833" </w:instrText>
      </w:r>
      <w:r>
        <w:rPr>
          <w:color w:val="auto"/>
          <w:highlight w:val="none"/>
        </w:rPr>
        <w:fldChar w:fldCharType="separate"/>
      </w:r>
      <w:r>
        <w:rPr>
          <w:rFonts w:hint="eastAsia" w:ascii="宋体" w:hAnsi="宋体"/>
          <w:color w:val="auto"/>
          <w:highlight w:val="none"/>
        </w:rPr>
        <w:t>第一节 评审程序和评审方法</w:t>
      </w:r>
      <w:r>
        <w:rPr>
          <w:color w:val="auto"/>
          <w:highlight w:val="none"/>
        </w:rPr>
        <w:tab/>
      </w:r>
      <w:r>
        <w:rPr>
          <w:color w:val="auto"/>
          <w:highlight w:val="none"/>
        </w:rPr>
        <w:fldChar w:fldCharType="begin"/>
      </w:r>
      <w:r>
        <w:rPr>
          <w:color w:val="auto"/>
          <w:highlight w:val="none"/>
        </w:rPr>
        <w:instrText xml:space="preserve"> PAGEREF _Toc833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14:paraId="21742811">
      <w:pPr>
        <w:pStyle w:val="17"/>
        <w:tabs>
          <w:tab w:val="right" w:leader="dot" w:pos="8879"/>
        </w:tabs>
        <w:ind w:left="420" w:hanging="420"/>
        <w:rPr>
          <w:color w:val="auto"/>
          <w:highlight w:val="none"/>
        </w:rPr>
      </w:pPr>
      <w:r>
        <w:rPr>
          <w:color w:val="auto"/>
          <w:highlight w:val="none"/>
        </w:rPr>
        <w:fldChar w:fldCharType="begin"/>
      </w:r>
      <w:r>
        <w:rPr>
          <w:color w:val="auto"/>
          <w:highlight w:val="none"/>
        </w:rPr>
        <w:instrText xml:space="preserve"> HYPERLINK \l "_Toc29129" </w:instrText>
      </w:r>
      <w:r>
        <w:rPr>
          <w:color w:val="auto"/>
          <w:highlight w:val="none"/>
        </w:rPr>
        <w:fldChar w:fldCharType="separate"/>
      </w:r>
      <w:r>
        <w:rPr>
          <w:rFonts w:hint="eastAsia" w:ascii="宋体" w:hAnsi="宋体"/>
          <w:color w:val="auto"/>
          <w:highlight w:val="none"/>
        </w:rPr>
        <w:t>第二节 评标报</w:t>
      </w:r>
      <w:bookmarkStart w:id="6" w:name="_Hlt139904960"/>
      <w:bookmarkStart w:id="7" w:name="_Hlt139904961"/>
      <w:r>
        <w:rPr>
          <w:rFonts w:hint="eastAsia" w:ascii="宋体" w:hAnsi="宋体"/>
          <w:color w:val="auto"/>
          <w:highlight w:val="none"/>
        </w:rPr>
        <w:t>告</w:t>
      </w:r>
      <w:bookmarkEnd w:id="6"/>
      <w:bookmarkEnd w:id="7"/>
      <w:r>
        <w:rPr>
          <w:color w:val="auto"/>
          <w:highlight w:val="none"/>
        </w:rPr>
        <w:tab/>
      </w:r>
      <w:r>
        <w:rPr>
          <w:color w:val="auto"/>
          <w:highlight w:val="none"/>
        </w:rPr>
        <w:fldChar w:fldCharType="begin"/>
      </w:r>
      <w:r>
        <w:rPr>
          <w:color w:val="auto"/>
          <w:highlight w:val="none"/>
        </w:rPr>
        <w:instrText xml:space="preserve"> PAGEREF _Toc29129 \h </w:instrText>
      </w:r>
      <w:r>
        <w:rPr>
          <w:color w:val="auto"/>
          <w:highlight w:val="none"/>
        </w:rPr>
        <w:fldChar w:fldCharType="separate"/>
      </w:r>
      <w:r>
        <w:rPr>
          <w:color w:val="auto"/>
          <w:highlight w:val="none"/>
        </w:rPr>
        <w:t>38</w:t>
      </w:r>
      <w:r>
        <w:rPr>
          <w:color w:val="auto"/>
          <w:highlight w:val="none"/>
        </w:rPr>
        <w:fldChar w:fldCharType="end"/>
      </w:r>
      <w:r>
        <w:rPr>
          <w:color w:val="auto"/>
          <w:highlight w:val="none"/>
        </w:rPr>
        <w:fldChar w:fldCharType="end"/>
      </w:r>
    </w:p>
    <w:p w14:paraId="78C37E03">
      <w:pPr>
        <w:pStyle w:val="17"/>
        <w:tabs>
          <w:tab w:val="right" w:leader="dot" w:pos="8879"/>
        </w:tabs>
        <w:ind w:left="420" w:hanging="420"/>
        <w:rPr>
          <w:color w:val="auto"/>
          <w:highlight w:val="none"/>
        </w:rPr>
      </w:pPr>
      <w:r>
        <w:rPr>
          <w:color w:val="auto"/>
          <w:highlight w:val="none"/>
        </w:rPr>
        <w:fldChar w:fldCharType="begin"/>
      </w:r>
      <w:r>
        <w:rPr>
          <w:color w:val="auto"/>
          <w:highlight w:val="none"/>
        </w:rPr>
        <w:instrText xml:space="preserve"> HYPERLINK \l "_Toc11092" </w:instrText>
      </w:r>
      <w:r>
        <w:rPr>
          <w:color w:val="auto"/>
          <w:highlight w:val="none"/>
        </w:rPr>
        <w:fldChar w:fldCharType="separate"/>
      </w:r>
      <w:r>
        <w:rPr>
          <w:rFonts w:hint="eastAsia" w:ascii="宋体" w:hAnsi="宋体"/>
          <w:color w:val="auto"/>
          <w:highlight w:val="none"/>
        </w:rPr>
        <w:t>第三节 评审过程的保密与录像</w:t>
      </w:r>
      <w:r>
        <w:rPr>
          <w:color w:val="auto"/>
          <w:highlight w:val="none"/>
        </w:rPr>
        <w:tab/>
      </w:r>
      <w:r>
        <w:rPr>
          <w:color w:val="auto"/>
          <w:highlight w:val="none"/>
        </w:rPr>
        <w:fldChar w:fldCharType="begin"/>
      </w:r>
      <w:r>
        <w:rPr>
          <w:color w:val="auto"/>
          <w:highlight w:val="none"/>
        </w:rPr>
        <w:instrText xml:space="preserve"> PAGEREF _Toc11092 \h </w:instrText>
      </w:r>
      <w:r>
        <w:rPr>
          <w:color w:val="auto"/>
          <w:highlight w:val="none"/>
        </w:rPr>
        <w:fldChar w:fldCharType="separate"/>
      </w:r>
      <w:r>
        <w:rPr>
          <w:color w:val="auto"/>
          <w:highlight w:val="none"/>
        </w:rPr>
        <w:t>38</w:t>
      </w:r>
      <w:r>
        <w:rPr>
          <w:color w:val="auto"/>
          <w:highlight w:val="none"/>
        </w:rPr>
        <w:fldChar w:fldCharType="end"/>
      </w:r>
      <w:r>
        <w:rPr>
          <w:color w:val="auto"/>
          <w:highlight w:val="none"/>
        </w:rPr>
        <w:fldChar w:fldCharType="end"/>
      </w:r>
    </w:p>
    <w:p w14:paraId="7FA21787">
      <w:pPr>
        <w:tabs>
          <w:tab w:val="right" w:leader="dot" w:pos="8879"/>
        </w:tabs>
        <w:rPr>
          <w:color w:val="auto"/>
          <w:highlight w:val="none"/>
        </w:rPr>
      </w:pPr>
      <w:r>
        <w:rPr>
          <w:color w:val="auto"/>
          <w:highlight w:val="none"/>
        </w:rPr>
        <w:fldChar w:fldCharType="begin"/>
      </w:r>
      <w:r>
        <w:rPr>
          <w:color w:val="auto"/>
          <w:highlight w:val="none"/>
        </w:rPr>
        <w:instrText xml:space="preserve"> HYPERLINK \l "_Toc18495" </w:instrText>
      </w:r>
      <w:r>
        <w:rPr>
          <w:color w:val="auto"/>
          <w:highlight w:val="none"/>
        </w:rPr>
        <w:fldChar w:fldCharType="separate"/>
      </w:r>
      <w:r>
        <w:rPr>
          <w:rFonts w:hint="eastAsia"/>
          <w:color w:val="auto"/>
          <w:highlight w:val="none"/>
        </w:rPr>
        <w:t>第五章</w:t>
      </w:r>
      <w:r>
        <w:rPr>
          <w:color w:val="auto"/>
          <w:highlight w:val="none"/>
        </w:rPr>
        <w:t xml:space="preserve"> </w:t>
      </w:r>
      <w:r>
        <w:rPr>
          <w:rFonts w:hint="eastAsia"/>
          <w:color w:val="auto"/>
          <w:highlight w:val="none"/>
        </w:rPr>
        <w:t>响应文件格式</w:t>
      </w:r>
      <w:r>
        <w:rPr>
          <w:color w:val="auto"/>
          <w:highlight w:val="none"/>
        </w:rPr>
        <w:tab/>
      </w:r>
      <w:r>
        <w:rPr>
          <w:color w:val="auto"/>
          <w:highlight w:val="none"/>
        </w:rPr>
        <w:fldChar w:fldCharType="begin"/>
      </w:r>
      <w:r>
        <w:rPr>
          <w:color w:val="auto"/>
          <w:highlight w:val="none"/>
        </w:rPr>
        <w:instrText xml:space="preserve"> PAGEREF _Toc18495 \h </w:instrText>
      </w:r>
      <w:r>
        <w:rPr>
          <w:color w:val="auto"/>
          <w:highlight w:val="none"/>
        </w:rPr>
        <w:fldChar w:fldCharType="separate"/>
      </w:r>
      <w:r>
        <w:rPr>
          <w:color w:val="auto"/>
          <w:highlight w:val="none"/>
        </w:rPr>
        <w:t>39</w:t>
      </w:r>
      <w:r>
        <w:rPr>
          <w:color w:val="auto"/>
          <w:highlight w:val="none"/>
        </w:rPr>
        <w:fldChar w:fldCharType="end"/>
      </w:r>
      <w:r>
        <w:rPr>
          <w:color w:val="auto"/>
          <w:highlight w:val="none"/>
        </w:rPr>
        <w:fldChar w:fldCharType="end"/>
      </w:r>
    </w:p>
    <w:p w14:paraId="54BE0474">
      <w:pPr>
        <w:pStyle w:val="17"/>
        <w:tabs>
          <w:tab w:val="right" w:leader="dot" w:pos="8879"/>
        </w:tabs>
        <w:ind w:left="420" w:hanging="420"/>
        <w:rPr>
          <w:color w:val="auto"/>
          <w:highlight w:val="none"/>
        </w:rPr>
      </w:pPr>
      <w:r>
        <w:rPr>
          <w:color w:val="auto"/>
          <w:highlight w:val="none"/>
        </w:rPr>
        <w:fldChar w:fldCharType="begin"/>
      </w:r>
      <w:r>
        <w:rPr>
          <w:color w:val="auto"/>
          <w:highlight w:val="none"/>
        </w:rPr>
        <w:instrText xml:space="preserve"> HYPERLINK \l "_Toc18956" </w:instrText>
      </w:r>
      <w:r>
        <w:rPr>
          <w:color w:val="auto"/>
          <w:highlight w:val="none"/>
        </w:rPr>
        <w:fldChar w:fldCharType="separate"/>
      </w:r>
      <w:r>
        <w:rPr>
          <w:rFonts w:hint="eastAsia" w:ascii="宋体" w:hAnsi="宋体"/>
          <w:color w:val="auto"/>
          <w:highlight w:val="none"/>
        </w:rPr>
        <w:t>第一节 封面格式</w:t>
      </w:r>
      <w:r>
        <w:rPr>
          <w:color w:val="auto"/>
          <w:highlight w:val="none"/>
        </w:rPr>
        <w:tab/>
      </w:r>
      <w:r>
        <w:rPr>
          <w:color w:val="auto"/>
          <w:highlight w:val="none"/>
        </w:rPr>
        <w:fldChar w:fldCharType="begin"/>
      </w:r>
      <w:r>
        <w:rPr>
          <w:color w:val="auto"/>
          <w:highlight w:val="none"/>
        </w:rPr>
        <w:instrText xml:space="preserve"> PAGEREF _Toc18956 \h </w:instrText>
      </w:r>
      <w:r>
        <w:rPr>
          <w:color w:val="auto"/>
          <w:highlight w:val="none"/>
        </w:rPr>
        <w:fldChar w:fldCharType="separate"/>
      </w:r>
      <w:r>
        <w:rPr>
          <w:color w:val="auto"/>
          <w:highlight w:val="none"/>
        </w:rPr>
        <w:t>40</w:t>
      </w:r>
      <w:r>
        <w:rPr>
          <w:color w:val="auto"/>
          <w:highlight w:val="none"/>
        </w:rPr>
        <w:fldChar w:fldCharType="end"/>
      </w:r>
      <w:r>
        <w:rPr>
          <w:color w:val="auto"/>
          <w:highlight w:val="none"/>
        </w:rPr>
        <w:fldChar w:fldCharType="end"/>
      </w:r>
    </w:p>
    <w:p w14:paraId="1F299042">
      <w:pPr>
        <w:pStyle w:val="17"/>
        <w:tabs>
          <w:tab w:val="right" w:leader="dot" w:pos="8879"/>
        </w:tabs>
        <w:ind w:left="420" w:hanging="420"/>
        <w:rPr>
          <w:color w:val="auto"/>
          <w:highlight w:val="none"/>
        </w:rPr>
      </w:pPr>
      <w:r>
        <w:rPr>
          <w:color w:val="auto"/>
          <w:highlight w:val="none"/>
        </w:rPr>
        <w:fldChar w:fldCharType="begin"/>
      </w:r>
      <w:r>
        <w:rPr>
          <w:color w:val="auto"/>
          <w:highlight w:val="none"/>
        </w:rPr>
        <w:instrText xml:space="preserve"> HYPERLINK \l "_Toc23404" </w:instrText>
      </w:r>
      <w:r>
        <w:rPr>
          <w:color w:val="auto"/>
          <w:highlight w:val="none"/>
        </w:rPr>
        <w:fldChar w:fldCharType="separate"/>
      </w:r>
      <w:r>
        <w:rPr>
          <w:rFonts w:hint="eastAsia" w:ascii="宋体" w:hAnsi="宋体"/>
          <w:color w:val="auto"/>
          <w:highlight w:val="none"/>
        </w:rPr>
        <w:t>第二节 资格证明文件格式</w:t>
      </w:r>
      <w:r>
        <w:rPr>
          <w:color w:val="auto"/>
          <w:highlight w:val="none"/>
        </w:rPr>
        <w:tab/>
      </w:r>
      <w:r>
        <w:rPr>
          <w:color w:val="auto"/>
          <w:highlight w:val="none"/>
        </w:rPr>
        <w:fldChar w:fldCharType="begin"/>
      </w:r>
      <w:r>
        <w:rPr>
          <w:color w:val="auto"/>
          <w:highlight w:val="none"/>
        </w:rPr>
        <w:instrText xml:space="preserve"> PAGEREF _Toc23404 \h </w:instrText>
      </w:r>
      <w:r>
        <w:rPr>
          <w:color w:val="auto"/>
          <w:highlight w:val="none"/>
        </w:rPr>
        <w:fldChar w:fldCharType="separate"/>
      </w:r>
      <w:r>
        <w:rPr>
          <w:color w:val="auto"/>
          <w:highlight w:val="none"/>
        </w:rPr>
        <w:t>41</w:t>
      </w:r>
      <w:r>
        <w:rPr>
          <w:color w:val="auto"/>
          <w:highlight w:val="none"/>
        </w:rPr>
        <w:fldChar w:fldCharType="end"/>
      </w:r>
      <w:r>
        <w:rPr>
          <w:color w:val="auto"/>
          <w:highlight w:val="none"/>
        </w:rPr>
        <w:fldChar w:fldCharType="end"/>
      </w:r>
    </w:p>
    <w:p w14:paraId="5C6FE533">
      <w:pPr>
        <w:pStyle w:val="17"/>
        <w:tabs>
          <w:tab w:val="right" w:leader="dot" w:pos="8879"/>
        </w:tabs>
        <w:ind w:left="420" w:hanging="420"/>
        <w:rPr>
          <w:color w:val="auto"/>
          <w:highlight w:val="none"/>
        </w:rPr>
      </w:pPr>
      <w:r>
        <w:rPr>
          <w:color w:val="auto"/>
          <w:highlight w:val="none"/>
        </w:rPr>
        <w:fldChar w:fldCharType="begin"/>
      </w:r>
      <w:r>
        <w:rPr>
          <w:color w:val="auto"/>
          <w:highlight w:val="none"/>
        </w:rPr>
        <w:instrText xml:space="preserve"> HYPERLINK \l "_Toc16804" </w:instrText>
      </w:r>
      <w:r>
        <w:rPr>
          <w:color w:val="auto"/>
          <w:highlight w:val="none"/>
        </w:rPr>
        <w:fldChar w:fldCharType="separate"/>
      </w:r>
      <w:r>
        <w:rPr>
          <w:rFonts w:hint="eastAsia" w:ascii="宋体" w:hAnsi="宋体"/>
          <w:color w:val="auto"/>
          <w:highlight w:val="none"/>
        </w:rPr>
        <w:t>第三节 商务技术文件格式</w:t>
      </w:r>
      <w:r>
        <w:rPr>
          <w:color w:val="auto"/>
          <w:highlight w:val="none"/>
        </w:rPr>
        <w:tab/>
      </w:r>
      <w:r>
        <w:rPr>
          <w:color w:val="auto"/>
          <w:highlight w:val="none"/>
        </w:rPr>
        <w:fldChar w:fldCharType="begin"/>
      </w:r>
      <w:r>
        <w:rPr>
          <w:color w:val="auto"/>
          <w:highlight w:val="none"/>
        </w:rPr>
        <w:instrText xml:space="preserve"> PAGEREF _Toc16804 \h </w:instrText>
      </w:r>
      <w:r>
        <w:rPr>
          <w:color w:val="auto"/>
          <w:highlight w:val="none"/>
        </w:rPr>
        <w:fldChar w:fldCharType="separate"/>
      </w:r>
      <w:r>
        <w:rPr>
          <w:color w:val="auto"/>
          <w:highlight w:val="none"/>
        </w:rPr>
        <w:t>52</w:t>
      </w:r>
      <w:r>
        <w:rPr>
          <w:color w:val="auto"/>
          <w:highlight w:val="none"/>
        </w:rPr>
        <w:fldChar w:fldCharType="end"/>
      </w:r>
      <w:r>
        <w:rPr>
          <w:color w:val="auto"/>
          <w:highlight w:val="none"/>
        </w:rPr>
        <w:fldChar w:fldCharType="end"/>
      </w:r>
    </w:p>
    <w:p w14:paraId="501AF457">
      <w:pPr>
        <w:pStyle w:val="17"/>
        <w:tabs>
          <w:tab w:val="right" w:leader="dot" w:pos="8879"/>
        </w:tabs>
        <w:ind w:left="420" w:hanging="420"/>
        <w:rPr>
          <w:color w:val="auto"/>
          <w:highlight w:val="none"/>
        </w:rPr>
      </w:pPr>
      <w:r>
        <w:rPr>
          <w:color w:val="auto"/>
          <w:highlight w:val="none"/>
        </w:rPr>
        <w:fldChar w:fldCharType="begin"/>
      </w:r>
      <w:r>
        <w:rPr>
          <w:color w:val="auto"/>
          <w:highlight w:val="none"/>
        </w:rPr>
        <w:instrText xml:space="preserve"> HYPERLINK \l "_Toc25570" </w:instrText>
      </w:r>
      <w:r>
        <w:rPr>
          <w:color w:val="auto"/>
          <w:highlight w:val="none"/>
        </w:rPr>
        <w:fldChar w:fldCharType="separate"/>
      </w:r>
      <w:r>
        <w:rPr>
          <w:rFonts w:hint="eastAsia" w:ascii="宋体" w:hAnsi="宋体"/>
          <w:color w:val="auto"/>
          <w:highlight w:val="none"/>
        </w:rPr>
        <w:t>第四节 报价文件格式</w:t>
      </w:r>
      <w:r>
        <w:rPr>
          <w:color w:val="auto"/>
          <w:highlight w:val="none"/>
        </w:rPr>
        <w:tab/>
      </w:r>
      <w:r>
        <w:rPr>
          <w:color w:val="auto"/>
          <w:highlight w:val="none"/>
        </w:rPr>
        <w:fldChar w:fldCharType="begin"/>
      </w:r>
      <w:r>
        <w:rPr>
          <w:color w:val="auto"/>
          <w:highlight w:val="none"/>
        </w:rPr>
        <w:instrText xml:space="preserve"> PAGEREF _Toc25570 \h </w:instrText>
      </w:r>
      <w:r>
        <w:rPr>
          <w:color w:val="auto"/>
          <w:highlight w:val="none"/>
        </w:rPr>
        <w:fldChar w:fldCharType="separate"/>
      </w:r>
      <w:r>
        <w:rPr>
          <w:color w:val="auto"/>
          <w:highlight w:val="none"/>
        </w:rPr>
        <w:t>68</w:t>
      </w:r>
      <w:r>
        <w:rPr>
          <w:color w:val="auto"/>
          <w:highlight w:val="none"/>
        </w:rPr>
        <w:fldChar w:fldCharType="end"/>
      </w:r>
      <w:r>
        <w:rPr>
          <w:color w:val="auto"/>
          <w:highlight w:val="none"/>
        </w:rPr>
        <w:fldChar w:fldCharType="end"/>
      </w:r>
    </w:p>
    <w:p w14:paraId="66F64A76">
      <w:pPr>
        <w:pStyle w:val="17"/>
        <w:tabs>
          <w:tab w:val="right" w:leader="dot" w:pos="8879"/>
        </w:tabs>
        <w:ind w:left="420" w:hanging="420"/>
        <w:rPr>
          <w:color w:val="auto"/>
          <w:highlight w:val="none"/>
        </w:rPr>
      </w:pPr>
      <w:r>
        <w:rPr>
          <w:color w:val="auto"/>
          <w:highlight w:val="none"/>
        </w:rPr>
        <w:fldChar w:fldCharType="begin"/>
      </w:r>
      <w:r>
        <w:rPr>
          <w:color w:val="auto"/>
          <w:highlight w:val="none"/>
        </w:rPr>
        <w:instrText xml:space="preserve"> HYPERLINK \l "_Toc21156" </w:instrText>
      </w:r>
      <w:r>
        <w:rPr>
          <w:color w:val="auto"/>
          <w:highlight w:val="none"/>
        </w:rPr>
        <w:fldChar w:fldCharType="separate"/>
      </w:r>
      <w:r>
        <w:rPr>
          <w:rFonts w:hint="eastAsia" w:ascii="宋体" w:hAnsi="宋体"/>
          <w:color w:val="auto"/>
          <w:highlight w:val="none"/>
        </w:rPr>
        <w:t>第五节 其他文书、文件格式</w:t>
      </w:r>
      <w:r>
        <w:rPr>
          <w:color w:val="auto"/>
          <w:highlight w:val="none"/>
        </w:rPr>
        <w:tab/>
      </w:r>
      <w:r>
        <w:rPr>
          <w:color w:val="auto"/>
          <w:highlight w:val="none"/>
        </w:rPr>
        <w:fldChar w:fldCharType="begin"/>
      </w:r>
      <w:r>
        <w:rPr>
          <w:color w:val="auto"/>
          <w:highlight w:val="none"/>
        </w:rPr>
        <w:instrText xml:space="preserve"> PAGEREF _Toc21156 \h </w:instrText>
      </w:r>
      <w:r>
        <w:rPr>
          <w:color w:val="auto"/>
          <w:highlight w:val="none"/>
        </w:rPr>
        <w:fldChar w:fldCharType="separate"/>
      </w:r>
      <w:r>
        <w:rPr>
          <w:color w:val="auto"/>
          <w:highlight w:val="none"/>
        </w:rPr>
        <w:t>73</w:t>
      </w:r>
      <w:r>
        <w:rPr>
          <w:color w:val="auto"/>
          <w:highlight w:val="none"/>
        </w:rPr>
        <w:fldChar w:fldCharType="end"/>
      </w:r>
      <w:r>
        <w:rPr>
          <w:color w:val="auto"/>
          <w:highlight w:val="none"/>
        </w:rPr>
        <w:fldChar w:fldCharType="end"/>
      </w:r>
    </w:p>
    <w:p w14:paraId="3FED2980">
      <w:pPr>
        <w:tabs>
          <w:tab w:val="right" w:leader="dot" w:pos="8879"/>
        </w:tabs>
        <w:rPr>
          <w:color w:val="auto"/>
          <w:highlight w:val="none"/>
        </w:rPr>
      </w:pPr>
      <w:r>
        <w:rPr>
          <w:color w:val="auto"/>
          <w:highlight w:val="none"/>
        </w:rPr>
        <w:fldChar w:fldCharType="begin"/>
      </w:r>
      <w:r>
        <w:rPr>
          <w:color w:val="auto"/>
          <w:highlight w:val="none"/>
        </w:rPr>
        <w:instrText xml:space="preserve"> HYPERLINK \l "_Toc18784" </w:instrText>
      </w:r>
      <w:r>
        <w:rPr>
          <w:color w:val="auto"/>
          <w:highlight w:val="none"/>
        </w:rPr>
        <w:fldChar w:fldCharType="separate"/>
      </w:r>
      <w:r>
        <w:rPr>
          <w:rFonts w:hint="eastAsia" w:ascii="宋体" w:hAnsi="宋体"/>
          <w:color w:val="auto"/>
          <w:highlight w:val="none"/>
        </w:rPr>
        <w:t>第六章  合同文本</w:t>
      </w:r>
      <w:r>
        <w:rPr>
          <w:color w:val="auto"/>
          <w:highlight w:val="none"/>
        </w:rPr>
        <w:tab/>
      </w:r>
      <w:r>
        <w:rPr>
          <w:color w:val="auto"/>
          <w:highlight w:val="none"/>
        </w:rPr>
        <w:fldChar w:fldCharType="begin"/>
      </w:r>
      <w:r>
        <w:rPr>
          <w:color w:val="auto"/>
          <w:highlight w:val="none"/>
        </w:rPr>
        <w:instrText xml:space="preserve"> PAGEREF _Toc18784 \h </w:instrText>
      </w:r>
      <w:r>
        <w:rPr>
          <w:color w:val="auto"/>
          <w:highlight w:val="none"/>
        </w:rPr>
        <w:fldChar w:fldCharType="separate"/>
      </w:r>
      <w:r>
        <w:rPr>
          <w:color w:val="auto"/>
          <w:highlight w:val="none"/>
        </w:rPr>
        <w:t>75</w:t>
      </w:r>
      <w:r>
        <w:rPr>
          <w:color w:val="auto"/>
          <w:highlight w:val="none"/>
        </w:rPr>
        <w:fldChar w:fldCharType="end"/>
      </w:r>
      <w:r>
        <w:rPr>
          <w:color w:val="auto"/>
          <w:highlight w:val="none"/>
        </w:rPr>
        <w:fldChar w:fldCharType="end"/>
      </w:r>
    </w:p>
    <w:p w14:paraId="085AF5EF">
      <w:pPr>
        <w:pStyle w:val="17"/>
        <w:tabs>
          <w:tab w:val="right" w:leader="dot" w:pos="8879"/>
        </w:tabs>
        <w:ind w:left="420" w:hanging="420"/>
        <w:rPr>
          <w:color w:val="auto"/>
          <w:highlight w:val="none"/>
        </w:rPr>
      </w:pPr>
      <w:r>
        <w:rPr>
          <w:color w:val="auto"/>
          <w:highlight w:val="none"/>
        </w:rPr>
        <w:fldChar w:fldCharType="begin"/>
      </w:r>
      <w:r>
        <w:rPr>
          <w:color w:val="auto"/>
          <w:highlight w:val="none"/>
        </w:rPr>
        <w:instrText xml:space="preserve"> HYPERLINK \l "_Toc4565" </w:instrText>
      </w:r>
      <w:r>
        <w:rPr>
          <w:color w:val="auto"/>
          <w:highlight w:val="none"/>
        </w:rPr>
        <w:fldChar w:fldCharType="separate"/>
      </w:r>
      <w:r>
        <w:rPr>
          <w:rFonts w:hint="eastAsia" w:ascii="宋体" w:hAnsi="宋体"/>
          <w:color w:val="auto"/>
          <w:highlight w:val="none"/>
        </w:rPr>
        <w:t>第一部分 合同书</w:t>
      </w:r>
      <w:r>
        <w:rPr>
          <w:color w:val="auto"/>
          <w:highlight w:val="none"/>
        </w:rPr>
        <w:tab/>
      </w:r>
      <w:r>
        <w:rPr>
          <w:color w:val="auto"/>
          <w:highlight w:val="none"/>
        </w:rPr>
        <w:fldChar w:fldCharType="begin"/>
      </w:r>
      <w:r>
        <w:rPr>
          <w:color w:val="auto"/>
          <w:highlight w:val="none"/>
        </w:rPr>
        <w:instrText xml:space="preserve"> PAGEREF _Toc4565 \h </w:instrText>
      </w:r>
      <w:r>
        <w:rPr>
          <w:color w:val="auto"/>
          <w:highlight w:val="none"/>
        </w:rPr>
        <w:fldChar w:fldCharType="separate"/>
      </w:r>
      <w:r>
        <w:rPr>
          <w:color w:val="auto"/>
          <w:highlight w:val="none"/>
        </w:rPr>
        <w:t>78</w:t>
      </w:r>
      <w:r>
        <w:rPr>
          <w:color w:val="auto"/>
          <w:highlight w:val="none"/>
        </w:rPr>
        <w:fldChar w:fldCharType="end"/>
      </w:r>
      <w:r>
        <w:rPr>
          <w:color w:val="auto"/>
          <w:highlight w:val="none"/>
        </w:rPr>
        <w:fldChar w:fldCharType="end"/>
      </w:r>
    </w:p>
    <w:p w14:paraId="3E6FCAB6">
      <w:pPr>
        <w:pStyle w:val="17"/>
        <w:tabs>
          <w:tab w:val="right" w:leader="dot" w:pos="8879"/>
        </w:tabs>
        <w:ind w:left="420" w:hanging="420"/>
        <w:rPr>
          <w:color w:val="auto"/>
          <w:highlight w:val="none"/>
        </w:rPr>
      </w:pPr>
      <w:r>
        <w:rPr>
          <w:color w:val="auto"/>
          <w:highlight w:val="none"/>
        </w:rPr>
        <w:fldChar w:fldCharType="begin"/>
      </w:r>
      <w:r>
        <w:rPr>
          <w:color w:val="auto"/>
          <w:highlight w:val="none"/>
        </w:rPr>
        <w:instrText xml:space="preserve"> HYPERLINK \l "_Toc4455" </w:instrText>
      </w:r>
      <w:r>
        <w:rPr>
          <w:color w:val="auto"/>
          <w:highlight w:val="none"/>
        </w:rPr>
        <w:fldChar w:fldCharType="separate"/>
      </w:r>
      <w:r>
        <w:rPr>
          <w:rFonts w:hint="eastAsia" w:ascii="宋体" w:hAnsi="宋体"/>
          <w:color w:val="auto"/>
          <w:highlight w:val="none"/>
        </w:rPr>
        <w:t>第二部分 合同一般条款</w:t>
      </w:r>
      <w:r>
        <w:rPr>
          <w:color w:val="auto"/>
          <w:highlight w:val="none"/>
        </w:rPr>
        <w:tab/>
      </w:r>
      <w:r>
        <w:rPr>
          <w:color w:val="auto"/>
          <w:highlight w:val="none"/>
        </w:rPr>
        <w:fldChar w:fldCharType="begin"/>
      </w:r>
      <w:r>
        <w:rPr>
          <w:color w:val="auto"/>
          <w:highlight w:val="none"/>
        </w:rPr>
        <w:instrText xml:space="preserve"> PAGEREF _Toc4455 \h </w:instrText>
      </w:r>
      <w:r>
        <w:rPr>
          <w:color w:val="auto"/>
          <w:highlight w:val="none"/>
        </w:rPr>
        <w:fldChar w:fldCharType="separate"/>
      </w:r>
      <w:r>
        <w:rPr>
          <w:color w:val="auto"/>
          <w:highlight w:val="none"/>
        </w:rPr>
        <w:t>82</w:t>
      </w:r>
      <w:r>
        <w:rPr>
          <w:color w:val="auto"/>
          <w:highlight w:val="none"/>
        </w:rPr>
        <w:fldChar w:fldCharType="end"/>
      </w:r>
      <w:r>
        <w:rPr>
          <w:color w:val="auto"/>
          <w:highlight w:val="none"/>
        </w:rPr>
        <w:fldChar w:fldCharType="end"/>
      </w:r>
    </w:p>
    <w:p w14:paraId="5B2AA3C8">
      <w:pPr>
        <w:pStyle w:val="17"/>
        <w:tabs>
          <w:tab w:val="right" w:leader="dot" w:pos="8879"/>
        </w:tabs>
        <w:ind w:left="420" w:hanging="420"/>
        <w:rPr>
          <w:color w:val="auto"/>
          <w:highlight w:val="none"/>
        </w:rPr>
      </w:pPr>
      <w:r>
        <w:rPr>
          <w:color w:val="auto"/>
          <w:highlight w:val="none"/>
        </w:rPr>
        <w:fldChar w:fldCharType="begin"/>
      </w:r>
      <w:r>
        <w:rPr>
          <w:color w:val="auto"/>
          <w:highlight w:val="none"/>
        </w:rPr>
        <w:instrText xml:space="preserve"> HYPERLINK \l "_Toc11028" </w:instrText>
      </w:r>
      <w:r>
        <w:rPr>
          <w:color w:val="auto"/>
          <w:highlight w:val="none"/>
        </w:rPr>
        <w:fldChar w:fldCharType="separate"/>
      </w:r>
      <w:r>
        <w:rPr>
          <w:rFonts w:hint="eastAsia" w:ascii="宋体" w:hAnsi="宋体"/>
          <w:color w:val="auto"/>
          <w:highlight w:val="none"/>
        </w:rPr>
        <w:t>第三部分  合同专用条款</w:t>
      </w:r>
      <w:r>
        <w:rPr>
          <w:color w:val="auto"/>
          <w:highlight w:val="none"/>
        </w:rPr>
        <w:tab/>
      </w:r>
      <w:r>
        <w:rPr>
          <w:color w:val="auto"/>
          <w:highlight w:val="none"/>
        </w:rPr>
        <w:fldChar w:fldCharType="begin"/>
      </w:r>
      <w:r>
        <w:rPr>
          <w:color w:val="auto"/>
          <w:highlight w:val="none"/>
        </w:rPr>
        <w:instrText xml:space="preserve"> PAGEREF _Toc11028 \h </w:instrText>
      </w:r>
      <w:r>
        <w:rPr>
          <w:color w:val="auto"/>
          <w:highlight w:val="none"/>
        </w:rPr>
        <w:fldChar w:fldCharType="separate"/>
      </w:r>
      <w:r>
        <w:rPr>
          <w:color w:val="auto"/>
          <w:highlight w:val="none"/>
        </w:rPr>
        <w:t>87</w:t>
      </w:r>
      <w:r>
        <w:rPr>
          <w:color w:val="auto"/>
          <w:highlight w:val="none"/>
        </w:rPr>
        <w:fldChar w:fldCharType="end"/>
      </w:r>
      <w:r>
        <w:rPr>
          <w:color w:val="auto"/>
          <w:highlight w:val="none"/>
        </w:rPr>
        <w:fldChar w:fldCharType="end"/>
      </w:r>
    </w:p>
    <w:p w14:paraId="77158382">
      <w:pPr>
        <w:tabs>
          <w:tab w:val="right" w:leader="dot" w:pos="8879"/>
        </w:tabs>
        <w:rPr>
          <w:color w:val="auto"/>
          <w:highlight w:val="none"/>
        </w:rPr>
      </w:pPr>
      <w:r>
        <w:rPr>
          <w:color w:val="auto"/>
          <w:highlight w:val="none"/>
        </w:rPr>
        <w:fldChar w:fldCharType="begin"/>
      </w:r>
      <w:r>
        <w:rPr>
          <w:color w:val="auto"/>
          <w:highlight w:val="none"/>
        </w:rPr>
        <w:instrText xml:space="preserve"> HYPERLINK \l "_Toc27474" </w:instrText>
      </w:r>
      <w:r>
        <w:rPr>
          <w:color w:val="auto"/>
          <w:highlight w:val="none"/>
        </w:rPr>
        <w:fldChar w:fldCharType="separate"/>
      </w:r>
      <w:r>
        <w:rPr>
          <w:rFonts w:hint="eastAsia" w:ascii="宋体" w:hAnsi="宋体" w:cs="仿宋_GB2312"/>
          <w:color w:val="auto"/>
          <w:highlight w:val="none"/>
        </w:rPr>
        <w:t>第七章 质疑、投诉</w:t>
      </w:r>
      <w:bookmarkStart w:id="8" w:name="_Hlt112947494"/>
      <w:bookmarkStart w:id="9" w:name="_Hlt112947495"/>
      <w:r>
        <w:rPr>
          <w:rFonts w:hint="eastAsia" w:ascii="宋体" w:hAnsi="宋体" w:cs="仿宋_GB2312"/>
          <w:color w:val="auto"/>
          <w:highlight w:val="none"/>
        </w:rPr>
        <w:t>材</w:t>
      </w:r>
      <w:bookmarkEnd w:id="8"/>
      <w:bookmarkEnd w:id="9"/>
      <w:r>
        <w:rPr>
          <w:rFonts w:hint="eastAsia" w:ascii="宋体" w:hAnsi="宋体" w:cs="仿宋_GB2312"/>
          <w:color w:val="auto"/>
          <w:highlight w:val="none"/>
        </w:rPr>
        <w:t>料</w:t>
      </w:r>
      <w:bookmarkStart w:id="10" w:name="_Hlt114042031"/>
      <w:bookmarkStart w:id="11" w:name="_Hlt114042032"/>
      <w:r>
        <w:rPr>
          <w:rFonts w:hint="eastAsia" w:ascii="宋体" w:hAnsi="宋体" w:cs="仿宋_GB2312"/>
          <w:color w:val="auto"/>
          <w:highlight w:val="none"/>
        </w:rPr>
        <w:t>格</w:t>
      </w:r>
      <w:bookmarkEnd w:id="10"/>
      <w:bookmarkEnd w:id="11"/>
      <w:r>
        <w:rPr>
          <w:rFonts w:hint="eastAsia" w:ascii="宋体" w:hAnsi="宋体" w:cs="仿宋_GB2312"/>
          <w:color w:val="auto"/>
          <w:highlight w:val="none"/>
        </w:rPr>
        <w:t>式</w:t>
      </w:r>
      <w:bookmarkStart w:id="12" w:name="_Hlt123917031"/>
      <w:bookmarkStart w:id="13" w:name="_Hlt123917032"/>
      <w:r>
        <w:rPr>
          <w:color w:val="auto"/>
          <w:highlight w:val="none"/>
        </w:rPr>
        <w:tab/>
      </w:r>
      <w:bookmarkEnd w:id="12"/>
      <w:bookmarkEnd w:id="13"/>
      <w:r>
        <w:rPr>
          <w:color w:val="auto"/>
          <w:highlight w:val="none"/>
        </w:rPr>
        <w:fldChar w:fldCharType="begin"/>
      </w:r>
      <w:r>
        <w:rPr>
          <w:color w:val="auto"/>
          <w:highlight w:val="none"/>
        </w:rPr>
        <w:instrText xml:space="preserve"> PAGEREF _Toc27474 \h </w:instrText>
      </w:r>
      <w:r>
        <w:rPr>
          <w:color w:val="auto"/>
          <w:highlight w:val="none"/>
        </w:rPr>
        <w:fldChar w:fldCharType="separate"/>
      </w:r>
      <w:r>
        <w:rPr>
          <w:color w:val="auto"/>
          <w:highlight w:val="none"/>
        </w:rPr>
        <w:t>90</w:t>
      </w:r>
      <w:r>
        <w:rPr>
          <w:color w:val="auto"/>
          <w:highlight w:val="none"/>
        </w:rPr>
        <w:fldChar w:fldCharType="end"/>
      </w:r>
      <w:r>
        <w:rPr>
          <w:color w:val="auto"/>
          <w:highlight w:val="none"/>
        </w:rPr>
        <w:fldChar w:fldCharType="end"/>
      </w:r>
    </w:p>
    <w:p w14:paraId="455C686E">
      <w:pPr>
        <w:pStyle w:val="17"/>
        <w:ind w:left="420" w:hanging="420"/>
        <w:rPr>
          <w:color w:val="auto"/>
          <w:sz w:val="28"/>
          <w:szCs w:val="28"/>
          <w:highlight w:val="none"/>
        </w:rPr>
      </w:pPr>
      <w:r>
        <w:rPr>
          <w:rFonts w:hint="eastAsia" w:ascii="宋体" w:hAnsi="宋体"/>
          <w:color w:val="auto"/>
          <w:szCs w:val="30"/>
          <w:highlight w:val="none"/>
        </w:rPr>
        <w:fldChar w:fldCharType="end"/>
      </w:r>
    </w:p>
    <w:p w14:paraId="7AC40C4D">
      <w:pPr>
        <w:tabs>
          <w:tab w:val="left" w:pos="7470"/>
        </w:tabs>
        <w:spacing w:line="400" w:lineRule="exact"/>
        <w:jc w:val="left"/>
        <w:rPr>
          <w:rFonts w:hint="eastAsia" w:ascii="宋体" w:hAnsi="宋体"/>
          <w:b/>
          <w:color w:val="auto"/>
          <w:sz w:val="32"/>
          <w:szCs w:val="32"/>
          <w:highlight w:val="none"/>
        </w:rPr>
      </w:pPr>
      <w:r>
        <w:rPr>
          <w:rFonts w:hint="eastAsia" w:ascii="宋体" w:hAnsi="宋体"/>
          <w:b/>
          <w:color w:val="auto"/>
          <w:sz w:val="32"/>
          <w:szCs w:val="32"/>
          <w:highlight w:val="none"/>
        </w:rPr>
        <w:tab/>
      </w:r>
    </w:p>
    <w:p w14:paraId="1D67BCD7">
      <w:pPr>
        <w:spacing w:line="400" w:lineRule="exact"/>
        <w:jc w:val="center"/>
        <w:rPr>
          <w:rFonts w:hint="eastAsia" w:ascii="宋体" w:hAnsi="宋体"/>
          <w:b/>
          <w:color w:val="auto"/>
          <w:sz w:val="32"/>
          <w:szCs w:val="32"/>
          <w:highlight w:val="none"/>
        </w:rPr>
      </w:pPr>
    </w:p>
    <w:p w14:paraId="6F7A1694">
      <w:pPr>
        <w:spacing w:line="400" w:lineRule="exact"/>
        <w:jc w:val="center"/>
        <w:rPr>
          <w:rFonts w:hint="eastAsia" w:ascii="宋体" w:hAnsi="宋体"/>
          <w:b/>
          <w:color w:val="auto"/>
          <w:sz w:val="32"/>
          <w:szCs w:val="32"/>
          <w:highlight w:val="none"/>
        </w:rPr>
      </w:pPr>
    </w:p>
    <w:p w14:paraId="55E7C833">
      <w:pPr>
        <w:spacing w:line="400" w:lineRule="exact"/>
        <w:jc w:val="center"/>
        <w:rPr>
          <w:rFonts w:hint="eastAsia" w:ascii="宋体" w:hAnsi="宋体"/>
          <w:b/>
          <w:color w:val="auto"/>
          <w:sz w:val="32"/>
          <w:szCs w:val="32"/>
          <w:highlight w:val="none"/>
        </w:rPr>
      </w:pPr>
    </w:p>
    <w:p w14:paraId="45292020">
      <w:pPr>
        <w:widowControl/>
        <w:jc w:val="left"/>
        <w:rPr>
          <w:rFonts w:hint="eastAsia" w:ascii="宋体" w:hAnsi="宋体"/>
          <w:b/>
          <w:color w:val="auto"/>
          <w:sz w:val="32"/>
          <w:szCs w:val="32"/>
          <w:highlight w:val="none"/>
        </w:rPr>
        <w:sectPr>
          <w:pgSz w:w="11911" w:h="16838"/>
          <w:pgMar w:top="1417" w:right="1417" w:bottom="1417" w:left="1417" w:header="720" w:footer="720" w:gutter="0"/>
          <w:pgNumType w:start="0"/>
          <w:cols w:space="0" w:num="1"/>
          <w:rtlGutter w:val="0"/>
          <w:docGrid w:linePitch="312" w:charSpace="0"/>
        </w:sectPr>
      </w:pPr>
    </w:p>
    <w:p w14:paraId="20A53ACA">
      <w:pPr>
        <w:rPr>
          <w:color w:val="auto"/>
          <w:highlight w:val="none"/>
        </w:rPr>
      </w:pPr>
    </w:p>
    <w:p w14:paraId="1649A830">
      <w:pPr>
        <w:pStyle w:val="2"/>
        <w:spacing w:before="0" w:line="240" w:lineRule="auto"/>
        <w:jc w:val="center"/>
        <w:rPr>
          <w:color w:val="auto"/>
          <w:highlight w:val="none"/>
        </w:rPr>
      </w:pPr>
      <w:bookmarkStart w:id="14" w:name="_Toc8095"/>
      <w:r>
        <w:rPr>
          <w:rFonts w:hint="eastAsia"/>
          <w:color w:val="auto"/>
          <w:highlight w:val="none"/>
        </w:rPr>
        <w:t>第一章</w:t>
      </w:r>
      <w:r>
        <w:rPr>
          <w:color w:val="auto"/>
          <w:highlight w:val="none"/>
        </w:rPr>
        <w:t xml:space="preserve"> </w:t>
      </w:r>
      <w:r>
        <w:rPr>
          <w:rFonts w:hint="eastAsia"/>
          <w:color w:val="auto"/>
          <w:highlight w:val="none"/>
        </w:rPr>
        <w:t>竞争性磋商公告</w:t>
      </w:r>
      <w:bookmarkEnd w:id="14"/>
      <w:bookmarkStart w:id="15" w:name="_Toc28359004"/>
      <w:bookmarkStart w:id="16" w:name="_Toc35393629"/>
      <w:bookmarkStart w:id="17" w:name="_Toc35393798"/>
      <w:bookmarkStart w:id="18" w:name="_Toc28359081"/>
      <w:bookmarkStart w:id="19" w:name="_Toc35393792"/>
      <w:bookmarkStart w:id="20" w:name="_Toc44229878"/>
      <w:bookmarkStart w:id="21" w:name="_Toc28359089"/>
      <w:bookmarkStart w:id="22" w:name="_Toc28359012"/>
      <w:bookmarkStart w:id="23" w:name="_Toc35393623"/>
    </w:p>
    <w:p w14:paraId="3D687C95">
      <w:pPr>
        <w:spacing w:after="120" w:afterLines="50" w:line="400" w:lineRule="exact"/>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广西机电设备招标有限公司关于</w:t>
      </w:r>
      <w:r>
        <w:rPr>
          <w:rFonts w:hint="eastAsia" w:ascii="宋体" w:hAnsi="宋体" w:cs="宋体"/>
          <w:b/>
          <w:bCs/>
          <w:color w:val="auto"/>
          <w:sz w:val="28"/>
          <w:szCs w:val="28"/>
          <w:highlight w:val="none"/>
          <w:lang w:eastAsia="zh-CN"/>
        </w:rPr>
        <w:t>第三方机构审计、核验2025年财政资金计划补助项目服务（3分标重）</w:t>
      </w:r>
      <w:r>
        <w:rPr>
          <w:rFonts w:hint="eastAsia" w:ascii="宋体" w:hAnsi="宋体" w:cs="宋体"/>
          <w:b/>
          <w:bCs/>
          <w:color w:val="auto"/>
          <w:sz w:val="28"/>
          <w:szCs w:val="28"/>
          <w:highlight w:val="none"/>
        </w:rPr>
        <w:t>（</w:t>
      </w:r>
      <w:r>
        <w:rPr>
          <w:rFonts w:hint="eastAsia" w:ascii="宋体" w:hAnsi="宋体" w:cs="宋体"/>
          <w:b/>
          <w:bCs/>
          <w:color w:val="auto"/>
          <w:sz w:val="28"/>
          <w:szCs w:val="28"/>
          <w:highlight w:val="none"/>
          <w:lang w:eastAsia="zh-CN"/>
        </w:rPr>
        <w:t xml:space="preserve"> NNZC2025-C3-990371-JDZB</w:t>
      </w:r>
      <w:r>
        <w:rPr>
          <w:rFonts w:hint="eastAsia" w:ascii="宋体" w:hAnsi="宋体" w:cs="宋体"/>
          <w:b/>
          <w:bCs/>
          <w:color w:val="auto"/>
          <w:sz w:val="28"/>
          <w:szCs w:val="28"/>
          <w:highlight w:val="none"/>
        </w:rPr>
        <w:t>）</w:t>
      </w:r>
      <w:r>
        <w:rPr>
          <w:rFonts w:hint="eastAsia" w:ascii="宋体" w:hAnsi="宋体" w:cs="宋体"/>
          <w:b/>
          <w:bCs/>
          <w:color w:val="auto"/>
          <w:sz w:val="28"/>
          <w:szCs w:val="28"/>
          <w:highlight w:val="none"/>
        </w:rPr>
        <w:t>竞争性磋商公告</w:t>
      </w:r>
    </w:p>
    <w:p w14:paraId="3C2E6158">
      <w:pPr>
        <w:spacing w:line="400" w:lineRule="exact"/>
        <w:ind w:firstLine="420" w:firstLineChars="200"/>
        <w:rPr>
          <w:rFonts w:hint="eastAsia" w:ascii="宋体" w:hAnsi="宋体" w:cs="宋体"/>
          <w:color w:val="auto"/>
          <w:szCs w:val="21"/>
          <w:highlight w:val="none"/>
        </w:rPr>
      </w:pPr>
      <w:bookmarkStart w:id="24" w:name="_Hlk112948432"/>
      <w:r>
        <w:rPr>
          <w:rFonts w:hint="eastAsia" w:ascii="宋体" w:hAnsi="宋体" w:cs="宋体"/>
          <w:color w:val="auto"/>
          <w:szCs w:val="21"/>
          <w:highlight w:val="none"/>
        </w:rPr>
        <w:t>项目概况：</w:t>
      </w:r>
      <w:r>
        <w:rPr>
          <w:rFonts w:hint="eastAsia" w:ascii="宋体" w:hAnsi="宋体" w:cs="宋体"/>
          <w:color w:val="auto"/>
          <w:szCs w:val="21"/>
          <w:highlight w:val="none"/>
          <w:lang w:eastAsia="zh-CN"/>
        </w:rPr>
        <w:t>第三方机构审计、核验2025年财政资金计划补助项目服务（3分标重）</w:t>
      </w:r>
      <w:r>
        <w:rPr>
          <w:rFonts w:hint="eastAsia" w:ascii="宋体" w:hAnsi="宋体" w:cs="宋体"/>
          <w:color w:val="auto"/>
          <w:szCs w:val="21"/>
          <w:highlight w:val="none"/>
        </w:rPr>
        <w:t>的潜在供应商应在广西政府采购云平台（https://www.gcy.zfcg.gxzf.gov.cn/）线上获取采购文件，并于2025年</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 xml:space="preserve">月 </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日</w:t>
      </w:r>
      <w:r>
        <w:rPr>
          <w:rFonts w:hint="eastAsia" w:ascii="宋体" w:hAnsi="宋体" w:cs="宋体"/>
          <w:color w:val="auto"/>
          <w:szCs w:val="21"/>
          <w:highlight w:val="none"/>
        </w:rPr>
        <w:t xml:space="preserve">09:30（北京时间）前提交响应文件。   </w:t>
      </w:r>
    </w:p>
    <w:bookmarkEnd w:id="15"/>
    <w:bookmarkEnd w:id="16"/>
    <w:bookmarkEnd w:id="17"/>
    <w:bookmarkEnd w:id="18"/>
    <w:bookmarkEnd w:id="19"/>
    <w:bookmarkEnd w:id="20"/>
    <w:bookmarkEnd w:id="21"/>
    <w:bookmarkEnd w:id="22"/>
    <w:bookmarkEnd w:id="23"/>
    <w:p w14:paraId="2BEF9569">
      <w:pPr>
        <w:widowControl/>
        <w:shd w:val="clear" w:color="auto" w:fill="FFFFFF"/>
        <w:spacing w:line="400" w:lineRule="exact"/>
        <w:rPr>
          <w:rFonts w:hint="eastAsia" w:ascii="宋体" w:hAnsi="宋体" w:cs="宋体"/>
          <w:color w:val="auto"/>
          <w:kern w:val="0"/>
          <w:szCs w:val="21"/>
          <w:highlight w:val="none"/>
        </w:rPr>
      </w:pPr>
      <w:r>
        <w:rPr>
          <w:rFonts w:hint="eastAsia" w:ascii="宋体" w:hAnsi="宋体" w:cs="宋体"/>
          <w:b/>
          <w:bCs/>
          <w:color w:val="auto"/>
          <w:kern w:val="0"/>
          <w:szCs w:val="21"/>
          <w:highlight w:val="none"/>
        </w:rPr>
        <w:t>一、项目基本情况</w:t>
      </w:r>
    </w:p>
    <w:p w14:paraId="41C179D4">
      <w:pPr>
        <w:widowControl/>
        <w:shd w:val="clear" w:color="auto" w:fill="FFFFFF"/>
        <w:spacing w:line="400" w:lineRule="exact"/>
        <w:ind w:firstLine="420" w:firstLineChars="200"/>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项目编号：</w:t>
      </w:r>
      <w:r>
        <w:rPr>
          <w:rFonts w:hint="eastAsia" w:ascii="宋体" w:hAnsi="宋体" w:cs="宋体"/>
          <w:color w:val="auto"/>
          <w:kern w:val="0"/>
          <w:szCs w:val="21"/>
          <w:highlight w:val="none"/>
          <w:lang w:eastAsia="zh-CN"/>
        </w:rPr>
        <w:t xml:space="preserve"> </w:t>
      </w:r>
      <w:r>
        <w:rPr>
          <w:rFonts w:hint="eastAsia" w:ascii="宋体" w:hAnsi="宋体" w:cs="宋体"/>
          <w:color w:val="auto"/>
          <w:kern w:val="0"/>
          <w:szCs w:val="21"/>
          <w:highlight w:val="none"/>
          <w:lang w:eastAsia="zh-CN"/>
        </w:rPr>
        <w:t>NNZC2025-C3-990371-JDZB</w:t>
      </w:r>
    </w:p>
    <w:p w14:paraId="6C25FDA9">
      <w:pPr>
        <w:widowControl/>
        <w:shd w:val="clear" w:color="auto" w:fill="FFFFFF"/>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项目名称：</w:t>
      </w:r>
      <w:r>
        <w:rPr>
          <w:rFonts w:hint="eastAsia" w:ascii="宋体" w:hAnsi="宋体" w:cs="宋体"/>
          <w:color w:val="auto"/>
          <w:kern w:val="0"/>
          <w:szCs w:val="21"/>
          <w:highlight w:val="none"/>
          <w:lang w:eastAsia="zh-CN"/>
        </w:rPr>
        <w:t>第三方机构审计、核验2025年财政资金计划补助项目服务（3分标重）</w:t>
      </w:r>
      <w:r>
        <w:rPr>
          <w:rFonts w:hint="eastAsia" w:ascii="宋体" w:hAnsi="宋体" w:cs="宋体"/>
          <w:color w:val="auto"/>
          <w:kern w:val="0"/>
          <w:szCs w:val="21"/>
          <w:highlight w:val="none"/>
        </w:rPr>
        <w:t> </w:t>
      </w:r>
    </w:p>
    <w:p w14:paraId="63BCF8EB">
      <w:pPr>
        <w:widowControl/>
        <w:shd w:val="clear" w:color="auto" w:fill="FFFFFF"/>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采购方式：竞争性磋商</w:t>
      </w:r>
    </w:p>
    <w:p w14:paraId="2145396F">
      <w:pPr>
        <w:widowControl/>
        <w:shd w:val="clear" w:color="auto" w:fill="FFFFFF"/>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预算总金额（元）：</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00000.00</w:t>
      </w:r>
    </w:p>
    <w:p w14:paraId="01CC6322">
      <w:pPr>
        <w:widowControl/>
        <w:shd w:val="clear" w:color="auto" w:fill="FFFFFF"/>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采购需求：</w:t>
      </w:r>
    </w:p>
    <w:p w14:paraId="010D807A">
      <w:pPr>
        <w:widowControl/>
        <w:shd w:val="clear" w:color="auto" w:fill="FFFFFF"/>
        <w:spacing w:line="400" w:lineRule="exact"/>
        <w:ind w:firstLine="420"/>
        <w:jc w:val="left"/>
        <w:rPr>
          <w:rFonts w:hint="eastAsia" w:ascii="宋体" w:hAnsi="宋体" w:cs="宋体"/>
          <w:color w:val="auto"/>
          <w:kern w:val="0"/>
          <w:szCs w:val="21"/>
          <w:highlight w:val="none"/>
        </w:rPr>
      </w:pPr>
    </w:p>
    <w:p w14:paraId="3153F54C">
      <w:pPr>
        <w:widowControl/>
        <w:shd w:val="clear" w:color="auto" w:fill="FFFFFF"/>
        <w:spacing w:line="400" w:lineRule="exact"/>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标项名称：</w:t>
      </w:r>
      <w:r>
        <w:rPr>
          <w:rFonts w:hint="eastAsia" w:ascii="宋体" w:hAnsi="宋体" w:cs="宋体"/>
          <w:color w:val="auto"/>
          <w:kern w:val="0"/>
          <w:szCs w:val="21"/>
          <w:highlight w:val="none"/>
          <w:lang w:val="en-US" w:eastAsia="zh-CN"/>
        </w:rPr>
        <w:t>3分标：</w:t>
      </w:r>
      <w:r>
        <w:rPr>
          <w:rFonts w:hint="eastAsia" w:ascii="宋体" w:hAnsi="宋体" w:cs="宋体"/>
          <w:color w:val="auto"/>
          <w:kern w:val="0"/>
          <w:szCs w:val="21"/>
          <w:highlight w:val="none"/>
          <w:lang w:val="en-US" w:eastAsia="zh-CN"/>
        </w:rPr>
        <w:t>第三方审计、核验2025年财政资金中小企业数字化转型项目</w:t>
      </w:r>
    </w:p>
    <w:p w14:paraId="23907940">
      <w:pPr>
        <w:widowControl/>
        <w:shd w:val="clear" w:color="auto" w:fill="FFFFFF"/>
        <w:spacing w:line="400" w:lineRule="exact"/>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数量：1项</w:t>
      </w:r>
    </w:p>
    <w:p w14:paraId="7FCF622C">
      <w:pPr>
        <w:widowControl/>
        <w:shd w:val="clear" w:color="auto" w:fill="FFFFFF"/>
        <w:spacing w:line="400" w:lineRule="exact"/>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预算金额（元）:</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lang w:val="en-US" w:eastAsia="zh-CN"/>
        </w:rPr>
        <w:t>60</w:t>
      </w:r>
      <w:r>
        <w:rPr>
          <w:rFonts w:hint="eastAsia" w:ascii="宋体" w:hAnsi="宋体" w:cs="宋体"/>
          <w:color w:val="auto"/>
          <w:kern w:val="0"/>
          <w:szCs w:val="21"/>
          <w:highlight w:val="none"/>
        </w:rPr>
        <w:t>0000.00</w:t>
      </w:r>
    </w:p>
    <w:p w14:paraId="075D7B73">
      <w:pPr>
        <w:widowControl/>
        <w:shd w:val="clear" w:color="auto" w:fill="FFFFFF"/>
        <w:spacing w:line="400" w:lineRule="exact"/>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简要规格描述或项目基本概况介绍、用途：2025年财政资金第三方审计、核验项目（中小企业数字化转型核验项目）服务1项</w:t>
      </w:r>
      <w:r>
        <w:rPr>
          <w:rFonts w:hint="eastAsia" w:ascii="宋体" w:hAnsi="宋体" w:cs="宋体"/>
          <w:color w:val="auto"/>
          <w:kern w:val="0"/>
          <w:szCs w:val="21"/>
          <w:highlight w:val="none"/>
          <w:lang w:eastAsia="zh-CN"/>
        </w:rPr>
        <w:t>，主要审计、核验拟支持的中小企业数字化转型试点企业、非试点行业项目以及对行业数字化转型具有明显带动作用的重大项目</w:t>
      </w:r>
      <w:r>
        <w:rPr>
          <w:rFonts w:hint="eastAsia" w:ascii="宋体" w:hAnsi="宋体" w:cs="宋体"/>
          <w:color w:val="auto"/>
          <w:kern w:val="0"/>
          <w:szCs w:val="21"/>
          <w:highlight w:val="none"/>
        </w:rPr>
        <w:t>。具体内容详见竞争性磋商文件。</w:t>
      </w:r>
    </w:p>
    <w:p w14:paraId="02243BD6">
      <w:pPr>
        <w:widowControl/>
        <w:shd w:val="clear" w:color="auto" w:fill="FFFFFF"/>
        <w:spacing w:line="400" w:lineRule="exact"/>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最高限价（如有）：</w:t>
      </w:r>
      <w:r>
        <w:rPr>
          <w:rFonts w:hint="eastAsia" w:ascii="宋体" w:hAnsi="宋体" w:cs="宋体"/>
          <w:color w:val="auto"/>
          <w:kern w:val="0"/>
          <w:szCs w:val="21"/>
          <w:highlight w:val="none"/>
          <w:lang w:val="en-US" w:eastAsia="zh-CN"/>
        </w:rPr>
        <w:t>60</w:t>
      </w:r>
      <w:r>
        <w:rPr>
          <w:rFonts w:hint="eastAsia" w:ascii="宋体" w:hAnsi="宋体" w:cs="宋体"/>
          <w:color w:val="auto"/>
          <w:kern w:val="0"/>
          <w:szCs w:val="21"/>
          <w:highlight w:val="none"/>
        </w:rPr>
        <w:t>0000.00</w:t>
      </w:r>
    </w:p>
    <w:p w14:paraId="3B622AA0">
      <w:pPr>
        <w:spacing w:line="400" w:lineRule="exac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合同履约期限：</w:t>
      </w:r>
      <w:r>
        <w:rPr>
          <w:rFonts w:hint="eastAsia" w:ascii="宋体" w:hAnsi="宋体" w:cs="宋体"/>
          <w:color w:val="auto"/>
          <w:szCs w:val="21"/>
          <w:highlight w:val="none"/>
          <w:lang w:eastAsia="zh-CN" w:bidi="ar"/>
        </w:rPr>
        <w:t>签订采购合同后5天内与采购人联系，确定赴各项目进行实地审计的时间，供应商就各项目审计结果拟出审计初步意见，充分征求采购人及被审计单位意见，按各科室具体要求出具审计报告。</w:t>
      </w:r>
    </w:p>
    <w:p w14:paraId="64D8F8AF">
      <w:pPr>
        <w:widowControl/>
        <w:shd w:val="clear" w:color="auto" w:fill="FFFFFF"/>
        <w:spacing w:line="400" w:lineRule="exact"/>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本项目不接受联合体响应。</w:t>
      </w:r>
    </w:p>
    <w:p w14:paraId="1F4595F1">
      <w:pPr>
        <w:widowControl/>
        <w:shd w:val="clear" w:color="auto" w:fill="FFFFFF"/>
        <w:spacing w:line="400" w:lineRule="exact"/>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备注：采购计划号：NNZC[2025]1812号-002</w:t>
      </w:r>
    </w:p>
    <w:p w14:paraId="0E61578F">
      <w:pPr>
        <w:widowControl/>
        <w:shd w:val="clear" w:color="auto" w:fill="FFFFFF"/>
        <w:spacing w:line="400" w:lineRule="exact"/>
        <w:ind w:firstLine="420"/>
        <w:jc w:val="left"/>
        <w:rPr>
          <w:rFonts w:hint="eastAsia" w:ascii="宋体" w:hAnsi="宋体" w:cs="宋体"/>
          <w:color w:val="auto"/>
          <w:kern w:val="0"/>
          <w:szCs w:val="21"/>
          <w:highlight w:val="none"/>
        </w:rPr>
      </w:pPr>
    </w:p>
    <w:p w14:paraId="1ED32E6D">
      <w:pPr>
        <w:widowControl/>
        <w:shd w:val="clear" w:color="auto" w:fill="FFFFFF"/>
        <w:spacing w:line="400" w:lineRule="exact"/>
        <w:rPr>
          <w:rFonts w:hint="eastAsia" w:ascii="宋体" w:hAnsi="宋体" w:cs="宋体"/>
          <w:color w:val="auto"/>
          <w:kern w:val="0"/>
          <w:szCs w:val="21"/>
          <w:highlight w:val="none"/>
        </w:rPr>
      </w:pPr>
      <w:r>
        <w:rPr>
          <w:rFonts w:hint="eastAsia" w:ascii="宋体" w:hAnsi="宋体" w:cs="宋体"/>
          <w:b/>
          <w:bCs/>
          <w:color w:val="auto"/>
          <w:kern w:val="0"/>
          <w:szCs w:val="21"/>
          <w:highlight w:val="none"/>
        </w:rPr>
        <w:t>二、申请人的资格要求：</w:t>
      </w:r>
    </w:p>
    <w:p w14:paraId="4AF36642">
      <w:pPr>
        <w:widowControl/>
        <w:shd w:val="clear" w:color="auto" w:fill="FFFFFF"/>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1.满足《中华人民共和国政府采购法》第二十二条规定；</w:t>
      </w:r>
    </w:p>
    <w:p w14:paraId="0DC083BC">
      <w:pPr>
        <w:widowControl/>
        <w:shd w:val="clear" w:color="auto" w:fill="FFFFFF"/>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2.落实政府采购政策需满足的资格要求：</w:t>
      </w:r>
    </w:p>
    <w:p w14:paraId="2E6FDECB">
      <w:pPr>
        <w:widowControl/>
        <w:shd w:val="clear" w:color="auto" w:fill="FFFFFF"/>
        <w:spacing w:line="400" w:lineRule="exact"/>
        <w:ind w:firstLine="422" w:firstLineChars="200"/>
        <w:jc w:val="left"/>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☑专门面向中小企业采购的项目（供应商</w:t>
      </w:r>
      <w:r>
        <w:rPr>
          <w:rFonts w:hint="eastAsia" w:ascii="宋体" w:hAnsi="宋体" w:cs="宋体"/>
          <w:b/>
          <w:bCs/>
          <w:color w:val="auto"/>
          <w:kern w:val="0"/>
          <w:szCs w:val="21"/>
          <w:highlight w:val="none"/>
          <w:lang w:val="en-US" w:eastAsia="zh-CN"/>
        </w:rPr>
        <w:t>均</w:t>
      </w:r>
      <w:r>
        <w:rPr>
          <w:rFonts w:hint="eastAsia" w:ascii="宋体" w:hAnsi="宋体" w:cs="宋体"/>
          <w:b/>
          <w:bCs/>
          <w:color w:val="auto"/>
          <w:kern w:val="0"/>
          <w:szCs w:val="21"/>
          <w:highlight w:val="none"/>
        </w:rPr>
        <w:t>为中小微企业、监狱企业、残疾人福利性单位)</w:t>
      </w:r>
    </w:p>
    <w:p w14:paraId="0B5E82A7">
      <w:pPr>
        <w:widowControl/>
        <w:shd w:val="clear" w:color="auto" w:fill="FFFFFF"/>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□非专门面向中小企业采购的项目</w:t>
      </w:r>
    </w:p>
    <w:p w14:paraId="701A464D">
      <w:pPr>
        <w:widowControl/>
        <w:shd w:val="clear" w:color="auto" w:fill="FFFFFF"/>
        <w:spacing w:line="400" w:lineRule="exact"/>
        <w:ind w:firstLine="420" w:firstLineChars="200"/>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3.本项目的特定资格要求：</w:t>
      </w:r>
      <w:r>
        <w:rPr>
          <w:rFonts w:hint="eastAsia" w:ascii="宋体" w:hAnsi="宋体" w:cs="宋体"/>
          <w:color w:val="auto"/>
          <w:kern w:val="0"/>
          <w:szCs w:val="21"/>
          <w:highlight w:val="none"/>
        </w:rPr>
        <w:t>供应商必须具有有效的财政主管部门颁发的会计师事务所执业证书</w:t>
      </w:r>
      <w:r>
        <w:rPr>
          <w:rFonts w:hint="eastAsia" w:ascii="宋体" w:hAnsi="宋体" w:cs="宋体"/>
          <w:color w:val="auto"/>
          <w:kern w:val="0"/>
          <w:szCs w:val="21"/>
          <w:highlight w:val="none"/>
          <w:lang w:eastAsia="zh-CN"/>
        </w:rPr>
        <w:t>。</w:t>
      </w:r>
    </w:p>
    <w:p w14:paraId="6A132FA4">
      <w:pPr>
        <w:widowControl/>
        <w:shd w:val="clear" w:color="auto" w:fill="FFFFFF"/>
        <w:spacing w:line="400" w:lineRule="exact"/>
        <w:ind w:firstLine="420" w:firstLineChars="200"/>
        <w:jc w:val="left"/>
        <w:rPr>
          <w:rFonts w:hint="default" w:ascii="宋体" w:hAnsi="宋体" w:eastAsia="宋体" w:cs="宋体"/>
          <w:b/>
          <w:bCs/>
          <w:color w:val="auto"/>
          <w:kern w:val="0"/>
          <w:szCs w:val="21"/>
          <w:highlight w:val="none"/>
          <w:lang w:val="en-US" w:eastAsia="zh-CN"/>
        </w:rPr>
      </w:pPr>
      <w:r>
        <w:rPr>
          <w:rFonts w:hint="eastAsia" w:ascii="宋体" w:hAnsi="宋体" w:cs="宋体"/>
          <w:color w:val="auto"/>
          <w:kern w:val="0"/>
          <w:szCs w:val="21"/>
          <w:highlight w:val="none"/>
        </w:rPr>
        <w:t>4.本项目的特定条件：</w:t>
      </w:r>
      <w:r>
        <w:rPr>
          <w:rFonts w:hint="eastAsia" w:ascii="宋体" w:hAnsi="宋体" w:cs="宋体"/>
          <w:b/>
          <w:bCs/>
          <w:color w:val="auto"/>
          <w:kern w:val="0"/>
          <w:szCs w:val="21"/>
          <w:highlight w:val="none"/>
          <w:lang w:val="en-US" w:eastAsia="zh-CN"/>
        </w:rPr>
        <w:t>已在原采购项目“第三方机构审计、核验2025年财政资金计划补助项目服务（项目编号：NNZC2025-C3-990276-J</w:t>
      </w:r>
      <w:bookmarkStart w:id="253" w:name="_GoBack"/>
      <w:bookmarkEnd w:id="253"/>
      <w:r>
        <w:rPr>
          <w:rFonts w:hint="eastAsia" w:ascii="宋体" w:hAnsi="宋体" w:cs="宋体"/>
          <w:b/>
          <w:bCs/>
          <w:color w:val="auto"/>
          <w:kern w:val="0"/>
          <w:szCs w:val="21"/>
          <w:highlight w:val="none"/>
          <w:lang w:val="en-US" w:eastAsia="zh-CN"/>
        </w:rPr>
        <w:t>DZB）”1分标和2分标成交的供应商，不得再响应本项目。</w:t>
      </w:r>
    </w:p>
    <w:p w14:paraId="06422168">
      <w:pPr>
        <w:widowControl/>
        <w:shd w:val="clear" w:color="auto" w:fill="FFFFFF"/>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 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22FA2079">
      <w:pPr>
        <w:widowControl/>
        <w:shd w:val="clear" w:color="auto" w:fill="FFFFFF"/>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6. 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522003B0">
      <w:pPr>
        <w:widowControl/>
        <w:shd w:val="clear" w:color="auto" w:fill="FFFFFF"/>
        <w:spacing w:line="400" w:lineRule="exact"/>
        <w:rPr>
          <w:rFonts w:hint="eastAsia" w:ascii="宋体" w:hAnsi="宋体" w:cs="宋体"/>
          <w:color w:val="auto"/>
          <w:kern w:val="0"/>
          <w:szCs w:val="21"/>
          <w:highlight w:val="none"/>
        </w:rPr>
      </w:pPr>
      <w:r>
        <w:rPr>
          <w:rFonts w:hint="eastAsia" w:ascii="宋体" w:hAnsi="宋体" w:cs="宋体"/>
          <w:b/>
          <w:bCs/>
          <w:color w:val="auto"/>
          <w:kern w:val="0"/>
          <w:szCs w:val="21"/>
          <w:highlight w:val="none"/>
        </w:rPr>
        <w:t>三、获取采购文件</w:t>
      </w:r>
    </w:p>
    <w:p w14:paraId="01B14CC2">
      <w:pPr>
        <w:widowControl/>
        <w:shd w:val="clear" w:color="auto" w:fill="FFFFFF"/>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时间：自公告发布之日起</w:t>
      </w:r>
      <w:r>
        <w:rPr>
          <w:rFonts w:hint="eastAsia" w:ascii="宋体" w:hAnsi="宋体" w:cs="宋体"/>
          <w:color w:val="auto"/>
          <w:kern w:val="0"/>
          <w:szCs w:val="21"/>
          <w:highlight w:val="none"/>
          <w:lang w:val="en-US" w:eastAsia="zh-CN"/>
        </w:rPr>
        <w:t>至响应截止时间止</w:t>
      </w:r>
      <w:r>
        <w:rPr>
          <w:rFonts w:hint="eastAsia" w:ascii="宋体" w:hAnsi="宋体" w:cs="宋体"/>
          <w:color w:val="auto"/>
          <w:kern w:val="0"/>
          <w:szCs w:val="21"/>
          <w:highlight w:val="none"/>
        </w:rPr>
        <w:t>。</w:t>
      </w:r>
    </w:p>
    <w:p w14:paraId="7B729CE3">
      <w:pPr>
        <w:widowControl/>
        <w:shd w:val="clear" w:color="auto" w:fill="FFFFFF"/>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获取方式：网上下载。本项目不发放纸质文件，供应商可自行在“广西政府采购云平台”</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https://www.gcy.zfcg.gxzf.gov.cn/）下载采购文件（操作路径：登录“广西政府采购云平台”-项目采购-获取采购文件-找到本项目-点击“申请获取采购文件”），电子响应文件制作需要基于“广西政府采购云平台”获取的</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文件编制。</w:t>
      </w:r>
    </w:p>
    <w:p w14:paraId="52A76156">
      <w:pPr>
        <w:widowControl/>
        <w:shd w:val="clear" w:color="auto" w:fill="FFFFFF"/>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售价（元）：0</w:t>
      </w:r>
    </w:p>
    <w:p w14:paraId="2BDA4D3B">
      <w:pPr>
        <w:widowControl/>
        <w:shd w:val="clear" w:color="auto" w:fill="FFFFFF"/>
        <w:spacing w:line="400" w:lineRule="exact"/>
        <w:rPr>
          <w:rFonts w:hint="eastAsia" w:ascii="宋体" w:hAnsi="宋体" w:cs="宋体"/>
          <w:color w:val="auto"/>
          <w:kern w:val="0"/>
          <w:szCs w:val="21"/>
          <w:highlight w:val="none"/>
        </w:rPr>
      </w:pPr>
      <w:r>
        <w:rPr>
          <w:rFonts w:hint="eastAsia" w:ascii="宋体" w:hAnsi="宋体" w:cs="宋体"/>
          <w:b/>
          <w:bCs/>
          <w:color w:val="auto"/>
          <w:kern w:val="0"/>
          <w:szCs w:val="21"/>
          <w:highlight w:val="none"/>
        </w:rPr>
        <w:t>四、响应文件提交</w:t>
      </w:r>
      <w:r>
        <w:rPr>
          <w:rFonts w:hint="eastAsia" w:ascii="宋体" w:hAnsi="宋体" w:cs="宋体"/>
          <w:color w:val="auto"/>
          <w:kern w:val="0"/>
          <w:szCs w:val="21"/>
          <w:highlight w:val="none"/>
        </w:rPr>
        <w:t> </w:t>
      </w:r>
    </w:p>
    <w:p w14:paraId="7B52DF01">
      <w:pPr>
        <w:widowControl/>
        <w:shd w:val="clear" w:color="auto" w:fill="FFFFFF"/>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1.提交响应文件截止时间和开标时间：</w:t>
      </w:r>
      <w:r>
        <w:rPr>
          <w:rFonts w:hint="eastAsia" w:ascii="宋体" w:hAnsi="宋体" w:cs="宋体"/>
          <w:color w:val="auto"/>
          <w:kern w:val="0"/>
          <w:szCs w:val="21"/>
          <w:highlight w:val="none"/>
          <w:u w:val="single"/>
        </w:rPr>
        <w:t>2025年</w:t>
      </w:r>
      <w:r>
        <w:rPr>
          <w:rFonts w:hint="eastAsia" w:ascii="宋体" w:hAnsi="宋体" w:cs="宋体"/>
          <w:color w:val="auto"/>
          <w:kern w:val="0"/>
          <w:szCs w:val="21"/>
          <w:highlight w:val="none"/>
          <w:u w:val="single"/>
          <w:lang w:val="en-US" w:eastAsia="zh-CN"/>
        </w:rPr>
        <w:t>6</w:t>
      </w:r>
      <w:r>
        <w:rPr>
          <w:rFonts w:hint="eastAsia" w:ascii="宋体" w:hAnsi="宋体" w:cs="宋体"/>
          <w:color w:val="auto"/>
          <w:kern w:val="0"/>
          <w:szCs w:val="21"/>
          <w:highlight w:val="none"/>
          <w:u w:val="single"/>
        </w:rPr>
        <w:t>月</w:t>
      </w:r>
      <w:r>
        <w:rPr>
          <w:rFonts w:hint="eastAsia" w:ascii="宋体" w:hAnsi="宋体" w:cs="宋体"/>
          <w:color w:val="auto"/>
          <w:kern w:val="0"/>
          <w:szCs w:val="21"/>
          <w:highlight w:val="none"/>
          <w:u w:val="single"/>
          <w:lang w:val="en-US" w:eastAsia="zh-CN"/>
        </w:rPr>
        <w:t>9</w:t>
      </w:r>
      <w:r>
        <w:rPr>
          <w:rFonts w:hint="eastAsia" w:ascii="宋体" w:hAnsi="宋体" w:cs="宋体"/>
          <w:color w:val="auto"/>
          <w:kern w:val="0"/>
          <w:szCs w:val="21"/>
          <w:highlight w:val="none"/>
          <w:u w:val="single"/>
        </w:rPr>
        <w:t>日09时30分</w:t>
      </w:r>
      <w:r>
        <w:rPr>
          <w:rFonts w:hint="eastAsia" w:ascii="宋体" w:hAnsi="宋体" w:cs="宋体"/>
          <w:color w:val="auto"/>
          <w:kern w:val="0"/>
          <w:szCs w:val="21"/>
          <w:highlight w:val="none"/>
        </w:rPr>
        <w:t>（北京时间）</w:t>
      </w:r>
    </w:p>
    <w:p w14:paraId="71B62869">
      <w:pPr>
        <w:widowControl/>
        <w:shd w:val="clear" w:color="auto" w:fill="FFFFFF"/>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响应</w:t>
      </w:r>
      <w:r>
        <w:rPr>
          <w:rFonts w:hint="eastAsia" w:ascii="宋体" w:hAnsi="宋体" w:cs="宋体"/>
          <w:color w:val="auto"/>
          <w:kern w:val="0"/>
          <w:szCs w:val="21"/>
          <w:highlight w:val="none"/>
        </w:rPr>
        <w:t>地点（网址）：本项目为南宁市全流程电子化项目，通过“广西政府采购云平台”</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 xml:space="preserve">（https://www.gcy.zfcg.gxzf.gov.cn/）实行在线电子投标，电子投标具体操作流程详见电子响应文件制作与投送教程（在此网址下载：http://nncz.nanning.gov.cn/（南宁市财政局官网）-下载专区）。 </w:t>
      </w:r>
    </w:p>
    <w:p w14:paraId="4CAD1E42">
      <w:pPr>
        <w:widowControl/>
        <w:shd w:val="clear" w:color="auto" w:fill="FFFFFF"/>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截</w:t>
      </w:r>
      <w:r>
        <w:rPr>
          <w:rFonts w:hint="eastAsia" w:ascii="宋体" w:hAnsi="宋体" w:cs="宋体"/>
          <w:color w:val="auto"/>
          <w:kern w:val="0"/>
          <w:szCs w:val="21"/>
          <w:highlight w:val="none"/>
        </w:rPr>
        <w:t>标地点：“广西政府采购云平台”电子开标大厅开标。</w:t>
      </w:r>
    </w:p>
    <w:p w14:paraId="7DE8B4B7">
      <w:pPr>
        <w:widowControl/>
        <w:shd w:val="clear" w:color="auto" w:fill="FFFFFF"/>
        <w:spacing w:line="400" w:lineRule="exact"/>
        <w:rPr>
          <w:rFonts w:hint="eastAsia" w:ascii="宋体" w:hAnsi="宋体" w:cs="宋体"/>
          <w:color w:val="auto"/>
          <w:kern w:val="0"/>
          <w:szCs w:val="21"/>
          <w:highlight w:val="none"/>
        </w:rPr>
      </w:pPr>
      <w:r>
        <w:rPr>
          <w:rFonts w:hint="eastAsia" w:ascii="宋体" w:hAnsi="宋体" w:cs="宋体"/>
          <w:b/>
          <w:bCs/>
          <w:color w:val="auto"/>
          <w:kern w:val="0"/>
          <w:szCs w:val="21"/>
          <w:highlight w:val="none"/>
        </w:rPr>
        <w:t>五、响应文件开启</w:t>
      </w:r>
      <w:r>
        <w:rPr>
          <w:rFonts w:hint="eastAsia" w:ascii="宋体" w:hAnsi="宋体" w:cs="宋体"/>
          <w:color w:val="auto"/>
          <w:kern w:val="0"/>
          <w:szCs w:val="21"/>
          <w:highlight w:val="none"/>
        </w:rPr>
        <w:t> </w:t>
      </w:r>
    </w:p>
    <w:p w14:paraId="61464143">
      <w:pPr>
        <w:widowControl/>
        <w:shd w:val="clear" w:color="auto" w:fill="FFFFFF"/>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开启时间：2025年</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月</w:t>
      </w:r>
      <w:r>
        <w:rPr>
          <w:rFonts w:hint="eastAsia" w:ascii="宋体" w:hAnsi="宋体" w:cs="宋体"/>
          <w:color w:val="auto"/>
          <w:kern w:val="0"/>
          <w:szCs w:val="21"/>
          <w:highlight w:val="none"/>
          <w:lang w:val="en-US" w:eastAsia="zh-CN"/>
        </w:rPr>
        <w:t>9</w:t>
      </w:r>
      <w:r>
        <w:rPr>
          <w:rFonts w:hint="eastAsia" w:ascii="宋体" w:hAnsi="宋体" w:cs="宋体"/>
          <w:color w:val="auto"/>
          <w:kern w:val="0"/>
          <w:szCs w:val="21"/>
          <w:highlight w:val="none"/>
        </w:rPr>
        <w:t>日 09:30</w:t>
      </w:r>
      <w:r>
        <w:rPr>
          <w:rFonts w:hint="eastAsia" w:ascii="宋体" w:hAnsi="宋体" w:cs="宋体"/>
          <w:color w:val="auto"/>
          <w:kern w:val="0"/>
          <w:szCs w:val="21"/>
          <w:highlight w:val="none"/>
        </w:rPr>
        <w:t>（北京时间）</w:t>
      </w:r>
    </w:p>
    <w:p w14:paraId="0C1B4BE5">
      <w:pPr>
        <w:widowControl/>
        <w:shd w:val="clear" w:color="auto" w:fill="FFFFFF"/>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地点：“广西政府采购云平台”电子开标大厅 </w:t>
      </w:r>
    </w:p>
    <w:p w14:paraId="129841A8">
      <w:pPr>
        <w:widowControl/>
        <w:shd w:val="clear" w:color="auto" w:fill="FFFFFF"/>
        <w:spacing w:line="400" w:lineRule="exact"/>
        <w:rPr>
          <w:rFonts w:hint="eastAsia" w:ascii="宋体" w:hAnsi="宋体" w:cs="宋体"/>
          <w:color w:val="auto"/>
          <w:kern w:val="0"/>
          <w:szCs w:val="21"/>
          <w:highlight w:val="none"/>
        </w:rPr>
      </w:pPr>
      <w:r>
        <w:rPr>
          <w:rFonts w:hint="eastAsia" w:ascii="宋体" w:hAnsi="宋体" w:cs="宋体"/>
          <w:b/>
          <w:bCs/>
          <w:color w:val="auto"/>
          <w:kern w:val="0"/>
          <w:szCs w:val="21"/>
          <w:highlight w:val="none"/>
        </w:rPr>
        <w:t>六、公告期限</w:t>
      </w:r>
    </w:p>
    <w:p w14:paraId="4A524DDE">
      <w:pPr>
        <w:widowControl/>
        <w:shd w:val="clear" w:color="auto" w:fill="FFFFFF"/>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14:paraId="0E76BB01">
      <w:pPr>
        <w:widowControl/>
        <w:shd w:val="clear" w:color="auto" w:fill="FFFFFF"/>
        <w:spacing w:line="400" w:lineRule="exact"/>
        <w:rPr>
          <w:rFonts w:hint="eastAsia" w:ascii="宋体" w:hAnsi="宋体" w:cs="宋体"/>
          <w:color w:val="auto"/>
          <w:kern w:val="0"/>
          <w:szCs w:val="21"/>
          <w:highlight w:val="none"/>
        </w:rPr>
      </w:pPr>
      <w:r>
        <w:rPr>
          <w:rFonts w:hint="eastAsia" w:ascii="宋体" w:hAnsi="宋体" w:cs="宋体"/>
          <w:b/>
          <w:bCs/>
          <w:color w:val="auto"/>
          <w:kern w:val="0"/>
          <w:szCs w:val="21"/>
          <w:highlight w:val="none"/>
        </w:rPr>
        <w:t>七、其他补充事宜</w:t>
      </w:r>
      <w:r>
        <w:rPr>
          <w:rFonts w:hint="eastAsia" w:ascii="宋体" w:hAnsi="宋体" w:cs="宋体"/>
          <w:color w:val="auto"/>
          <w:kern w:val="0"/>
          <w:szCs w:val="21"/>
          <w:highlight w:val="none"/>
        </w:rPr>
        <w:t> </w:t>
      </w:r>
    </w:p>
    <w:p w14:paraId="14CEECD1">
      <w:pPr>
        <w:widowControl/>
        <w:shd w:val="clear" w:color="auto" w:fill="FFFFFF"/>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1.磋商保证金：本项目不收取磋商保证金</w:t>
      </w:r>
    </w:p>
    <w:p w14:paraId="004A04F7">
      <w:pPr>
        <w:widowControl/>
        <w:shd w:val="clear" w:color="auto" w:fill="FFFFFF"/>
        <w:spacing w:line="400" w:lineRule="exact"/>
        <w:ind w:firstLine="420" w:firstLineChars="200"/>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2.采购意向公开链接：</w:t>
      </w:r>
      <w:r>
        <w:rPr>
          <w:rFonts w:hint="eastAsia" w:ascii="宋体" w:hAnsi="宋体" w:cs="宋体"/>
          <w:color w:val="auto"/>
          <w:kern w:val="0"/>
          <w:szCs w:val="21"/>
          <w:highlight w:val="none"/>
          <w:lang w:eastAsia="zh-CN"/>
        </w:rPr>
        <w:t>https://zfcg.gxzf.gov.cn/site/detail?parentId=66601&amp;articleId=35a2msxOLMpXmQDDNQel3g==</w:t>
      </w:r>
    </w:p>
    <w:p w14:paraId="3615CF5F">
      <w:pPr>
        <w:widowControl/>
        <w:shd w:val="clear" w:color="auto" w:fill="FFFFFF"/>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3.网上查询地址</w:t>
      </w:r>
    </w:p>
    <w:p w14:paraId="59B64AB4">
      <w:pPr>
        <w:widowControl/>
        <w:shd w:val="clear" w:color="auto" w:fill="FFFFFF"/>
        <w:spacing w:line="40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http://zfcg.gxzf.gov.cn (广西政府采购网)、http://ggzy.jgswj.gxzf.gov.cn/nnggzy/（全国公共资源交易平台（广西·南宁））、http://www.ccgp.gov.cn (中国政府采购网)公开查询；</w:t>
      </w:r>
    </w:p>
    <w:p w14:paraId="692696E9">
      <w:pPr>
        <w:widowControl/>
        <w:shd w:val="clear" w:color="auto" w:fill="FFFFFF"/>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.本项目需要落实的政府采购政策</w:t>
      </w:r>
    </w:p>
    <w:p w14:paraId="1F9EC1E1">
      <w:pPr>
        <w:widowControl/>
        <w:shd w:val="clear" w:color="auto" w:fill="FFFFFF"/>
        <w:spacing w:line="400" w:lineRule="exact"/>
        <w:ind w:firstLine="210" w:firstLine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（1）政府采购促进中小企业发展。</w:t>
      </w:r>
    </w:p>
    <w:p w14:paraId="5356E628">
      <w:pPr>
        <w:widowControl/>
        <w:shd w:val="clear" w:color="auto" w:fill="FFFFFF"/>
        <w:spacing w:line="400" w:lineRule="exact"/>
        <w:ind w:firstLine="210" w:firstLine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（2）政府采购支持采用本国产品的政策。</w:t>
      </w:r>
    </w:p>
    <w:p w14:paraId="1045ABE7">
      <w:pPr>
        <w:widowControl/>
        <w:shd w:val="clear" w:color="auto" w:fill="FFFFFF"/>
        <w:spacing w:line="400" w:lineRule="exact"/>
        <w:ind w:firstLine="210" w:firstLine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（3）强制采购节能产品；优先采购节能产品、环境标志产品。</w:t>
      </w:r>
    </w:p>
    <w:p w14:paraId="15787271">
      <w:pPr>
        <w:widowControl/>
        <w:shd w:val="clear" w:color="auto" w:fill="FFFFFF"/>
        <w:spacing w:line="400" w:lineRule="exact"/>
        <w:ind w:firstLine="210" w:firstLine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（4）政府采购促进残疾人就业政策。</w:t>
      </w:r>
    </w:p>
    <w:p w14:paraId="6CB9B811">
      <w:pPr>
        <w:widowControl/>
        <w:shd w:val="clear" w:color="auto" w:fill="FFFFFF"/>
        <w:spacing w:line="400" w:lineRule="exact"/>
        <w:ind w:firstLine="210" w:firstLine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（5）政府采购支持监狱企业发展。</w:t>
      </w:r>
    </w:p>
    <w:p w14:paraId="36141F34">
      <w:pPr>
        <w:widowControl/>
        <w:shd w:val="clear" w:color="auto" w:fill="FFFFFF"/>
        <w:spacing w:line="400" w:lineRule="exact"/>
        <w:ind w:firstLine="210" w:firstLine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（6）扶持不发达地区和少数民族地区政策。</w:t>
      </w:r>
    </w:p>
    <w:p w14:paraId="09ACCD96">
      <w:pPr>
        <w:widowControl/>
        <w:shd w:val="clear" w:color="auto" w:fill="FFFFFF"/>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14:paraId="44EDF2A1">
      <w:pPr>
        <w:widowControl/>
        <w:shd w:val="clear" w:color="auto" w:fill="FFFFFF"/>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.若对项目采购电子交易系统操作有疑问，可登录“广西政府采购云平台”（https://www.zcygov.cn/），点击右侧咨询小采，获取采小蜜智能服务管家帮助，或拨打政采云服务热线400-881-7190获取热线服务帮助。</w:t>
      </w:r>
    </w:p>
    <w:p w14:paraId="5C469E53">
      <w:pPr>
        <w:widowControl/>
        <w:shd w:val="clear" w:color="auto" w:fill="FFFFFF"/>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1）未进行网上注册并办理数字证书（CA认证）的供应商将无法参与本项目政府采购活动，潜在供应商应当在投标截止时间前，完成电子交易平台上的CA数字证书办理（申领流程：CA证书申请方式及操作指南下载地址（现场申请方式见网址：http://www.ccgp-guangxi.gov.cn/OfficeService/DownloadArea/8354055.html?utm=a0003.39a112b4.cmp001.d0002.f0464b20ff2a11eb873141bf9e381949（广西政府采购网）/网上申请方式见网址： http://nncz.nanning.gov.cn/（南宁市工业和信息化局官网）-下载专区-南宁市政采云CA证书办理操作指南））及响应文件的提交。完成CA数字证书办理预计7日左右，供应商只需办理其中一家CA数字证书及签章，建议各供应商抓紧时间办理。</w:t>
      </w:r>
    </w:p>
    <w:p w14:paraId="5ACE1CEC">
      <w:pPr>
        <w:widowControl/>
        <w:shd w:val="clear" w:color="auto" w:fill="FFFFFF"/>
        <w:spacing w:line="40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（2）为确保网上操作合法、有效和安全，请投标供应商确保在电子投标过程中能够对相关数据电文进行加密和使用电子签章，妥善保管CA数字证书并使用有效的CA数字证书参与整个招标活动。</w:t>
      </w:r>
    </w:p>
    <w:p w14:paraId="36AA8B67">
      <w:pPr>
        <w:widowControl/>
        <w:shd w:val="clear" w:color="auto" w:fill="FFFFFF"/>
        <w:spacing w:line="40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注：供应商应当在投标截止时间前完成电子响应文件的上传、递交，投标截止时间前可以补充、修改或者撤回响应文件。补充或者修改响应文件的，应当先行撤回原文件，补充、修改后重新上传、递交。投标截止时间前未完成上传、递交的，视为撤回响应文件。投标截止时间以后上传递交的响应文件“广西政府采购云平台”将予以拒收。</w:t>
      </w:r>
    </w:p>
    <w:p w14:paraId="22A11169">
      <w:pPr>
        <w:widowControl/>
        <w:shd w:val="clear" w:color="auto" w:fill="FFFFFF"/>
        <w:spacing w:line="40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（3）CA证书在线解密：供应商投标时，需携带制作响应文件时用来加密的有效数字证书（CA认证）登录“广西政府采购云平台”电子开标大厅现场按规定时间对加密的响应文件进行解密，否则后果自负。</w:t>
      </w:r>
    </w:p>
    <w:p w14:paraId="74A81954">
      <w:pPr>
        <w:widowControl/>
        <w:shd w:val="clear" w:color="auto" w:fill="FFFFFF"/>
        <w:spacing w:line="400" w:lineRule="exact"/>
        <w:rPr>
          <w:rFonts w:hint="eastAsia" w:ascii="宋体" w:hAnsi="宋体" w:cs="宋体"/>
          <w:color w:val="auto"/>
          <w:kern w:val="0"/>
          <w:szCs w:val="21"/>
          <w:highlight w:val="none"/>
        </w:rPr>
      </w:pPr>
      <w:r>
        <w:rPr>
          <w:rFonts w:hint="eastAsia" w:ascii="宋体" w:hAnsi="宋体" w:cs="宋体"/>
          <w:b/>
          <w:bCs/>
          <w:color w:val="auto"/>
          <w:kern w:val="0"/>
          <w:szCs w:val="21"/>
          <w:highlight w:val="none"/>
        </w:rPr>
        <w:t>八、凡对本次招标提出询问，请按以下方式联系</w:t>
      </w:r>
    </w:p>
    <w:p w14:paraId="25FF629F">
      <w:pPr>
        <w:widowControl/>
        <w:shd w:val="clear" w:color="auto" w:fill="FFFFFF"/>
        <w:spacing w:line="40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1.采购人信息</w:t>
      </w:r>
    </w:p>
    <w:p w14:paraId="44928A39">
      <w:pPr>
        <w:widowControl/>
        <w:shd w:val="clear" w:color="auto" w:fill="FFFFFF"/>
        <w:spacing w:line="40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名    称：南宁市工业和信息化局 </w:t>
      </w:r>
    </w:p>
    <w:p w14:paraId="7C02604D">
      <w:pPr>
        <w:widowControl/>
        <w:shd w:val="clear" w:color="auto" w:fill="FFFFFF"/>
        <w:spacing w:line="40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地    址：南宁市嘉宾路1号</w:t>
      </w:r>
    </w:p>
    <w:p w14:paraId="6327FE28">
      <w:pPr>
        <w:widowControl/>
        <w:shd w:val="clear" w:color="auto" w:fill="FFFFFF"/>
        <w:spacing w:line="40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项目联系人：陈娟 </w:t>
      </w:r>
    </w:p>
    <w:p w14:paraId="064A4046">
      <w:pPr>
        <w:widowControl/>
        <w:shd w:val="clear" w:color="auto" w:fill="FFFFFF"/>
        <w:spacing w:line="400" w:lineRule="exact"/>
        <w:ind w:firstLine="630" w:firstLineChars="3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项目联系方式：0771-5530665 </w:t>
      </w:r>
    </w:p>
    <w:p w14:paraId="04F8FFCA">
      <w:pPr>
        <w:widowControl/>
        <w:shd w:val="clear" w:color="auto" w:fill="FFFFFF"/>
        <w:spacing w:line="40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2.采购代理机构信息</w:t>
      </w:r>
    </w:p>
    <w:p w14:paraId="57D54340">
      <w:pPr>
        <w:widowControl/>
        <w:shd w:val="clear" w:color="auto" w:fill="FFFFFF"/>
        <w:spacing w:line="40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名    称：广西机电设备招标有限公司 </w:t>
      </w:r>
    </w:p>
    <w:p w14:paraId="5CD9097A">
      <w:pPr>
        <w:widowControl/>
        <w:shd w:val="clear" w:color="auto" w:fill="FFFFFF"/>
        <w:spacing w:line="40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地    址：广西南宁市金湖路63号金源CBD现代城B座7层 </w:t>
      </w:r>
    </w:p>
    <w:p w14:paraId="28202360">
      <w:pPr>
        <w:widowControl/>
        <w:shd w:val="clear" w:color="auto" w:fill="FFFFFF"/>
        <w:spacing w:line="40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项目联系人：周蓉、彭瑶、梅莹</w:t>
      </w:r>
    </w:p>
    <w:p w14:paraId="545E1E2F">
      <w:pPr>
        <w:widowControl/>
        <w:shd w:val="clear" w:color="auto" w:fill="FFFFFF"/>
        <w:spacing w:line="40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项目联系方式：0771-2808981</w:t>
      </w:r>
    </w:p>
    <w:p w14:paraId="223E1D96">
      <w:pPr>
        <w:pStyle w:val="5"/>
        <w:widowControl/>
        <w:numPr>
          <w:ilvl w:val="0"/>
          <w:numId w:val="0"/>
        </w:numPr>
        <w:tabs>
          <w:tab w:val="left" w:pos="454"/>
          <w:tab w:val="left" w:pos="720"/>
          <w:tab w:val="left" w:pos="840"/>
        </w:tabs>
        <w:spacing w:line="400" w:lineRule="exact"/>
        <w:ind w:firstLine="420" w:firstLineChars="200"/>
        <w:jc w:val="right"/>
        <w:rPr>
          <w:rFonts w:hint="eastAsia" w:ascii="宋体" w:hAnsi="宋体" w:cs="宋体"/>
          <w:color w:val="auto"/>
          <w:kern w:val="0"/>
          <w:szCs w:val="21"/>
          <w:highlight w:val="none"/>
        </w:rPr>
      </w:pPr>
    </w:p>
    <w:p w14:paraId="686A976A">
      <w:pPr>
        <w:pStyle w:val="5"/>
        <w:widowControl/>
        <w:numPr>
          <w:ilvl w:val="0"/>
          <w:numId w:val="0"/>
        </w:numPr>
        <w:tabs>
          <w:tab w:val="left" w:pos="454"/>
          <w:tab w:val="left" w:pos="720"/>
          <w:tab w:val="left" w:pos="840"/>
        </w:tabs>
        <w:spacing w:line="400" w:lineRule="exact"/>
        <w:ind w:firstLine="420" w:firstLineChars="200"/>
        <w:jc w:val="right"/>
        <w:rPr>
          <w:rFonts w:hint="eastAsia" w:ascii="宋体" w:hAnsi="宋体" w:cs="宋体"/>
          <w:color w:val="auto"/>
          <w:kern w:val="0"/>
          <w:szCs w:val="21"/>
          <w:highlight w:val="none"/>
        </w:rPr>
      </w:pPr>
      <w:r>
        <w:rPr>
          <w:rFonts w:hint="eastAsia" w:ascii="宋体" w:hAnsi="宋体" w:cs="宋体"/>
          <w:color w:val="auto"/>
          <w:kern w:val="0"/>
          <w:szCs w:val="21"/>
          <w:highlight w:val="none"/>
        </w:rPr>
        <w:t>广西机电设备招标有限公司</w:t>
      </w:r>
    </w:p>
    <w:p w14:paraId="1062DF4D">
      <w:pPr>
        <w:spacing w:line="400" w:lineRule="exact"/>
        <w:ind w:firstLine="420" w:firstLineChars="200"/>
        <w:jc w:val="right"/>
        <w:rPr>
          <w:rFonts w:ascii="Arial" w:hAnsi="Arial" w:cs="Arial"/>
          <w:color w:val="auto"/>
          <w:szCs w:val="21"/>
          <w:highlight w:val="none"/>
        </w:rPr>
        <w:sectPr>
          <w:footerReference r:id="rId4" w:type="default"/>
          <w:pgSz w:w="11911" w:h="16838"/>
          <w:pgMar w:top="1417" w:right="1417" w:bottom="1417" w:left="1417" w:header="720" w:footer="720" w:gutter="0"/>
          <w:pgNumType w:start="1"/>
          <w:cols w:space="0" w:num="1"/>
          <w:rtlGutter w:val="0"/>
          <w:docGrid w:linePitch="0" w:charSpace="0"/>
        </w:sectPr>
      </w:pPr>
      <w:r>
        <w:rPr>
          <w:rFonts w:hint="eastAsia" w:ascii="宋体" w:hAnsi="宋体" w:cs="宋体"/>
          <w:color w:val="auto"/>
          <w:szCs w:val="21"/>
          <w:highlight w:val="none"/>
        </w:rPr>
        <w:t>2025年</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29</w:t>
      </w:r>
      <w:r>
        <w:rPr>
          <w:rFonts w:hint="eastAsia" w:ascii="宋体" w:hAnsi="宋体" w:cs="宋体"/>
          <w:color w:val="auto"/>
          <w:szCs w:val="21"/>
          <w:highlight w:val="none"/>
        </w:rPr>
        <w:t>日</w:t>
      </w:r>
      <w:bookmarkEnd w:id="24"/>
    </w:p>
    <w:p w14:paraId="442442D4">
      <w:pPr>
        <w:pStyle w:val="2"/>
        <w:spacing w:before="120" w:after="120" w:line="500" w:lineRule="exact"/>
        <w:jc w:val="center"/>
        <w:rPr>
          <w:color w:val="auto"/>
          <w:highlight w:val="none"/>
        </w:rPr>
      </w:pPr>
      <w:bookmarkStart w:id="25" w:name="_Toc16006"/>
      <w:r>
        <w:rPr>
          <w:rFonts w:hint="eastAsia"/>
          <w:color w:val="auto"/>
          <w:highlight w:val="none"/>
        </w:rPr>
        <w:t>第二章</w:t>
      </w:r>
      <w:r>
        <w:rPr>
          <w:color w:val="auto"/>
          <w:highlight w:val="none"/>
        </w:rPr>
        <w:t xml:space="preserve"> </w:t>
      </w:r>
      <w:r>
        <w:rPr>
          <w:rFonts w:hint="eastAsia"/>
          <w:color w:val="auto"/>
          <w:highlight w:val="none"/>
        </w:rPr>
        <w:t>采购需求</w:t>
      </w:r>
      <w:bookmarkEnd w:id="25"/>
    </w:p>
    <w:p w14:paraId="38A454BE">
      <w:pPr>
        <w:adjustRightInd w:val="0"/>
        <w:spacing w:line="340" w:lineRule="exact"/>
        <w:rPr>
          <w:rFonts w:hint="eastAsia" w:hAnsi="宋体"/>
          <w:b/>
          <w:color w:val="auto"/>
          <w:szCs w:val="21"/>
          <w:highlight w:val="none"/>
        </w:rPr>
      </w:pPr>
      <w:bookmarkStart w:id="26" w:name="PO_TDCUS_ITEM_PB_REQ_FILE_1_1"/>
      <w:r>
        <w:rPr>
          <w:rFonts w:hint="eastAsia" w:hAnsi="宋体"/>
          <w:b/>
          <w:color w:val="auto"/>
          <w:szCs w:val="21"/>
          <w:highlight w:val="none"/>
        </w:rPr>
        <w:t>说明：</w:t>
      </w:r>
    </w:p>
    <w:p w14:paraId="470AE692">
      <w:pPr>
        <w:spacing w:line="360" w:lineRule="auto"/>
        <w:ind w:firstLine="420" w:firstLineChars="200"/>
        <w:jc w:val="left"/>
        <w:rPr>
          <w:color w:val="auto"/>
          <w:highlight w:val="none"/>
        </w:rPr>
      </w:pPr>
      <w:r>
        <w:rPr>
          <w:rFonts w:hint="eastAsia"/>
          <w:color w:val="auto"/>
          <w:highlight w:val="none"/>
        </w:rPr>
        <w:t>1. 为落实政府采购政策需满足的要求（根据项目实际情况填写内容）</w:t>
      </w:r>
    </w:p>
    <w:p w14:paraId="14C7EF99">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（1）本采购文件所称中小企业必须符合《政府采购促进中小企业发展管理办法》（财库〔2020〕46号）的规定。</w:t>
      </w:r>
    </w:p>
    <w:p w14:paraId="63701D3F">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（2）服务项目中伴随货物的，根据《财政部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附件1），供应商的竞标货物必须使用政府强制采购的节能产品，供应商必须在响应文件中提供所竞标产品的节能产品认证证书复印件（加盖供应商电子公章），否则响应文件作无效处理。如本项目包含的货物属于品目清单内非标注“★”的产品时，应优先采购，具体详见“第四章 评标方法和评标标准”。</w:t>
      </w:r>
    </w:p>
    <w:p w14:paraId="4988F7EA">
      <w:pPr>
        <w:spacing w:line="360" w:lineRule="auto"/>
        <w:ind w:firstLine="424" w:firstLineChars="202"/>
        <w:jc w:val="left"/>
        <w:rPr>
          <w:rFonts w:hint="eastAsia" w:ascii="宋体" w:hAnsi="宋体" w:cs="宋体"/>
          <w:b/>
          <w:color w:val="auto"/>
          <w:szCs w:val="21"/>
          <w:highlight w:val="none"/>
        </w:rPr>
      </w:pPr>
      <w:r>
        <w:rPr>
          <w:rFonts w:hint="eastAsia" w:ascii="宋体" w:hAnsi="宋体" w:cs="宋体"/>
          <w:color w:val="auto"/>
          <w:szCs w:val="21"/>
          <w:highlight w:val="none"/>
        </w:rPr>
        <w:t>（3）</w:t>
      </w:r>
      <w:r>
        <w:rPr>
          <w:rFonts w:hint="eastAsia" w:ascii="宋体" w:hAnsi="宋体" w:cs="宋体"/>
          <w:b/>
          <w:color w:val="auto"/>
          <w:szCs w:val="21"/>
          <w:highlight w:val="none"/>
        </w:rPr>
        <w:t>服务项目中伴随的货物包含列入《网络关键设备和网络安全专用产品目录》的网络安全专用产品，应当按照《信息安全技术网络安全专用产品安全技术要求》等相关国家标准的强制性要求，提供具备资格的机构安全认证合格或者安全检测证明材料(加盖投标人公章),否则响应文件作无效处理。</w:t>
      </w:r>
    </w:p>
    <w:p w14:paraId="2E2072BC">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w:t>
      </w:r>
    </w:p>
    <w:p w14:paraId="678B9BAD">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2.“实质性要求”是指采购文件中已经指明不满足则响应无效的条款，或者不能负偏离的条款，或者采购需求中带“▲”的条款。</w:t>
      </w:r>
    </w:p>
    <w:p w14:paraId="1E4F1334">
      <w:pPr>
        <w:spacing w:line="360" w:lineRule="auto"/>
        <w:ind w:firstLine="424" w:firstLineChars="202"/>
        <w:jc w:val="left"/>
        <w:rPr>
          <w:color w:val="auto"/>
          <w:highlight w:val="none"/>
        </w:rPr>
      </w:pPr>
      <w:r>
        <w:rPr>
          <w:rFonts w:hint="eastAsia" w:ascii="宋体" w:hAnsi="宋体" w:cs="宋体"/>
          <w:color w:val="auto"/>
          <w:szCs w:val="21"/>
          <w:highlight w:val="none"/>
        </w:rPr>
        <w:t>3.</w:t>
      </w:r>
      <w:r>
        <w:rPr>
          <w:rFonts w:hint="eastAsia"/>
          <w:color w:val="auto"/>
          <w:highlight w:val="none"/>
        </w:rPr>
        <w:t>如供应商竞标</w:t>
      </w:r>
      <w:r>
        <w:rPr>
          <w:color w:val="auto"/>
          <w:highlight w:val="none"/>
        </w:rPr>
        <w:t>产品</w:t>
      </w:r>
      <w:r>
        <w:rPr>
          <w:rFonts w:hint="eastAsia"/>
          <w:color w:val="auto"/>
          <w:highlight w:val="none"/>
        </w:rPr>
        <w:t>存在</w:t>
      </w:r>
      <w:r>
        <w:rPr>
          <w:color w:val="auto"/>
          <w:highlight w:val="none"/>
        </w:rPr>
        <w:t>侵犯</w:t>
      </w:r>
      <w:r>
        <w:rPr>
          <w:rFonts w:hint="eastAsia"/>
          <w:color w:val="auto"/>
          <w:highlight w:val="none"/>
        </w:rPr>
        <w:t>他人的知识产权或者专利成果行为的，应</w:t>
      </w:r>
      <w:r>
        <w:rPr>
          <w:color w:val="auto"/>
          <w:highlight w:val="none"/>
        </w:rPr>
        <w:t>承担相应法律责任</w:t>
      </w:r>
      <w:r>
        <w:rPr>
          <w:rFonts w:hint="eastAsia"/>
          <w:color w:val="auto"/>
          <w:highlight w:val="none"/>
        </w:rPr>
        <w:t>。</w:t>
      </w:r>
    </w:p>
    <w:p w14:paraId="6836AAD7">
      <w:pPr>
        <w:rPr>
          <w:color w:val="auto"/>
          <w:highlight w:val="none"/>
        </w:rPr>
      </w:pPr>
      <w:r>
        <w:rPr>
          <w:color w:val="auto"/>
          <w:highlight w:val="none"/>
        </w:rPr>
        <w:br w:type="page"/>
      </w:r>
    </w:p>
    <w:tbl>
      <w:tblPr>
        <w:tblStyle w:val="22"/>
        <w:tblW w:w="9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
        <w:gridCol w:w="444"/>
        <w:gridCol w:w="804"/>
        <w:gridCol w:w="468"/>
        <w:gridCol w:w="480"/>
        <w:gridCol w:w="4704"/>
        <w:gridCol w:w="972"/>
        <w:gridCol w:w="1200"/>
      </w:tblGrid>
      <w:tr w14:paraId="53CC9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506" w:type="dxa"/>
            <w:gridSpan w:val="8"/>
            <w:noWrap w:val="0"/>
            <w:vAlign w:val="center"/>
          </w:tcPr>
          <w:p w14:paraId="2F3F7C4B">
            <w:pPr>
              <w:keepNext w:val="0"/>
              <w:keepLines w:val="0"/>
              <w:suppressLineNumbers w:val="0"/>
              <w:spacing w:before="0" w:beforeAutospacing="0" w:after="0" w:afterAutospacing="0" w:line="320" w:lineRule="exact"/>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bidi="ar"/>
              </w:rPr>
              <w:t>服务需求一览表</w:t>
            </w:r>
          </w:p>
        </w:tc>
      </w:tr>
      <w:tr w14:paraId="208B8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682" w:type="dxa"/>
            <w:gridSpan w:val="3"/>
            <w:noWrap w:val="0"/>
            <w:vAlign w:val="center"/>
          </w:tcPr>
          <w:p w14:paraId="3466B6A9">
            <w:pPr>
              <w:keepNext w:val="0"/>
              <w:keepLines w:val="0"/>
              <w:suppressLineNumbers w:val="0"/>
              <w:spacing w:before="0" w:beforeAutospacing="0" w:after="0" w:afterAutospacing="0" w:line="320" w:lineRule="exact"/>
              <w:ind w:left="0" w:right="0"/>
              <w:jc w:val="center"/>
              <w:rPr>
                <w:rFonts w:hint="eastAsia" w:ascii="宋体" w:hAnsi="宋体" w:eastAsia="宋体" w:cs="宋体"/>
                <w:b/>
                <w:color w:val="auto"/>
                <w:sz w:val="21"/>
                <w:szCs w:val="21"/>
                <w:highlight w:val="none"/>
                <w:lang w:bidi="ar"/>
              </w:rPr>
            </w:pPr>
            <w:r>
              <w:rPr>
                <w:rFonts w:hint="eastAsia" w:ascii="宋体" w:hAnsi="宋体" w:eastAsia="宋体" w:cs="宋体"/>
                <w:color w:val="auto"/>
                <w:sz w:val="21"/>
                <w:szCs w:val="21"/>
                <w:highlight w:val="none"/>
              </w:rPr>
              <w:t>标段</w:t>
            </w:r>
          </w:p>
        </w:tc>
        <w:tc>
          <w:tcPr>
            <w:tcW w:w="7824" w:type="dxa"/>
            <w:gridSpan w:val="5"/>
            <w:noWrap w:val="0"/>
            <w:vAlign w:val="center"/>
          </w:tcPr>
          <w:p w14:paraId="4A675FCD">
            <w:pPr>
              <w:keepNext w:val="0"/>
              <w:keepLines w:val="0"/>
              <w:suppressLineNumbers w:val="0"/>
              <w:spacing w:before="0" w:beforeAutospacing="0" w:after="0" w:afterAutospacing="0" w:line="320" w:lineRule="exact"/>
              <w:ind w:left="0" w:right="0"/>
              <w:jc w:val="left"/>
              <w:rPr>
                <w:rFonts w:hint="eastAsia" w:ascii="宋体" w:hAnsi="宋体" w:eastAsia="宋体" w:cs="宋体"/>
                <w:b/>
                <w:color w:val="auto"/>
                <w:sz w:val="21"/>
                <w:szCs w:val="21"/>
                <w:highlight w:val="none"/>
                <w:lang w:bidi="ar"/>
              </w:rPr>
            </w:pPr>
            <w:r>
              <w:rPr>
                <w:rFonts w:hint="eastAsia" w:ascii="宋体" w:hAnsi="宋体" w:cs="宋体"/>
                <w:b/>
                <w:bCs/>
                <w:color w:val="auto"/>
                <w:sz w:val="21"/>
                <w:szCs w:val="21"/>
                <w:highlight w:val="none"/>
                <w:lang w:val="en-US" w:eastAsia="zh-CN"/>
              </w:rPr>
              <w:t>/</w:t>
            </w:r>
          </w:p>
        </w:tc>
      </w:tr>
      <w:tr w14:paraId="7F2C7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434" w:type="dxa"/>
            <w:vMerge w:val="restart"/>
            <w:noWrap w:val="0"/>
            <w:vAlign w:val="center"/>
          </w:tcPr>
          <w:p w14:paraId="2FACD647">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采购清单及技术参数</w:t>
            </w:r>
          </w:p>
        </w:tc>
        <w:tc>
          <w:tcPr>
            <w:tcW w:w="444" w:type="dxa"/>
            <w:noWrap w:val="0"/>
            <w:tcMar>
              <w:left w:w="0" w:type="dxa"/>
              <w:right w:w="0" w:type="dxa"/>
            </w:tcMar>
            <w:vAlign w:val="center"/>
          </w:tcPr>
          <w:p w14:paraId="52EF9984">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序号</w:t>
            </w:r>
          </w:p>
        </w:tc>
        <w:tc>
          <w:tcPr>
            <w:tcW w:w="804" w:type="dxa"/>
            <w:noWrap w:val="0"/>
            <w:vAlign w:val="center"/>
          </w:tcPr>
          <w:p w14:paraId="65D294A4">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标的的名称</w:t>
            </w:r>
          </w:p>
        </w:tc>
        <w:tc>
          <w:tcPr>
            <w:tcW w:w="468" w:type="dxa"/>
            <w:noWrap w:val="0"/>
            <w:vAlign w:val="center"/>
          </w:tcPr>
          <w:p w14:paraId="31D725FD">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单位</w:t>
            </w:r>
          </w:p>
        </w:tc>
        <w:tc>
          <w:tcPr>
            <w:tcW w:w="480" w:type="dxa"/>
            <w:noWrap w:val="0"/>
            <w:vAlign w:val="center"/>
          </w:tcPr>
          <w:p w14:paraId="0E82A62C">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数量</w:t>
            </w:r>
          </w:p>
        </w:tc>
        <w:tc>
          <w:tcPr>
            <w:tcW w:w="4704" w:type="dxa"/>
            <w:noWrap w:val="0"/>
            <w:vAlign w:val="center"/>
          </w:tcPr>
          <w:p w14:paraId="17012C95">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服务参数</w:t>
            </w:r>
          </w:p>
        </w:tc>
        <w:tc>
          <w:tcPr>
            <w:tcW w:w="972" w:type="dxa"/>
            <w:noWrap w:val="0"/>
            <w:vAlign w:val="center"/>
          </w:tcPr>
          <w:p w14:paraId="557AB41E">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分项预算合计（元）</w:t>
            </w:r>
          </w:p>
        </w:tc>
        <w:tc>
          <w:tcPr>
            <w:tcW w:w="1200" w:type="dxa"/>
            <w:noWrap w:val="0"/>
            <w:vAlign w:val="center"/>
          </w:tcPr>
          <w:p w14:paraId="74A1209F">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中小企业划分标准所属行业名称（行业名称及划分见本章附件2）</w:t>
            </w:r>
          </w:p>
        </w:tc>
      </w:tr>
      <w:tr w14:paraId="5FB55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434" w:type="dxa"/>
            <w:vMerge w:val="continue"/>
            <w:noWrap w:val="0"/>
            <w:vAlign w:val="center"/>
          </w:tcPr>
          <w:p w14:paraId="69B40BA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444" w:type="dxa"/>
            <w:noWrap w:val="0"/>
            <w:vAlign w:val="center"/>
          </w:tcPr>
          <w:p w14:paraId="333AD238">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w:t>
            </w:r>
          </w:p>
        </w:tc>
        <w:tc>
          <w:tcPr>
            <w:tcW w:w="804" w:type="dxa"/>
            <w:noWrap w:val="0"/>
            <w:vAlign w:val="center"/>
          </w:tcPr>
          <w:p w14:paraId="52C95E67">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bidi="ar"/>
              </w:rPr>
              <w:t>第三方审计、核验2025年财政资金中小企业数字化转型项目</w:t>
            </w:r>
          </w:p>
        </w:tc>
        <w:tc>
          <w:tcPr>
            <w:tcW w:w="468" w:type="dxa"/>
            <w:noWrap w:val="0"/>
            <w:vAlign w:val="center"/>
          </w:tcPr>
          <w:p w14:paraId="2CB1742E">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w:t>
            </w:r>
          </w:p>
        </w:tc>
        <w:tc>
          <w:tcPr>
            <w:tcW w:w="480" w:type="dxa"/>
            <w:noWrap w:val="0"/>
            <w:vAlign w:val="center"/>
          </w:tcPr>
          <w:p w14:paraId="62019CC1">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bidi="ar"/>
              </w:rPr>
              <w:t>项</w:t>
            </w:r>
          </w:p>
        </w:tc>
        <w:tc>
          <w:tcPr>
            <w:tcW w:w="4704" w:type="dxa"/>
            <w:noWrap w:val="0"/>
            <w:vAlign w:val="top"/>
          </w:tcPr>
          <w:p w14:paraId="499F4105">
            <w:pPr>
              <w:keepNext w:val="0"/>
              <w:keepLines w:val="0"/>
              <w:suppressLineNumbers w:val="0"/>
              <w:tabs>
                <w:tab w:val="left" w:pos="1440"/>
              </w:tabs>
              <w:spacing w:before="0" w:beforeAutospacing="0" w:after="0" w:afterAutospacing="0" w:line="360" w:lineRule="exact"/>
              <w:ind w:left="0" w:right="0"/>
              <w:jc w:val="left"/>
              <w:rPr>
                <w:rFonts w:hint="default" w:ascii="宋体" w:hAnsi="宋体" w:cs="宋体"/>
                <w:b/>
                <w:bCs/>
                <w:color w:val="auto"/>
                <w:sz w:val="21"/>
                <w:szCs w:val="21"/>
                <w:highlight w:val="none"/>
              </w:rPr>
            </w:pPr>
            <w:r>
              <w:rPr>
                <w:rFonts w:hint="eastAsia" w:ascii="宋体" w:hAnsi="宋体" w:cs="宋体"/>
                <w:b/>
                <w:bCs/>
                <w:color w:val="auto"/>
                <w:sz w:val="21"/>
                <w:szCs w:val="21"/>
                <w:highlight w:val="none"/>
              </w:rPr>
              <w:t>一、审计目的</w:t>
            </w:r>
          </w:p>
          <w:p w14:paraId="212663C8">
            <w:pPr>
              <w:keepNext w:val="0"/>
              <w:keepLines w:val="0"/>
              <w:widowControl w:val="0"/>
              <w:suppressLineNumbers w:val="0"/>
              <w:tabs>
                <w:tab w:val="left" w:pos="1440"/>
              </w:tabs>
              <w:spacing w:before="0" w:beforeAutospacing="0" w:after="0" w:afterAutospacing="0" w:line="360" w:lineRule="exact"/>
              <w:ind w:left="0" w:right="0" w:firstLine="420" w:firstLineChars="200"/>
              <w:jc w:val="left"/>
              <w:rPr>
                <w:rFonts w:hint="eastAsia" w:ascii="宋体" w:hAnsi="宋体" w:eastAsia="宋体" w:cs="宋体"/>
                <w:color w:val="auto"/>
                <w:sz w:val="21"/>
                <w:szCs w:val="21"/>
                <w:highlight w:val="none"/>
                <w:lang w:val="en-US"/>
              </w:rPr>
            </w:pPr>
            <w:r>
              <w:rPr>
                <w:rFonts w:hint="eastAsia" w:ascii="宋体" w:hAnsi="宋体" w:eastAsia="宋体" w:cs="宋体"/>
                <w:color w:val="auto"/>
                <w:kern w:val="2"/>
                <w:sz w:val="21"/>
                <w:szCs w:val="21"/>
                <w:highlight w:val="none"/>
                <w:lang w:val="en-US" w:eastAsia="zh-CN" w:bidi="ar"/>
              </w:rPr>
              <w:t>为规范管理使用财政资金，拟采购第三方机构审计、核验计划补助的项目。</w:t>
            </w:r>
          </w:p>
          <w:p w14:paraId="392EACE6">
            <w:pPr>
              <w:keepNext w:val="0"/>
              <w:keepLines w:val="0"/>
              <w:widowControl w:val="0"/>
              <w:suppressLineNumbers w:val="0"/>
              <w:tabs>
                <w:tab w:val="left" w:pos="1440"/>
              </w:tabs>
              <w:spacing w:before="0" w:beforeAutospacing="0" w:after="0" w:afterAutospacing="0" w:line="360" w:lineRule="exact"/>
              <w:ind w:left="0" w:right="0"/>
              <w:jc w:val="left"/>
              <w:rPr>
                <w:rFonts w:hint="eastAsia" w:ascii="宋体" w:hAnsi="宋体" w:eastAsia="宋体" w:cs="宋体"/>
                <w:b/>
                <w:bCs/>
                <w:color w:val="auto"/>
                <w:sz w:val="21"/>
                <w:szCs w:val="21"/>
                <w:highlight w:val="none"/>
                <w:lang w:val="en-US"/>
              </w:rPr>
            </w:pPr>
            <w:r>
              <w:rPr>
                <w:rFonts w:hint="eastAsia" w:ascii="宋体" w:hAnsi="宋体" w:eastAsia="宋体" w:cs="宋体"/>
                <w:b/>
                <w:bCs/>
                <w:color w:val="auto"/>
                <w:kern w:val="2"/>
                <w:sz w:val="21"/>
                <w:szCs w:val="21"/>
                <w:highlight w:val="none"/>
                <w:lang w:val="en-US" w:eastAsia="zh-CN" w:bidi="ar"/>
              </w:rPr>
              <w:t>二、审计依据</w:t>
            </w:r>
          </w:p>
          <w:p w14:paraId="505DD809">
            <w:pPr>
              <w:keepNext w:val="0"/>
              <w:keepLines w:val="0"/>
              <w:widowControl w:val="0"/>
              <w:suppressLineNumbers w:val="0"/>
              <w:tabs>
                <w:tab w:val="left" w:pos="1440"/>
              </w:tabs>
              <w:spacing w:before="0" w:beforeAutospacing="0" w:after="0" w:afterAutospacing="0" w:line="360" w:lineRule="exact"/>
              <w:ind w:left="0" w:right="0" w:firstLine="420" w:firstLineChars="200"/>
              <w:jc w:val="left"/>
              <w:rPr>
                <w:rFonts w:hint="eastAsia" w:ascii="宋体" w:hAnsi="宋体" w:eastAsia="宋体" w:cs="宋体"/>
                <w:color w:val="auto"/>
                <w:sz w:val="21"/>
                <w:szCs w:val="21"/>
                <w:highlight w:val="none"/>
                <w:lang w:val="en-US"/>
              </w:rPr>
            </w:pPr>
            <w:r>
              <w:rPr>
                <w:rFonts w:hint="eastAsia" w:ascii="宋体" w:hAnsi="宋体" w:eastAsia="宋体" w:cs="宋体"/>
                <w:color w:val="auto"/>
                <w:kern w:val="2"/>
                <w:sz w:val="21"/>
                <w:szCs w:val="21"/>
                <w:highlight w:val="none"/>
                <w:lang w:val="en-US" w:eastAsia="zh-CN" w:bidi="ar"/>
              </w:rPr>
              <w:t>《中华人民共和国审计法》、《企业会计准则》和其他有关法律、法规的有关规定。</w:t>
            </w:r>
          </w:p>
          <w:p w14:paraId="2D6ABC4A">
            <w:pPr>
              <w:keepNext w:val="0"/>
              <w:keepLines w:val="0"/>
              <w:widowControl w:val="0"/>
              <w:suppressLineNumbers w:val="0"/>
              <w:tabs>
                <w:tab w:val="left" w:pos="1440"/>
              </w:tabs>
              <w:spacing w:before="0" w:beforeAutospacing="0" w:after="0" w:afterAutospacing="0" w:line="360" w:lineRule="exact"/>
              <w:ind w:left="0" w:right="0"/>
              <w:jc w:val="left"/>
              <w:rPr>
                <w:rFonts w:hint="eastAsia" w:ascii="宋体" w:hAnsi="宋体" w:eastAsia="宋体" w:cs="宋体"/>
                <w:b/>
                <w:bCs/>
                <w:color w:val="auto"/>
                <w:sz w:val="21"/>
                <w:szCs w:val="21"/>
                <w:highlight w:val="none"/>
                <w:lang w:val="en-US"/>
              </w:rPr>
            </w:pPr>
            <w:r>
              <w:rPr>
                <w:rFonts w:hint="eastAsia" w:ascii="宋体" w:hAnsi="宋体" w:eastAsia="宋体" w:cs="宋体"/>
                <w:b/>
                <w:bCs/>
                <w:color w:val="auto"/>
                <w:kern w:val="2"/>
                <w:sz w:val="21"/>
                <w:szCs w:val="21"/>
                <w:highlight w:val="none"/>
                <w:lang w:val="en-US" w:eastAsia="zh-CN" w:bidi="ar"/>
              </w:rPr>
              <w:t>三、审计方式</w:t>
            </w:r>
          </w:p>
          <w:p w14:paraId="26B019F3">
            <w:pPr>
              <w:keepNext w:val="0"/>
              <w:keepLines w:val="0"/>
              <w:widowControl w:val="0"/>
              <w:suppressLineNumbers w:val="0"/>
              <w:tabs>
                <w:tab w:val="left" w:pos="1440"/>
              </w:tabs>
              <w:spacing w:before="0" w:beforeAutospacing="0" w:after="0" w:afterAutospacing="0" w:line="360" w:lineRule="exact"/>
              <w:ind w:left="0" w:right="0" w:firstLine="420" w:firstLineChars="200"/>
              <w:jc w:val="left"/>
              <w:rPr>
                <w:rFonts w:hint="eastAsia" w:ascii="宋体" w:hAnsi="宋体" w:eastAsia="宋体" w:cs="宋体"/>
                <w:color w:val="auto"/>
                <w:sz w:val="21"/>
                <w:szCs w:val="21"/>
                <w:highlight w:val="none"/>
                <w:lang w:val="en-US"/>
              </w:rPr>
            </w:pPr>
            <w:r>
              <w:rPr>
                <w:rFonts w:hint="eastAsia" w:ascii="宋体" w:hAnsi="宋体" w:eastAsia="宋体" w:cs="宋体"/>
                <w:color w:val="auto"/>
                <w:kern w:val="2"/>
                <w:sz w:val="21"/>
                <w:szCs w:val="21"/>
                <w:highlight w:val="none"/>
                <w:lang w:val="en-US" w:eastAsia="zh-CN" w:bidi="ar"/>
              </w:rPr>
              <w:t>由成交供应商根据合同规定组成审计组按社会审计准则规定赴各项目点进行实地审计，包括查阅档案资料、核查财务账册、实地查看项目等方式。</w:t>
            </w:r>
          </w:p>
          <w:p w14:paraId="65D7980D">
            <w:pPr>
              <w:keepNext w:val="0"/>
              <w:keepLines w:val="0"/>
              <w:widowControl w:val="0"/>
              <w:suppressLineNumbers w:val="0"/>
              <w:tabs>
                <w:tab w:val="left" w:pos="1440"/>
              </w:tabs>
              <w:spacing w:before="0" w:beforeAutospacing="0" w:after="0" w:afterAutospacing="0" w:line="360" w:lineRule="exact"/>
              <w:ind w:left="0" w:right="0"/>
              <w:jc w:val="left"/>
              <w:rPr>
                <w:rFonts w:hint="eastAsia" w:ascii="宋体" w:hAnsi="宋体" w:eastAsia="宋体" w:cs="宋体"/>
                <w:b/>
                <w:bCs/>
                <w:color w:val="auto"/>
                <w:sz w:val="21"/>
                <w:szCs w:val="21"/>
                <w:highlight w:val="none"/>
                <w:lang w:val="en-US"/>
              </w:rPr>
            </w:pPr>
            <w:r>
              <w:rPr>
                <w:rFonts w:hint="eastAsia" w:ascii="宋体" w:hAnsi="宋体" w:eastAsia="宋体" w:cs="宋体"/>
                <w:b/>
                <w:bCs/>
                <w:color w:val="auto"/>
                <w:kern w:val="2"/>
                <w:sz w:val="21"/>
                <w:szCs w:val="21"/>
                <w:highlight w:val="none"/>
                <w:lang w:val="en-US" w:eastAsia="zh-CN" w:bidi="ar"/>
              </w:rPr>
              <w:t>四、审计内容</w:t>
            </w:r>
          </w:p>
          <w:p w14:paraId="60E439F9">
            <w:pPr>
              <w:keepNext w:val="0"/>
              <w:keepLines w:val="0"/>
              <w:widowControl w:val="0"/>
              <w:suppressLineNumbers w:val="0"/>
              <w:tabs>
                <w:tab w:val="left" w:pos="1440"/>
              </w:tabs>
              <w:spacing w:before="0" w:beforeAutospacing="0" w:after="0" w:afterAutospacing="0" w:line="360" w:lineRule="exact"/>
              <w:ind w:left="0" w:right="0" w:firstLine="420" w:firstLineChars="200"/>
              <w:jc w:val="left"/>
              <w:rPr>
                <w:rFonts w:hint="eastAsia" w:ascii="宋体" w:hAnsi="宋体" w:eastAsia="宋体" w:cs="宋体"/>
                <w:color w:val="auto"/>
                <w:sz w:val="21"/>
                <w:szCs w:val="21"/>
                <w:highlight w:val="none"/>
                <w:lang w:val="en-US"/>
              </w:rPr>
            </w:pPr>
            <w:r>
              <w:rPr>
                <w:rFonts w:hint="eastAsia" w:ascii="宋体" w:hAnsi="宋体" w:eastAsia="宋体" w:cs="宋体"/>
                <w:color w:val="auto"/>
                <w:kern w:val="2"/>
                <w:sz w:val="21"/>
                <w:szCs w:val="21"/>
                <w:highlight w:val="none"/>
                <w:lang w:val="en-US" w:eastAsia="zh-CN" w:bidi="ar"/>
              </w:rPr>
              <w:t>对计划补助项目与资金政策相符性、目标相关性和经济合理性进行审计，重点关注企业经营指标、财务状况、项目建设状况，是否存在通过转嫁项目或者仅实施部分项目内容套取财政资金、虚假申报项目，是否存在同一项目重复申请市本级财政资金、申报主体条件不合格、资金不符合有关规定、项目疏于管理、项目实施进度缓慢、未按要求进行验收等问题。</w:t>
            </w:r>
          </w:p>
          <w:p w14:paraId="04658784">
            <w:pPr>
              <w:keepNext w:val="0"/>
              <w:keepLines w:val="0"/>
              <w:widowControl w:val="0"/>
              <w:suppressLineNumbers w:val="0"/>
              <w:tabs>
                <w:tab w:val="left" w:pos="1440"/>
              </w:tabs>
              <w:spacing w:before="0" w:beforeAutospacing="0" w:after="0" w:afterAutospacing="0" w:line="360" w:lineRule="exact"/>
              <w:ind w:left="0" w:right="0" w:firstLine="420" w:firstLineChars="20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具体项目情况详见下表（包括但不限于以下项目）：</w:t>
            </w:r>
          </w:p>
          <w:tbl>
            <w:tblPr>
              <w:tblStyle w:val="23"/>
              <w:tblpPr w:leftFromText="180" w:rightFromText="180" w:vertAnchor="text" w:horzAnchor="page" w:tblpX="226" w:tblpY="282"/>
              <w:tblOverlap w:val="never"/>
              <w:tblW w:w="440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43"/>
              <w:gridCol w:w="4058"/>
            </w:tblGrid>
            <w:tr w14:paraId="34869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7" w:hRule="atLeast"/>
              </w:trPr>
              <w:tc>
                <w:tcPr>
                  <w:tcW w:w="343" w:type="dxa"/>
                  <w:tcBorders>
                    <w:top w:val="single" w:color="auto" w:sz="4" w:space="0"/>
                    <w:left w:val="single" w:color="auto" w:sz="4" w:space="0"/>
                    <w:bottom w:val="single" w:color="auto" w:sz="4" w:space="0"/>
                    <w:right w:val="single" w:color="auto" w:sz="4" w:space="0"/>
                  </w:tcBorders>
                  <w:shd w:val="clear" w:color="auto" w:fill="auto"/>
                  <w:vAlign w:val="center"/>
                </w:tcPr>
                <w:p w14:paraId="372952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 xml:space="preserve">序号 </w:t>
                  </w:r>
                </w:p>
              </w:tc>
              <w:tc>
                <w:tcPr>
                  <w:tcW w:w="4058" w:type="dxa"/>
                  <w:tcBorders>
                    <w:top w:val="single" w:color="auto" w:sz="4" w:space="0"/>
                    <w:left w:val="single" w:color="auto" w:sz="4" w:space="0"/>
                    <w:bottom w:val="single" w:color="auto" w:sz="4" w:space="0"/>
                    <w:right w:val="single" w:color="auto" w:sz="4" w:space="0"/>
                  </w:tcBorders>
                  <w:shd w:val="clear" w:color="auto" w:fill="auto"/>
                  <w:vAlign w:val="center"/>
                </w:tcPr>
                <w:p w14:paraId="3236B4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val="en-US" w:bidi="ar"/>
                    </w:rPr>
                  </w:pPr>
                  <w:r>
                    <w:rPr>
                      <w:rFonts w:hint="eastAsia" w:ascii="宋体" w:hAnsi="宋体" w:eastAsia="宋体" w:cs="宋体"/>
                      <w:color w:val="auto"/>
                      <w:kern w:val="0"/>
                      <w:sz w:val="21"/>
                      <w:szCs w:val="21"/>
                      <w:highlight w:val="none"/>
                      <w:lang w:val="en-US" w:eastAsia="zh-CN" w:bidi="ar"/>
                    </w:rPr>
                    <w:t>项目名称</w:t>
                  </w:r>
                </w:p>
              </w:tc>
            </w:tr>
            <w:tr w14:paraId="5AE6C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343" w:type="dxa"/>
                  <w:tcBorders>
                    <w:top w:val="single" w:color="auto" w:sz="4" w:space="0"/>
                    <w:left w:val="single" w:color="auto" w:sz="4" w:space="0"/>
                    <w:bottom w:val="single" w:color="auto" w:sz="4" w:space="0"/>
                    <w:right w:val="single" w:color="auto" w:sz="4" w:space="0"/>
                  </w:tcBorders>
                  <w:shd w:val="clear" w:color="auto" w:fill="auto"/>
                  <w:vAlign w:val="center"/>
                </w:tcPr>
                <w:p w14:paraId="643ABC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val="en-US" w:bidi="ar"/>
                    </w:rPr>
                  </w:pPr>
                  <w:r>
                    <w:rPr>
                      <w:rFonts w:hint="eastAsia" w:ascii="宋体" w:hAnsi="宋体" w:eastAsia="宋体" w:cs="宋体"/>
                      <w:color w:val="auto"/>
                      <w:kern w:val="0"/>
                      <w:sz w:val="21"/>
                      <w:szCs w:val="21"/>
                      <w:highlight w:val="none"/>
                      <w:lang w:val="en-US" w:eastAsia="zh-CN" w:bidi="ar"/>
                    </w:rPr>
                    <w:t>1</w:t>
                  </w:r>
                </w:p>
              </w:tc>
              <w:tc>
                <w:tcPr>
                  <w:tcW w:w="4058" w:type="dxa"/>
                  <w:tcBorders>
                    <w:top w:val="single" w:color="auto" w:sz="4" w:space="0"/>
                    <w:left w:val="single" w:color="auto" w:sz="4" w:space="0"/>
                    <w:bottom w:val="single" w:color="auto" w:sz="4" w:space="0"/>
                    <w:right w:val="single" w:color="auto" w:sz="4" w:space="0"/>
                  </w:tcBorders>
                  <w:shd w:val="clear" w:color="auto" w:fill="auto"/>
                  <w:vAlign w:val="center"/>
                </w:tcPr>
                <w:p w14:paraId="04AEDF52">
                  <w:pPr>
                    <w:keepNext w:val="0"/>
                    <w:keepLines w:val="0"/>
                    <w:widowControl/>
                    <w:suppressLineNumbers w:val="0"/>
                    <w:spacing w:before="0" w:beforeAutospacing="0" w:after="0" w:afterAutospacing="0"/>
                    <w:ind w:left="0" w:right="0"/>
                    <w:jc w:val="left"/>
                    <w:textAlignment w:val="center"/>
                    <w:rPr>
                      <w:rFonts w:hint="default" w:cs="Calibri"/>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中小企业数字化转型核验项目（314家企业）</w:t>
                  </w:r>
                </w:p>
              </w:tc>
            </w:tr>
          </w:tbl>
          <w:p w14:paraId="466EF059">
            <w:pPr>
              <w:keepNext w:val="0"/>
              <w:keepLines w:val="0"/>
              <w:widowControl w:val="0"/>
              <w:suppressLineNumbers w:val="0"/>
              <w:tabs>
                <w:tab w:val="left" w:pos="1440"/>
              </w:tabs>
              <w:spacing w:before="0" w:beforeAutospacing="0" w:after="0" w:afterAutospacing="0" w:line="360" w:lineRule="exact"/>
              <w:ind w:left="0" w:right="0" w:firstLine="420" w:firstLineChars="200"/>
              <w:jc w:val="left"/>
              <w:rPr>
                <w:rFonts w:hint="eastAsia" w:ascii="宋体" w:hAnsi="宋体" w:eastAsia="宋体" w:cs="宋体"/>
                <w:color w:val="auto"/>
                <w:kern w:val="2"/>
                <w:sz w:val="21"/>
                <w:szCs w:val="21"/>
                <w:highlight w:val="none"/>
                <w:lang w:val="en-US" w:eastAsia="zh-CN" w:bidi="ar"/>
              </w:rPr>
            </w:pPr>
          </w:p>
          <w:p w14:paraId="5D2ADE9C">
            <w:pPr>
              <w:keepNext w:val="0"/>
              <w:keepLines w:val="0"/>
              <w:widowControl w:val="0"/>
              <w:suppressLineNumbers w:val="0"/>
              <w:tabs>
                <w:tab w:val="left" w:pos="1440"/>
              </w:tabs>
              <w:spacing w:before="0" w:beforeAutospacing="0" w:after="0" w:afterAutospacing="0" w:line="360" w:lineRule="exact"/>
              <w:ind w:left="0" w:right="0" w:firstLine="420" w:firstLineChars="200"/>
              <w:jc w:val="left"/>
              <w:rPr>
                <w:rFonts w:hint="eastAsia" w:ascii="宋体" w:hAnsi="宋体" w:eastAsia="宋体" w:cs="宋体"/>
                <w:color w:val="auto"/>
                <w:kern w:val="2"/>
                <w:sz w:val="21"/>
                <w:szCs w:val="21"/>
                <w:highlight w:val="none"/>
                <w:lang w:val="en-US" w:eastAsia="zh-CN" w:bidi="ar"/>
              </w:rPr>
            </w:pPr>
          </w:p>
          <w:p w14:paraId="48E2BD4C">
            <w:pPr>
              <w:keepNext w:val="0"/>
              <w:keepLines w:val="0"/>
              <w:widowControl w:val="0"/>
              <w:suppressLineNumbers w:val="0"/>
              <w:tabs>
                <w:tab w:val="left" w:pos="1440"/>
              </w:tabs>
              <w:spacing w:before="0" w:beforeAutospacing="0" w:after="0" w:afterAutospacing="0" w:line="360" w:lineRule="exact"/>
              <w:ind w:left="0" w:right="0"/>
              <w:jc w:val="left"/>
              <w:rPr>
                <w:rFonts w:hint="eastAsia" w:ascii="宋体" w:hAnsi="宋体" w:eastAsia="宋体" w:cs="宋体"/>
                <w:b/>
                <w:bCs/>
                <w:color w:val="auto"/>
                <w:sz w:val="21"/>
                <w:szCs w:val="21"/>
                <w:highlight w:val="none"/>
                <w:lang w:val="en-US"/>
              </w:rPr>
            </w:pPr>
            <w:r>
              <w:rPr>
                <w:rFonts w:hint="eastAsia" w:ascii="宋体" w:hAnsi="宋体" w:eastAsia="宋体" w:cs="宋体"/>
                <w:b/>
                <w:bCs/>
                <w:color w:val="auto"/>
                <w:kern w:val="2"/>
                <w:sz w:val="21"/>
                <w:szCs w:val="21"/>
                <w:highlight w:val="none"/>
                <w:lang w:val="en-US" w:eastAsia="zh-CN" w:bidi="ar"/>
              </w:rPr>
              <w:t>五、审计要求</w:t>
            </w:r>
          </w:p>
          <w:p w14:paraId="3131EAEC">
            <w:pPr>
              <w:keepNext w:val="0"/>
              <w:keepLines w:val="0"/>
              <w:widowControl w:val="0"/>
              <w:suppressLineNumbers w:val="0"/>
              <w:tabs>
                <w:tab w:val="left" w:pos="1440"/>
              </w:tabs>
              <w:spacing w:before="0" w:beforeAutospacing="0" w:after="0" w:afterAutospacing="0" w:line="360" w:lineRule="exact"/>
              <w:ind w:left="0" w:right="0" w:firstLine="420" w:firstLineChars="200"/>
              <w:jc w:val="left"/>
              <w:rPr>
                <w:rFonts w:hint="eastAsia" w:ascii="宋体" w:hAnsi="宋体" w:eastAsia="宋体" w:cs="宋体"/>
                <w:color w:val="auto"/>
                <w:sz w:val="21"/>
                <w:szCs w:val="21"/>
                <w:highlight w:val="none"/>
                <w:lang w:val="en-US"/>
              </w:rPr>
            </w:pPr>
            <w:r>
              <w:rPr>
                <w:rFonts w:hint="eastAsia" w:ascii="宋体" w:hAnsi="宋体" w:eastAsia="宋体" w:cs="宋体"/>
                <w:color w:val="auto"/>
                <w:kern w:val="2"/>
                <w:sz w:val="21"/>
                <w:szCs w:val="21"/>
                <w:highlight w:val="none"/>
                <w:lang w:val="en-US" w:eastAsia="zh-CN" w:bidi="ar"/>
              </w:rPr>
              <w:t>1、加强领导，精心组织。由于此项目涉及采购人较多科室，每个科室对应不同项目、企业，需要供应商及时联系各科室，合理安排项目实施时间，避免影响补助拨付进度。</w:t>
            </w:r>
          </w:p>
          <w:p w14:paraId="456E7C9D">
            <w:pPr>
              <w:keepNext w:val="0"/>
              <w:keepLines w:val="0"/>
              <w:widowControl w:val="0"/>
              <w:suppressLineNumbers w:val="0"/>
              <w:tabs>
                <w:tab w:val="left" w:pos="1440"/>
              </w:tabs>
              <w:spacing w:before="0" w:beforeAutospacing="0" w:after="0" w:afterAutospacing="0" w:line="360" w:lineRule="exact"/>
              <w:ind w:left="0" w:right="0" w:firstLine="420" w:firstLineChars="200"/>
              <w:jc w:val="left"/>
              <w:rPr>
                <w:rFonts w:hint="eastAsia" w:ascii="宋体" w:hAnsi="宋体" w:eastAsia="宋体" w:cs="宋体"/>
                <w:color w:val="auto"/>
                <w:sz w:val="21"/>
                <w:szCs w:val="21"/>
                <w:highlight w:val="none"/>
                <w:lang w:val="en-US"/>
              </w:rPr>
            </w:pPr>
            <w:r>
              <w:rPr>
                <w:rFonts w:hint="eastAsia" w:ascii="宋体" w:hAnsi="宋体" w:eastAsia="宋体" w:cs="宋体"/>
                <w:color w:val="auto"/>
                <w:kern w:val="2"/>
                <w:sz w:val="21"/>
                <w:szCs w:val="21"/>
                <w:highlight w:val="none"/>
                <w:lang w:val="en-US" w:eastAsia="zh-CN" w:bidi="ar"/>
              </w:rPr>
              <w:t>2、安排科学合理的工作方法，提高工作质量。为确保按时高质完成审计任务，审计组成员之间要加强沟通与协作，要引入计算机辅助审计，充分利用科技手段，提高审计效率；审计过程中要认真做好审计取证、审计工作底稿等基础性工作，做到事实清楚，证据充分，依据有力，定性准确。</w:t>
            </w:r>
          </w:p>
          <w:p w14:paraId="6CB7FA3C">
            <w:pPr>
              <w:keepNext w:val="0"/>
              <w:keepLines w:val="0"/>
              <w:widowControl w:val="0"/>
              <w:suppressLineNumbers w:val="0"/>
              <w:tabs>
                <w:tab w:val="left" w:pos="1440"/>
              </w:tabs>
              <w:spacing w:before="0" w:beforeAutospacing="0" w:after="0" w:afterAutospacing="0" w:line="360" w:lineRule="exact"/>
              <w:ind w:left="0" w:right="0" w:firstLine="420" w:firstLineChars="200"/>
              <w:jc w:val="left"/>
              <w:rPr>
                <w:rFonts w:hint="eastAsia" w:ascii="宋体" w:hAnsi="宋体" w:eastAsia="宋体" w:cs="宋体"/>
                <w:color w:val="auto"/>
                <w:sz w:val="21"/>
                <w:szCs w:val="21"/>
                <w:highlight w:val="none"/>
                <w:lang w:val="en-US"/>
              </w:rPr>
            </w:pPr>
            <w:r>
              <w:rPr>
                <w:rFonts w:hint="eastAsia" w:ascii="宋体" w:hAnsi="宋体" w:eastAsia="宋体" w:cs="宋体"/>
                <w:color w:val="auto"/>
                <w:kern w:val="2"/>
                <w:sz w:val="21"/>
                <w:szCs w:val="21"/>
                <w:highlight w:val="none"/>
                <w:lang w:val="en-US" w:eastAsia="zh-CN" w:bidi="ar"/>
              </w:rPr>
              <w:t>3、审计中要加强沟通和协调，及时向采购人反映审计中的重要信息和成果，及时报告审计情况，如实反映审计中发现的问题。</w:t>
            </w:r>
          </w:p>
          <w:p w14:paraId="3A58682C">
            <w:pPr>
              <w:keepNext w:val="0"/>
              <w:keepLines w:val="0"/>
              <w:widowControl w:val="0"/>
              <w:suppressLineNumbers w:val="0"/>
              <w:tabs>
                <w:tab w:val="left" w:pos="1440"/>
              </w:tabs>
              <w:spacing w:before="0" w:beforeAutospacing="0" w:after="0" w:afterAutospacing="0" w:line="360" w:lineRule="exact"/>
              <w:ind w:left="0" w:right="0" w:firstLine="420" w:firstLineChars="200"/>
              <w:jc w:val="left"/>
              <w:rPr>
                <w:rFonts w:hint="eastAsia" w:ascii="宋体" w:hAnsi="宋体" w:eastAsia="宋体" w:cs="宋体"/>
                <w:color w:val="auto"/>
                <w:sz w:val="21"/>
                <w:szCs w:val="21"/>
                <w:highlight w:val="none"/>
                <w:lang w:val="en-US"/>
              </w:rPr>
            </w:pPr>
            <w:r>
              <w:rPr>
                <w:rFonts w:hint="eastAsia" w:ascii="宋体" w:hAnsi="宋体" w:eastAsia="宋体" w:cs="宋体"/>
                <w:color w:val="auto"/>
                <w:kern w:val="2"/>
                <w:sz w:val="21"/>
                <w:szCs w:val="21"/>
                <w:highlight w:val="none"/>
                <w:lang w:val="en-US" w:eastAsia="zh-CN" w:bidi="ar"/>
              </w:rPr>
              <w:t>4、优先选择熟悉工业项目、专业能力强、社会信誉好、管理水平高、工作实绩强的第三方承担审计、核验工作。</w:t>
            </w:r>
          </w:p>
          <w:p w14:paraId="2EABDC1F">
            <w:pPr>
              <w:keepNext w:val="0"/>
              <w:keepLines w:val="0"/>
              <w:widowControl w:val="0"/>
              <w:suppressLineNumbers w:val="0"/>
              <w:tabs>
                <w:tab w:val="left" w:pos="1440"/>
              </w:tabs>
              <w:spacing w:before="0" w:beforeAutospacing="0" w:after="0" w:afterAutospacing="0" w:line="360" w:lineRule="exact"/>
              <w:ind w:left="0" w:right="0" w:firstLine="420" w:firstLineChars="200"/>
              <w:jc w:val="left"/>
              <w:rPr>
                <w:rFonts w:hint="eastAsia" w:ascii="宋体" w:hAnsi="宋体" w:eastAsia="宋体" w:cs="宋体"/>
                <w:color w:val="auto"/>
                <w:sz w:val="21"/>
                <w:szCs w:val="21"/>
                <w:highlight w:val="none"/>
                <w:lang w:val="en-US"/>
              </w:rPr>
            </w:pPr>
            <w:r>
              <w:rPr>
                <w:rFonts w:hint="eastAsia" w:ascii="宋体" w:hAnsi="宋体" w:eastAsia="宋体" w:cs="宋体"/>
                <w:color w:val="auto"/>
                <w:kern w:val="2"/>
                <w:sz w:val="21"/>
                <w:szCs w:val="21"/>
                <w:highlight w:val="none"/>
                <w:lang w:val="en-US" w:eastAsia="zh-CN" w:bidi="ar"/>
              </w:rPr>
              <w:t>5、审计期间应当严格执行审计保密和廉政工作纪律，对在审计中获得的资料和信息要严格保密，不能对外泄露，要按照审计署《关于加强审计纪律的规定》的“八不准”的规定，严肃纪律，树立良好审计形象。</w:t>
            </w:r>
          </w:p>
          <w:p w14:paraId="6FE4B29F">
            <w:pPr>
              <w:keepNext w:val="0"/>
              <w:keepLines w:val="0"/>
              <w:widowControl w:val="0"/>
              <w:suppressLineNumbers w:val="0"/>
              <w:tabs>
                <w:tab w:val="left" w:pos="1440"/>
              </w:tabs>
              <w:spacing w:before="0" w:beforeAutospacing="0" w:after="0" w:afterAutospacing="0" w:line="360" w:lineRule="exact"/>
              <w:ind w:left="0" w:right="0" w:firstLine="422" w:firstLineChars="200"/>
              <w:jc w:val="left"/>
              <w:rPr>
                <w:rFonts w:hint="eastAsia" w:ascii="宋体" w:hAnsi="宋体" w:eastAsia="宋体" w:cs="宋体"/>
                <w:color w:val="auto"/>
                <w:sz w:val="21"/>
                <w:szCs w:val="21"/>
                <w:highlight w:val="none"/>
                <w:lang w:val="en-US"/>
              </w:rPr>
            </w:pPr>
            <w:r>
              <w:rPr>
                <w:rFonts w:hint="eastAsia" w:ascii="宋体" w:hAnsi="宋体" w:eastAsia="宋体" w:cs="宋体"/>
                <w:b/>
                <w:bCs/>
                <w:color w:val="auto"/>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6、此次涉及项目需要成立现场查验专家组。供应商承诺组织成立现场查验专家组（由行业技术或项目管理专家组成），专家组成员人数一般为3人及以上单数且不得就职于同一单位。在查验前，供应商必须向采购人提供专家成员的材料(身份证、职称证复印件）。</w:t>
            </w:r>
          </w:p>
          <w:p w14:paraId="4BC34D63">
            <w:pPr>
              <w:keepNext w:val="0"/>
              <w:keepLines w:val="0"/>
              <w:widowControl w:val="0"/>
              <w:suppressLineNumbers w:val="0"/>
              <w:tabs>
                <w:tab w:val="left" w:pos="1440"/>
              </w:tabs>
              <w:spacing w:before="0" w:beforeAutospacing="0" w:after="0" w:afterAutospacing="0" w:line="360" w:lineRule="exact"/>
              <w:ind w:left="0" w:right="0" w:firstLine="422" w:firstLineChars="200"/>
              <w:jc w:val="left"/>
              <w:rPr>
                <w:rFonts w:hint="eastAsia" w:ascii="宋体" w:hAnsi="宋体" w:eastAsia="宋体" w:cs="宋体"/>
                <w:color w:val="auto"/>
                <w:sz w:val="21"/>
                <w:szCs w:val="21"/>
                <w:highlight w:val="none"/>
                <w:lang w:val="en-US"/>
              </w:rPr>
            </w:pPr>
            <w:r>
              <w:rPr>
                <w:rFonts w:hint="eastAsia" w:ascii="宋体" w:hAnsi="宋体" w:eastAsia="宋体" w:cs="宋体"/>
                <w:b/>
                <w:bCs/>
                <w:color w:val="auto"/>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7、拟投入人员必须是供应商的在职人员，熟悉工业项目且具有与审计事项相适应的专业技能和资格（注：有关证书须在年审有效期限之内，有关证书上工作单位必须为供应商单位，超期年审或不真实的证书均无效），从事审计专业工作不少于1年，响应文件中必须提供拟投入人员</w:t>
            </w:r>
            <w:r>
              <w:rPr>
                <w:rFonts w:hint="eastAsia" w:ascii="宋体" w:hAnsi="宋体" w:eastAsia="宋体" w:cs="宋体"/>
                <w:color w:val="auto"/>
                <w:kern w:val="2"/>
                <w:sz w:val="21"/>
                <w:szCs w:val="21"/>
                <w:highlight w:val="none"/>
                <w:lang w:val="en-US" w:eastAsia="zh-CN" w:bidi="ar"/>
              </w:rPr>
              <w:t>2024年1</w:t>
            </w:r>
            <w:r>
              <w:rPr>
                <w:rFonts w:hint="eastAsia" w:ascii="宋体" w:hAnsi="宋体" w:cs="宋体"/>
                <w:color w:val="auto"/>
                <w:kern w:val="2"/>
                <w:sz w:val="21"/>
                <w:szCs w:val="21"/>
                <w:highlight w:val="none"/>
                <w:lang w:val="en-US" w:eastAsia="zh-CN" w:bidi="ar"/>
              </w:rPr>
              <w:t>2</w:t>
            </w:r>
            <w:r>
              <w:rPr>
                <w:rFonts w:hint="eastAsia" w:ascii="宋体" w:hAnsi="宋体" w:eastAsia="宋体" w:cs="宋体"/>
                <w:color w:val="auto"/>
                <w:kern w:val="2"/>
                <w:sz w:val="21"/>
                <w:szCs w:val="21"/>
                <w:highlight w:val="none"/>
                <w:lang w:val="en-US" w:eastAsia="zh-CN" w:bidi="ar"/>
              </w:rPr>
              <w:t>月</w:t>
            </w:r>
            <w:r>
              <w:rPr>
                <w:rFonts w:hint="eastAsia" w:ascii="宋体" w:hAnsi="宋体" w:eastAsia="宋体" w:cs="宋体"/>
                <w:color w:val="auto"/>
                <w:kern w:val="2"/>
                <w:sz w:val="21"/>
                <w:szCs w:val="21"/>
                <w:highlight w:val="none"/>
                <w:lang w:val="en-US" w:eastAsia="zh-CN" w:bidi="ar"/>
              </w:rPr>
              <w:t>以来任意一个月的社保相关证明材料（必须经社保部门盖章确认）和专业技能或资格证书复印件加盖公章，否则磋商无效；</w:t>
            </w:r>
          </w:p>
          <w:p w14:paraId="1BC590D9">
            <w:pPr>
              <w:keepNext w:val="0"/>
              <w:keepLines w:val="0"/>
              <w:widowControl w:val="0"/>
              <w:suppressLineNumbers w:val="0"/>
              <w:tabs>
                <w:tab w:val="left" w:pos="1440"/>
              </w:tabs>
              <w:spacing w:before="0" w:beforeAutospacing="0" w:after="0" w:afterAutospacing="0" w:line="360" w:lineRule="exact"/>
              <w:ind w:left="0" w:right="0" w:firstLine="422" w:firstLineChars="200"/>
              <w:jc w:val="left"/>
              <w:rPr>
                <w:rFonts w:hint="eastAsia" w:ascii="宋体" w:hAnsi="宋体" w:eastAsia="宋体" w:cs="宋体"/>
                <w:color w:val="auto"/>
                <w:sz w:val="21"/>
                <w:szCs w:val="21"/>
                <w:highlight w:val="none"/>
                <w:lang w:val="en-US"/>
              </w:rPr>
            </w:pPr>
            <w:r>
              <w:rPr>
                <w:rFonts w:hint="eastAsia" w:ascii="宋体" w:hAnsi="宋体" w:eastAsia="宋体" w:cs="宋体"/>
                <w:b/>
                <w:bCs/>
                <w:color w:val="auto"/>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8、供应商必须指定本项目的审计负责人一名，审计负责人必须持有有效的注册会计师证书；同时每个子项目必须派有1人持有有效注册会计师证书的审计人员；</w:t>
            </w:r>
          </w:p>
          <w:p w14:paraId="449229C9">
            <w:pPr>
              <w:keepNext w:val="0"/>
              <w:keepLines w:val="0"/>
              <w:widowControl w:val="0"/>
              <w:suppressLineNumbers w:val="0"/>
              <w:tabs>
                <w:tab w:val="left" w:pos="1440"/>
              </w:tabs>
              <w:spacing w:before="0" w:beforeAutospacing="0" w:after="0" w:afterAutospacing="0" w:line="360" w:lineRule="exact"/>
              <w:ind w:left="0" w:right="0" w:firstLine="422" w:firstLineChars="200"/>
              <w:jc w:val="left"/>
              <w:rPr>
                <w:rFonts w:hint="eastAsia" w:ascii="宋体" w:hAnsi="宋体" w:eastAsia="宋体" w:cs="宋体"/>
                <w:color w:val="auto"/>
                <w:sz w:val="21"/>
                <w:szCs w:val="21"/>
                <w:highlight w:val="none"/>
                <w:lang w:val="en-US"/>
              </w:rPr>
            </w:pPr>
            <w:r>
              <w:rPr>
                <w:rFonts w:hint="eastAsia" w:ascii="宋体" w:hAnsi="宋体" w:eastAsia="宋体" w:cs="宋体"/>
                <w:b/>
                <w:bCs/>
                <w:color w:val="auto"/>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9、供应商必须承诺成交后其针对本项目组建的审计组成员必须按要求投入到本项目中，在项目实施期间不得擅自更换；如因工作安排或其他原因，确实需要更换项目实施人员时，应事前向采购人提出书面申请，未经采购人同意，不得更换人员。供应商必须在响应文件中另行提供承诺函原件，并由法定代表人（负责人）签字及加盖单位公章。（格式自拟）；</w:t>
            </w:r>
          </w:p>
          <w:p w14:paraId="5FC5235B">
            <w:pPr>
              <w:keepNext w:val="0"/>
              <w:keepLines w:val="0"/>
              <w:widowControl w:val="0"/>
              <w:suppressLineNumbers w:val="0"/>
              <w:tabs>
                <w:tab w:val="left" w:pos="1440"/>
              </w:tabs>
              <w:spacing w:before="0" w:beforeAutospacing="0" w:after="0" w:afterAutospacing="0" w:line="360" w:lineRule="exact"/>
              <w:ind w:left="0" w:right="0" w:firstLine="420" w:firstLineChars="200"/>
              <w:jc w:val="left"/>
              <w:rPr>
                <w:rFonts w:hint="eastAsia" w:ascii="宋体" w:hAnsi="宋体" w:eastAsia="宋体" w:cs="宋体"/>
                <w:color w:val="auto"/>
                <w:sz w:val="21"/>
                <w:szCs w:val="21"/>
                <w:highlight w:val="none"/>
                <w:lang w:val="en-US"/>
              </w:rPr>
            </w:pPr>
            <w:r>
              <w:rPr>
                <w:rFonts w:hint="eastAsia" w:ascii="宋体" w:hAnsi="宋体" w:eastAsia="宋体" w:cs="宋体"/>
                <w:color w:val="auto"/>
                <w:kern w:val="2"/>
                <w:sz w:val="21"/>
                <w:szCs w:val="21"/>
                <w:highlight w:val="none"/>
                <w:lang w:val="en-US" w:eastAsia="zh-CN" w:bidi="ar"/>
              </w:rPr>
              <w:t>10、各审计组进驻被审计单位前，应在了解被审计单位基本情况后，编制审计计划并提交采购人，明确审计策略、重要会计问题及重点审计领域、审计工作进度安排及时间、审计小组组成及人员分工、审计重要性及审计风险等；</w:t>
            </w:r>
          </w:p>
          <w:p w14:paraId="49CD9222">
            <w:pPr>
              <w:keepNext w:val="0"/>
              <w:keepLines w:val="0"/>
              <w:widowControl w:val="0"/>
              <w:suppressLineNumbers w:val="0"/>
              <w:tabs>
                <w:tab w:val="left" w:pos="1440"/>
              </w:tabs>
              <w:spacing w:before="0" w:beforeAutospacing="0" w:after="0" w:afterAutospacing="0" w:line="360" w:lineRule="exact"/>
              <w:ind w:left="0" w:right="0" w:firstLine="420" w:firstLineChars="200"/>
              <w:jc w:val="left"/>
              <w:rPr>
                <w:rFonts w:hint="eastAsia" w:ascii="宋体" w:hAnsi="宋体" w:eastAsia="宋体" w:cs="宋体"/>
                <w:color w:val="auto"/>
                <w:sz w:val="21"/>
                <w:szCs w:val="21"/>
                <w:highlight w:val="none"/>
                <w:lang w:val="en-US"/>
              </w:rPr>
            </w:pPr>
            <w:r>
              <w:rPr>
                <w:rFonts w:hint="eastAsia" w:ascii="宋体" w:hAnsi="宋体" w:eastAsia="宋体" w:cs="宋体"/>
                <w:color w:val="auto"/>
                <w:kern w:val="2"/>
                <w:sz w:val="21"/>
                <w:szCs w:val="21"/>
                <w:highlight w:val="none"/>
                <w:lang w:val="en-US" w:eastAsia="zh-CN" w:bidi="ar"/>
              </w:rPr>
              <w:t>11、供应商审计过程形成的工作底稿，采购人有权查阅并复印留存；</w:t>
            </w:r>
          </w:p>
          <w:p w14:paraId="70584F0B">
            <w:pPr>
              <w:keepNext w:val="0"/>
              <w:keepLines w:val="0"/>
              <w:widowControl w:val="0"/>
              <w:suppressLineNumbers w:val="0"/>
              <w:tabs>
                <w:tab w:val="left" w:pos="1440"/>
              </w:tabs>
              <w:spacing w:before="0" w:beforeAutospacing="0" w:after="0" w:afterAutospacing="0" w:line="360" w:lineRule="exact"/>
              <w:ind w:left="0" w:right="0" w:firstLine="420" w:firstLineChars="200"/>
              <w:jc w:val="left"/>
              <w:rPr>
                <w:rFonts w:hint="eastAsia" w:ascii="宋体" w:hAnsi="宋体" w:eastAsia="宋体" w:cs="宋体"/>
                <w:color w:val="auto"/>
                <w:sz w:val="21"/>
                <w:szCs w:val="21"/>
                <w:highlight w:val="none"/>
                <w:lang w:val="en-US"/>
              </w:rPr>
            </w:pPr>
            <w:r>
              <w:rPr>
                <w:rFonts w:hint="eastAsia" w:ascii="宋体" w:hAnsi="宋体" w:eastAsia="宋体" w:cs="宋体"/>
                <w:color w:val="auto"/>
                <w:kern w:val="2"/>
                <w:sz w:val="21"/>
                <w:szCs w:val="21"/>
                <w:highlight w:val="none"/>
                <w:lang w:val="en-US" w:eastAsia="zh-CN" w:bidi="ar"/>
              </w:rPr>
              <w:t>12、供应商不得将审计项目转交第三方完成；供应商对审计报告质量负责，合同中需注明如审计报告内容有错误导致项目补助内容出错，导致结果无法挽回的，将扣除该项目审计费。</w:t>
            </w:r>
          </w:p>
          <w:p w14:paraId="7C57C953">
            <w:pPr>
              <w:keepNext w:val="0"/>
              <w:keepLines w:val="0"/>
              <w:widowControl w:val="0"/>
              <w:suppressLineNumbers w:val="0"/>
              <w:tabs>
                <w:tab w:val="left" w:pos="1440"/>
              </w:tabs>
              <w:spacing w:before="0" w:beforeAutospacing="0" w:after="0" w:afterAutospacing="0" w:line="360" w:lineRule="exact"/>
              <w:ind w:left="0" w:right="0" w:firstLine="422" w:firstLineChars="200"/>
              <w:jc w:val="left"/>
              <w:rPr>
                <w:rFonts w:hint="eastAsia" w:ascii="宋体" w:hAnsi="宋体" w:eastAsia="宋体" w:cs="宋体"/>
                <w:color w:val="auto"/>
                <w:sz w:val="21"/>
                <w:szCs w:val="21"/>
                <w:highlight w:val="none"/>
                <w:lang w:val="en-US"/>
              </w:rPr>
            </w:pPr>
            <w:r>
              <w:rPr>
                <w:rFonts w:hint="eastAsia" w:ascii="宋体" w:hAnsi="宋体" w:eastAsia="宋体" w:cs="宋体"/>
                <w:b/>
                <w:bCs/>
                <w:color w:val="auto"/>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13、审计报告须在注册会计师行业统一监管平台报备、赋码（审计报告验证码），并提供纸质报告。审计报告应当包括：被审计单位及项目名称；结题审计基准日；审计起始日和截止日；审计方式与程序；项目基本情况；项目资金管理和使用中的主要问题及建议；审计意见（财政资金使用是否符合政策要求或协议约定）；被审计单位和注册会计师的责任。</w:t>
            </w:r>
          </w:p>
          <w:p w14:paraId="7C8EC238">
            <w:pPr>
              <w:keepNext w:val="0"/>
              <w:keepLines w:val="0"/>
              <w:widowControl/>
              <w:suppressLineNumbers w:val="0"/>
              <w:spacing w:before="0" w:beforeAutospacing="0" w:after="0" w:afterAutospacing="0"/>
              <w:ind w:left="0" w:right="0" w:firstLine="422" w:firstLineChars="200"/>
              <w:jc w:val="left"/>
              <w:rPr>
                <w:rFonts w:hint="eastAsia" w:ascii="宋体" w:hAnsi="宋体" w:eastAsia="宋体" w:cs="宋体"/>
                <w:color w:val="auto"/>
                <w:sz w:val="21"/>
                <w:szCs w:val="21"/>
                <w:highlight w:val="none"/>
              </w:rPr>
            </w:pPr>
            <w:r>
              <w:rPr>
                <w:rFonts w:hint="eastAsia" w:ascii="宋体" w:hAnsi="宋体" w:eastAsia="宋体" w:cs="宋体"/>
                <w:b/>
                <w:bCs/>
                <w:color w:val="auto"/>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14、供应商对审计内容负保密责任</w:t>
            </w:r>
            <w:r>
              <w:rPr>
                <w:rFonts w:hint="eastAsia" w:ascii="宋体" w:hAnsi="宋体" w:cs="宋体"/>
                <w:color w:val="auto"/>
                <w:sz w:val="21"/>
                <w:szCs w:val="21"/>
                <w:highlight w:val="none"/>
              </w:rPr>
              <w:t>。</w:t>
            </w:r>
          </w:p>
        </w:tc>
        <w:tc>
          <w:tcPr>
            <w:tcW w:w="972" w:type="dxa"/>
            <w:noWrap w:val="0"/>
            <w:vAlign w:val="center"/>
          </w:tcPr>
          <w:p w14:paraId="59BC625D">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bidi="ar"/>
              </w:rPr>
              <w:t>60</w:t>
            </w:r>
            <w:r>
              <w:rPr>
                <w:rFonts w:hint="eastAsia" w:ascii="宋体" w:hAnsi="宋体" w:eastAsia="宋体" w:cs="宋体"/>
                <w:color w:val="auto"/>
                <w:sz w:val="21"/>
                <w:szCs w:val="21"/>
                <w:highlight w:val="none"/>
                <w:lang w:eastAsia="zh-CN" w:bidi="ar"/>
              </w:rPr>
              <w:t>0000.00</w:t>
            </w:r>
          </w:p>
        </w:tc>
        <w:tc>
          <w:tcPr>
            <w:tcW w:w="1200" w:type="dxa"/>
            <w:noWrap w:val="0"/>
            <w:vAlign w:val="center"/>
          </w:tcPr>
          <w:p w14:paraId="7806AB13">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租赁和商务服务业</w:t>
            </w:r>
          </w:p>
          <w:p w14:paraId="4F964F7C">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1"/>
                <w:szCs w:val="21"/>
                <w:highlight w:val="none"/>
              </w:rPr>
            </w:pPr>
          </w:p>
        </w:tc>
      </w:tr>
      <w:tr w14:paraId="1946C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682" w:type="dxa"/>
            <w:gridSpan w:val="3"/>
            <w:noWrap w:val="0"/>
            <w:vAlign w:val="center"/>
          </w:tcPr>
          <w:p w14:paraId="61D245C1">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商务条款</w:t>
            </w:r>
          </w:p>
        </w:tc>
        <w:tc>
          <w:tcPr>
            <w:tcW w:w="7824" w:type="dxa"/>
            <w:gridSpan w:val="5"/>
            <w:noWrap w:val="0"/>
            <w:vAlign w:val="top"/>
          </w:tcPr>
          <w:p w14:paraId="13BDFC33">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w:t>
            </w:r>
            <w:r>
              <w:rPr>
                <w:rFonts w:hint="eastAsia" w:ascii="宋体" w:hAnsi="宋体" w:eastAsia="宋体" w:cs="宋体"/>
                <w:color w:val="auto"/>
                <w:kern w:val="2"/>
                <w:sz w:val="21"/>
                <w:szCs w:val="21"/>
                <w:highlight w:val="none"/>
                <w:lang w:val="en-US" w:eastAsia="zh-CN" w:bidi="ar"/>
              </w:rPr>
              <w:t>1、磋商报价要求：凡此次涉及需要审计、核验的项目，采用全年总审计费用上限封顶、据实结算的方式。即全年费用总额不超过60万元，项目审计费用据实结算，</w:t>
            </w:r>
            <w:r>
              <w:rPr>
                <w:rFonts w:hint="eastAsia" w:ascii="宋体" w:hAnsi="宋体" w:cs="宋体"/>
                <w:color w:val="auto"/>
                <w:kern w:val="2"/>
                <w:sz w:val="21"/>
                <w:szCs w:val="21"/>
                <w:highlight w:val="none"/>
                <w:lang w:val="en-US" w:eastAsia="zh-CN" w:bidi="ar"/>
              </w:rPr>
              <w:t>供应商未完成314家企业的，则按【实际完成家数/314*供应商总报价】</w:t>
            </w:r>
            <w:r>
              <w:rPr>
                <w:rFonts w:hint="eastAsia" w:ascii="宋体" w:hAnsi="宋体" w:eastAsia="宋体" w:cs="宋体"/>
                <w:color w:val="auto"/>
                <w:kern w:val="2"/>
                <w:sz w:val="21"/>
                <w:szCs w:val="21"/>
                <w:highlight w:val="none"/>
                <w:lang w:val="en-US" w:eastAsia="zh-CN" w:bidi="ar"/>
              </w:rPr>
              <w:t>据实结算</w:t>
            </w:r>
            <w:r>
              <w:rPr>
                <w:rFonts w:hint="eastAsia" w:ascii="宋体" w:hAnsi="宋体" w:cs="宋体"/>
                <w:color w:val="auto"/>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如全年全部项目审计费用超过60万元，由供应商承担。审计服务所需所有费用，含专项审计费用、派出工作人员（含聘用专家）的交通费、住宿费、伙食补助费、税金及其他与审计相关的一切费用，包含但不限于采购代理服务费、保险、税金、利润等提供满足要求的服务成果及实施本项目所需的其他一切费用。</w:t>
            </w:r>
          </w:p>
          <w:p w14:paraId="183F62D8">
            <w:pPr>
              <w:pStyle w:val="19"/>
              <w:keepNext w:val="0"/>
              <w:keepLines w:val="0"/>
              <w:widowControl w:val="0"/>
              <w:suppressLineNumbers w:val="0"/>
              <w:autoSpaceDE w:val="0"/>
              <w:autoSpaceDN w:val="0"/>
              <w:adjustRightInd w:val="0"/>
              <w:spacing w:before="0" w:beforeAutospacing="0" w:after="0" w:afterAutospacing="0" w:line="440" w:lineRule="exact"/>
              <w:ind w:left="0" w:right="0"/>
              <w:jc w:val="left"/>
              <w:rPr>
                <w:rFonts w:hint="default" w:cs="宋体"/>
                <w:color w:val="auto"/>
                <w:sz w:val="21"/>
                <w:szCs w:val="21"/>
                <w:highlight w:val="none"/>
                <w:lang w:val="en-US"/>
              </w:rPr>
            </w:pPr>
            <w:r>
              <w:rPr>
                <w:rFonts w:hint="eastAsia" w:ascii="宋体" w:hAnsi="宋体" w:eastAsia="宋体" w:cs="宋体"/>
                <w:color w:val="auto"/>
                <w:kern w:val="0"/>
                <w:sz w:val="21"/>
                <w:szCs w:val="21"/>
                <w:highlight w:val="none"/>
                <w:lang w:val="en-US" w:eastAsia="zh-CN" w:bidi="ar"/>
              </w:rPr>
              <w:t>▲2、合同签订日期：自成交通知书发出之日起25日内。</w:t>
            </w:r>
          </w:p>
          <w:p w14:paraId="1C6A2717">
            <w:pPr>
              <w:pStyle w:val="19"/>
              <w:keepNext w:val="0"/>
              <w:keepLines w:val="0"/>
              <w:widowControl w:val="0"/>
              <w:suppressLineNumbers w:val="0"/>
              <w:autoSpaceDE w:val="0"/>
              <w:autoSpaceDN w:val="0"/>
              <w:adjustRightInd w:val="0"/>
              <w:spacing w:before="0" w:beforeAutospacing="0" w:after="0" w:afterAutospacing="0" w:line="440" w:lineRule="exact"/>
              <w:ind w:left="0" w:right="0"/>
              <w:jc w:val="left"/>
              <w:rPr>
                <w:rFonts w:hint="default" w:cs="宋体"/>
                <w:color w:val="auto"/>
                <w:sz w:val="21"/>
                <w:szCs w:val="21"/>
                <w:highlight w:val="none"/>
                <w:lang w:val="en-US"/>
              </w:rPr>
            </w:pPr>
            <w:r>
              <w:rPr>
                <w:rFonts w:hint="eastAsia" w:ascii="宋体" w:hAnsi="宋体" w:eastAsia="宋体" w:cs="宋体"/>
                <w:color w:val="auto"/>
                <w:kern w:val="0"/>
                <w:sz w:val="21"/>
                <w:szCs w:val="21"/>
                <w:highlight w:val="none"/>
                <w:lang w:val="en-US" w:eastAsia="zh-CN" w:bidi="ar"/>
              </w:rPr>
              <w:t>▲3、服务期限：签订采购合同后5天内与采购人联系，确定赴各项目进行实地审计的时间，供应商就各项目审计结果拟出审计初步意见，充分征求采购人及被审计单位意见，按各科室具体要求出具审计报告。</w:t>
            </w:r>
          </w:p>
          <w:p w14:paraId="0A37CDF2">
            <w:pPr>
              <w:pStyle w:val="19"/>
              <w:keepNext w:val="0"/>
              <w:keepLines w:val="0"/>
              <w:widowControl w:val="0"/>
              <w:suppressLineNumbers w:val="0"/>
              <w:autoSpaceDE w:val="0"/>
              <w:autoSpaceDN w:val="0"/>
              <w:adjustRightInd w:val="0"/>
              <w:spacing w:before="0" w:beforeAutospacing="0" w:after="0" w:afterAutospacing="0" w:line="440" w:lineRule="exact"/>
              <w:ind w:left="0" w:right="0"/>
              <w:jc w:val="left"/>
              <w:rPr>
                <w:rFonts w:hint="default" w:cs="宋体"/>
                <w:color w:val="auto"/>
                <w:sz w:val="21"/>
                <w:szCs w:val="21"/>
                <w:highlight w:val="none"/>
                <w:lang w:val="en-US"/>
              </w:rPr>
            </w:pPr>
            <w:r>
              <w:rPr>
                <w:rFonts w:hint="eastAsia" w:ascii="宋体" w:hAnsi="宋体" w:eastAsia="宋体" w:cs="宋体"/>
                <w:color w:val="auto"/>
                <w:kern w:val="0"/>
                <w:sz w:val="21"/>
                <w:szCs w:val="21"/>
                <w:highlight w:val="none"/>
                <w:lang w:val="en-US" w:eastAsia="zh-CN" w:bidi="ar"/>
              </w:rPr>
              <w:t>▲4、服务地点：广西区内采购人指定地点。</w:t>
            </w:r>
          </w:p>
          <w:p w14:paraId="75E12365">
            <w:pPr>
              <w:pStyle w:val="19"/>
              <w:keepNext w:val="0"/>
              <w:keepLines w:val="0"/>
              <w:widowControl w:val="0"/>
              <w:suppressLineNumbers w:val="0"/>
              <w:autoSpaceDE w:val="0"/>
              <w:autoSpaceDN w:val="0"/>
              <w:adjustRightInd w:val="0"/>
              <w:spacing w:before="0" w:beforeAutospacing="0" w:after="0" w:afterAutospacing="0" w:line="440" w:lineRule="exact"/>
              <w:ind w:left="0" w:right="0"/>
              <w:jc w:val="left"/>
              <w:rPr>
                <w:rFonts w:hint="default" w:cs="宋体"/>
                <w:color w:val="auto"/>
                <w:sz w:val="21"/>
                <w:szCs w:val="21"/>
                <w:highlight w:val="none"/>
                <w:lang w:val="en-US"/>
              </w:rPr>
            </w:pPr>
            <w:r>
              <w:rPr>
                <w:rFonts w:hint="eastAsia" w:ascii="宋体" w:hAnsi="宋体" w:eastAsia="宋体" w:cs="宋体"/>
                <w:color w:val="auto"/>
                <w:kern w:val="0"/>
                <w:sz w:val="21"/>
                <w:szCs w:val="21"/>
                <w:highlight w:val="none"/>
                <w:lang w:val="en-US" w:eastAsia="zh-CN" w:bidi="ar"/>
              </w:rPr>
              <w:t>▲5、付款条件：成交供应商组织项目团队开展工作10日后，由采购人支付合同金额的30%款项；本年全部审计、核验项目交付成果后，由采购人支付合同金额剩余70%款项。成交供应商应在申请付款时开具财务发票给采购人。</w:t>
            </w:r>
          </w:p>
          <w:p w14:paraId="7B83537D">
            <w:pPr>
              <w:pStyle w:val="19"/>
              <w:keepNext w:val="0"/>
              <w:keepLines w:val="0"/>
              <w:widowControl w:val="0"/>
              <w:suppressLineNumbers w:val="0"/>
              <w:autoSpaceDE w:val="0"/>
              <w:autoSpaceDN w:val="0"/>
              <w:adjustRightInd w:val="0"/>
              <w:spacing w:before="0" w:beforeAutospacing="0" w:after="0" w:afterAutospacing="0" w:line="440" w:lineRule="exact"/>
              <w:ind w:left="0" w:right="0"/>
              <w:jc w:val="left"/>
              <w:rPr>
                <w:rFonts w:hint="default" w:cs="宋体"/>
                <w:color w:val="auto"/>
                <w:sz w:val="21"/>
                <w:szCs w:val="21"/>
                <w:highlight w:val="none"/>
                <w:lang w:val="en-US"/>
              </w:rPr>
            </w:pPr>
            <w:r>
              <w:rPr>
                <w:rFonts w:hint="eastAsia" w:ascii="宋体" w:hAnsi="宋体" w:eastAsia="宋体" w:cs="宋体"/>
                <w:color w:val="auto"/>
                <w:kern w:val="0"/>
                <w:sz w:val="21"/>
                <w:szCs w:val="21"/>
                <w:highlight w:val="none"/>
                <w:lang w:val="en-US" w:eastAsia="zh-CN" w:bidi="ar"/>
              </w:rPr>
              <w:t>6、由于保密需要，除签订合同外，供应商与采购人须单独签订保密协议，所有审计人员须签署廉洁自律保证书。</w:t>
            </w:r>
          </w:p>
          <w:p w14:paraId="3BD656BA">
            <w:pPr>
              <w:pStyle w:val="19"/>
              <w:keepNext w:val="0"/>
              <w:keepLines w:val="0"/>
              <w:widowControl w:val="0"/>
              <w:suppressLineNumbers w:val="0"/>
              <w:autoSpaceDE w:val="0"/>
              <w:autoSpaceDN w:val="0"/>
              <w:adjustRightInd w:val="0"/>
              <w:spacing w:before="0" w:beforeAutospacing="0" w:after="0" w:afterAutospacing="0" w:line="440" w:lineRule="exact"/>
              <w:ind w:left="0" w:right="0"/>
              <w:jc w:val="left"/>
              <w:rPr>
                <w:rFonts w:hint="default" w:cs="宋体"/>
                <w:color w:val="auto"/>
                <w:sz w:val="21"/>
                <w:szCs w:val="21"/>
                <w:highlight w:val="none"/>
                <w:lang w:val="en-US"/>
              </w:rPr>
            </w:pPr>
            <w:r>
              <w:rPr>
                <w:rFonts w:hint="eastAsia" w:ascii="宋体" w:hAnsi="宋体" w:eastAsia="宋体" w:cs="宋体"/>
                <w:color w:val="auto"/>
                <w:kern w:val="0"/>
                <w:sz w:val="21"/>
                <w:szCs w:val="21"/>
                <w:highlight w:val="none"/>
                <w:lang w:val="en-US" w:eastAsia="zh-CN" w:bidi="ar"/>
              </w:rPr>
              <w:t>▲7、供应商必须在响应文件中提供针对此次项目出具审计服务方案，服务方案应包括针对项目要求做出的实施方案（包括工作措施和工作流程）、项目重点难点分析、应对措施及相关合理化建议、质量（完成时间、出具审计报告数据的合法性、准确性、保障工作及按时完成措施）、违约承诺、拟安排的项目团队及人员介绍（拟安排审计人员与签订合同中审计人员必须一致，否则视为违约），检查制度和资料档案的建立与管理、审计工作中的配合程度及措施等内容。</w:t>
            </w:r>
          </w:p>
          <w:p w14:paraId="29335557">
            <w:pPr>
              <w:pStyle w:val="19"/>
              <w:keepNext w:val="0"/>
              <w:keepLines w:val="0"/>
              <w:widowControl w:val="0"/>
              <w:suppressLineNumbers w:val="0"/>
              <w:autoSpaceDE w:val="0"/>
              <w:autoSpaceDN w:val="0"/>
              <w:adjustRightInd w:val="0"/>
              <w:spacing w:before="0" w:beforeAutospacing="0" w:after="0" w:afterAutospacing="0" w:line="440" w:lineRule="exact"/>
              <w:ind w:left="0" w:right="0"/>
              <w:jc w:val="left"/>
              <w:rPr>
                <w:rFonts w:hint="default" w:cs="宋体"/>
                <w:color w:val="auto"/>
                <w:sz w:val="21"/>
                <w:szCs w:val="21"/>
                <w:highlight w:val="none"/>
                <w:lang w:val="en-US"/>
              </w:rPr>
            </w:pPr>
            <w:r>
              <w:rPr>
                <w:rFonts w:hint="eastAsia" w:ascii="宋体" w:hAnsi="宋体" w:eastAsia="宋体" w:cs="宋体"/>
                <w:color w:val="auto"/>
                <w:kern w:val="0"/>
                <w:sz w:val="21"/>
                <w:szCs w:val="21"/>
                <w:highlight w:val="none"/>
                <w:lang w:val="en-US" w:eastAsia="zh-CN" w:bidi="ar"/>
              </w:rPr>
              <w:t>▲8、供应商须在竞争性磋商响应文件中承诺派出一名项目负责人作为本项目的“联络员”，负责与采购人进行日常沟通协调及其他服务工作，服务时间自签订合同之日起至本项目结束止。供应商必须在竞争性磋商响应文件中单独提供承诺函原件（格式自拟），承诺函须同时由拟派的“联络员”及法定代表人（负责人）签名并加盖单位公章，否则响应无效。</w:t>
            </w:r>
          </w:p>
          <w:p w14:paraId="3E3633FD">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1"/>
                <w:szCs w:val="21"/>
                <w:highlight w:val="none"/>
                <w:lang w:val="en-US" w:eastAsia="zh-CN"/>
              </w:rPr>
            </w:pPr>
            <w:r>
              <w:rPr>
                <w:rFonts w:hint="eastAsia" w:ascii="Times New Roman" w:hAnsi="Times New Roman" w:eastAsia="宋体" w:cs="宋体"/>
                <w:color w:val="auto"/>
                <w:kern w:val="2"/>
                <w:sz w:val="21"/>
                <w:szCs w:val="21"/>
                <w:highlight w:val="none"/>
                <w:lang w:val="en-US" w:eastAsia="zh-CN" w:bidi="ar"/>
              </w:rPr>
              <w:t>▲</w:t>
            </w:r>
            <w:r>
              <w:rPr>
                <w:rFonts w:hint="default" w:ascii="Times New Roman" w:hAnsi="Times New Roman" w:eastAsia="宋体" w:cs="宋体"/>
                <w:color w:val="auto"/>
                <w:kern w:val="2"/>
                <w:sz w:val="21"/>
                <w:szCs w:val="21"/>
                <w:highlight w:val="none"/>
                <w:lang w:val="en-US" w:eastAsia="zh-CN" w:bidi="ar"/>
              </w:rPr>
              <w:t>9</w:t>
            </w:r>
            <w:r>
              <w:rPr>
                <w:rFonts w:hint="eastAsia" w:ascii="Times New Roman" w:hAnsi="Times New Roman" w:eastAsia="宋体" w:cs="宋体"/>
                <w:color w:val="auto"/>
                <w:kern w:val="2"/>
                <w:sz w:val="21"/>
                <w:szCs w:val="21"/>
                <w:highlight w:val="none"/>
                <w:lang w:val="en-US" w:eastAsia="zh-CN" w:bidi="ar"/>
              </w:rPr>
              <w:t>、供应商承诺提供项目实施人员名单及合同中提供名单必须与磋商响应文件提供的人员名单一致，否则采购人有权追究其责任</w:t>
            </w:r>
            <w:r>
              <w:rPr>
                <w:rFonts w:hint="eastAsia" w:ascii="宋体" w:hAnsi="宋体" w:eastAsia="宋体" w:cs="宋体"/>
                <w:color w:val="auto"/>
                <w:sz w:val="21"/>
                <w:szCs w:val="21"/>
                <w:highlight w:val="none"/>
                <w:lang w:val="en-US" w:eastAsia="zh-CN"/>
              </w:rPr>
              <w:t>。</w:t>
            </w:r>
          </w:p>
        </w:tc>
      </w:tr>
      <w:tr w14:paraId="423FB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682" w:type="dxa"/>
            <w:gridSpan w:val="3"/>
            <w:noWrap w:val="0"/>
            <w:vAlign w:val="center"/>
          </w:tcPr>
          <w:p w14:paraId="714D26C7">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其他说明</w:t>
            </w:r>
          </w:p>
        </w:tc>
        <w:tc>
          <w:tcPr>
            <w:tcW w:w="7824" w:type="dxa"/>
            <w:gridSpan w:val="5"/>
            <w:noWrap w:val="0"/>
            <w:vAlign w:val="top"/>
          </w:tcPr>
          <w:p w14:paraId="3BFF7691">
            <w:pPr>
              <w:keepNext w:val="0"/>
              <w:keepLines w:val="0"/>
              <w:widowControl/>
              <w:suppressLineNumbers w:val="0"/>
              <w:shd w:val="clear" w:color="auto" w:fill="FFFFFF"/>
              <w:spacing w:before="0" w:beforeAutospacing="0" w:after="0" w:afterAutospacing="0" w:line="400" w:lineRule="exact"/>
              <w:ind w:left="0" w:right="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lang w:bidi="ar"/>
              </w:rPr>
              <w:t>一、进口产品说明</w:t>
            </w:r>
          </w:p>
          <w:p w14:paraId="23EE0084">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本项目服务所涉及的货物不接受进口产品（即通过中国海关报关验放进入中国境内且产自关境外的产品）参与</w:t>
            </w:r>
            <w:r>
              <w:rPr>
                <w:rFonts w:hint="eastAsia" w:ascii="宋体" w:hAnsi="宋体" w:eastAsia="宋体" w:cs="宋体"/>
                <w:color w:val="auto"/>
                <w:sz w:val="21"/>
                <w:szCs w:val="21"/>
                <w:highlight w:val="none"/>
                <w:lang w:eastAsia="zh-CN" w:bidi="ar"/>
              </w:rPr>
              <w:t>磋商</w:t>
            </w:r>
            <w:r>
              <w:rPr>
                <w:rFonts w:hint="eastAsia" w:ascii="宋体" w:hAnsi="宋体" w:eastAsia="宋体" w:cs="宋体"/>
                <w:color w:val="auto"/>
                <w:sz w:val="21"/>
                <w:szCs w:val="21"/>
                <w:highlight w:val="none"/>
                <w:lang w:bidi="ar"/>
              </w:rPr>
              <w:t>，</w:t>
            </w:r>
            <w:r>
              <w:rPr>
                <w:rFonts w:hint="eastAsia" w:ascii="宋体" w:hAnsi="宋体" w:eastAsia="宋体" w:cs="宋体"/>
                <w:b/>
                <w:color w:val="auto"/>
                <w:sz w:val="21"/>
                <w:szCs w:val="21"/>
                <w:highlight w:val="none"/>
                <w:lang w:bidi="ar"/>
              </w:rPr>
              <w:t>如有进口产品参与</w:t>
            </w:r>
            <w:r>
              <w:rPr>
                <w:rFonts w:hint="eastAsia" w:ascii="宋体" w:hAnsi="宋体" w:eastAsia="宋体" w:cs="宋体"/>
                <w:b/>
                <w:color w:val="auto"/>
                <w:sz w:val="21"/>
                <w:szCs w:val="21"/>
                <w:highlight w:val="none"/>
                <w:lang w:eastAsia="zh-CN" w:bidi="ar"/>
              </w:rPr>
              <w:t>磋商</w:t>
            </w:r>
            <w:r>
              <w:rPr>
                <w:rFonts w:hint="eastAsia" w:ascii="宋体" w:hAnsi="宋体" w:eastAsia="宋体" w:cs="宋体"/>
                <w:b/>
                <w:color w:val="auto"/>
                <w:sz w:val="21"/>
                <w:szCs w:val="21"/>
                <w:highlight w:val="none"/>
                <w:lang w:bidi="ar"/>
              </w:rPr>
              <w:t>的作无效标处理</w:t>
            </w:r>
            <w:r>
              <w:rPr>
                <w:rFonts w:hint="eastAsia" w:ascii="宋体" w:hAnsi="宋体" w:eastAsia="宋体" w:cs="宋体"/>
                <w:color w:val="auto"/>
                <w:sz w:val="21"/>
                <w:szCs w:val="21"/>
                <w:highlight w:val="none"/>
                <w:lang w:bidi="ar"/>
              </w:rPr>
              <w:t>。</w:t>
            </w:r>
          </w:p>
          <w:p w14:paraId="4C2BBDB7">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二、其他：无</w:t>
            </w:r>
          </w:p>
        </w:tc>
      </w:tr>
    </w:tbl>
    <w:p w14:paraId="09159712">
      <w:pPr>
        <w:spacing w:line="360" w:lineRule="auto"/>
        <w:jc w:val="left"/>
        <w:rPr>
          <w:color w:val="auto"/>
          <w:highlight w:val="none"/>
        </w:rPr>
      </w:pPr>
      <w:r>
        <w:rPr>
          <w:color w:val="auto"/>
          <w:highlight w:val="none"/>
        </w:rPr>
        <w:br w:type="page"/>
      </w:r>
    </w:p>
    <w:bookmarkEnd w:id="26"/>
    <w:p w14:paraId="6AD2DB2E">
      <w:pPr>
        <w:widowControl/>
        <w:spacing w:line="360" w:lineRule="auto"/>
        <w:jc w:val="left"/>
        <w:rPr>
          <w:rFonts w:hint="eastAsia" w:ascii="宋体" w:hAnsi="宋体" w:cs="宋体"/>
          <w:b/>
          <w:bCs/>
          <w:color w:val="auto"/>
          <w:szCs w:val="21"/>
          <w:highlight w:val="none"/>
        </w:rPr>
        <w:sectPr>
          <w:headerReference r:id="rId5" w:type="first"/>
          <w:footerReference r:id="rId7" w:type="first"/>
          <w:footerReference r:id="rId6" w:type="default"/>
          <w:pgSz w:w="11911" w:h="16838"/>
          <w:pgMar w:top="1417" w:right="1417" w:bottom="1417" w:left="1417" w:header="720" w:footer="720" w:gutter="0"/>
          <w:cols w:space="0" w:num="1"/>
          <w:rtlGutter w:val="0"/>
          <w:docGrid w:linePitch="0" w:charSpace="0"/>
        </w:sectPr>
      </w:pPr>
    </w:p>
    <w:p w14:paraId="77795717">
      <w:pPr>
        <w:spacing w:line="428" w:lineRule="exact"/>
        <w:rPr>
          <w:rFonts w:hint="eastAsia" w:ascii="Arial Unicode MS" w:hAnsi="Arial Unicode MS" w:eastAsia="Arial Unicode MS" w:cs="Arial Unicode MS"/>
          <w:color w:val="auto"/>
          <w:sz w:val="17"/>
          <w:szCs w:val="17"/>
          <w:highlight w:val="none"/>
        </w:rPr>
      </w:pPr>
      <w:r>
        <w:rPr>
          <w:rFonts w:hint="eastAsia" w:ascii="微软雅黑" w:hAnsi="微软雅黑" w:eastAsia="微软雅黑" w:cs="微软雅黑"/>
          <w:color w:val="auto"/>
          <w:sz w:val="32"/>
          <w:szCs w:val="32"/>
          <w:highlight w:val="none"/>
        </w:rPr>
        <w:t>附件1：</w:t>
      </w:r>
    </w:p>
    <w:p w14:paraId="5532E473">
      <w:pPr>
        <w:spacing w:line="528" w:lineRule="exact"/>
        <w:ind w:left="1871"/>
        <w:rPr>
          <w:rFonts w:hint="eastAsia" w:ascii="微软雅黑" w:hAnsi="微软雅黑" w:eastAsia="微软雅黑" w:cs="微软雅黑"/>
          <w:color w:val="auto"/>
          <w:sz w:val="40"/>
          <w:szCs w:val="40"/>
          <w:highlight w:val="none"/>
        </w:rPr>
      </w:pPr>
      <w:r>
        <w:rPr>
          <w:rFonts w:hint="eastAsia" w:ascii="微软雅黑" w:hAnsi="微软雅黑" w:eastAsia="微软雅黑" w:cs="微软雅黑"/>
          <w:color w:val="auto"/>
          <w:sz w:val="40"/>
          <w:szCs w:val="40"/>
          <w:highlight w:val="none"/>
        </w:rPr>
        <w:t>节能产品政府采购品目清单</w:t>
      </w:r>
    </w:p>
    <w:tbl>
      <w:tblPr>
        <w:tblStyle w:val="22"/>
        <w:tblpPr w:leftFromText="180" w:rightFromText="180" w:vertAnchor="text" w:horzAnchor="page" w:tblpX="1512" w:tblpY="341"/>
        <w:tblOverlap w:val="never"/>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2"/>
        <w:gridCol w:w="1116"/>
        <w:gridCol w:w="1516"/>
        <w:gridCol w:w="1562"/>
        <w:gridCol w:w="4505"/>
      </w:tblGrid>
      <w:tr w14:paraId="29BC6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57" w:type="pct"/>
          </w:tcPr>
          <w:p w14:paraId="63902ED8">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品目序号</w:t>
            </w:r>
          </w:p>
        </w:tc>
        <w:tc>
          <w:tcPr>
            <w:tcW w:w="2179" w:type="pct"/>
            <w:gridSpan w:val="3"/>
            <w:vAlign w:val="center"/>
          </w:tcPr>
          <w:p w14:paraId="7E68317C">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名称</w:t>
            </w:r>
          </w:p>
        </w:tc>
        <w:tc>
          <w:tcPr>
            <w:tcW w:w="2462" w:type="pct"/>
            <w:vAlign w:val="center"/>
          </w:tcPr>
          <w:p w14:paraId="143E2C73">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依据的标准</w:t>
            </w:r>
          </w:p>
        </w:tc>
      </w:tr>
      <w:tr w14:paraId="64E67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57" w:type="pct"/>
            <w:vMerge w:val="restart"/>
            <w:vAlign w:val="center"/>
          </w:tcPr>
          <w:p w14:paraId="34D64BE5">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585" w:type="pct"/>
            <w:vMerge w:val="restart"/>
            <w:vAlign w:val="center"/>
          </w:tcPr>
          <w:p w14:paraId="791AF3F0">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A020101计算机设备</w:t>
            </w:r>
          </w:p>
        </w:tc>
        <w:tc>
          <w:tcPr>
            <w:tcW w:w="715" w:type="pct"/>
            <w:vAlign w:val="center"/>
          </w:tcPr>
          <w:p w14:paraId="5FC0ABB0">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★A02010104台式计算机</w:t>
            </w:r>
          </w:p>
        </w:tc>
        <w:tc>
          <w:tcPr>
            <w:tcW w:w="878" w:type="pct"/>
            <w:vAlign w:val="center"/>
          </w:tcPr>
          <w:p w14:paraId="4552074A">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462" w:type="pct"/>
            <w:vAlign w:val="center"/>
          </w:tcPr>
          <w:p w14:paraId="3EA17BD2">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32B06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57" w:type="pct"/>
            <w:vMerge w:val="continue"/>
            <w:vAlign w:val="center"/>
          </w:tcPr>
          <w:p w14:paraId="42CF1EC1">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585" w:type="pct"/>
            <w:vMerge w:val="continue"/>
            <w:vAlign w:val="center"/>
          </w:tcPr>
          <w:p w14:paraId="747E4232">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715" w:type="pct"/>
            <w:vAlign w:val="center"/>
          </w:tcPr>
          <w:p w14:paraId="66C7A6AA">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★A02010105便携式计算机</w:t>
            </w:r>
          </w:p>
        </w:tc>
        <w:tc>
          <w:tcPr>
            <w:tcW w:w="878" w:type="pct"/>
            <w:vAlign w:val="center"/>
          </w:tcPr>
          <w:p w14:paraId="7A45FCDF">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462" w:type="pct"/>
            <w:vAlign w:val="center"/>
          </w:tcPr>
          <w:p w14:paraId="222C37B9">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71D9D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357" w:type="pct"/>
            <w:vMerge w:val="continue"/>
            <w:vAlign w:val="center"/>
          </w:tcPr>
          <w:p w14:paraId="52AD584E">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585" w:type="pct"/>
            <w:vMerge w:val="continue"/>
            <w:vAlign w:val="center"/>
          </w:tcPr>
          <w:p w14:paraId="32F7E6B5">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715" w:type="pct"/>
            <w:vAlign w:val="center"/>
          </w:tcPr>
          <w:p w14:paraId="6B1E52BB">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★A02010107平板式微型计算机</w:t>
            </w:r>
          </w:p>
        </w:tc>
        <w:tc>
          <w:tcPr>
            <w:tcW w:w="878" w:type="pct"/>
            <w:vAlign w:val="center"/>
          </w:tcPr>
          <w:p w14:paraId="5AEBC90F">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462" w:type="pct"/>
            <w:vAlign w:val="center"/>
          </w:tcPr>
          <w:p w14:paraId="684CF33F">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4608F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57" w:type="pct"/>
            <w:vMerge w:val="restart"/>
            <w:vAlign w:val="center"/>
          </w:tcPr>
          <w:p w14:paraId="05EA67F1">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585" w:type="pct"/>
            <w:vMerge w:val="restart"/>
            <w:vAlign w:val="center"/>
          </w:tcPr>
          <w:p w14:paraId="54ED4F8A">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A020106输入输出设备</w:t>
            </w:r>
          </w:p>
        </w:tc>
        <w:tc>
          <w:tcPr>
            <w:tcW w:w="715" w:type="pct"/>
            <w:vMerge w:val="restart"/>
            <w:vAlign w:val="center"/>
          </w:tcPr>
          <w:p w14:paraId="31EEB9AD">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A02010601打印设备</w:t>
            </w:r>
          </w:p>
        </w:tc>
        <w:tc>
          <w:tcPr>
            <w:tcW w:w="878" w:type="pct"/>
            <w:vAlign w:val="center"/>
          </w:tcPr>
          <w:p w14:paraId="20DB6E90">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A0201060101喷墨打印机</w:t>
            </w:r>
          </w:p>
        </w:tc>
        <w:tc>
          <w:tcPr>
            <w:tcW w:w="2462" w:type="pct"/>
            <w:vAlign w:val="center"/>
          </w:tcPr>
          <w:p w14:paraId="043E7C94">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3EB8B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57" w:type="pct"/>
            <w:vMerge w:val="continue"/>
            <w:vAlign w:val="center"/>
          </w:tcPr>
          <w:p w14:paraId="15D89FEB">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585" w:type="pct"/>
            <w:vMerge w:val="continue"/>
            <w:vAlign w:val="center"/>
          </w:tcPr>
          <w:p w14:paraId="2B3C28B4">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715" w:type="pct"/>
            <w:vMerge w:val="continue"/>
            <w:vAlign w:val="center"/>
          </w:tcPr>
          <w:p w14:paraId="607CC437">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878" w:type="pct"/>
            <w:vAlign w:val="center"/>
          </w:tcPr>
          <w:p w14:paraId="2C0FD55D">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★A0201060102激光打印机</w:t>
            </w:r>
          </w:p>
        </w:tc>
        <w:tc>
          <w:tcPr>
            <w:tcW w:w="2462" w:type="pct"/>
            <w:vAlign w:val="center"/>
          </w:tcPr>
          <w:p w14:paraId="6CBAEBDB">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20A19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57" w:type="pct"/>
            <w:vMerge w:val="continue"/>
            <w:vAlign w:val="center"/>
          </w:tcPr>
          <w:p w14:paraId="73761C4A">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585" w:type="pct"/>
            <w:vMerge w:val="continue"/>
            <w:vAlign w:val="center"/>
          </w:tcPr>
          <w:p w14:paraId="55C8AD70">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715" w:type="pct"/>
            <w:vMerge w:val="continue"/>
            <w:vAlign w:val="center"/>
          </w:tcPr>
          <w:p w14:paraId="1A2DC759">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878" w:type="pct"/>
            <w:vAlign w:val="center"/>
          </w:tcPr>
          <w:p w14:paraId="25EADB4E">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★A0201060104针式打印机</w:t>
            </w:r>
          </w:p>
        </w:tc>
        <w:tc>
          <w:tcPr>
            <w:tcW w:w="2462" w:type="pct"/>
            <w:vAlign w:val="center"/>
          </w:tcPr>
          <w:p w14:paraId="461FDA25">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54DEF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57" w:type="pct"/>
            <w:vMerge w:val="continue"/>
            <w:vAlign w:val="center"/>
          </w:tcPr>
          <w:p w14:paraId="1EC18FA9">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585" w:type="pct"/>
            <w:vMerge w:val="continue"/>
            <w:vAlign w:val="center"/>
          </w:tcPr>
          <w:p w14:paraId="3158EB02">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715" w:type="pct"/>
            <w:vAlign w:val="center"/>
          </w:tcPr>
          <w:p w14:paraId="631F755B">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A02010604显示设备</w:t>
            </w:r>
          </w:p>
        </w:tc>
        <w:tc>
          <w:tcPr>
            <w:tcW w:w="878" w:type="pct"/>
            <w:vAlign w:val="center"/>
          </w:tcPr>
          <w:p w14:paraId="429AC9AA">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★A0201060401液晶显示器</w:t>
            </w:r>
          </w:p>
        </w:tc>
        <w:tc>
          <w:tcPr>
            <w:tcW w:w="2462" w:type="pct"/>
            <w:vAlign w:val="center"/>
          </w:tcPr>
          <w:p w14:paraId="40C5FBDF">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《计算机显示器能效限定值及能效等级》（GB21520）</w:t>
            </w:r>
          </w:p>
        </w:tc>
      </w:tr>
      <w:tr w14:paraId="50430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357" w:type="pct"/>
            <w:vMerge w:val="continue"/>
            <w:vAlign w:val="center"/>
          </w:tcPr>
          <w:p w14:paraId="4832BDEC">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585" w:type="pct"/>
            <w:vMerge w:val="continue"/>
            <w:vAlign w:val="center"/>
          </w:tcPr>
          <w:p w14:paraId="548C60E8">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715" w:type="pct"/>
            <w:vAlign w:val="center"/>
          </w:tcPr>
          <w:p w14:paraId="30363D9F">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A02010609图形图像输入设备</w:t>
            </w:r>
          </w:p>
        </w:tc>
        <w:tc>
          <w:tcPr>
            <w:tcW w:w="878" w:type="pct"/>
            <w:vAlign w:val="center"/>
          </w:tcPr>
          <w:p w14:paraId="441D7E21">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A0201060901扫描仪</w:t>
            </w:r>
          </w:p>
        </w:tc>
        <w:tc>
          <w:tcPr>
            <w:tcW w:w="2462" w:type="pct"/>
            <w:vAlign w:val="center"/>
          </w:tcPr>
          <w:p w14:paraId="493D6DBF">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参照《复印机、打印机和传真机能效限定值及能效等级》（GB21521中打印速度为15页/分的针式打印机相关要求中打印速度为15页/分的针式打印机相关要求</w:t>
            </w:r>
          </w:p>
        </w:tc>
      </w:tr>
      <w:tr w14:paraId="71FB8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57" w:type="pct"/>
            <w:vAlign w:val="center"/>
          </w:tcPr>
          <w:p w14:paraId="77FE4B58">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585" w:type="pct"/>
            <w:vAlign w:val="center"/>
          </w:tcPr>
          <w:p w14:paraId="7B1CCE4E">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A020202投影仪</w:t>
            </w:r>
          </w:p>
        </w:tc>
        <w:tc>
          <w:tcPr>
            <w:tcW w:w="715" w:type="pct"/>
            <w:vAlign w:val="center"/>
          </w:tcPr>
          <w:p w14:paraId="6AC67970">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878" w:type="pct"/>
            <w:vAlign w:val="center"/>
          </w:tcPr>
          <w:p w14:paraId="41844CE4">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462" w:type="pct"/>
            <w:vAlign w:val="center"/>
          </w:tcPr>
          <w:p w14:paraId="0E4C4E20">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《投影机能效限定值及能效等级》（GB32028）</w:t>
            </w:r>
          </w:p>
        </w:tc>
      </w:tr>
      <w:tr w14:paraId="1168A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57" w:type="pct"/>
            <w:vAlign w:val="center"/>
          </w:tcPr>
          <w:p w14:paraId="252E729B">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585" w:type="pct"/>
            <w:vAlign w:val="center"/>
          </w:tcPr>
          <w:p w14:paraId="2F01B3FF">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A020204多功能一体机</w:t>
            </w:r>
          </w:p>
        </w:tc>
        <w:tc>
          <w:tcPr>
            <w:tcW w:w="715" w:type="pct"/>
            <w:vAlign w:val="center"/>
          </w:tcPr>
          <w:p w14:paraId="78B1904F">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878" w:type="pct"/>
            <w:vAlign w:val="center"/>
          </w:tcPr>
          <w:p w14:paraId="4BB5D8ED">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462" w:type="pct"/>
            <w:vAlign w:val="center"/>
          </w:tcPr>
          <w:p w14:paraId="0DE4EC51">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1BCAA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57" w:type="pct"/>
            <w:vAlign w:val="center"/>
          </w:tcPr>
          <w:p w14:paraId="5F7EE2A8">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585" w:type="pct"/>
            <w:vAlign w:val="center"/>
          </w:tcPr>
          <w:p w14:paraId="0D9BF811">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A020519泵</w:t>
            </w:r>
          </w:p>
        </w:tc>
        <w:tc>
          <w:tcPr>
            <w:tcW w:w="715" w:type="pct"/>
            <w:vAlign w:val="center"/>
          </w:tcPr>
          <w:p w14:paraId="2CC78866">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A02051901离心泵</w:t>
            </w:r>
          </w:p>
        </w:tc>
        <w:tc>
          <w:tcPr>
            <w:tcW w:w="878" w:type="pct"/>
            <w:vAlign w:val="center"/>
          </w:tcPr>
          <w:p w14:paraId="0716A082">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462" w:type="pct"/>
            <w:vAlign w:val="center"/>
          </w:tcPr>
          <w:p w14:paraId="28F184E3">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《清水离心泵能效限定值及节能评价值》（GB19762）</w:t>
            </w:r>
          </w:p>
        </w:tc>
      </w:tr>
      <w:tr w14:paraId="1E7C1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357" w:type="pct"/>
            <w:vMerge w:val="restart"/>
            <w:vAlign w:val="center"/>
          </w:tcPr>
          <w:p w14:paraId="5592F84B">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585" w:type="pct"/>
            <w:vMerge w:val="restart"/>
            <w:vAlign w:val="center"/>
          </w:tcPr>
          <w:p w14:paraId="50E562BF">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A020523制冷空调设备</w:t>
            </w:r>
          </w:p>
        </w:tc>
        <w:tc>
          <w:tcPr>
            <w:tcW w:w="715" w:type="pct"/>
            <w:vMerge w:val="restart"/>
            <w:vAlign w:val="center"/>
          </w:tcPr>
          <w:p w14:paraId="76DAEE98">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★A02052301制冷压缩机</w:t>
            </w:r>
          </w:p>
        </w:tc>
        <w:tc>
          <w:tcPr>
            <w:tcW w:w="878" w:type="pct"/>
            <w:vAlign w:val="center"/>
          </w:tcPr>
          <w:p w14:paraId="08BE2AEB">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冷水机组</w:t>
            </w:r>
          </w:p>
        </w:tc>
        <w:tc>
          <w:tcPr>
            <w:tcW w:w="2462" w:type="pct"/>
            <w:vAlign w:val="center"/>
          </w:tcPr>
          <w:p w14:paraId="616E1697">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《冷水机组能效限定值及能效等级》（GB19577），《低环境温度空气源热泵（冷水）机组能效限定值及能效等级》（GB37480）</w:t>
            </w:r>
          </w:p>
        </w:tc>
      </w:tr>
      <w:tr w14:paraId="75874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57" w:type="pct"/>
            <w:vMerge w:val="continue"/>
            <w:vAlign w:val="center"/>
          </w:tcPr>
          <w:p w14:paraId="4980D64A">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585" w:type="pct"/>
            <w:vMerge w:val="continue"/>
            <w:vAlign w:val="center"/>
          </w:tcPr>
          <w:p w14:paraId="7636D0F6">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715" w:type="pct"/>
            <w:vMerge w:val="continue"/>
            <w:vAlign w:val="center"/>
          </w:tcPr>
          <w:p w14:paraId="0DF21B13">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878" w:type="pct"/>
            <w:vAlign w:val="center"/>
          </w:tcPr>
          <w:p w14:paraId="51A4992B">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水源热泵机组</w:t>
            </w:r>
          </w:p>
        </w:tc>
        <w:tc>
          <w:tcPr>
            <w:tcW w:w="2462" w:type="pct"/>
            <w:vAlign w:val="center"/>
          </w:tcPr>
          <w:p w14:paraId="07401C86">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《水（地）源热泵机组能效限定值及能效等级》（GB30721）</w:t>
            </w:r>
          </w:p>
        </w:tc>
      </w:tr>
      <w:tr w14:paraId="2EAF5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57" w:type="pct"/>
            <w:vMerge w:val="continue"/>
            <w:vAlign w:val="center"/>
          </w:tcPr>
          <w:p w14:paraId="5A38749C">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585" w:type="pct"/>
            <w:vMerge w:val="continue"/>
            <w:vAlign w:val="center"/>
          </w:tcPr>
          <w:p w14:paraId="214C76F8">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715" w:type="pct"/>
            <w:vMerge w:val="continue"/>
            <w:vAlign w:val="center"/>
          </w:tcPr>
          <w:p w14:paraId="4CE4BAD6">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878" w:type="pct"/>
            <w:vAlign w:val="center"/>
          </w:tcPr>
          <w:p w14:paraId="17ECFE9E">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溴化锂吸收式冷水机组</w:t>
            </w:r>
          </w:p>
        </w:tc>
        <w:tc>
          <w:tcPr>
            <w:tcW w:w="2462" w:type="pct"/>
            <w:vAlign w:val="center"/>
          </w:tcPr>
          <w:p w14:paraId="76F4D062">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《溴化锂吸收式冷水机组能效限定值及能效等级》（GB29540）</w:t>
            </w:r>
          </w:p>
        </w:tc>
      </w:tr>
      <w:tr w14:paraId="2C0FD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357" w:type="pct"/>
            <w:vMerge w:val="continue"/>
            <w:vAlign w:val="center"/>
          </w:tcPr>
          <w:p w14:paraId="51759CC0">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585" w:type="pct"/>
            <w:vMerge w:val="continue"/>
            <w:vAlign w:val="center"/>
          </w:tcPr>
          <w:p w14:paraId="0A97D6C6">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715" w:type="pct"/>
            <w:vMerge w:val="restart"/>
            <w:vAlign w:val="center"/>
          </w:tcPr>
          <w:p w14:paraId="2C9E6008">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★A02052305空调机组</w:t>
            </w:r>
          </w:p>
        </w:tc>
        <w:tc>
          <w:tcPr>
            <w:tcW w:w="878" w:type="pct"/>
            <w:vAlign w:val="center"/>
          </w:tcPr>
          <w:p w14:paraId="51AE3712">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多联式空调（热泵）机组(制冷量&gt;14000W)</w:t>
            </w:r>
          </w:p>
        </w:tc>
        <w:tc>
          <w:tcPr>
            <w:tcW w:w="2462" w:type="pct"/>
            <w:vAlign w:val="center"/>
          </w:tcPr>
          <w:p w14:paraId="1DB164E2">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《多联式空调（热泵）机组能效限定值及能源效率等级》（GB21454）</w:t>
            </w:r>
          </w:p>
        </w:tc>
      </w:tr>
      <w:tr w14:paraId="72168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357" w:type="pct"/>
            <w:vMerge w:val="continue"/>
            <w:vAlign w:val="center"/>
          </w:tcPr>
          <w:p w14:paraId="32C80136">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585" w:type="pct"/>
            <w:vMerge w:val="continue"/>
            <w:vAlign w:val="center"/>
          </w:tcPr>
          <w:p w14:paraId="1572CAC7">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715" w:type="pct"/>
            <w:vMerge w:val="continue"/>
            <w:vAlign w:val="center"/>
          </w:tcPr>
          <w:p w14:paraId="44162D13">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878" w:type="pct"/>
            <w:vAlign w:val="center"/>
          </w:tcPr>
          <w:p w14:paraId="2E521813">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单元式空气调节机(制冷量&gt;14000W</w:t>
            </w:r>
          </w:p>
        </w:tc>
        <w:tc>
          <w:tcPr>
            <w:tcW w:w="2462" w:type="pct"/>
            <w:vAlign w:val="center"/>
          </w:tcPr>
          <w:p w14:paraId="3F34C735">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《单元式空气调节机能效限定值及能效等级》（GB19576）《风管送风式空调机组能效限定值及能效等级》（GB37479）</w:t>
            </w:r>
          </w:p>
        </w:tc>
      </w:tr>
      <w:tr w14:paraId="340AC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357" w:type="pct"/>
            <w:vMerge w:val="continue"/>
            <w:vAlign w:val="center"/>
          </w:tcPr>
          <w:p w14:paraId="6339211C">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585" w:type="pct"/>
            <w:vMerge w:val="continue"/>
            <w:vAlign w:val="center"/>
          </w:tcPr>
          <w:p w14:paraId="74FF79E3">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715" w:type="pct"/>
            <w:vAlign w:val="center"/>
          </w:tcPr>
          <w:p w14:paraId="2EF15DF6">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★A02052309专用制冷、空调设备</w:t>
            </w:r>
          </w:p>
        </w:tc>
        <w:tc>
          <w:tcPr>
            <w:tcW w:w="878" w:type="pct"/>
            <w:vAlign w:val="center"/>
          </w:tcPr>
          <w:p w14:paraId="0AF7E0F8">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机房空调</w:t>
            </w:r>
          </w:p>
        </w:tc>
        <w:tc>
          <w:tcPr>
            <w:tcW w:w="2462" w:type="pct"/>
            <w:vAlign w:val="center"/>
          </w:tcPr>
          <w:p w14:paraId="7DF9550D">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《单元式空气调节机能效限定值及能效等级》（GB19576）</w:t>
            </w:r>
          </w:p>
        </w:tc>
      </w:tr>
      <w:tr w14:paraId="07BC4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357" w:type="pct"/>
            <w:vMerge w:val="continue"/>
            <w:vAlign w:val="center"/>
          </w:tcPr>
          <w:p w14:paraId="2B87A669">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585" w:type="pct"/>
            <w:vMerge w:val="continue"/>
            <w:vAlign w:val="center"/>
          </w:tcPr>
          <w:p w14:paraId="0A578EA7">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715" w:type="pct"/>
            <w:vAlign w:val="center"/>
          </w:tcPr>
          <w:p w14:paraId="22542794">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A02052399其他制冷空调设备</w:t>
            </w:r>
          </w:p>
        </w:tc>
        <w:tc>
          <w:tcPr>
            <w:tcW w:w="878" w:type="pct"/>
            <w:vAlign w:val="center"/>
          </w:tcPr>
          <w:p w14:paraId="4C5A44D2">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冷却塔</w:t>
            </w:r>
          </w:p>
        </w:tc>
        <w:tc>
          <w:tcPr>
            <w:tcW w:w="2462" w:type="pct"/>
            <w:vAlign w:val="center"/>
          </w:tcPr>
          <w:p w14:paraId="1575295A">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《机械通风冷却塔第1部分：中小型开式冷却塔》（GB/T7190.1）；《机械通风冷却塔第2部分：大型开式冷却塔》（GB/T7190.2）</w:t>
            </w:r>
          </w:p>
        </w:tc>
      </w:tr>
      <w:tr w14:paraId="6E8F7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57" w:type="pct"/>
            <w:vAlign w:val="center"/>
          </w:tcPr>
          <w:p w14:paraId="106652A9">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7</w:t>
            </w:r>
          </w:p>
        </w:tc>
        <w:tc>
          <w:tcPr>
            <w:tcW w:w="585" w:type="pct"/>
            <w:vAlign w:val="center"/>
          </w:tcPr>
          <w:p w14:paraId="1FBFE290">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A020601电机</w:t>
            </w:r>
          </w:p>
        </w:tc>
        <w:tc>
          <w:tcPr>
            <w:tcW w:w="715" w:type="pct"/>
            <w:vAlign w:val="center"/>
          </w:tcPr>
          <w:p w14:paraId="5634F2AF">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878" w:type="pct"/>
            <w:vAlign w:val="center"/>
          </w:tcPr>
          <w:p w14:paraId="49821707">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462" w:type="pct"/>
            <w:vAlign w:val="center"/>
          </w:tcPr>
          <w:p w14:paraId="03084466">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《中小型三相异步电动机能效限定值及能效等级》（GB18613）</w:t>
            </w:r>
          </w:p>
        </w:tc>
      </w:tr>
      <w:tr w14:paraId="7B1D8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57" w:type="pct"/>
            <w:vAlign w:val="center"/>
          </w:tcPr>
          <w:p w14:paraId="7CF870E1">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8</w:t>
            </w:r>
          </w:p>
        </w:tc>
        <w:tc>
          <w:tcPr>
            <w:tcW w:w="585" w:type="pct"/>
            <w:vAlign w:val="center"/>
          </w:tcPr>
          <w:p w14:paraId="3AAF2972">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A020602变压器</w:t>
            </w:r>
          </w:p>
        </w:tc>
        <w:tc>
          <w:tcPr>
            <w:tcW w:w="715" w:type="pct"/>
            <w:vAlign w:val="center"/>
          </w:tcPr>
          <w:p w14:paraId="74AB417D">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配电变压器</w:t>
            </w:r>
          </w:p>
        </w:tc>
        <w:tc>
          <w:tcPr>
            <w:tcW w:w="878" w:type="pct"/>
            <w:vAlign w:val="center"/>
          </w:tcPr>
          <w:p w14:paraId="350FCC79">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462" w:type="pct"/>
            <w:vAlign w:val="center"/>
          </w:tcPr>
          <w:p w14:paraId="44A840EA">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《三相配电变压器能效限定值及能效等级》（GB20052）</w:t>
            </w:r>
          </w:p>
        </w:tc>
      </w:tr>
      <w:tr w14:paraId="14214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57" w:type="pct"/>
            <w:vAlign w:val="center"/>
          </w:tcPr>
          <w:p w14:paraId="533DBD59">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9</w:t>
            </w:r>
          </w:p>
        </w:tc>
        <w:tc>
          <w:tcPr>
            <w:tcW w:w="585" w:type="pct"/>
            <w:vAlign w:val="center"/>
          </w:tcPr>
          <w:p w14:paraId="0C8658F3">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★A020609镇流器</w:t>
            </w:r>
          </w:p>
        </w:tc>
        <w:tc>
          <w:tcPr>
            <w:tcW w:w="715" w:type="pct"/>
            <w:vAlign w:val="center"/>
          </w:tcPr>
          <w:p w14:paraId="45D7E3B3">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管型荧光灯镇流器</w:t>
            </w:r>
          </w:p>
        </w:tc>
        <w:tc>
          <w:tcPr>
            <w:tcW w:w="878" w:type="pct"/>
            <w:vAlign w:val="center"/>
          </w:tcPr>
          <w:p w14:paraId="32C107E6">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462" w:type="pct"/>
            <w:vAlign w:val="center"/>
          </w:tcPr>
          <w:p w14:paraId="297B5E71">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《管形荧光灯镇流器能效限定值及能效等级》（GB17896）</w:t>
            </w:r>
          </w:p>
        </w:tc>
      </w:tr>
      <w:tr w14:paraId="17FD2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57" w:type="pct"/>
            <w:vMerge w:val="restart"/>
            <w:vAlign w:val="center"/>
          </w:tcPr>
          <w:p w14:paraId="68E0CF3F">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585" w:type="pct"/>
            <w:vMerge w:val="restart"/>
            <w:vAlign w:val="center"/>
          </w:tcPr>
          <w:p w14:paraId="6E732107">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A020618生活用电器</w:t>
            </w:r>
          </w:p>
        </w:tc>
        <w:tc>
          <w:tcPr>
            <w:tcW w:w="715" w:type="pct"/>
            <w:vAlign w:val="center"/>
          </w:tcPr>
          <w:p w14:paraId="5560C09F">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A0206180101电冰箱</w:t>
            </w:r>
          </w:p>
        </w:tc>
        <w:tc>
          <w:tcPr>
            <w:tcW w:w="878" w:type="pct"/>
            <w:vAlign w:val="center"/>
          </w:tcPr>
          <w:p w14:paraId="229BBF74">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462" w:type="pct"/>
            <w:vAlign w:val="center"/>
          </w:tcPr>
          <w:p w14:paraId="565B7422">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《家用电冰箱耗电量限定值及能效等级》（GB 12021.2）</w:t>
            </w:r>
          </w:p>
        </w:tc>
      </w:tr>
      <w:tr w14:paraId="0B1C3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357" w:type="pct"/>
            <w:vMerge w:val="continue"/>
            <w:vAlign w:val="center"/>
          </w:tcPr>
          <w:p w14:paraId="142B7354">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585" w:type="pct"/>
            <w:vMerge w:val="continue"/>
            <w:vAlign w:val="center"/>
          </w:tcPr>
          <w:p w14:paraId="3CB592EF">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715" w:type="pct"/>
            <w:vMerge w:val="restart"/>
            <w:vAlign w:val="center"/>
          </w:tcPr>
          <w:p w14:paraId="7EEEAC8C">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★A0206180203空调机</w:t>
            </w:r>
          </w:p>
        </w:tc>
        <w:tc>
          <w:tcPr>
            <w:tcW w:w="878" w:type="pct"/>
            <w:vAlign w:val="center"/>
          </w:tcPr>
          <w:p w14:paraId="26E307AC">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房间空气调节器</w:t>
            </w:r>
          </w:p>
        </w:tc>
        <w:tc>
          <w:tcPr>
            <w:tcW w:w="2462" w:type="pct"/>
            <w:vAlign w:val="center"/>
          </w:tcPr>
          <w:p w14:paraId="44A6FEF7">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《转速可控型房间空气调节器能效限定值及能效等级》（GB21455-2013），待2019年修订发布后，按《房间空气调节器能效限定值及能效等级》（GB21455-2019实施。</w:t>
            </w:r>
          </w:p>
        </w:tc>
      </w:tr>
      <w:tr w14:paraId="4F589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357" w:type="pct"/>
            <w:vMerge w:val="continue"/>
            <w:vAlign w:val="center"/>
          </w:tcPr>
          <w:p w14:paraId="0D595D74">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585" w:type="pct"/>
            <w:vMerge w:val="continue"/>
            <w:vAlign w:val="center"/>
          </w:tcPr>
          <w:p w14:paraId="455935D9">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715" w:type="pct"/>
            <w:vMerge w:val="continue"/>
            <w:vAlign w:val="center"/>
          </w:tcPr>
          <w:p w14:paraId="787DC1A0">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878" w:type="pct"/>
            <w:vAlign w:val="center"/>
          </w:tcPr>
          <w:p w14:paraId="5A36A9D9">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多联式空调（热泵）机组（制冷量≤ 14000W）</w:t>
            </w:r>
          </w:p>
        </w:tc>
        <w:tc>
          <w:tcPr>
            <w:tcW w:w="2462" w:type="pct"/>
            <w:vAlign w:val="center"/>
          </w:tcPr>
          <w:p w14:paraId="642A4EA4">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《多联式空调（热泵）机组能效限定值及能源效率等级》（GB21454）</w:t>
            </w:r>
          </w:p>
        </w:tc>
      </w:tr>
      <w:tr w14:paraId="7165D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5" w:hRule="atLeast"/>
        </w:trPr>
        <w:tc>
          <w:tcPr>
            <w:tcW w:w="357" w:type="pct"/>
            <w:vMerge w:val="continue"/>
            <w:vAlign w:val="center"/>
          </w:tcPr>
          <w:p w14:paraId="43D60F63">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585" w:type="pct"/>
            <w:vMerge w:val="continue"/>
            <w:vAlign w:val="center"/>
          </w:tcPr>
          <w:p w14:paraId="7180AED0">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715" w:type="pct"/>
            <w:vMerge w:val="continue"/>
            <w:vAlign w:val="center"/>
          </w:tcPr>
          <w:p w14:paraId="1F239BD6">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878" w:type="pct"/>
            <w:vAlign w:val="center"/>
          </w:tcPr>
          <w:p w14:paraId="660F2E7B">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单元式空气调节机(制冷量≤14000W)</w:t>
            </w:r>
          </w:p>
        </w:tc>
        <w:tc>
          <w:tcPr>
            <w:tcW w:w="2462" w:type="pct"/>
            <w:vAlign w:val="center"/>
          </w:tcPr>
          <w:p w14:paraId="5BAFD95B">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《单元式空气调节机能效限定值及能源效率等级》（GB19576）《风管送风式空调机组能效限定值及能效等级》（GB37479）</w:t>
            </w:r>
          </w:p>
        </w:tc>
      </w:tr>
      <w:tr w14:paraId="02270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57" w:type="pct"/>
            <w:vMerge w:val="continue"/>
            <w:vAlign w:val="center"/>
          </w:tcPr>
          <w:p w14:paraId="54DC7172">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585" w:type="pct"/>
            <w:vMerge w:val="continue"/>
            <w:vAlign w:val="center"/>
          </w:tcPr>
          <w:p w14:paraId="363D7B9D">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715" w:type="pct"/>
            <w:vAlign w:val="center"/>
          </w:tcPr>
          <w:p w14:paraId="09CA247C">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A0206180301洗衣机</w:t>
            </w:r>
          </w:p>
        </w:tc>
        <w:tc>
          <w:tcPr>
            <w:tcW w:w="878" w:type="pct"/>
            <w:vAlign w:val="center"/>
          </w:tcPr>
          <w:p w14:paraId="6B5E230E">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462" w:type="pct"/>
            <w:vAlign w:val="center"/>
          </w:tcPr>
          <w:p w14:paraId="7D75E818">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《电动洗衣机能效水效限定值及等级》（GB12021.4）</w:t>
            </w:r>
          </w:p>
        </w:tc>
      </w:tr>
      <w:tr w14:paraId="44516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57" w:type="pct"/>
            <w:vMerge w:val="continue"/>
            <w:vAlign w:val="center"/>
          </w:tcPr>
          <w:p w14:paraId="39A271ED">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585" w:type="pct"/>
            <w:vMerge w:val="continue"/>
            <w:vAlign w:val="center"/>
          </w:tcPr>
          <w:p w14:paraId="7C405927">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715" w:type="pct"/>
            <w:vMerge w:val="restart"/>
            <w:vAlign w:val="center"/>
          </w:tcPr>
          <w:p w14:paraId="1BF068B6">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A02061808热水器</w:t>
            </w:r>
          </w:p>
        </w:tc>
        <w:tc>
          <w:tcPr>
            <w:tcW w:w="878" w:type="pct"/>
            <w:vAlign w:val="center"/>
          </w:tcPr>
          <w:p w14:paraId="1041CEF0">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★电热水器</w:t>
            </w:r>
          </w:p>
        </w:tc>
        <w:tc>
          <w:tcPr>
            <w:tcW w:w="2462" w:type="pct"/>
            <w:vAlign w:val="center"/>
          </w:tcPr>
          <w:p w14:paraId="0EF2C933">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《储水式电热水器能效限定值及能效等级》（GB21519）</w:t>
            </w:r>
          </w:p>
        </w:tc>
      </w:tr>
      <w:tr w14:paraId="08641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57" w:type="pct"/>
            <w:vMerge w:val="continue"/>
            <w:vAlign w:val="center"/>
          </w:tcPr>
          <w:p w14:paraId="09D25C25">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585" w:type="pct"/>
            <w:vMerge w:val="continue"/>
            <w:vAlign w:val="center"/>
          </w:tcPr>
          <w:p w14:paraId="5590E592">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715" w:type="pct"/>
            <w:vMerge w:val="continue"/>
            <w:vAlign w:val="center"/>
          </w:tcPr>
          <w:p w14:paraId="15A06221">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878" w:type="pct"/>
            <w:vAlign w:val="center"/>
          </w:tcPr>
          <w:p w14:paraId="18874AFF">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燃气热水器</w:t>
            </w:r>
          </w:p>
        </w:tc>
        <w:tc>
          <w:tcPr>
            <w:tcW w:w="2462" w:type="pct"/>
            <w:vAlign w:val="center"/>
          </w:tcPr>
          <w:p w14:paraId="63D683D1">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《家用燃气快速热水器和燃气采暖热水炉能效限定值及能效等级》（GB20665）</w:t>
            </w:r>
          </w:p>
        </w:tc>
      </w:tr>
      <w:tr w14:paraId="42F58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57" w:type="pct"/>
            <w:vMerge w:val="continue"/>
            <w:vAlign w:val="center"/>
          </w:tcPr>
          <w:p w14:paraId="4894E1E6">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585" w:type="pct"/>
            <w:vMerge w:val="continue"/>
            <w:vAlign w:val="center"/>
          </w:tcPr>
          <w:p w14:paraId="287A89A2">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715" w:type="pct"/>
            <w:vMerge w:val="continue"/>
            <w:vAlign w:val="center"/>
          </w:tcPr>
          <w:p w14:paraId="794019CE">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878" w:type="pct"/>
            <w:vAlign w:val="center"/>
          </w:tcPr>
          <w:p w14:paraId="31CF5FCD">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热泵热水器</w:t>
            </w:r>
          </w:p>
        </w:tc>
        <w:tc>
          <w:tcPr>
            <w:tcW w:w="2462" w:type="pct"/>
            <w:vAlign w:val="center"/>
          </w:tcPr>
          <w:p w14:paraId="2640E81F">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《热泵热水机（器）能效限定值及能效等级》（GB29541）</w:t>
            </w:r>
          </w:p>
        </w:tc>
      </w:tr>
      <w:tr w14:paraId="7DEBA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57" w:type="pct"/>
            <w:vMerge w:val="continue"/>
            <w:vAlign w:val="center"/>
          </w:tcPr>
          <w:p w14:paraId="52ECED37">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585" w:type="pct"/>
            <w:vMerge w:val="continue"/>
            <w:vAlign w:val="center"/>
          </w:tcPr>
          <w:p w14:paraId="0F164BBB">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715" w:type="pct"/>
            <w:vMerge w:val="continue"/>
            <w:vAlign w:val="center"/>
          </w:tcPr>
          <w:p w14:paraId="34C6D159">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878" w:type="pct"/>
            <w:vAlign w:val="center"/>
          </w:tcPr>
          <w:p w14:paraId="461949D1">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太阳能热水系统</w:t>
            </w:r>
          </w:p>
        </w:tc>
        <w:tc>
          <w:tcPr>
            <w:tcW w:w="2462" w:type="pct"/>
            <w:vAlign w:val="center"/>
          </w:tcPr>
          <w:p w14:paraId="043ADC6A">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《家用太阳能热水系统能效限定值及能效等级》（GB26969）</w:t>
            </w:r>
          </w:p>
        </w:tc>
      </w:tr>
      <w:tr w14:paraId="15237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57" w:type="pct"/>
            <w:vMerge w:val="restart"/>
            <w:vAlign w:val="center"/>
          </w:tcPr>
          <w:p w14:paraId="162C344B">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11</w:t>
            </w:r>
          </w:p>
        </w:tc>
        <w:tc>
          <w:tcPr>
            <w:tcW w:w="585" w:type="pct"/>
            <w:vMerge w:val="restart"/>
            <w:vAlign w:val="center"/>
          </w:tcPr>
          <w:p w14:paraId="44F42560">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A020619照明设备</w:t>
            </w:r>
          </w:p>
        </w:tc>
        <w:tc>
          <w:tcPr>
            <w:tcW w:w="715" w:type="pct"/>
            <w:vAlign w:val="center"/>
          </w:tcPr>
          <w:p w14:paraId="43D748E6">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★普通照明用双端荧光灯</w:t>
            </w:r>
          </w:p>
        </w:tc>
        <w:tc>
          <w:tcPr>
            <w:tcW w:w="878" w:type="pct"/>
            <w:vAlign w:val="center"/>
          </w:tcPr>
          <w:p w14:paraId="04A12130">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462" w:type="pct"/>
            <w:vAlign w:val="center"/>
          </w:tcPr>
          <w:p w14:paraId="5D8415AB">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《普通照明用双端荧光灯能效限定值及能效等级》（GB19043）</w:t>
            </w:r>
          </w:p>
        </w:tc>
      </w:tr>
      <w:tr w14:paraId="5D026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57" w:type="pct"/>
            <w:vMerge w:val="continue"/>
            <w:vAlign w:val="center"/>
          </w:tcPr>
          <w:p w14:paraId="5093B9A9">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585" w:type="pct"/>
            <w:vMerge w:val="continue"/>
            <w:vAlign w:val="center"/>
          </w:tcPr>
          <w:p w14:paraId="153A5BE9">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715" w:type="pct"/>
            <w:vAlign w:val="center"/>
          </w:tcPr>
          <w:p w14:paraId="27A3505A">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LED道路/隧道照明产品</w:t>
            </w:r>
          </w:p>
        </w:tc>
        <w:tc>
          <w:tcPr>
            <w:tcW w:w="878" w:type="pct"/>
            <w:vAlign w:val="center"/>
          </w:tcPr>
          <w:p w14:paraId="2B9C0698">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462" w:type="pct"/>
            <w:vAlign w:val="center"/>
          </w:tcPr>
          <w:p w14:paraId="236F9999">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《道路和隧道照明用LED灯具能效限定值及能效等级》（GB37478）</w:t>
            </w:r>
          </w:p>
        </w:tc>
      </w:tr>
      <w:tr w14:paraId="73057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57" w:type="pct"/>
            <w:vMerge w:val="continue"/>
            <w:vAlign w:val="center"/>
          </w:tcPr>
          <w:p w14:paraId="5D09402F">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585" w:type="pct"/>
            <w:vMerge w:val="continue"/>
            <w:vAlign w:val="center"/>
          </w:tcPr>
          <w:p w14:paraId="7676766B">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715" w:type="pct"/>
            <w:vAlign w:val="center"/>
          </w:tcPr>
          <w:p w14:paraId="6B7A99B8">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LED筒灯</w:t>
            </w:r>
          </w:p>
        </w:tc>
        <w:tc>
          <w:tcPr>
            <w:tcW w:w="878" w:type="pct"/>
            <w:vAlign w:val="center"/>
          </w:tcPr>
          <w:p w14:paraId="18B41498">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462" w:type="pct"/>
            <w:vAlign w:val="center"/>
          </w:tcPr>
          <w:p w14:paraId="07A08A51">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《室内照明用LED产品能效限定值及能效等级》（GB30255）</w:t>
            </w:r>
          </w:p>
        </w:tc>
      </w:tr>
      <w:tr w14:paraId="4BAAE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357" w:type="pct"/>
            <w:vMerge w:val="continue"/>
            <w:vAlign w:val="center"/>
          </w:tcPr>
          <w:p w14:paraId="7EE854F2">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585" w:type="pct"/>
            <w:vMerge w:val="continue"/>
            <w:vAlign w:val="center"/>
          </w:tcPr>
          <w:p w14:paraId="0E7E827A">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715" w:type="pct"/>
            <w:vAlign w:val="center"/>
          </w:tcPr>
          <w:p w14:paraId="098776FE">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普通照明用非定向自镇流LED灯</w:t>
            </w:r>
          </w:p>
        </w:tc>
        <w:tc>
          <w:tcPr>
            <w:tcW w:w="878" w:type="pct"/>
            <w:vAlign w:val="center"/>
          </w:tcPr>
          <w:p w14:paraId="3765764F">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462" w:type="pct"/>
            <w:vAlign w:val="center"/>
          </w:tcPr>
          <w:p w14:paraId="09D4DAE4">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《室内照明用LED产品能效限定值及能效等级》（GB30255）</w:t>
            </w:r>
          </w:p>
        </w:tc>
      </w:tr>
      <w:tr w14:paraId="6D3B1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357" w:type="pct"/>
            <w:vAlign w:val="center"/>
          </w:tcPr>
          <w:p w14:paraId="7C2CCB9F">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12</w:t>
            </w:r>
          </w:p>
        </w:tc>
        <w:tc>
          <w:tcPr>
            <w:tcW w:w="585" w:type="pct"/>
            <w:vAlign w:val="center"/>
          </w:tcPr>
          <w:p w14:paraId="324851EF">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★A020910电视设备</w:t>
            </w:r>
          </w:p>
        </w:tc>
        <w:tc>
          <w:tcPr>
            <w:tcW w:w="715" w:type="pct"/>
            <w:vAlign w:val="center"/>
          </w:tcPr>
          <w:p w14:paraId="507B2207">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A02091001普通电视设备（电视机）</w:t>
            </w:r>
          </w:p>
        </w:tc>
        <w:tc>
          <w:tcPr>
            <w:tcW w:w="878" w:type="pct"/>
            <w:vAlign w:val="center"/>
          </w:tcPr>
          <w:p w14:paraId="5846805F">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462" w:type="pct"/>
            <w:vAlign w:val="center"/>
          </w:tcPr>
          <w:p w14:paraId="7FF729C9">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《平板电视能效限定值及能效等级》（GB24850）</w:t>
            </w:r>
          </w:p>
        </w:tc>
      </w:tr>
      <w:tr w14:paraId="27BF0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357" w:type="pct"/>
            <w:vAlign w:val="center"/>
          </w:tcPr>
          <w:p w14:paraId="5593B343">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13</w:t>
            </w:r>
          </w:p>
        </w:tc>
        <w:tc>
          <w:tcPr>
            <w:tcW w:w="585" w:type="pct"/>
            <w:vAlign w:val="center"/>
          </w:tcPr>
          <w:p w14:paraId="5673B908">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★A020911视频设备</w:t>
            </w:r>
          </w:p>
        </w:tc>
        <w:tc>
          <w:tcPr>
            <w:tcW w:w="715" w:type="pct"/>
            <w:vAlign w:val="center"/>
          </w:tcPr>
          <w:p w14:paraId="152A781A">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A02091107视频监控设备</w:t>
            </w:r>
          </w:p>
        </w:tc>
        <w:tc>
          <w:tcPr>
            <w:tcW w:w="878" w:type="pct"/>
            <w:vAlign w:val="center"/>
          </w:tcPr>
          <w:p w14:paraId="13131708">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监视器</w:t>
            </w:r>
          </w:p>
        </w:tc>
        <w:tc>
          <w:tcPr>
            <w:tcW w:w="2462" w:type="pct"/>
            <w:vAlign w:val="center"/>
          </w:tcPr>
          <w:p w14:paraId="587B43B0">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以射频信号为主要信号输入的监视器应符合《平板电视能效限定值及能效等级》（GB24850），以数字信号为主要信号输入的监视器应符合《计算机显示器能效限定值及能效等级》（GB21520）</w:t>
            </w:r>
          </w:p>
        </w:tc>
      </w:tr>
      <w:tr w14:paraId="21912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57" w:type="pct"/>
            <w:vAlign w:val="center"/>
          </w:tcPr>
          <w:p w14:paraId="0E08B2AD">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14</w:t>
            </w:r>
          </w:p>
        </w:tc>
        <w:tc>
          <w:tcPr>
            <w:tcW w:w="585" w:type="pct"/>
            <w:vAlign w:val="center"/>
          </w:tcPr>
          <w:p w14:paraId="249E5F6B">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A031210饮食炊事机械</w:t>
            </w:r>
          </w:p>
        </w:tc>
        <w:tc>
          <w:tcPr>
            <w:tcW w:w="715" w:type="pct"/>
            <w:vAlign w:val="center"/>
          </w:tcPr>
          <w:p w14:paraId="761B3013">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商用燃气灶具</w:t>
            </w:r>
          </w:p>
        </w:tc>
        <w:tc>
          <w:tcPr>
            <w:tcW w:w="878" w:type="pct"/>
            <w:vAlign w:val="center"/>
          </w:tcPr>
          <w:p w14:paraId="60A30703">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462" w:type="pct"/>
            <w:vAlign w:val="center"/>
          </w:tcPr>
          <w:p w14:paraId="391EAEAB">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《商用燃气灶具能效限定值及能效等级》（GB30531）</w:t>
            </w:r>
          </w:p>
        </w:tc>
      </w:tr>
      <w:tr w14:paraId="2B0CA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57" w:type="pct"/>
            <w:vMerge w:val="restart"/>
            <w:vAlign w:val="center"/>
          </w:tcPr>
          <w:p w14:paraId="61DB6AF4">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15</w:t>
            </w:r>
          </w:p>
        </w:tc>
        <w:tc>
          <w:tcPr>
            <w:tcW w:w="585" w:type="pct"/>
            <w:vMerge w:val="restart"/>
            <w:vAlign w:val="center"/>
          </w:tcPr>
          <w:p w14:paraId="3CF4799B">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★A060805便器</w:t>
            </w:r>
          </w:p>
        </w:tc>
        <w:tc>
          <w:tcPr>
            <w:tcW w:w="715" w:type="pct"/>
            <w:vAlign w:val="center"/>
          </w:tcPr>
          <w:p w14:paraId="739C13B4">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坐便器</w:t>
            </w:r>
          </w:p>
        </w:tc>
        <w:tc>
          <w:tcPr>
            <w:tcW w:w="878" w:type="pct"/>
            <w:vAlign w:val="center"/>
          </w:tcPr>
          <w:p w14:paraId="59E797C0">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462" w:type="pct"/>
            <w:vAlign w:val="center"/>
          </w:tcPr>
          <w:p w14:paraId="45D72FB8">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《坐便器水效限定值及水效等级》（GB25502）</w:t>
            </w:r>
          </w:p>
        </w:tc>
      </w:tr>
      <w:tr w14:paraId="78A5F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57" w:type="pct"/>
            <w:vMerge w:val="continue"/>
            <w:vAlign w:val="center"/>
          </w:tcPr>
          <w:p w14:paraId="40A3362A">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585" w:type="pct"/>
            <w:vMerge w:val="continue"/>
            <w:vAlign w:val="center"/>
          </w:tcPr>
          <w:p w14:paraId="35C131E6">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715" w:type="pct"/>
            <w:vAlign w:val="center"/>
          </w:tcPr>
          <w:p w14:paraId="7C61DA39">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蹲便器</w:t>
            </w:r>
          </w:p>
        </w:tc>
        <w:tc>
          <w:tcPr>
            <w:tcW w:w="878" w:type="pct"/>
            <w:vAlign w:val="center"/>
          </w:tcPr>
          <w:p w14:paraId="7EB23224">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462" w:type="pct"/>
            <w:vAlign w:val="center"/>
          </w:tcPr>
          <w:p w14:paraId="7E0A8DC5">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《蹲便器用水效率限定值及用水效率等级》（GB30717）</w:t>
            </w:r>
          </w:p>
        </w:tc>
      </w:tr>
      <w:tr w14:paraId="431B0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57" w:type="pct"/>
            <w:vMerge w:val="continue"/>
            <w:vAlign w:val="center"/>
          </w:tcPr>
          <w:p w14:paraId="0C8291B7">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585" w:type="pct"/>
            <w:vMerge w:val="continue"/>
            <w:vAlign w:val="center"/>
          </w:tcPr>
          <w:p w14:paraId="19FD6E49">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715" w:type="pct"/>
            <w:vAlign w:val="center"/>
          </w:tcPr>
          <w:p w14:paraId="25CE6E55">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小便器</w:t>
            </w:r>
          </w:p>
        </w:tc>
        <w:tc>
          <w:tcPr>
            <w:tcW w:w="878" w:type="pct"/>
            <w:vAlign w:val="center"/>
          </w:tcPr>
          <w:p w14:paraId="1AE9D8F4">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462" w:type="pct"/>
            <w:vAlign w:val="center"/>
          </w:tcPr>
          <w:p w14:paraId="7C83080E">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《小便器用水效率限定值及用水效率等级》（GB28377）</w:t>
            </w:r>
          </w:p>
        </w:tc>
      </w:tr>
      <w:tr w14:paraId="44CB5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57" w:type="pct"/>
            <w:vAlign w:val="center"/>
          </w:tcPr>
          <w:p w14:paraId="176C8C00">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16</w:t>
            </w:r>
          </w:p>
        </w:tc>
        <w:tc>
          <w:tcPr>
            <w:tcW w:w="585" w:type="pct"/>
            <w:vAlign w:val="center"/>
          </w:tcPr>
          <w:p w14:paraId="0A5D68B3">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★A060806水嘴</w:t>
            </w:r>
          </w:p>
        </w:tc>
        <w:tc>
          <w:tcPr>
            <w:tcW w:w="715" w:type="pct"/>
            <w:vAlign w:val="center"/>
          </w:tcPr>
          <w:p w14:paraId="44525A1D">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878" w:type="pct"/>
            <w:vAlign w:val="center"/>
          </w:tcPr>
          <w:p w14:paraId="251E1D3C">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462" w:type="pct"/>
            <w:vAlign w:val="center"/>
          </w:tcPr>
          <w:p w14:paraId="2971E608">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《水嘴用水效率限定值及用水效率等级》（GB 25501）</w:t>
            </w:r>
          </w:p>
        </w:tc>
      </w:tr>
      <w:tr w14:paraId="46D34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57" w:type="pct"/>
            <w:vAlign w:val="center"/>
          </w:tcPr>
          <w:p w14:paraId="67E38C90">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17</w:t>
            </w:r>
          </w:p>
        </w:tc>
        <w:tc>
          <w:tcPr>
            <w:tcW w:w="585" w:type="pct"/>
            <w:vAlign w:val="center"/>
          </w:tcPr>
          <w:p w14:paraId="426135F4">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A060807便器冲洗阀</w:t>
            </w:r>
          </w:p>
        </w:tc>
        <w:tc>
          <w:tcPr>
            <w:tcW w:w="715" w:type="pct"/>
            <w:vAlign w:val="center"/>
          </w:tcPr>
          <w:p w14:paraId="51EB8610">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878" w:type="pct"/>
            <w:vAlign w:val="center"/>
          </w:tcPr>
          <w:p w14:paraId="351B9902">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462" w:type="pct"/>
            <w:vAlign w:val="center"/>
          </w:tcPr>
          <w:p w14:paraId="271D4ACC">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《便器冲洗阀用水效率限定值及用水效率等级》（GB28379）</w:t>
            </w:r>
          </w:p>
        </w:tc>
      </w:tr>
      <w:tr w14:paraId="2D742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57" w:type="pct"/>
            <w:vAlign w:val="center"/>
          </w:tcPr>
          <w:p w14:paraId="3B93B53A">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18</w:t>
            </w:r>
          </w:p>
        </w:tc>
        <w:tc>
          <w:tcPr>
            <w:tcW w:w="585" w:type="pct"/>
            <w:vAlign w:val="center"/>
          </w:tcPr>
          <w:p w14:paraId="26EDD79A">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A060810淋浴器</w:t>
            </w:r>
          </w:p>
        </w:tc>
        <w:tc>
          <w:tcPr>
            <w:tcW w:w="715" w:type="pct"/>
            <w:vAlign w:val="center"/>
          </w:tcPr>
          <w:p w14:paraId="5ECC8C5E">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878" w:type="pct"/>
            <w:vAlign w:val="center"/>
          </w:tcPr>
          <w:p w14:paraId="2E98D738">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462" w:type="pct"/>
            <w:vAlign w:val="center"/>
          </w:tcPr>
          <w:p w14:paraId="4CAD79A8">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《淋浴器用水效率限定值及用水效率等级》（GB28378）</w:t>
            </w:r>
          </w:p>
        </w:tc>
      </w:tr>
    </w:tbl>
    <w:p w14:paraId="21BA57B4">
      <w:pPr>
        <w:pStyle w:val="8"/>
        <w:rPr>
          <w:color w:val="auto"/>
          <w:highlight w:val="none"/>
        </w:rPr>
      </w:pPr>
    </w:p>
    <w:p w14:paraId="2A4F4110">
      <w:pPr>
        <w:pStyle w:val="8"/>
        <w:spacing w:line="300" w:lineRule="exact"/>
        <w:rPr>
          <w:rFonts w:hint="eastAsia" w:ascii="Arial Unicode MS" w:hAnsi="Arial Unicode MS" w:eastAsia="Arial Unicode MS" w:cs="Arial Unicode MS"/>
          <w:color w:val="auto"/>
          <w:sz w:val="30"/>
          <w:szCs w:val="30"/>
          <w:highlight w:val="none"/>
        </w:rPr>
      </w:pPr>
      <w:r>
        <w:rPr>
          <w:rFonts w:hint="eastAsia"/>
          <w:color w:val="auto"/>
          <w:spacing w:val="-3"/>
          <w:szCs w:val="21"/>
          <w:highlight w:val="none"/>
        </w:rPr>
        <w:t>注：</w:t>
      </w:r>
      <w:r>
        <w:rPr>
          <w:color w:val="auto"/>
          <w:spacing w:val="-3"/>
          <w:szCs w:val="21"/>
          <w:highlight w:val="none"/>
        </w:rPr>
        <w:t>1.</w:t>
      </w:r>
      <w:r>
        <w:rPr>
          <w:rFonts w:hint="eastAsia"/>
          <w:color w:val="auto"/>
          <w:spacing w:val="-3"/>
          <w:szCs w:val="21"/>
          <w:highlight w:val="none"/>
        </w:rPr>
        <w:t>节能产品认证应依据相关国家标准的最新版本，依据国家标准中二级能效（水效）</w:t>
      </w:r>
      <w:r>
        <w:rPr>
          <w:rFonts w:hint="eastAsia"/>
          <w:color w:val="auto"/>
          <w:szCs w:val="21"/>
          <w:highlight w:val="none"/>
        </w:rPr>
        <w:t>指标</w:t>
      </w:r>
      <w:r>
        <w:rPr>
          <w:rFonts w:hint="eastAsia" w:hAnsi="宋体"/>
          <w:color w:val="auto"/>
          <w:highlight w:val="none"/>
        </w:rPr>
        <w:t xml:space="preserve"> </w:t>
      </w:r>
      <w:r>
        <w:rPr>
          <w:rFonts w:hint="eastAsia"/>
          <w:color w:val="auto"/>
          <w:highlight w:val="none"/>
        </w:rPr>
        <w:t>2.以</w:t>
      </w:r>
      <w:r>
        <w:rPr>
          <w:color w:val="auto"/>
          <w:highlight w:val="none"/>
        </w:rPr>
        <w:t>“</w:t>
      </w:r>
      <w:r>
        <w:rPr>
          <w:rFonts w:hint="eastAsia"/>
          <w:color w:val="auto"/>
          <w:highlight w:val="none"/>
        </w:rPr>
        <w:t>★</w:t>
      </w:r>
      <w:r>
        <w:rPr>
          <w:color w:val="auto"/>
          <w:highlight w:val="none"/>
        </w:rPr>
        <w:t>”</w:t>
      </w:r>
      <w:r>
        <w:rPr>
          <w:rFonts w:hint="eastAsia"/>
          <w:color w:val="auto"/>
          <w:highlight w:val="none"/>
        </w:rPr>
        <w:t>标注的为政府强制采购产品。</w:t>
      </w:r>
      <w:r>
        <w:rPr>
          <w:rFonts w:hint="eastAsia"/>
          <w:color w:val="auto"/>
          <w:highlight w:val="none"/>
        </w:rPr>
        <w:br w:type="page"/>
      </w:r>
      <w:r>
        <w:rPr>
          <w:rFonts w:hint="eastAsia" w:ascii="微软雅黑" w:hAnsi="微软雅黑" w:eastAsia="微软雅黑" w:cs="微软雅黑"/>
          <w:color w:val="auto"/>
          <w:sz w:val="30"/>
          <w:szCs w:val="30"/>
          <w:highlight w:val="none"/>
        </w:rPr>
        <w:t>附件</w:t>
      </w:r>
      <w:r>
        <w:rPr>
          <w:rFonts w:ascii="Arial Unicode MS" w:hAnsi="Arial Unicode MS" w:eastAsia="Arial Unicode MS" w:cs="Arial Unicode MS"/>
          <w:color w:val="auto"/>
          <w:sz w:val="30"/>
          <w:szCs w:val="30"/>
          <w:highlight w:val="none"/>
        </w:rPr>
        <w:t>2</w:t>
      </w:r>
      <w:r>
        <w:rPr>
          <w:rFonts w:hint="eastAsia" w:ascii="微软雅黑" w:hAnsi="微软雅黑" w:eastAsia="微软雅黑" w:cs="微软雅黑"/>
          <w:color w:val="auto"/>
          <w:sz w:val="30"/>
          <w:szCs w:val="30"/>
          <w:highlight w:val="none"/>
        </w:rPr>
        <w:t>：</w:t>
      </w:r>
    </w:p>
    <w:p w14:paraId="372DC0EB">
      <w:pPr>
        <w:spacing w:line="300" w:lineRule="exact"/>
        <w:jc w:val="center"/>
        <w:rPr>
          <w:rFonts w:hint="eastAsia" w:ascii="微软雅黑" w:hAnsi="微软雅黑" w:eastAsia="微软雅黑" w:cs="微软雅黑"/>
          <w:color w:val="auto"/>
          <w:sz w:val="30"/>
          <w:szCs w:val="30"/>
          <w:highlight w:val="none"/>
        </w:rPr>
      </w:pPr>
      <w:r>
        <w:rPr>
          <w:rFonts w:hint="eastAsia" w:ascii="微软雅黑" w:hAnsi="微软雅黑" w:eastAsia="微软雅黑" w:cs="微软雅黑"/>
          <w:color w:val="auto"/>
          <w:sz w:val="30"/>
          <w:szCs w:val="30"/>
          <w:highlight w:val="none"/>
        </w:rPr>
        <w:t>中小微企业划型标准</w:t>
      </w:r>
    </w:p>
    <w:tbl>
      <w:tblPr>
        <w:tblStyle w:val="22"/>
        <w:tblpPr w:leftFromText="180" w:rightFromText="180" w:vertAnchor="text" w:horzAnchor="page" w:tblpX="1417" w:tblpY="451"/>
        <w:tblOverlap w:val="never"/>
        <w:tblW w:w="4998" w:type="pct"/>
        <w:tblInd w:w="0" w:type="dxa"/>
        <w:tblLayout w:type="autofit"/>
        <w:tblCellMar>
          <w:top w:w="0" w:type="dxa"/>
          <w:left w:w="108" w:type="dxa"/>
          <w:bottom w:w="0" w:type="dxa"/>
          <w:right w:w="108" w:type="dxa"/>
        </w:tblCellMar>
      </w:tblPr>
      <w:tblGrid>
        <w:gridCol w:w="1941"/>
        <w:gridCol w:w="1941"/>
        <w:gridCol w:w="831"/>
        <w:gridCol w:w="1803"/>
        <w:gridCol w:w="1664"/>
        <w:gridCol w:w="1109"/>
      </w:tblGrid>
      <w:tr w14:paraId="7C487AD3">
        <w:trPr>
          <w:trHeight w:val="90" w:hRule="atLeast"/>
        </w:trPr>
        <w:tc>
          <w:tcPr>
            <w:tcW w:w="1044" w:type="pct"/>
            <w:tcBorders>
              <w:top w:val="single" w:color="auto" w:sz="4" w:space="0"/>
              <w:left w:val="single" w:color="auto" w:sz="4" w:space="0"/>
              <w:bottom w:val="single" w:color="auto" w:sz="4" w:space="0"/>
              <w:right w:val="single" w:color="auto" w:sz="4" w:space="0"/>
            </w:tcBorders>
            <w:vAlign w:val="center"/>
          </w:tcPr>
          <w:p w14:paraId="5713AF0C">
            <w:pPr>
              <w:keepNext w:val="0"/>
              <w:keepLines w:val="0"/>
              <w:widowControl/>
              <w:suppressLineNumbers w:val="0"/>
              <w:spacing w:before="0" w:beforeAutospacing="0" w:after="0" w:afterAutospacing="0"/>
              <w:ind w:left="0" w:right="0"/>
              <w:jc w:val="left"/>
              <w:rPr>
                <w:rFonts w:hint="eastAsia"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行业名称</w:t>
            </w:r>
          </w:p>
        </w:tc>
        <w:tc>
          <w:tcPr>
            <w:tcW w:w="1044" w:type="pct"/>
            <w:tcBorders>
              <w:top w:val="single" w:color="auto" w:sz="4" w:space="0"/>
              <w:left w:val="nil"/>
              <w:bottom w:val="single" w:color="auto" w:sz="4" w:space="0"/>
              <w:right w:val="single" w:color="auto" w:sz="4" w:space="0"/>
            </w:tcBorders>
            <w:vAlign w:val="center"/>
          </w:tcPr>
          <w:p w14:paraId="663FD430">
            <w:pPr>
              <w:keepNext w:val="0"/>
              <w:keepLines w:val="0"/>
              <w:widowControl/>
              <w:suppressLineNumbers w:val="0"/>
              <w:spacing w:before="0" w:beforeAutospacing="0" w:after="0" w:afterAutospacing="0"/>
              <w:ind w:left="0" w:right="0"/>
              <w:jc w:val="left"/>
              <w:rPr>
                <w:rFonts w:hint="eastAsia"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指标名称</w:t>
            </w:r>
          </w:p>
        </w:tc>
        <w:tc>
          <w:tcPr>
            <w:tcW w:w="447" w:type="pct"/>
            <w:tcBorders>
              <w:top w:val="single" w:color="auto" w:sz="4" w:space="0"/>
              <w:left w:val="nil"/>
              <w:bottom w:val="single" w:color="auto" w:sz="4" w:space="0"/>
              <w:right w:val="single" w:color="auto" w:sz="4" w:space="0"/>
            </w:tcBorders>
            <w:vAlign w:val="center"/>
          </w:tcPr>
          <w:p w14:paraId="21FBDA54">
            <w:pPr>
              <w:keepNext w:val="0"/>
              <w:keepLines w:val="0"/>
              <w:widowControl/>
              <w:suppressLineNumbers w:val="0"/>
              <w:spacing w:before="0" w:beforeAutospacing="0" w:after="0" w:afterAutospacing="0"/>
              <w:ind w:left="0" w:right="0"/>
              <w:jc w:val="left"/>
              <w:rPr>
                <w:rFonts w:hint="eastAsia"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计量单位</w:t>
            </w:r>
          </w:p>
        </w:tc>
        <w:tc>
          <w:tcPr>
            <w:tcW w:w="970" w:type="pct"/>
            <w:tcBorders>
              <w:top w:val="single" w:color="auto" w:sz="4" w:space="0"/>
              <w:left w:val="nil"/>
              <w:bottom w:val="single" w:color="auto" w:sz="4" w:space="0"/>
              <w:right w:val="single" w:color="auto" w:sz="4" w:space="0"/>
            </w:tcBorders>
            <w:vAlign w:val="center"/>
          </w:tcPr>
          <w:p w14:paraId="73995356">
            <w:pPr>
              <w:keepNext w:val="0"/>
              <w:keepLines w:val="0"/>
              <w:widowControl/>
              <w:suppressLineNumbers w:val="0"/>
              <w:spacing w:before="0" w:beforeAutospacing="0" w:after="0" w:afterAutospacing="0"/>
              <w:ind w:left="0" w:right="0"/>
              <w:jc w:val="left"/>
              <w:rPr>
                <w:rFonts w:hint="eastAsia"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中型</w:t>
            </w:r>
          </w:p>
        </w:tc>
        <w:tc>
          <w:tcPr>
            <w:tcW w:w="895" w:type="pct"/>
            <w:tcBorders>
              <w:top w:val="single" w:color="auto" w:sz="4" w:space="0"/>
              <w:left w:val="nil"/>
              <w:bottom w:val="single" w:color="auto" w:sz="4" w:space="0"/>
              <w:right w:val="single" w:color="auto" w:sz="4" w:space="0"/>
            </w:tcBorders>
            <w:vAlign w:val="center"/>
          </w:tcPr>
          <w:p w14:paraId="300CD5C3">
            <w:pPr>
              <w:keepNext w:val="0"/>
              <w:keepLines w:val="0"/>
              <w:widowControl/>
              <w:suppressLineNumbers w:val="0"/>
              <w:spacing w:before="0" w:beforeAutospacing="0" w:after="0" w:afterAutospacing="0"/>
              <w:ind w:left="0" w:right="0"/>
              <w:jc w:val="left"/>
              <w:rPr>
                <w:rFonts w:hint="eastAsia"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小型</w:t>
            </w:r>
          </w:p>
        </w:tc>
        <w:tc>
          <w:tcPr>
            <w:tcW w:w="596" w:type="pct"/>
            <w:tcBorders>
              <w:top w:val="single" w:color="auto" w:sz="4" w:space="0"/>
              <w:left w:val="nil"/>
              <w:bottom w:val="single" w:color="auto" w:sz="4" w:space="0"/>
              <w:right w:val="single" w:color="auto" w:sz="4" w:space="0"/>
            </w:tcBorders>
            <w:vAlign w:val="center"/>
          </w:tcPr>
          <w:p w14:paraId="56F9B1E7">
            <w:pPr>
              <w:keepNext w:val="0"/>
              <w:keepLines w:val="0"/>
              <w:widowControl/>
              <w:suppressLineNumbers w:val="0"/>
              <w:spacing w:before="0" w:beforeAutospacing="0" w:after="0" w:afterAutospacing="0"/>
              <w:ind w:left="0" w:right="0"/>
              <w:jc w:val="left"/>
              <w:rPr>
                <w:rFonts w:hint="eastAsia"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微型</w:t>
            </w:r>
          </w:p>
        </w:tc>
      </w:tr>
      <w:tr w14:paraId="3AC4927C">
        <w:tblPrEx>
          <w:tblCellMar>
            <w:top w:w="0" w:type="dxa"/>
            <w:left w:w="108" w:type="dxa"/>
            <w:bottom w:w="0" w:type="dxa"/>
            <w:right w:w="108" w:type="dxa"/>
          </w:tblCellMar>
        </w:tblPrEx>
        <w:trPr>
          <w:trHeight w:val="225" w:hRule="atLeast"/>
        </w:trPr>
        <w:tc>
          <w:tcPr>
            <w:tcW w:w="1044" w:type="pct"/>
            <w:tcBorders>
              <w:top w:val="nil"/>
              <w:left w:val="single" w:color="auto" w:sz="4" w:space="0"/>
              <w:bottom w:val="single" w:color="auto" w:sz="4" w:space="0"/>
              <w:right w:val="single" w:color="auto" w:sz="4" w:space="0"/>
            </w:tcBorders>
            <w:vAlign w:val="bottom"/>
          </w:tcPr>
          <w:p w14:paraId="2407D4A6">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农、林、牧、渔</w:t>
            </w:r>
          </w:p>
        </w:tc>
        <w:tc>
          <w:tcPr>
            <w:tcW w:w="1044" w:type="pct"/>
            <w:tcBorders>
              <w:top w:val="nil"/>
              <w:left w:val="nil"/>
              <w:bottom w:val="single" w:color="auto" w:sz="4" w:space="0"/>
              <w:right w:val="single" w:color="auto" w:sz="4" w:space="0"/>
            </w:tcBorders>
            <w:vAlign w:val="center"/>
          </w:tcPr>
          <w:p w14:paraId="3C23822E">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447" w:type="pct"/>
            <w:tcBorders>
              <w:top w:val="nil"/>
              <w:left w:val="nil"/>
              <w:bottom w:val="single" w:color="auto" w:sz="4" w:space="0"/>
              <w:right w:val="single" w:color="auto" w:sz="4" w:space="0"/>
            </w:tcBorders>
            <w:vAlign w:val="center"/>
          </w:tcPr>
          <w:p w14:paraId="1ED5ED1D">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970" w:type="pct"/>
            <w:tcBorders>
              <w:top w:val="nil"/>
              <w:left w:val="nil"/>
              <w:bottom w:val="single" w:color="auto" w:sz="4" w:space="0"/>
              <w:right w:val="single" w:color="auto" w:sz="4" w:space="0"/>
            </w:tcBorders>
            <w:vAlign w:val="center"/>
          </w:tcPr>
          <w:p w14:paraId="5CB20624">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500≤Y＜20000</w:t>
            </w:r>
          </w:p>
        </w:tc>
        <w:tc>
          <w:tcPr>
            <w:tcW w:w="895" w:type="pct"/>
            <w:tcBorders>
              <w:top w:val="nil"/>
              <w:left w:val="nil"/>
              <w:bottom w:val="single" w:color="auto" w:sz="4" w:space="0"/>
              <w:right w:val="single" w:color="auto" w:sz="4" w:space="0"/>
            </w:tcBorders>
            <w:vAlign w:val="center"/>
          </w:tcPr>
          <w:p w14:paraId="7667B54C">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50≤Y＜500</w:t>
            </w:r>
          </w:p>
        </w:tc>
        <w:tc>
          <w:tcPr>
            <w:tcW w:w="596" w:type="pct"/>
            <w:tcBorders>
              <w:top w:val="nil"/>
              <w:left w:val="nil"/>
              <w:bottom w:val="single" w:color="auto" w:sz="4" w:space="0"/>
              <w:right w:val="single" w:color="auto" w:sz="4" w:space="0"/>
            </w:tcBorders>
            <w:vAlign w:val="center"/>
          </w:tcPr>
          <w:p w14:paraId="12420700">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w:t>
            </w:r>
          </w:p>
        </w:tc>
      </w:tr>
      <w:tr w14:paraId="48820157">
        <w:tblPrEx>
          <w:tblCellMar>
            <w:top w:w="0" w:type="dxa"/>
            <w:left w:w="108" w:type="dxa"/>
            <w:bottom w:w="0" w:type="dxa"/>
            <w:right w:w="108" w:type="dxa"/>
          </w:tblCellMar>
        </w:tblPrEx>
        <w:trPr>
          <w:trHeight w:val="225" w:hRule="atLeast"/>
        </w:trPr>
        <w:tc>
          <w:tcPr>
            <w:tcW w:w="1044" w:type="pct"/>
            <w:vMerge w:val="restart"/>
            <w:tcBorders>
              <w:top w:val="nil"/>
              <w:left w:val="single" w:color="auto" w:sz="4" w:space="0"/>
              <w:bottom w:val="single" w:color="auto" w:sz="4" w:space="0"/>
              <w:right w:val="single" w:color="auto" w:sz="4" w:space="0"/>
            </w:tcBorders>
            <w:vAlign w:val="bottom"/>
          </w:tcPr>
          <w:p w14:paraId="06D95021">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工业</w:t>
            </w:r>
          </w:p>
        </w:tc>
        <w:tc>
          <w:tcPr>
            <w:tcW w:w="1044" w:type="pct"/>
            <w:tcBorders>
              <w:top w:val="nil"/>
              <w:left w:val="nil"/>
              <w:bottom w:val="single" w:color="auto" w:sz="4" w:space="0"/>
              <w:right w:val="single" w:color="auto" w:sz="4" w:space="0"/>
            </w:tcBorders>
            <w:vAlign w:val="center"/>
          </w:tcPr>
          <w:p w14:paraId="4076A0CC">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447" w:type="pct"/>
            <w:tcBorders>
              <w:top w:val="nil"/>
              <w:left w:val="nil"/>
              <w:bottom w:val="single" w:color="auto" w:sz="4" w:space="0"/>
              <w:right w:val="single" w:color="auto" w:sz="4" w:space="0"/>
            </w:tcBorders>
            <w:vAlign w:val="center"/>
          </w:tcPr>
          <w:p w14:paraId="5FD48768">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970" w:type="pct"/>
            <w:tcBorders>
              <w:top w:val="nil"/>
              <w:left w:val="nil"/>
              <w:bottom w:val="single" w:color="auto" w:sz="4" w:space="0"/>
              <w:right w:val="single" w:color="auto" w:sz="4" w:space="0"/>
            </w:tcBorders>
            <w:vAlign w:val="center"/>
          </w:tcPr>
          <w:p w14:paraId="20A82D2B">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895" w:type="pct"/>
            <w:tcBorders>
              <w:top w:val="nil"/>
              <w:left w:val="nil"/>
              <w:bottom w:val="single" w:color="auto" w:sz="4" w:space="0"/>
              <w:right w:val="single" w:color="auto" w:sz="4" w:space="0"/>
            </w:tcBorders>
            <w:vAlign w:val="center"/>
          </w:tcPr>
          <w:p w14:paraId="3DE2ADC5">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596" w:type="pct"/>
            <w:tcBorders>
              <w:top w:val="nil"/>
              <w:left w:val="nil"/>
              <w:bottom w:val="single" w:color="auto" w:sz="4" w:space="0"/>
              <w:right w:val="single" w:color="auto" w:sz="4" w:space="0"/>
            </w:tcBorders>
            <w:vAlign w:val="center"/>
          </w:tcPr>
          <w:p w14:paraId="6EDC7157">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23A09FE1">
        <w:tblPrEx>
          <w:tblCellMar>
            <w:top w:w="0" w:type="dxa"/>
            <w:left w:w="108" w:type="dxa"/>
            <w:bottom w:w="0" w:type="dxa"/>
            <w:right w:w="108" w:type="dxa"/>
          </w:tblCellMar>
        </w:tblPrEx>
        <w:trPr>
          <w:trHeight w:val="225" w:hRule="atLeast"/>
        </w:trPr>
        <w:tc>
          <w:tcPr>
            <w:tcW w:w="1044" w:type="pct"/>
            <w:vMerge w:val="continue"/>
            <w:tcBorders>
              <w:top w:val="nil"/>
              <w:left w:val="single" w:color="auto" w:sz="4" w:space="0"/>
              <w:bottom w:val="single" w:color="auto" w:sz="4" w:space="0"/>
              <w:right w:val="single" w:color="auto" w:sz="4" w:space="0"/>
            </w:tcBorders>
            <w:vAlign w:val="center"/>
          </w:tcPr>
          <w:p w14:paraId="3586EB19">
            <w:pPr>
              <w:keepNext w:val="0"/>
              <w:keepLines w:val="0"/>
              <w:widowControl/>
              <w:suppressLineNumbers w:val="0"/>
              <w:spacing w:before="0" w:beforeAutospacing="0" w:after="0" w:afterAutospacing="0"/>
              <w:ind w:left="0" w:right="0"/>
              <w:jc w:val="left"/>
              <w:rPr>
                <w:rFonts w:hint="eastAsia" w:ascii="仿宋_GB2312" w:hAnsi="仿宋" w:eastAsia="仿宋_GB2312" w:cs="宋体"/>
                <w:b/>
                <w:bCs/>
                <w:color w:val="auto"/>
                <w:kern w:val="0"/>
                <w:sz w:val="18"/>
                <w:szCs w:val="18"/>
                <w:highlight w:val="none"/>
              </w:rPr>
            </w:pPr>
          </w:p>
        </w:tc>
        <w:tc>
          <w:tcPr>
            <w:tcW w:w="1044" w:type="pct"/>
            <w:tcBorders>
              <w:top w:val="nil"/>
              <w:left w:val="nil"/>
              <w:bottom w:val="single" w:color="auto" w:sz="4" w:space="0"/>
              <w:right w:val="single" w:color="auto" w:sz="4" w:space="0"/>
            </w:tcBorders>
            <w:vAlign w:val="center"/>
          </w:tcPr>
          <w:p w14:paraId="467E89F8">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447" w:type="pct"/>
            <w:tcBorders>
              <w:top w:val="nil"/>
              <w:left w:val="nil"/>
              <w:bottom w:val="single" w:color="auto" w:sz="4" w:space="0"/>
              <w:right w:val="single" w:color="auto" w:sz="4" w:space="0"/>
            </w:tcBorders>
            <w:vAlign w:val="center"/>
          </w:tcPr>
          <w:p w14:paraId="360C71A1">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970" w:type="pct"/>
            <w:tcBorders>
              <w:top w:val="nil"/>
              <w:left w:val="nil"/>
              <w:bottom w:val="single" w:color="auto" w:sz="4" w:space="0"/>
              <w:right w:val="single" w:color="auto" w:sz="4" w:space="0"/>
            </w:tcBorders>
            <w:vAlign w:val="center"/>
          </w:tcPr>
          <w:p w14:paraId="15482FDC">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2000≤Y＜40000</w:t>
            </w:r>
          </w:p>
        </w:tc>
        <w:tc>
          <w:tcPr>
            <w:tcW w:w="895" w:type="pct"/>
            <w:tcBorders>
              <w:top w:val="nil"/>
              <w:left w:val="nil"/>
              <w:bottom w:val="single" w:color="auto" w:sz="4" w:space="0"/>
              <w:right w:val="single" w:color="auto" w:sz="4" w:space="0"/>
            </w:tcBorders>
            <w:vAlign w:val="center"/>
          </w:tcPr>
          <w:p w14:paraId="26B91D11">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300≤Y＜2000</w:t>
            </w:r>
          </w:p>
        </w:tc>
        <w:tc>
          <w:tcPr>
            <w:tcW w:w="596" w:type="pct"/>
            <w:tcBorders>
              <w:top w:val="nil"/>
              <w:left w:val="nil"/>
              <w:bottom w:val="single" w:color="auto" w:sz="4" w:space="0"/>
              <w:right w:val="single" w:color="auto" w:sz="4" w:space="0"/>
            </w:tcBorders>
            <w:vAlign w:val="center"/>
          </w:tcPr>
          <w:p w14:paraId="762B8FEA">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Y＜300</w:t>
            </w:r>
          </w:p>
        </w:tc>
      </w:tr>
      <w:tr w14:paraId="7DA412D0">
        <w:tblPrEx>
          <w:tblCellMar>
            <w:top w:w="0" w:type="dxa"/>
            <w:left w:w="108" w:type="dxa"/>
            <w:bottom w:w="0" w:type="dxa"/>
            <w:right w:w="108" w:type="dxa"/>
          </w:tblCellMar>
        </w:tblPrEx>
        <w:trPr>
          <w:trHeight w:val="225" w:hRule="atLeast"/>
        </w:trPr>
        <w:tc>
          <w:tcPr>
            <w:tcW w:w="1044" w:type="pct"/>
            <w:vMerge w:val="restart"/>
            <w:tcBorders>
              <w:top w:val="nil"/>
              <w:left w:val="single" w:color="auto" w:sz="4" w:space="0"/>
              <w:bottom w:val="single" w:color="auto" w:sz="4" w:space="0"/>
              <w:right w:val="single" w:color="auto" w:sz="4" w:space="0"/>
            </w:tcBorders>
            <w:vAlign w:val="bottom"/>
          </w:tcPr>
          <w:p w14:paraId="38210D4A">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建筑业</w:t>
            </w:r>
          </w:p>
        </w:tc>
        <w:tc>
          <w:tcPr>
            <w:tcW w:w="1044" w:type="pct"/>
            <w:tcBorders>
              <w:top w:val="nil"/>
              <w:left w:val="nil"/>
              <w:bottom w:val="single" w:color="auto" w:sz="4" w:space="0"/>
              <w:right w:val="single" w:color="auto" w:sz="4" w:space="0"/>
            </w:tcBorders>
            <w:vAlign w:val="center"/>
          </w:tcPr>
          <w:p w14:paraId="0CF3FF8C">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447" w:type="pct"/>
            <w:tcBorders>
              <w:top w:val="nil"/>
              <w:left w:val="nil"/>
              <w:bottom w:val="single" w:color="auto" w:sz="4" w:space="0"/>
              <w:right w:val="single" w:color="auto" w:sz="4" w:space="0"/>
            </w:tcBorders>
            <w:vAlign w:val="center"/>
          </w:tcPr>
          <w:p w14:paraId="5F0DDE0B">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970" w:type="pct"/>
            <w:tcBorders>
              <w:top w:val="nil"/>
              <w:left w:val="nil"/>
              <w:bottom w:val="single" w:color="auto" w:sz="4" w:space="0"/>
              <w:right w:val="single" w:color="auto" w:sz="4" w:space="0"/>
            </w:tcBorders>
            <w:vAlign w:val="center"/>
          </w:tcPr>
          <w:p w14:paraId="7628D5FC">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6000≤Y＜80000</w:t>
            </w:r>
          </w:p>
        </w:tc>
        <w:tc>
          <w:tcPr>
            <w:tcW w:w="895" w:type="pct"/>
            <w:tcBorders>
              <w:top w:val="nil"/>
              <w:left w:val="nil"/>
              <w:bottom w:val="single" w:color="auto" w:sz="4" w:space="0"/>
              <w:right w:val="single" w:color="auto" w:sz="4" w:space="0"/>
            </w:tcBorders>
            <w:vAlign w:val="center"/>
          </w:tcPr>
          <w:p w14:paraId="741241F3">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300≤Y＜6000</w:t>
            </w:r>
          </w:p>
        </w:tc>
        <w:tc>
          <w:tcPr>
            <w:tcW w:w="596" w:type="pct"/>
            <w:tcBorders>
              <w:top w:val="nil"/>
              <w:left w:val="nil"/>
              <w:bottom w:val="single" w:color="auto" w:sz="4" w:space="0"/>
              <w:right w:val="single" w:color="auto" w:sz="4" w:space="0"/>
            </w:tcBorders>
            <w:vAlign w:val="center"/>
          </w:tcPr>
          <w:p w14:paraId="25B75B0C">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Y＜300</w:t>
            </w:r>
          </w:p>
        </w:tc>
      </w:tr>
      <w:tr w14:paraId="4DDB86CD">
        <w:tblPrEx>
          <w:tblCellMar>
            <w:top w:w="0" w:type="dxa"/>
            <w:left w:w="108" w:type="dxa"/>
            <w:bottom w:w="0" w:type="dxa"/>
            <w:right w:w="108" w:type="dxa"/>
          </w:tblCellMar>
        </w:tblPrEx>
        <w:trPr>
          <w:trHeight w:val="225" w:hRule="atLeast"/>
        </w:trPr>
        <w:tc>
          <w:tcPr>
            <w:tcW w:w="1044" w:type="pct"/>
            <w:vMerge w:val="continue"/>
            <w:tcBorders>
              <w:top w:val="nil"/>
              <w:left w:val="single" w:color="auto" w:sz="4" w:space="0"/>
              <w:bottom w:val="single" w:color="auto" w:sz="4" w:space="0"/>
              <w:right w:val="single" w:color="auto" w:sz="4" w:space="0"/>
            </w:tcBorders>
            <w:vAlign w:val="center"/>
          </w:tcPr>
          <w:p w14:paraId="6BC8B90E">
            <w:pPr>
              <w:keepNext w:val="0"/>
              <w:keepLines w:val="0"/>
              <w:widowControl/>
              <w:suppressLineNumbers w:val="0"/>
              <w:spacing w:before="0" w:beforeAutospacing="0" w:after="0" w:afterAutospacing="0"/>
              <w:ind w:left="0" w:right="0"/>
              <w:jc w:val="left"/>
              <w:rPr>
                <w:rFonts w:hint="eastAsia" w:ascii="仿宋_GB2312" w:hAnsi="仿宋" w:eastAsia="仿宋_GB2312" w:cs="宋体"/>
                <w:b/>
                <w:bCs/>
                <w:color w:val="auto"/>
                <w:kern w:val="0"/>
                <w:sz w:val="18"/>
                <w:szCs w:val="18"/>
                <w:highlight w:val="none"/>
              </w:rPr>
            </w:pPr>
          </w:p>
        </w:tc>
        <w:tc>
          <w:tcPr>
            <w:tcW w:w="1044" w:type="pct"/>
            <w:tcBorders>
              <w:top w:val="nil"/>
              <w:left w:val="nil"/>
              <w:bottom w:val="single" w:color="auto" w:sz="4" w:space="0"/>
              <w:right w:val="single" w:color="auto" w:sz="4" w:space="0"/>
            </w:tcBorders>
            <w:vAlign w:val="center"/>
          </w:tcPr>
          <w:p w14:paraId="7D1B6D26">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447" w:type="pct"/>
            <w:tcBorders>
              <w:top w:val="nil"/>
              <w:left w:val="nil"/>
              <w:bottom w:val="single" w:color="auto" w:sz="4" w:space="0"/>
              <w:right w:val="single" w:color="auto" w:sz="4" w:space="0"/>
            </w:tcBorders>
            <w:vAlign w:val="center"/>
          </w:tcPr>
          <w:p w14:paraId="79F4C93A">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970" w:type="pct"/>
            <w:tcBorders>
              <w:top w:val="nil"/>
              <w:left w:val="nil"/>
              <w:bottom w:val="single" w:color="auto" w:sz="4" w:space="0"/>
              <w:right w:val="single" w:color="auto" w:sz="4" w:space="0"/>
            </w:tcBorders>
            <w:vAlign w:val="center"/>
          </w:tcPr>
          <w:p w14:paraId="59972D94">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5000≤Z＜80000</w:t>
            </w:r>
          </w:p>
        </w:tc>
        <w:tc>
          <w:tcPr>
            <w:tcW w:w="895" w:type="pct"/>
            <w:tcBorders>
              <w:top w:val="nil"/>
              <w:left w:val="nil"/>
              <w:bottom w:val="single" w:color="auto" w:sz="4" w:space="0"/>
              <w:right w:val="single" w:color="auto" w:sz="4" w:space="0"/>
            </w:tcBorders>
            <w:vAlign w:val="center"/>
          </w:tcPr>
          <w:p w14:paraId="12965BD4">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300≤Z＜5000</w:t>
            </w:r>
          </w:p>
        </w:tc>
        <w:tc>
          <w:tcPr>
            <w:tcW w:w="596" w:type="pct"/>
            <w:tcBorders>
              <w:top w:val="nil"/>
              <w:left w:val="nil"/>
              <w:bottom w:val="single" w:color="auto" w:sz="4" w:space="0"/>
              <w:right w:val="single" w:color="auto" w:sz="4" w:space="0"/>
            </w:tcBorders>
            <w:vAlign w:val="center"/>
          </w:tcPr>
          <w:p w14:paraId="610B3C4E">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Z＜300</w:t>
            </w:r>
          </w:p>
        </w:tc>
      </w:tr>
      <w:tr w14:paraId="529F5C7C">
        <w:tblPrEx>
          <w:tblCellMar>
            <w:top w:w="0" w:type="dxa"/>
            <w:left w:w="108" w:type="dxa"/>
            <w:bottom w:w="0" w:type="dxa"/>
            <w:right w:w="108" w:type="dxa"/>
          </w:tblCellMar>
        </w:tblPrEx>
        <w:trPr>
          <w:trHeight w:val="225" w:hRule="atLeast"/>
        </w:trPr>
        <w:tc>
          <w:tcPr>
            <w:tcW w:w="1044" w:type="pct"/>
            <w:vMerge w:val="restart"/>
            <w:tcBorders>
              <w:top w:val="nil"/>
              <w:left w:val="single" w:color="auto" w:sz="4" w:space="0"/>
              <w:bottom w:val="single" w:color="auto" w:sz="4" w:space="0"/>
              <w:right w:val="single" w:color="auto" w:sz="4" w:space="0"/>
            </w:tcBorders>
            <w:vAlign w:val="bottom"/>
          </w:tcPr>
          <w:p w14:paraId="47756306">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批发业</w:t>
            </w:r>
          </w:p>
        </w:tc>
        <w:tc>
          <w:tcPr>
            <w:tcW w:w="1044" w:type="pct"/>
            <w:tcBorders>
              <w:top w:val="nil"/>
              <w:left w:val="nil"/>
              <w:bottom w:val="single" w:color="auto" w:sz="4" w:space="0"/>
              <w:right w:val="single" w:color="auto" w:sz="4" w:space="0"/>
            </w:tcBorders>
            <w:vAlign w:val="center"/>
          </w:tcPr>
          <w:p w14:paraId="3369FAA3">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447" w:type="pct"/>
            <w:tcBorders>
              <w:top w:val="nil"/>
              <w:left w:val="nil"/>
              <w:bottom w:val="single" w:color="auto" w:sz="4" w:space="0"/>
              <w:right w:val="single" w:color="auto" w:sz="4" w:space="0"/>
            </w:tcBorders>
            <w:vAlign w:val="center"/>
          </w:tcPr>
          <w:p w14:paraId="7B44530B">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970" w:type="pct"/>
            <w:tcBorders>
              <w:top w:val="nil"/>
              <w:left w:val="nil"/>
              <w:bottom w:val="single" w:color="auto" w:sz="4" w:space="0"/>
              <w:right w:val="single" w:color="auto" w:sz="4" w:space="0"/>
            </w:tcBorders>
            <w:vAlign w:val="center"/>
          </w:tcPr>
          <w:p w14:paraId="3DE63ECB">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20≤X＜200</w:t>
            </w:r>
          </w:p>
        </w:tc>
        <w:tc>
          <w:tcPr>
            <w:tcW w:w="895" w:type="pct"/>
            <w:tcBorders>
              <w:top w:val="nil"/>
              <w:left w:val="nil"/>
              <w:bottom w:val="single" w:color="auto" w:sz="4" w:space="0"/>
              <w:right w:val="single" w:color="auto" w:sz="4" w:space="0"/>
            </w:tcBorders>
            <w:vAlign w:val="center"/>
          </w:tcPr>
          <w:p w14:paraId="6DFD10D1">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5≤X＜20</w:t>
            </w:r>
          </w:p>
        </w:tc>
        <w:tc>
          <w:tcPr>
            <w:tcW w:w="596" w:type="pct"/>
            <w:tcBorders>
              <w:top w:val="nil"/>
              <w:left w:val="nil"/>
              <w:bottom w:val="single" w:color="auto" w:sz="4" w:space="0"/>
              <w:right w:val="single" w:color="auto" w:sz="4" w:space="0"/>
            </w:tcBorders>
            <w:vAlign w:val="center"/>
          </w:tcPr>
          <w:p w14:paraId="16001B1B">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X＜5</w:t>
            </w:r>
          </w:p>
        </w:tc>
      </w:tr>
      <w:tr w14:paraId="419B01D9">
        <w:tblPrEx>
          <w:tblCellMar>
            <w:top w:w="0" w:type="dxa"/>
            <w:left w:w="108" w:type="dxa"/>
            <w:bottom w:w="0" w:type="dxa"/>
            <w:right w:w="108" w:type="dxa"/>
          </w:tblCellMar>
        </w:tblPrEx>
        <w:trPr>
          <w:trHeight w:val="225" w:hRule="atLeast"/>
        </w:trPr>
        <w:tc>
          <w:tcPr>
            <w:tcW w:w="1044" w:type="pct"/>
            <w:vMerge w:val="continue"/>
            <w:tcBorders>
              <w:top w:val="nil"/>
              <w:left w:val="single" w:color="auto" w:sz="4" w:space="0"/>
              <w:bottom w:val="single" w:color="auto" w:sz="4" w:space="0"/>
              <w:right w:val="single" w:color="auto" w:sz="4" w:space="0"/>
            </w:tcBorders>
            <w:vAlign w:val="center"/>
          </w:tcPr>
          <w:p w14:paraId="3040DA41">
            <w:pPr>
              <w:keepNext w:val="0"/>
              <w:keepLines w:val="0"/>
              <w:widowControl/>
              <w:suppressLineNumbers w:val="0"/>
              <w:spacing w:before="0" w:beforeAutospacing="0" w:after="0" w:afterAutospacing="0"/>
              <w:ind w:left="0" w:right="0"/>
              <w:jc w:val="left"/>
              <w:rPr>
                <w:rFonts w:hint="eastAsia" w:ascii="仿宋_GB2312" w:hAnsi="仿宋" w:eastAsia="仿宋_GB2312" w:cs="宋体"/>
                <w:b/>
                <w:bCs/>
                <w:color w:val="auto"/>
                <w:kern w:val="0"/>
                <w:sz w:val="18"/>
                <w:szCs w:val="18"/>
                <w:highlight w:val="none"/>
              </w:rPr>
            </w:pPr>
          </w:p>
        </w:tc>
        <w:tc>
          <w:tcPr>
            <w:tcW w:w="1044" w:type="pct"/>
            <w:tcBorders>
              <w:top w:val="nil"/>
              <w:left w:val="nil"/>
              <w:bottom w:val="single" w:color="auto" w:sz="4" w:space="0"/>
              <w:right w:val="single" w:color="auto" w:sz="4" w:space="0"/>
            </w:tcBorders>
            <w:vAlign w:val="center"/>
          </w:tcPr>
          <w:p w14:paraId="7A70F9E1">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447" w:type="pct"/>
            <w:tcBorders>
              <w:top w:val="nil"/>
              <w:left w:val="nil"/>
              <w:bottom w:val="single" w:color="auto" w:sz="4" w:space="0"/>
              <w:right w:val="single" w:color="auto" w:sz="4" w:space="0"/>
            </w:tcBorders>
            <w:vAlign w:val="center"/>
          </w:tcPr>
          <w:p w14:paraId="73ADA21B">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970" w:type="pct"/>
            <w:tcBorders>
              <w:top w:val="nil"/>
              <w:left w:val="nil"/>
              <w:bottom w:val="single" w:color="auto" w:sz="4" w:space="0"/>
              <w:right w:val="single" w:color="auto" w:sz="4" w:space="0"/>
            </w:tcBorders>
            <w:vAlign w:val="center"/>
          </w:tcPr>
          <w:p w14:paraId="02613C51">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5000≤Y＜40000</w:t>
            </w:r>
          </w:p>
        </w:tc>
        <w:tc>
          <w:tcPr>
            <w:tcW w:w="895" w:type="pct"/>
            <w:tcBorders>
              <w:top w:val="nil"/>
              <w:left w:val="nil"/>
              <w:bottom w:val="single" w:color="auto" w:sz="4" w:space="0"/>
              <w:right w:val="single" w:color="auto" w:sz="4" w:space="0"/>
            </w:tcBorders>
            <w:vAlign w:val="center"/>
          </w:tcPr>
          <w:p w14:paraId="4BCF4818">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1000≤Y＜5000</w:t>
            </w:r>
          </w:p>
        </w:tc>
        <w:tc>
          <w:tcPr>
            <w:tcW w:w="596" w:type="pct"/>
            <w:tcBorders>
              <w:top w:val="nil"/>
              <w:left w:val="nil"/>
              <w:bottom w:val="single" w:color="auto" w:sz="4" w:space="0"/>
              <w:right w:val="single" w:color="auto" w:sz="4" w:space="0"/>
            </w:tcBorders>
            <w:vAlign w:val="center"/>
          </w:tcPr>
          <w:p w14:paraId="41F1DAF5">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Y＜1000</w:t>
            </w:r>
          </w:p>
        </w:tc>
      </w:tr>
      <w:tr w14:paraId="5DC94238">
        <w:tblPrEx>
          <w:tblCellMar>
            <w:top w:w="0" w:type="dxa"/>
            <w:left w:w="108" w:type="dxa"/>
            <w:bottom w:w="0" w:type="dxa"/>
            <w:right w:w="108" w:type="dxa"/>
          </w:tblCellMar>
        </w:tblPrEx>
        <w:trPr>
          <w:trHeight w:val="225" w:hRule="atLeast"/>
        </w:trPr>
        <w:tc>
          <w:tcPr>
            <w:tcW w:w="1044" w:type="pct"/>
            <w:vMerge w:val="restart"/>
            <w:tcBorders>
              <w:top w:val="nil"/>
              <w:left w:val="single" w:color="auto" w:sz="4" w:space="0"/>
              <w:bottom w:val="single" w:color="auto" w:sz="4" w:space="0"/>
              <w:right w:val="single" w:color="auto" w:sz="4" w:space="0"/>
            </w:tcBorders>
            <w:vAlign w:val="bottom"/>
          </w:tcPr>
          <w:p w14:paraId="5861CB81">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零售业</w:t>
            </w:r>
          </w:p>
        </w:tc>
        <w:tc>
          <w:tcPr>
            <w:tcW w:w="1044" w:type="pct"/>
            <w:tcBorders>
              <w:top w:val="nil"/>
              <w:left w:val="nil"/>
              <w:bottom w:val="single" w:color="auto" w:sz="4" w:space="0"/>
              <w:right w:val="single" w:color="auto" w:sz="4" w:space="0"/>
            </w:tcBorders>
            <w:vAlign w:val="center"/>
          </w:tcPr>
          <w:p w14:paraId="0EC342D6">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447" w:type="pct"/>
            <w:tcBorders>
              <w:top w:val="nil"/>
              <w:left w:val="nil"/>
              <w:bottom w:val="single" w:color="auto" w:sz="4" w:space="0"/>
              <w:right w:val="single" w:color="auto" w:sz="4" w:space="0"/>
            </w:tcBorders>
            <w:vAlign w:val="center"/>
          </w:tcPr>
          <w:p w14:paraId="23F37051">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970" w:type="pct"/>
            <w:tcBorders>
              <w:top w:val="nil"/>
              <w:left w:val="nil"/>
              <w:bottom w:val="single" w:color="auto" w:sz="4" w:space="0"/>
              <w:right w:val="single" w:color="auto" w:sz="4" w:space="0"/>
            </w:tcBorders>
            <w:vAlign w:val="center"/>
          </w:tcPr>
          <w:p w14:paraId="6D8AB0FA">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50≤X＜300</w:t>
            </w:r>
          </w:p>
        </w:tc>
        <w:tc>
          <w:tcPr>
            <w:tcW w:w="895" w:type="pct"/>
            <w:tcBorders>
              <w:top w:val="nil"/>
              <w:left w:val="nil"/>
              <w:bottom w:val="single" w:color="auto" w:sz="4" w:space="0"/>
              <w:right w:val="single" w:color="auto" w:sz="4" w:space="0"/>
            </w:tcBorders>
            <w:vAlign w:val="center"/>
          </w:tcPr>
          <w:p w14:paraId="26EFB1DC">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10≤X＜50</w:t>
            </w:r>
          </w:p>
        </w:tc>
        <w:tc>
          <w:tcPr>
            <w:tcW w:w="596" w:type="pct"/>
            <w:tcBorders>
              <w:top w:val="nil"/>
              <w:left w:val="nil"/>
              <w:bottom w:val="single" w:color="auto" w:sz="4" w:space="0"/>
              <w:right w:val="single" w:color="auto" w:sz="4" w:space="0"/>
            </w:tcBorders>
            <w:vAlign w:val="center"/>
          </w:tcPr>
          <w:p w14:paraId="54F47D45">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347EB235">
        <w:tblPrEx>
          <w:tblCellMar>
            <w:top w:w="0" w:type="dxa"/>
            <w:left w:w="108" w:type="dxa"/>
            <w:bottom w:w="0" w:type="dxa"/>
            <w:right w:w="108" w:type="dxa"/>
          </w:tblCellMar>
        </w:tblPrEx>
        <w:trPr>
          <w:trHeight w:val="225" w:hRule="atLeast"/>
        </w:trPr>
        <w:tc>
          <w:tcPr>
            <w:tcW w:w="1044" w:type="pct"/>
            <w:vMerge w:val="continue"/>
            <w:tcBorders>
              <w:top w:val="nil"/>
              <w:left w:val="single" w:color="auto" w:sz="4" w:space="0"/>
              <w:bottom w:val="single" w:color="auto" w:sz="4" w:space="0"/>
              <w:right w:val="single" w:color="auto" w:sz="4" w:space="0"/>
            </w:tcBorders>
            <w:vAlign w:val="center"/>
          </w:tcPr>
          <w:p w14:paraId="22CE0223">
            <w:pPr>
              <w:keepNext w:val="0"/>
              <w:keepLines w:val="0"/>
              <w:widowControl/>
              <w:suppressLineNumbers w:val="0"/>
              <w:spacing w:before="0" w:beforeAutospacing="0" w:after="0" w:afterAutospacing="0"/>
              <w:ind w:left="0" w:right="0"/>
              <w:jc w:val="left"/>
              <w:rPr>
                <w:rFonts w:hint="eastAsia" w:ascii="仿宋_GB2312" w:hAnsi="仿宋" w:eastAsia="仿宋_GB2312" w:cs="宋体"/>
                <w:b/>
                <w:bCs/>
                <w:color w:val="auto"/>
                <w:kern w:val="0"/>
                <w:sz w:val="18"/>
                <w:szCs w:val="18"/>
                <w:highlight w:val="none"/>
              </w:rPr>
            </w:pPr>
          </w:p>
        </w:tc>
        <w:tc>
          <w:tcPr>
            <w:tcW w:w="1044" w:type="pct"/>
            <w:tcBorders>
              <w:top w:val="nil"/>
              <w:left w:val="nil"/>
              <w:bottom w:val="single" w:color="auto" w:sz="4" w:space="0"/>
              <w:right w:val="single" w:color="auto" w:sz="4" w:space="0"/>
            </w:tcBorders>
            <w:vAlign w:val="center"/>
          </w:tcPr>
          <w:p w14:paraId="66AC61A8">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447" w:type="pct"/>
            <w:tcBorders>
              <w:top w:val="nil"/>
              <w:left w:val="nil"/>
              <w:bottom w:val="single" w:color="auto" w:sz="4" w:space="0"/>
              <w:right w:val="single" w:color="auto" w:sz="4" w:space="0"/>
            </w:tcBorders>
            <w:vAlign w:val="center"/>
          </w:tcPr>
          <w:p w14:paraId="23B3D7AC">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970" w:type="pct"/>
            <w:tcBorders>
              <w:top w:val="nil"/>
              <w:left w:val="nil"/>
              <w:bottom w:val="single" w:color="auto" w:sz="4" w:space="0"/>
              <w:right w:val="single" w:color="auto" w:sz="4" w:space="0"/>
            </w:tcBorders>
            <w:vAlign w:val="center"/>
          </w:tcPr>
          <w:p w14:paraId="51429944">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500≤Y＜20000</w:t>
            </w:r>
          </w:p>
        </w:tc>
        <w:tc>
          <w:tcPr>
            <w:tcW w:w="895" w:type="pct"/>
            <w:tcBorders>
              <w:top w:val="nil"/>
              <w:left w:val="nil"/>
              <w:bottom w:val="single" w:color="auto" w:sz="4" w:space="0"/>
              <w:right w:val="single" w:color="auto" w:sz="4" w:space="0"/>
            </w:tcBorders>
            <w:vAlign w:val="center"/>
          </w:tcPr>
          <w:p w14:paraId="3E795F39">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100≤Y＜500</w:t>
            </w:r>
          </w:p>
        </w:tc>
        <w:tc>
          <w:tcPr>
            <w:tcW w:w="596" w:type="pct"/>
            <w:tcBorders>
              <w:top w:val="nil"/>
              <w:left w:val="nil"/>
              <w:bottom w:val="single" w:color="auto" w:sz="4" w:space="0"/>
              <w:right w:val="single" w:color="auto" w:sz="4" w:space="0"/>
            </w:tcBorders>
            <w:vAlign w:val="center"/>
          </w:tcPr>
          <w:p w14:paraId="7611C3DE">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656B83BB">
        <w:tblPrEx>
          <w:tblCellMar>
            <w:top w:w="0" w:type="dxa"/>
            <w:left w:w="108" w:type="dxa"/>
            <w:bottom w:w="0" w:type="dxa"/>
            <w:right w:w="108" w:type="dxa"/>
          </w:tblCellMar>
        </w:tblPrEx>
        <w:trPr>
          <w:trHeight w:val="225" w:hRule="atLeast"/>
        </w:trPr>
        <w:tc>
          <w:tcPr>
            <w:tcW w:w="1044" w:type="pct"/>
            <w:vMerge w:val="restart"/>
            <w:tcBorders>
              <w:top w:val="nil"/>
              <w:left w:val="single" w:color="auto" w:sz="4" w:space="0"/>
              <w:bottom w:val="single" w:color="auto" w:sz="4" w:space="0"/>
              <w:right w:val="single" w:color="auto" w:sz="4" w:space="0"/>
            </w:tcBorders>
            <w:vAlign w:val="bottom"/>
          </w:tcPr>
          <w:p w14:paraId="46F56ACE">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交通运输业</w:t>
            </w:r>
          </w:p>
        </w:tc>
        <w:tc>
          <w:tcPr>
            <w:tcW w:w="1044" w:type="pct"/>
            <w:tcBorders>
              <w:top w:val="nil"/>
              <w:left w:val="nil"/>
              <w:bottom w:val="single" w:color="auto" w:sz="4" w:space="0"/>
              <w:right w:val="single" w:color="auto" w:sz="4" w:space="0"/>
            </w:tcBorders>
            <w:vAlign w:val="center"/>
          </w:tcPr>
          <w:p w14:paraId="47236361">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447" w:type="pct"/>
            <w:tcBorders>
              <w:top w:val="nil"/>
              <w:left w:val="nil"/>
              <w:bottom w:val="single" w:color="auto" w:sz="4" w:space="0"/>
              <w:right w:val="single" w:color="auto" w:sz="4" w:space="0"/>
            </w:tcBorders>
            <w:vAlign w:val="center"/>
          </w:tcPr>
          <w:p w14:paraId="191466BB">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970" w:type="pct"/>
            <w:tcBorders>
              <w:top w:val="nil"/>
              <w:left w:val="nil"/>
              <w:bottom w:val="single" w:color="auto" w:sz="4" w:space="0"/>
              <w:right w:val="single" w:color="auto" w:sz="4" w:space="0"/>
            </w:tcBorders>
            <w:vAlign w:val="center"/>
          </w:tcPr>
          <w:p w14:paraId="34D6C63B">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895" w:type="pct"/>
            <w:tcBorders>
              <w:top w:val="nil"/>
              <w:left w:val="nil"/>
              <w:bottom w:val="single" w:color="auto" w:sz="4" w:space="0"/>
              <w:right w:val="single" w:color="auto" w:sz="4" w:space="0"/>
            </w:tcBorders>
            <w:vAlign w:val="center"/>
          </w:tcPr>
          <w:p w14:paraId="31401E19">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596" w:type="pct"/>
            <w:tcBorders>
              <w:top w:val="nil"/>
              <w:left w:val="nil"/>
              <w:bottom w:val="single" w:color="auto" w:sz="4" w:space="0"/>
              <w:right w:val="single" w:color="auto" w:sz="4" w:space="0"/>
            </w:tcBorders>
            <w:vAlign w:val="center"/>
          </w:tcPr>
          <w:p w14:paraId="7473D6CD">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4F58E1D6">
        <w:tblPrEx>
          <w:tblCellMar>
            <w:top w:w="0" w:type="dxa"/>
            <w:left w:w="108" w:type="dxa"/>
            <w:bottom w:w="0" w:type="dxa"/>
            <w:right w:w="108" w:type="dxa"/>
          </w:tblCellMar>
        </w:tblPrEx>
        <w:trPr>
          <w:trHeight w:val="225" w:hRule="atLeast"/>
        </w:trPr>
        <w:tc>
          <w:tcPr>
            <w:tcW w:w="1044" w:type="pct"/>
            <w:vMerge w:val="continue"/>
            <w:tcBorders>
              <w:top w:val="nil"/>
              <w:left w:val="single" w:color="auto" w:sz="4" w:space="0"/>
              <w:bottom w:val="single" w:color="auto" w:sz="4" w:space="0"/>
              <w:right w:val="single" w:color="auto" w:sz="4" w:space="0"/>
            </w:tcBorders>
            <w:vAlign w:val="center"/>
          </w:tcPr>
          <w:p w14:paraId="396DBDD0">
            <w:pPr>
              <w:keepNext w:val="0"/>
              <w:keepLines w:val="0"/>
              <w:widowControl/>
              <w:suppressLineNumbers w:val="0"/>
              <w:spacing w:before="0" w:beforeAutospacing="0" w:after="0" w:afterAutospacing="0"/>
              <w:ind w:left="0" w:right="0"/>
              <w:jc w:val="left"/>
              <w:rPr>
                <w:rFonts w:hint="eastAsia" w:ascii="仿宋_GB2312" w:hAnsi="仿宋" w:eastAsia="仿宋_GB2312" w:cs="宋体"/>
                <w:b/>
                <w:bCs/>
                <w:color w:val="auto"/>
                <w:kern w:val="0"/>
                <w:sz w:val="18"/>
                <w:szCs w:val="18"/>
                <w:highlight w:val="none"/>
              </w:rPr>
            </w:pPr>
          </w:p>
        </w:tc>
        <w:tc>
          <w:tcPr>
            <w:tcW w:w="1044" w:type="pct"/>
            <w:tcBorders>
              <w:top w:val="nil"/>
              <w:left w:val="nil"/>
              <w:bottom w:val="single" w:color="auto" w:sz="4" w:space="0"/>
              <w:right w:val="single" w:color="auto" w:sz="4" w:space="0"/>
            </w:tcBorders>
            <w:vAlign w:val="center"/>
          </w:tcPr>
          <w:p w14:paraId="6D67C76B">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447" w:type="pct"/>
            <w:tcBorders>
              <w:top w:val="nil"/>
              <w:left w:val="nil"/>
              <w:bottom w:val="single" w:color="auto" w:sz="4" w:space="0"/>
              <w:right w:val="single" w:color="auto" w:sz="4" w:space="0"/>
            </w:tcBorders>
            <w:vAlign w:val="center"/>
          </w:tcPr>
          <w:p w14:paraId="398A16F5">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970" w:type="pct"/>
            <w:tcBorders>
              <w:top w:val="nil"/>
              <w:left w:val="nil"/>
              <w:bottom w:val="single" w:color="auto" w:sz="4" w:space="0"/>
              <w:right w:val="single" w:color="auto" w:sz="4" w:space="0"/>
            </w:tcBorders>
            <w:vAlign w:val="center"/>
          </w:tcPr>
          <w:p w14:paraId="04135E30">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3000≤Y＜30000</w:t>
            </w:r>
          </w:p>
        </w:tc>
        <w:tc>
          <w:tcPr>
            <w:tcW w:w="895" w:type="pct"/>
            <w:tcBorders>
              <w:top w:val="nil"/>
              <w:left w:val="nil"/>
              <w:bottom w:val="single" w:color="auto" w:sz="4" w:space="0"/>
              <w:right w:val="single" w:color="auto" w:sz="4" w:space="0"/>
            </w:tcBorders>
            <w:vAlign w:val="center"/>
          </w:tcPr>
          <w:p w14:paraId="6B185028">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200≤Y＜3000</w:t>
            </w:r>
          </w:p>
        </w:tc>
        <w:tc>
          <w:tcPr>
            <w:tcW w:w="596" w:type="pct"/>
            <w:tcBorders>
              <w:top w:val="nil"/>
              <w:left w:val="nil"/>
              <w:bottom w:val="single" w:color="auto" w:sz="4" w:space="0"/>
              <w:right w:val="single" w:color="auto" w:sz="4" w:space="0"/>
            </w:tcBorders>
            <w:vAlign w:val="center"/>
          </w:tcPr>
          <w:p w14:paraId="3508FFFF">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Y＜200</w:t>
            </w:r>
          </w:p>
        </w:tc>
      </w:tr>
      <w:tr w14:paraId="5B0CC74B">
        <w:tblPrEx>
          <w:tblCellMar>
            <w:top w:w="0" w:type="dxa"/>
            <w:left w:w="108" w:type="dxa"/>
            <w:bottom w:w="0" w:type="dxa"/>
            <w:right w:w="108" w:type="dxa"/>
          </w:tblCellMar>
        </w:tblPrEx>
        <w:trPr>
          <w:trHeight w:val="225" w:hRule="atLeast"/>
        </w:trPr>
        <w:tc>
          <w:tcPr>
            <w:tcW w:w="1044" w:type="pct"/>
            <w:vMerge w:val="restart"/>
            <w:tcBorders>
              <w:top w:val="nil"/>
              <w:left w:val="single" w:color="auto" w:sz="4" w:space="0"/>
              <w:bottom w:val="single" w:color="auto" w:sz="4" w:space="0"/>
              <w:right w:val="single" w:color="auto" w:sz="4" w:space="0"/>
            </w:tcBorders>
            <w:vAlign w:val="bottom"/>
          </w:tcPr>
          <w:p w14:paraId="01B6DC51">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仓储业</w:t>
            </w:r>
          </w:p>
        </w:tc>
        <w:tc>
          <w:tcPr>
            <w:tcW w:w="1044" w:type="pct"/>
            <w:tcBorders>
              <w:top w:val="nil"/>
              <w:left w:val="nil"/>
              <w:bottom w:val="single" w:color="auto" w:sz="4" w:space="0"/>
              <w:right w:val="single" w:color="auto" w:sz="4" w:space="0"/>
            </w:tcBorders>
            <w:vAlign w:val="center"/>
          </w:tcPr>
          <w:p w14:paraId="18EFD5FB">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447" w:type="pct"/>
            <w:tcBorders>
              <w:top w:val="nil"/>
              <w:left w:val="nil"/>
              <w:bottom w:val="single" w:color="auto" w:sz="4" w:space="0"/>
              <w:right w:val="single" w:color="auto" w:sz="4" w:space="0"/>
            </w:tcBorders>
            <w:vAlign w:val="center"/>
          </w:tcPr>
          <w:p w14:paraId="462CADF6">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970" w:type="pct"/>
            <w:tcBorders>
              <w:top w:val="nil"/>
              <w:left w:val="nil"/>
              <w:bottom w:val="single" w:color="auto" w:sz="4" w:space="0"/>
              <w:right w:val="single" w:color="auto" w:sz="4" w:space="0"/>
            </w:tcBorders>
            <w:vAlign w:val="center"/>
          </w:tcPr>
          <w:p w14:paraId="4862ABAB">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100≤X＜200</w:t>
            </w:r>
          </w:p>
        </w:tc>
        <w:tc>
          <w:tcPr>
            <w:tcW w:w="895" w:type="pct"/>
            <w:tcBorders>
              <w:top w:val="nil"/>
              <w:left w:val="nil"/>
              <w:bottom w:val="single" w:color="auto" w:sz="4" w:space="0"/>
              <w:right w:val="single" w:color="auto" w:sz="4" w:space="0"/>
            </w:tcBorders>
            <w:vAlign w:val="center"/>
          </w:tcPr>
          <w:p w14:paraId="7C4625C7">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20≤X＜100</w:t>
            </w:r>
          </w:p>
        </w:tc>
        <w:tc>
          <w:tcPr>
            <w:tcW w:w="596" w:type="pct"/>
            <w:tcBorders>
              <w:top w:val="nil"/>
              <w:left w:val="nil"/>
              <w:bottom w:val="single" w:color="auto" w:sz="4" w:space="0"/>
              <w:right w:val="single" w:color="auto" w:sz="4" w:space="0"/>
            </w:tcBorders>
            <w:vAlign w:val="center"/>
          </w:tcPr>
          <w:p w14:paraId="3794B11F">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65518680">
        <w:tblPrEx>
          <w:tblCellMar>
            <w:top w:w="0" w:type="dxa"/>
            <w:left w:w="108" w:type="dxa"/>
            <w:bottom w:w="0" w:type="dxa"/>
            <w:right w:w="108" w:type="dxa"/>
          </w:tblCellMar>
        </w:tblPrEx>
        <w:trPr>
          <w:trHeight w:val="225" w:hRule="atLeast"/>
        </w:trPr>
        <w:tc>
          <w:tcPr>
            <w:tcW w:w="1044" w:type="pct"/>
            <w:vMerge w:val="continue"/>
            <w:tcBorders>
              <w:top w:val="nil"/>
              <w:left w:val="single" w:color="auto" w:sz="4" w:space="0"/>
              <w:bottom w:val="single" w:color="auto" w:sz="4" w:space="0"/>
              <w:right w:val="single" w:color="auto" w:sz="4" w:space="0"/>
            </w:tcBorders>
            <w:vAlign w:val="center"/>
          </w:tcPr>
          <w:p w14:paraId="39662A6C">
            <w:pPr>
              <w:keepNext w:val="0"/>
              <w:keepLines w:val="0"/>
              <w:widowControl/>
              <w:suppressLineNumbers w:val="0"/>
              <w:spacing w:before="0" w:beforeAutospacing="0" w:after="0" w:afterAutospacing="0"/>
              <w:ind w:left="0" w:right="0"/>
              <w:jc w:val="left"/>
              <w:rPr>
                <w:rFonts w:hint="eastAsia" w:ascii="仿宋_GB2312" w:hAnsi="仿宋" w:eastAsia="仿宋_GB2312" w:cs="宋体"/>
                <w:b/>
                <w:bCs/>
                <w:color w:val="auto"/>
                <w:kern w:val="0"/>
                <w:sz w:val="18"/>
                <w:szCs w:val="18"/>
                <w:highlight w:val="none"/>
              </w:rPr>
            </w:pPr>
          </w:p>
        </w:tc>
        <w:tc>
          <w:tcPr>
            <w:tcW w:w="1044" w:type="pct"/>
            <w:tcBorders>
              <w:top w:val="nil"/>
              <w:left w:val="nil"/>
              <w:bottom w:val="single" w:color="auto" w:sz="4" w:space="0"/>
              <w:right w:val="single" w:color="auto" w:sz="4" w:space="0"/>
            </w:tcBorders>
            <w:vAlign w:val="center"/>
          </w:tcPr>
          <w:p w14:paraId="40DC0D1C">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447" w:type="pct"/>
            <w:tcBorders>
              <w:top w:val="nil"/>
              <w:left w:val="nil"/>
              <w:bottom w:val="single" w:color="auto" w:sz="4" w:space="0"/>
              <w:right w:val="single" w:color="auto" w:sz="4" w:space="0"/>
            </w:tcBorders>
            <w:vAlign w:val="center"/>
          </w:tcPr>
          <w:p w14:paraId="6ABC7751">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970" w:type="pct"/>
            <w:tcBorders>
              <w:top w:val="nil"/>
              <w:left w:val="nil"/>
              <w:bottom w:val="single" w:color="auto" w:sz="4" w:space="0"/>
              <w:right w:val="single" w:color="auto" w:sz="4" w:space="0"/>
            </w:tcBorders>
            <w:vAlign w:val="center"/>
          </w:tcPr>
          <w:p w14:paraId="4D02EB55">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1000≤Y＜30000</w:t>
            </w:r>
          </w:p>
        </w:tc>
        <w:tc>
          <w:tcPr>
            <w:tcW w:w="895" w:type="pct"/>
            <w:tcBorders>
              <w:top w:val="nil"/>
              <w:left w:val="nil"/>
              <w:bottom w:val="single" w:color="auto" w:sz="4" w:space="0"/>
              <w:right w:val="single" w:color="auto" w:sz="4" w:space="0"/>
            </w:tcBorders>
            <w:vAlign w:val="center"/>
          </w:tcPr>
          <w:p w14:paraId="79DC1900">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100≤Y＜1000</w:t>
            </w:r>
          </w:p>
        </w:tc>
        <w:tc>
          <w:tcPr>
            <w:tcW w:w="596" w:type="pct"/>
            <w:tcBorders>
              <w:top w:val="nil"/>
              <w:left w:val="nil"/>
              <w:bottom w:val="single" w:color="auto" w:sz="4" w:space="0"/>
              <w:right w:val="single" w:color="auto" w:sz="4" w:space="0"/>
            </w:tcBorders>
            <w:vAlign w:val="center"/>
          </w:tcPr>
          <w:p w14:paraId="5C5481C8">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4492EB50">
        <w:trPr>
          <w:trHeight w:val="225" w:hRule="atLeast"/>
        </w:trPr>
        <w:tc>
          <w:tcPr>
            <w:tcW w:w="1044" w:type="pct"/>
            <w:vMerge w:val="restart"/>
            <w:tcBorders>
              <w:top w:val="nil"/>
              <w:left w:val="single" w:color="auto" w:sz="4" w:space="0"/>
              <w:bottom w:val="single" w:color="auto" w:sz="4" w:space="0"/>
              <w:right w:val="single" w:color="auto" w:sz="4" w:space="0"/>
            </w:tcBorders>
            <w:vAlign w:val="bottom"/>
          </w:tcPr>
          <w:p w14:paraId="14CA249C">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邮政业</w:t>
            </w:r>
          </w:p>
        </w:tc>
        <w:tc>
          <w:tcPr>
            <w:tcW w:w="1044" w:type="pct"/>
            <w:tcBorders>
              <w:top w:val="nil"/>
              <w:left w:val="nil"/>
              <w:bottom w:val="single" w:color="auto" w:sz="4" w:space="0"/>
              <w:right w:val="single" w:color="auto" w:sz="4" w:space="0"/>
            </w:tcBorders>
            <w:vAlign w:val="center"/>
          </w:tcPr>
          <w:p w14:paraId="6D6F301F">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447" w:type="pct"/>
            <w:tcBorders>
              <w:top w:val="nil"/>
              <w:left w:val="nil"/>
              <w:bottom w:val="single" w:color="auto" w:sz="4" w:space="0"/>
              <w:right w:val="single" w:color="auto" w:sz="4" w:space="0"/>
            </w:tcBorders>
            <w:vAlign w:val="center"/>
          </w:tcPr>
          <w:p w14:paraId="1D19D5C5">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970" w:type="pct"/>
            <w:tcBorders>
              <w:top w:val="nil"/>
              <w:left w:val="nil"/>
              <w:bottom w:val="single" w:color="auto" w:sz="4" w:space="0"/>
              <w:right w:val="single" w:color="auto" w:sz="4" w:space="0"/>
            </w:tcBorders>
            <w:vAlign w:val="center"/>
          </w:tcPr>
          <w:p w14:paraId="76C74B86">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895" w:type="pct"/>
            <w:tcBorders>
              <w:top w:val="nil"/>
              <w:left w:val="nil"/>
              <w:bottom w:val="single" w:color="auto" w:sz="4" w:space="0"/>
              <w:right w:val="single" w:color="auto" w:sz="4" w:space="0"/>
            </w:tcBorders>
            <w:vAlign w:val="center"/>
          </w:tcPr>
          <w:p w14:paraId="0AB52F82">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596" w:type="pct"/>
            <w:tcBorders>
              <w:top w:val="nil"/>
              <w:left w:val="nil"/>
              <w:bottom w:val="single" w:color="auto" w:sz="4" w:space="0"/>
              <w:right w:val="single" w:color="auto" w:sz="4" w:space="0"/>
            </w:tcBorders>
            <w:vAlign w:val="center"/>
          </w:tcPr>
          <w:p w14:paraId="3A4566C1">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212F976E">
        <w:tblPrEx>
          <w:tblCellMar>
            <w:top w:w="0" w:type="dxa"/>
            <w:left w:w="108" w:type="dxa"/>
            <w:bottom w:w="0" w:type="dxa"/>
            <w:right w:w="108" w:type="dxa"/>
          </w:tblCellMar>
        </w:tblPrEx>
        <w:trPr>
          <w:trHeight w:val="225" w:hRule="atLeast"/>
        </w:trPr>
        <w:tc>
          <w:tcPr>
            <w:tcW w:w="1044" w:type="pct"/>
            <w:vMerge w:val="continue"/>
            <w:tcBorders>
              <w:top w:val="nil"/>
              <w:left w:val="single" w:color="auto" w:sz="4" w:space="0"/>
              <w:bottom w:val="single" w:color="auto" w:sz="4" w:space="0"/>
              <w:right w:val="single" w:color="auto" w:sz="4" w:space="0"/>
            </w:tcBorders>
            <w:vAlign w:val="center"/>
          </w:tcPr>
          <w:p w14:paraId="5AEF930E">
            <w:pPr>
              <w:keepNext w:val="0"/>
              <w:keepLines w:val="0"/>
              <w:widowControl/>
              <w:suppressLineNumbers w:val="0"/>
              <w:spacing w:before="0" w:beforeAutospacing="0" w:after="0" w:afterAutospacing="0"/>
              <w:ind w:left="0" w:right="0"/>
              <w:jc w:val="left"/>
              <w:rPr>
                <w:rFonts w:hint="eastAsia" w:ascii="仿宋_GB2312" w:hAnsi="仿宋" w:eastAsia="仿宋_GB2312" w:cs="宋体"/>
                <w:b/>
                <w:bCs/>
                <w:color w:val="auto"/>
                <w:kern w:val="0"/>
                <w:sz w:val="18"/>
                <w:szCs w:val="18"/>
                <w:highlight w:val="none"/>
              </w:rPr>
            </w:pPr>
          </w:p>
        </w:tc>
        <w:tc>
          <w:tcPr>
            <w:tcW w:w="1044" w:type="pct"/>
            <w:tcBorders>
              <w:top w:val="nil"/>
              <w:left w:val="nil"/>
              <w:bottom w:val="single" w:color="auto" w:sz="4" w:space="0"/>
              <w:right w:val="single" w:color="auto" w:sz="4" w:space="0"/>
            </w:tcBorders>
            <w:vAlign w:val="center"/>
          </w:tcPr>
          <w:p w14:paraId="69F3477B">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447" w:type="pct"/>
            <w:tcBorders>
              <w:top w:val="nil"/>
              <w:left w:val="nil"/>
              <w:bottom w:val="single" w:color="auto" w:sz="4" w:space="0"/>
              <w:right w:val="single" w:color="auto" w:sz="4" w:space="0"/>
            </w:tcBorders>
            <w:vAlign w:val="center"/>
          </w:tcPr>
          <w:p w14:paraId="4838A277">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970" w:type="pct"/>
            <w:tcBorders>
              <w:top w:val="nil"/>
              <w:left w:val="nil"/>
              <w:bottom w:val="single" w:color="auto" w:sz="4" w:space="0"/>
              <w:right w:val="single" w:color="auto" w:sz="4" w:space="0"/>
            </w:tcBorders>
            <w:vAlign w:val="center"/>
          </w:tcPr>
          <w:p w14:paraId="68367284">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2000≤Y＜30000</w:t>
            </w:r>
          </w:p>
        </w:tc>
        <w:tc>
          <w:tcPr>
            <w:tcW w:w="895" w:type="pct"/>
            <w:tcBorders>
              <w:top w:val="nil"/>
              <w:left w:val="nil"/>
              <w:bottom w:val="single" w:color="auto" w:sz="4" w:space="0"/>
              <w:right w:val="single" w:color="auto" w:sz="4" w:space="0"/>
            </w:tcBorders>
            <w:vAlign w:val="center"/>
          </w:tcPr>
          <w:p w14:paraId="1DBC2B43">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596" w:type="pct"/>
            <w:tcBorders>
              <w:top w:val="nil"/>
              <w:left w:val="nil"/>
              <w:bottom w:val="single" w:color="auto" w:sz="4" w:space="0"/>
              <w:right w:val="single" w:color="auto" w:sz="4" w:space="0"/>
            </w:tcBorders>
            <w:vAlign w:val="center"/>
          </w:tcPr>
          <w:p w14:paraId="2A360005">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4C96CD5D">
        <w:tblPrEx>
          <w:tblCellMar>
            <w:top w:w="0" w:type="dxa"/>
            <w:left w:w="108" w:type="dxa"/>
            <w:bottom w:w="0" w:type="dxa"/>
            <w:right w:w="108" w:type="dxa"/>
          </w:tblCellMar>
        </w:tblPrEx>
        <w:trPr>
          <w:trHeight w:val="225" w:hRule="atLeast"/>
        </w:trPr>
        <w:tc>
          <w:tcPr>
            <w:tcW w:w="1044" w:type="pct"/>
            <w:vMerge w:val="restart"/>
            <w:tcBorders>
              <w:top w:val="nil"/>
              <w:left w:val="single" w:color="auto" w:sz="4" w:space="0"/>
              <w:bottom w:val="single" w:color="auto" w:sz="4" w:space="0"/>
              <w:right w:val="single" w:color="auto" w:sz="4" w:space="0"/>
            </w:tcBorders>
            <w:vAlign w:val="bottom"/>
          </w:tcPr>
          <w:p w14:paraId="19678934">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住宿业</w:t>
            </w:r>
          </w:p>
        </w:tc>
        <w:tc>
          <w:tcPr>
            <w:tcW w:w="1044" w:type="pct"/>
            <w:tcBorders>
              <w:top w:val="nil"/>
              <w:left w:val="nil"/>
              <w:bottom w:val="single" w:color="auto" w:sz="4" w:space="0"/>
              <w:right w:val="single" w:color="auto" w:sz="4" w:space="0"/>
            </w:tcBorders>
            <w:vAlign w:val="center"/>
          </w:tcPr>
          <w:p w14:paraId="59AAC6A9">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447" w:type="pct"/>
            <w:tcBorders>
              <w:top w:val="nil"/>
              <w:left w:val="nil"/>
              <w:bottom w:val="single" w:color="auto" w:sz="4" w:space="0"/>
              <w:right w:val="single" w:color="auto" w:sz="4" w:space="0"/>
            </w:tcBorders>
            <w:vAlign w:val="center"/>
          </w:tcPr>
          <w:p w14:paraId="7B479183">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970" w:type="pct"/>
            <w:tcBorders>
              <w:top w:val="nil"/>
              <w:left w:val="nil"/>
              <w:bottom w:val="single" w:color="auto" w:sz="4" w:space="0"/>
              <w:right w:val="single" w:color="auto" w:sz="4" w:space="0"/>
            </w:tcBorders>
            <w:vAlign w:val="center"/>
          </w:tcPr>
          <w:p w14:paraId="65C88D33">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895" w:type="pct"/>
            <w:tcBorders>
              <w:top w:val="nil"/>
              <w:left w:val="nil"/>
              <w:bottom w:val="single" w:color="auto" w:sz="4" w:space="0"/>
              <w:right w:val="single" w:color="auto" w:sz="4" w:space="0"/>
            </w:tcBorders>
            <w:vAlign w:val="center"/>
          </w:tcPr>
          <w:p w14:paraId="33BABF0D">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596" w:type="pct"/>
            <w:tcBorders>
              <w:top w:val="nil"/>
              <w:left w:val="nil"/>
              <w:bottom w:val="single" w:color="auto" w:sz="4" w:space="0"/>
              <w:right w:val="single" w:color="auto" w:sz="4" w:space="0"/>
            </w:tcBorders>
            <w:vAlign w:val="center"/>
          </w:tcPr>
          <w:p w14:paraId="6E39E485">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5F972F38">
        <w:tblPrEx>
          <w:tblCellMar>
            <w:top w:w="0" w:type="dxa"/>
            <w:left w:w="108" w:type="dxa"/>
            <w:bottom w:w="0" w:type="dxa"/>
            <w:right w:w="108" w:type="dxa"/>
          </w:tblCellMar>
        </w:tblPrEx>
        <w:trPr>
          <w:trHeight w:val="225" w:hRule="atLeast"/>
        </w:trPr>
        <w:tc>
          <w:tcPr>
            <w:tcW w:w="1044" w:type="pct"/>
            <w:vMerge w:val="continue"/>
            <w:tcBorders>
              <w:top w:val="nil"/>
              <w:left w:val="single" w:color="auto" w:sz="4" w:space="0"/>
              <w:bottom w:val="single" w:color="auto" w:sz="4" w:space="0"/>
              <w:right w:val="single" w:color="auto" w:sz="4" w:space="0"/>
            </w:tcBorders>
            <w:vAlign w:val="center"/>
          </w:tcPr>
          <w:p w14:paraId="7D61A4F9">
            <w:pPr>
              <w:keepNext w:val="0"/>
              <w:keepLines w:val="0"/>
              <w:widowControl/>
              <w:suppressLineNumbers w:val="0"/>
              <w:spacing w:before="0" w:beforeAutospacing="0" w:after="0" w:afterAutospacing="0"/>
              <w:ind w:left="0" w:right="0"/>
              <w:jc w:val="left"/>
              <w:rPr>
                <w:rFonts w:hint="eastAsia" w:ascii="仿宋_GB2312" w:hAnsi="仿宋" w:eastAsia="仿宋_GB2312" w:cs="宋体"/>
                <w:b/>
                <w:bCs/>
                <w:color w:val="auto"/>
                <w:kern w:val="0"/>
                <w:sz w:val="18"/>
                <w:szCs w:val="18"/>
                <w:highlight w:val="none"/>
              </w:rPr>
            </w:pPr>
          </w:p>
        </w:tc>
        <w:tc>
          <w:tcPr>
            <w:tcW w:w="1044" w:type="pct"/>
            <w:tcBorders>
              <w:top w:val="nil"/>
              <w:left w:val="nil"/>
              <w:bottom w:val="single" w:color="auto" w:sz="4" w:space="0"/>
              <w:right w:val="single" w:color="auto" w:sz="4" w:space="0"/>
            </w:tcBorders>
            <w:vAlign w:val="center"/>
          </w:tcPr>
          <w:p w14:paraId="778103C3">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447" w:type="pct"/>
            <w:tcBorders>
              <w:top w:val="nil"/>
              <w:left w:val="nil"/>
              <w:bottom w:val="single" w:color="auto" w:sz="4" w:space="0"/>
              <w:right w:val="single" w:color="auto" w:sz="4" w:space="0"/>
            </w:tcBorders>
            <w:vAlign w:val="center"/>
          </w:tcPr>
          <w:p w14:paraId="1C95300D">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970" w:type="pct"/>
            <w:tcBorders>
              <w:top w:val="nil"/>
              <w:left w:val="nil"/>
              <w:bottom w:val="single" w:color="auto" w:sz="4" w:space="0"/>
              <w:right w:val="single" w:color="auto" w:sz="4" w:space="0"/>
            </w:tcBorders>
            <w:vAlign w:val="center"/>
          </w:tcPr>
          <w:p w14:paraId="37B7D2DB">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2000≤Y＜10000</w:t>
            </w:r>
          </w:p>
        </w:tc>
        <w:tc>
          <w:tcPr>
            <w:tcW w:w="895" w:type="pct"/>
            <w:tcBorders>
              <w:top w:val="nil"/>
              <w:left w:val="nil"/>
              <w:bottom w:val="single" w:color="auto" w:sz="4" w:space="0"/>
              <w:right w:val="single" w:color="auto" w:sz="4" w:space="0"/>
            </w:tcBorders>
            <w:vAlign w:val="center"/>
          </w:tcPr>
          <w:p w14:paraId="7B8B32C1">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596" w:type="pct"/>
            <w:tcBorders>
              <w:top w:val="nil"/>
              <w:left w:val="nil"/>
              <w:bottom w:val="single" w:color="auto" w:sz="4" w:space="0"/>
              <w:right w:val="single" w:color="auto" w:sz="4" w:space="0"/>
            </w:tcBorders>
            <w:vAlign w:val="center"/>
          </w:tcPr>
          <w:p w14:paraId="73D62AD3">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5C3B993A">
        <w:tblPrEx>
          <w:tblCellMar>
            <w:top w:w="0" w:type="dxa"/>
            <w:left w:w="108" w:type="dxa"/>
            <w:bottom w:w="0" w:type="dxa"/>
            <w:right w:w="108" w:type="dxa"/>
          </w:tblCellMar>
        </w:tblPrEx>
        <w:trPr>
          <w:trHeight w:val="225" w:hRule="atLeast"/>
        </w:trPr>
        <w:tc>
          <w:tcPr>
            <w:tcW w:w="1044" w:type="pct"/>
            <w:vMerge w:val="restart"/>
            <w:tcBorders>
              <w:top w:val="nil"/>
              <w:left w:val="single" w:color="auto" w:sz="4" w:space="0"/>
              <w:bottom w:val="single" w:color="auto" w:sz="4" w:space="0"/>
              <w:right w:val="single" w:color="auto" w:sz="4" w:space="0"/>
            </w:tcBorders>
            <w:vAlign w:val="bottom"/>
          </w:tcPr>
          <w:p w14:paraId="35ED664F">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餐饮业</w:t>
            </w:r>
          </w:p>
        </w:tc>
        <w:tc>
          <w:tcPr>
            <w:tcW w:w="1044" w:type="pct"/>
            <w:tcBorders>
              <w:top w:val="nil"/>
              <w:left w:val="nil"/>
              <w:bottom w:val="single" w:color="auto" w:sz="4" w:space="0"/>
              <w:right w:val="single" w:color="auto" w:sz="4" w:space="0"/>
            </w:tcBorders>
            <w:vAlign w:val="center"/>
          </w:tcPr>
          <w:p w14:paraId="6B4D23BB">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447" w:type="pct"/>
            <w:tcBorders>
              <w:top w:val="nil"/>
              <w:left w:val="nil"/>
              <w:bottom w:val="single" w:color="auto" w:sz="4" w:space="0"/>
              <w:right w:val="single" w:color="auto" w:sz="4" w:space="0"/>
            </w:tcBorders>
            <w:vAlign w:val="center"/>
          </w:tcPr>
          <w:p w14:paraId="75C80970">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970" w:type="pct"/>
            <w:tcBorders>
              <w:top w:val="nil"/>
              <w:left w:val="nil"/>
              <w:bottom w:val="single" w:color="auto" w:sz="4" w:space="0"/>
              <w:right w:val="single" w:color="auto" w:sz="4" w:space="0"/>
            </w:tcBorders>
            <w:vAlign w:val="center"/>
          </w:tcPr>
          <w:p w14:paraId="3B097B34">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895" w:type="pct"/>
            <w:tcBorders>
              <w:top w:val="nil"/>
              <w:left w:val="nil"/>
              <w:bottom w:val="single" w:color="auto" w:sz="4" w:space="0"/>
              <w:right w:val="single" w:color="auto" w:sz="4" w:space="0"/>
            </w:tcBorders>
            <w:vAlign w:val="center"/>
          </w:tcPr>
          <w:p w14:paraId="2DF08A21">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596" w:type="pct"/>
            <w:tcBorders>
              <w:top w:val="nil"/>
              <w:left w:val="nil"/>
              <w:bottom w:val="single" w:color="auto" w:sz="4" w:space="0"/>
              <w:right w:val="single" w:color="auto" w:sz="4" w:space="0"/>
            </w:tcBorders>
            <w:vAlign w:val="center"/>
          </w:tcPr>
          <w:p w14:paraId="783A2179">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03AE300C">
        <w:tblPrEx>
          <w:tblCellMar>
            <w:top w:w="0" w:type="dxa"/>
            <w:left w:w="108" w:type="dxa"/>
            <w:bottom w:w="0" w:type="dxa"/>
            <w:right w:w="108" w:type="dxa"/>
          </w:tblCellMar>
        </w:tblPrEx>
        <w:trPr>
          <w:trHeight w:val="225" w:hRule="atLeast"/>
        </w:trPr>
        <w:tc>
          <w:tcPr>
            <w:tcW w:w="1044" w:type="pct"/>
            <w:vMerge w:val="continue"/>
            <w:tcBorders>
              <w:top w:val="nil"/>
              <w:left w:val="single" w:color="auto" w:sz="4" w:space="0"/>
              <w:bottom w:val="single" w:color="auto" w:sz="4" w:space="0"/>
              <w:right w:val="single" w:color="auto" w:sz="4" w:space="0"/>
            </w:tcBorders>
            <w:vAlign w:val="center"/>
          </w:tcPr>
          <w:p w14:paraId="5C4359E5">
            <w:pPr>
              <w:keepNext w:val="0"/>
              <w:keepLines w:val="0"/>
              <w:widowControl/>
              <w:suppressLineNumbers w:val="0"/>
              <w:spacing w:before="0" w:beforeAutospacing="0" w:after="0" w:afterAutospacing="0"/>
              <w:ind w:left="0" w:right="0"/>
              <w:jc w:val="left"/>
              <w:rPr>
                <w:rFonts w:hint="eastAsia" w:ascii="仿宋_GB2312" w:hAnsi="仿宋" w:eastAsia="仿宋_GB2312" w:cs="宋体"/>
                <w:b/>
                <w:bCs/>
                <w:color w:val="auto"/>
                <w:kern w:val="0"/>
                <w:sz w:val="18"/>
                <w:szCs w:val="18"/>
                <w:highlight w:val="none"/>
              </w:rPr>
            </w:pPr>
          </w:p>
        </w:tc>
        <w:tc>
          <w:tcPr>
            <w:tcW w:w="1044" w:type="pct"/>
            <w:tcBorders>
              <w:top w:val="nil"/>
              <w:left w:val="nil"/>
              <w:bottom w:val="single" w:color="auto" w:sz="4" w:space="0"/>
              <w:right w:val="single" w:color="auto" w:sz="4" w:space="0"/>
            </w:tcBorders>
            <w:vAlign w:val="center"/>
          </w:tcPr>
          <w:p w14:paraId="3F7FDB60">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447" w:type="pct"/>
            <w:tcBorders>
              <w:top w:val="nil"/>
              <w:left w:val="nil"/>
              <w:bottom w:val="single" w:color="auto" w:sz="4" w:space="0"/>
              <w:right w:val="single" w:color="auto" w:sz="4" w:space="0"/>
            </w:tcBorders>
            <w:vAlign w:val="center"/>
          </w:tcPr>
          <w:p w14:paraId="65ACADB1">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970" w:type="pct"/>
            <w:tcBorders>
              <w:top w:val="nil"/>
              <w:left w:val="nil"/>
              <w:bottom w:val="single" w:color="auto" w:sz="4" w:space="0"/>
              <w:right w:val="single" w:color="auto" w:sz="4" w:space="0"/>
            </w:tcBorders>
            <w:vAlign w:val="center"/>
          </w:tcPr>
          <w:p w14:paraId="2A0655B9">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2000≤Y＜10000</w:t>
            </w:r>
          </w:p>
        </w:tc>
        <w:tc>
          <w:tcPr>
            <w:tcW w:w="895" w:type="pct"/>
            <w:tcBorders>
              <w:top w:val="nil"/>
              <w:left w:val="nil"/>
              <w:bottom w:val="single" w:color="auto" w:sz="4" w:space="0"/>
              <w:right w:val="single" w:color="auto" w:sz="4" w:space="0"/>
            </w:tcBorders>
            <w:vAlign w:val="center"/>
          </w:tcPr>
          <w:p w14:paraId="2BC5F04B">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596" w:type="pct"/>
            <w:tcBorders>
              <w:top w:val="nil"/>
              <w:left w:val="nil"/>
              <w:bottom w:val="single" w:color="auto" w:sz="4" w:space="0"/>
              <w:right w:val="single" w:color="auto" w:sz="4" w:space="0"/>
            </w:tcBorders>
            <w:vAlign w:val="center"/>
          </w:tcPr>
          <w:p w14:paraId="2E659503">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2E2BF294">
        <w:tblPrEx>
          <w:tblCellMar>
            <w:top w:w="0" w:type="dxa"/>
            <w:left w:w="108" w:type="dxa"/>
            <w:bottom w:w="0" w:type="dxa"/>
            <w:right w:w="108" w:type="dxa"/>
          </w:tblCellMar>
        </w:tblPrEx>
        <w:trPr>
          <w:trHeight w:val="225" w:hRule="atLeast"/>
        </w:trPr>
        <w:tc>
          <w:tcPr>
            <w:tcW w:w="1044" w:type="pct"/>
            <w:vMerge w:val="restart"/>
            <w:tcBorders>
              <w:top w:val="nil"/>
              <w:left w:val="single" w:color="auto" w:sz="4" w:space="0"/>
              <w:bottom w:val="single" w:color="auto" w:sz="4" w:space="0"/>
              <w:right w:val="single" w:color="auto" w:sz="4" w:space="0"/>
            </w:tcBorders>
            <w:vAlign w:val="bottom"/>
          </w:tcPr>
          <w:p w14:paraId="1CE3EAB2">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信息传输业</w:t>
            </w:r>
          </w:p>
        </w:tc>
        <w:tc>
          <w:tcPr>
            <w:tcW w:w="1044" w:type="pct"/>
            <w:tcBorders>
              <w:top w:val="nil"/>
              <w:left w:val="nil"/>
              <w:bottom w:val="single" w:color="auto" w:sz="4" w:space="0"/>
              <w:right w:val="single" w:color="auto" w:sz="4" w:space="0"/>
            </w:tcBorders>
            <w:vAlign w:val="center"/>
          </w:tcPr>
          <w:p w14:paraId="15AA9B72">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447" w:type="pct"/>
            <w:tcBorders>
              <w:top w:val="nil"/>
              <w:left w:val="nil"/>
              <w:bottom w:val="single" w:color="auto" w:sz="4" w:space="0"/>
              <w:right w:val="single" w:color="auto" w:sz="4" w:space="0"/>
            </w:tcBorders>
            <w:vAlign w:val="center"/>
          </w:tcPr>
          <w:p w14:paraId="6171F491">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970" w:type="pct"/>
            <w:tcBorders>
              <w:top w:val="nil"/>
              <w:left w:val="nil"/>
              <w:bottom w:val="single" w:color="auto" w:sz="4" w:space="0"/>
              <w:right w:val="single" w:color="auto" w:sz="4" w:space="0"/>
            </w:tcBorders>
            <w:vAlign w:val="center"/>
          </w:tcPr>
          <w:p w14:paraId="0F5C79D7">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100≤X＜2000</w:t>
            </w:r>
          </w:p>
        </w:tc>
        <w:tc>
          <w:tcPr>
            <w:tcW w:w="895" w:type="pct"/>
            <w:tcBorders>
              <w:top w:val="nil"/>
              <w:left w:val="nil"/>
              <w:bottom w:val="single" w:color="auto" w:sz="4" w:space="0"/>
              <w:right w:val="single" w:color="auto" w:sz="4" w:space="0"/>
            </w:tcBorders>
            <w:vAlign w:val="center"/>
          </w:tcPr>
          <w:p w14:paraId="6D6A9E16">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596" w:type="pct"/>
            <w:tcBorders>
              <w:top w:val="nil"/>
              <w:left w:val="nil"/>
              <w:bottom w:val="single" w:color="auto" w:sz="4" w:space="0"/>
              <w:right w:val="single" w:color="auto" w:sz="4" w:space="0"/>
            </w:tcBorders>
            <w:vAlign w:val="center"/>
          </w:tcPr>
          <w:p w14:paraId="364236C0">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2A00EEB6">
        <w:tblPrEx>
          <w:tblCellMar>
            <w:top w:w="0" w:type="dxa"/>
            <w:left w:w="108" w:type="dxa"/>
            <w:bottom w:w="0" w:type="dxa"/>
            <w:right w:w="108" w:type="dxa"/>
          </w:tblCellMar>
        </w:tblPrEx>
        <w:trPr>
          <w:trHeight w:val="225" w:hRule="atLeast"/>
        </w:trPr>
        <w:tc>
          <w:tcPr>
            <w:tcW w:w="1044" w:type="pct"/>
            <w:vMerge w:val="continue"/>
            <w:tcBorders>
              <w:top w:val="nil"/>
              <w:left w:val="single" w:color="auto" w:sz="4" w:space="0"/>
              <w:bottom w:val="single" w:color="auto" w:sz="4" w:space="0"/>
              <w:right w:val="single" w:color="auto" w:sz="4" w:space="0"/>
            </w:tcBorders>
            <w:vAlign w:val="center"/>
          </w:tcPr>
          <w:p w14:paraId="186685A8">
            <w:pPr>
              <w:keepNext w:val="0"/>
              <w:keepLines w:val="0"/>
              <w:widowControl/>
              <w:suppressLineNumbers w:val="0"/>
              <w:spacing w:before="0" w:beforeAutospacing="0" w:after="0" w:afterAutospacing="0"/>
              <w:ind w:left="0" w:right="0"/>
              <w:jc w:val="left"/>
              <w:rPr>
                <w:rFonts w:hint="eastAsia" w:ascii="仿宋_GB2312" w:hAnsi="仿宋" w:eastAsia="仿宋_GB2312" w:cs="宋体"/>
                <w:b/>
                <w:bCs/>
                <w:color w:val="auto"/>
                <w:kern w:val="0"/>
                <w:sz w:val="18"/>
                <w:szCs w:val="18"/>
                <w:highlight w:val="none"/>
              </w:rPr>
            </w:pPr>
          </w:p>
        </w:tc>
        <w:tc>
          <w:tcPr>
            <w:tcW w:w="1044" w:type="pct"/>
            <w:tcBorders>
              <w:top w:val="nil"/>
              <w:left w:val="nil"/>
              <w:bottom w:val="single" w:color="auto" w:sz="4" w:space="0"/>
              <w:right w:val="single" w:color="auto" w:sz="4" w:space="0"/>
            </w:tcBorders>
            <w:vAlign w:val="center"/>
          </w:tcPr>
          <w:p w14:paraId="12DE321D">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447" w:type="pct"/>
            <w:tcBorders>
              <w:top w:val="nil"/>
              <w:left w:val="nil"/>
              <w:bottom w:val="single" w:color="auto" w:sz="4" w:space="0"/>
              <w:right w:val="single" w:color="auto" w:sz="4" w:space="0"/>
            </w:tcBorders>
            <w:vAlign w:val="center"/>
          </w:tcPr>
          <w:p w14:paraId="5DF05C4B">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970" w:type="pct"/>
            <w:tcBorders>
              <w:top w:val="nil"/>
              <w:left w:val="nil"/>
              <w:bottom w:val="single" w:color="auto" w:sz="4" w:space="0"/>
              <w:right w:val="single" w:color="auto" w:sz="4" w:space="0"/>
            </w:tcBorders>
            <w:vAlign w:val="center"/>
          </w:tcPr>
          <w:p w14:paraId="4B945E53">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1000≤Y＜100000</w:t>
            </w:r>
          </w:p>
        </w:tc>
        <w:tc>
          <w:tcPr>
            <w:tcW w:w="895" w:type="pct"/>
            <w:tcBorders>
              <w:top w:val="nil"/>
              <w:left w:val="nil"/>
              <w:bottom w:val="single" w:color="auto" w:sz="4" w:space="0"/>
              <w:right w:val="single" w:color="auto" w:sz="4" w:space="0"/>
            </w:tcBorders>
            <w:vAlign w:val="center"/>
          </w:tcPr>
          <w:p w14:paraId="05B58241">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100≤Y＜1000</w:t>
            </w:r>
          </w:p>
        </w:tc>
        <w:tc>
          <w:tcPr>
            <w:tcW w:w="596" w:type="pct"/>
            <w:tcBorders>
              <w:top w:val="nil"/>
              <w:left w:val="nil"/>
              <w:bottom w:val="single" w:color="auto" w:sz="4" w:space="0"/>
              <w:right w:val="single" w:color="auto" w:sz="4" w:space="0"/>
            </w:tcBorders>
            <w:vAlign w:val="center"/>
          </w:tcPr>
          <w:p w14:paraId="7FD84A78">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02F6B8B5">
        <w:tblPrEx>
          <w:tblCellMar>
            <w:top w:w="0" w:type="dxa"/>
            <w:left w:w="108" w:type="dxa"/>
            <w:bottom w:w="0" w:type="dxa"/>
            <w:right w:w="108" w:type="dxa"/>
          </w:tblCellMar>
        </w:tblPrEx>
        <w:trPr>
          <w:trHeight w:val="225" w:hRule="atLeast"/>
        </w:trPr>
        <w:tc>
          <w:tcPr>
            <w:tcW w:w="1044" w:type="pct"/>
            <w:vMerge w:val="restart"/>
            <w:tcBorders>
              <w:top w:val="nil"/>
              <w:left w:val="single" w:color="auto" w:sz="4" w:space="0"/>
              <w:bottom w:val="single" w:color="auto" w:sz="4" w:space="0"/>
              <w:right w:val="single" w:color="auto" w:sz="4" w:space="0"/>
            </w:tcBorders>
            <w:vAlign w:val="bottom"/>
          </w:tcPr>
          <w:p w14:paraId="2219C7C4">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软件和信息技术服务业</w:t>
            </w:r>
          </w:p>
        </w:tc>
        <w:tc>
          <w:tcPr>
            <w:tcW w:w="1044" w:type="pct"/>
            <w:tcBorders>
              <w:top w:val="nil"/>
              <w:left w:val="nil"/>
              <w:bottom w:val="single" w:color="auto" w:sz="4" w:space="0"/>
              <w:right w:val="single" w:color="auto" w:sz="4" w:space="0"/>
            </w:tcBorders>
            <w:vAlign w:val="center"/>
          </w:tcPr>
          <w:p w14:paraId="6CBBE73F">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447" w:type="pct"/>
            <w:tcBorders>
              <w:top w:val="nil"/>
              <w:left w:val="nil"/>
              <w:bottom w:val="single" w:color="auto" w:sz="4" w:space="0"/>
              <w:right w:val="single" w:color="auto" w:sz="4" w:space="0"/>
            </w:tcBorders>
            <w:vAlign w:val="center"/>
          </w:tcPr>
          <w:p w14:paraId="184FF24C">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970" w:type="pct"/>
            <w:tcBorders>
              <w:top w:val="nil"/>
              <w:left w:val="nil"/>
              <w:bottom w:val="single" w:color="auto" w:sz="4" w:space="0"/>
              <w:right w:val="single" w:color="auto" w:sz="4" w:space="0"/>
            </w:tcBorders>
            <w:vAlign w:val="center"/>
          </w:tcPr>
          <w:p w14:paraId="195410A1">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895" w:type="pct"/>
            <w:tcBorders>
              <w:top w:val="nil"/>
              <w:left w:val="nil"/>
              <w:bottom w:val="single" w:color="auto" w:sz="4" w:space="0"/>
              <w:right w:val="single" w:color="auto" w:sz="4" w:space="0"/>
            </w:tcBorders>
            <w:vAlign w:val="center"/>
          </w:tcPr>
          <w:p w14:paraId="78E35FEF">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596" w:type="pct"/>
            <w:tcBorders>
              <w:top w:val="nil"/>
              <w:left w:val="nil"/>
              <w:bottom w:val="single" w:color="auto" w:sz="4" w:space="0"/>
              <w:right w:val="single" w:color="auto" w:sz="4" w:space="0"/>
            </w:tcBorders>
            <w:vAlign w:val="center"/>
          </w:tcPr>
          <w:p w14:paraId="459FC27E">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17DA7BC3">
        <w:tblPrEx>
          <w:tblCellMar>
            <w:top w:w="0" w:type="dxa"/>
            <w:left w:w="108" w:type="dxa"/>
            <w:bottom w:w="0" w:type="dxa"/>
            <w:right w:w="108" w:type="dxa"/>
          </w:tblCellMar>
        </w:tblPrEx>
        <w:trPr>
          <w:trHeight w:val="225" w:hRule="atLeast"/>
        </w:trPr>
        <w:tc>
          <w:tcPr>
            <w:tcW w:w="1044" w:type="pct"/>
            <w:vMerge w:val="continue"/>
            <w:tcBorders>
              <w:top w:val="nil"/>
              <w:left w:val="single" w:color="auto" w:sz="4" w:space="0"/>
              <w:bottom w:val="single" w:color="auto" w:sz="4" w:space="0"/>
              <w:right w:val="single" w:color="auto" w:sz="4" w:space="0"/>
            </w:tcBorders>
            <w:vAlign w:val="center"/>
          </w:tcPr>
          <w:p w14:paraId="00FAA30E">
            <w:pPr>
              <w:keepNext w:val="0"/>
              <w:keepLines w:val="0"/>
              <w:widowControl/>
              <w:suppressLineNumbers w:val="0"/>
              <w:spacing w:before="0" w:beforeAutospacing="0" w:after="0" w:afterAutospacing="0"/>
              <w:ind w:left="0" w:right="0"/>
              <w:jc w:val="left"/>
              <w:rPr>
                <w:rFonts w:hint="eastAsia" w:ascii="仿宋_GB2312" w:hAnsi="仿宋" w:eastAsia="仿宋_GB2312" w:cs="宋体"/>
                <w:b/>
                <w:bCs/>
                <w:color w:val="auto"/>
                <w:kern w:val="0"/>
                <w:sz w:val="18"/>
                <w:szCs w:val="18"/>
                <w:highlight w:val="none"/>
              </w:rPr>
            </w:pPr>
          </w:p>
        </w:tc>
        <w:tc>
          <w:tcPr>
            <w:tcW w:w="1044" w:type="pct"/>
            <w:tcBorders>
              <w:top w:val="nil"/>
              <w:left w:val="nil"/>
              <w:bottom w:val="single" w:color="auto" w:sz="4" w:space="0"/>
              <w:right w:val="single" w:color="auto" w:sz="4" w:space="0"/>
            </w:tcBorders>
            <w:vAlign w:val="center"/>
          </w:tcPr>
          <w:p w14:paraId="7C63A56F">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447" w:type="pct"/>
            <w:tcBorders>
              <w:top w:val="nil"/>
              <w:left w:val="nil"/>
              <w:bottom w:val="single" w:color="auto" w:sz="4" w:space="0"/>
              <w:right w:val="single" w:color="auto" w:sz="4" w:space="0"/>
            </w:tcBorders>
            <w:vAlign w:val="center"/>
          </w:tcPr>
          <w:p w14:paraId="47495633">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970" w:type="pct"/>
            <w:tcBorders>
              <w:top w:val="nil"/>
              <w:left w:val="nil"/>
              <w:bottom w:val="single" w:color="auto" w:sz="4" w:space="0"/>
              <w:right w:val="single" w:color="auto" w:sz="4" w:space="0"/>
            </w:tcBorders>
            <w:vAlign w:val="center"/>
          </w:tcPr>
          <w:p w14:paraId="7119A266">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1000≤Y＜10000</w:t>
            </w:r>
          </w:p>
        </w:tc>
        <w:tc>
          <w:tcPr>
            <w:tcW w:w="895" w:type="pct"/>
            <w:tcBorders>
              <w:top w:val="nil"/>
              <w:left w:val="nil"/>
              <w:bottom w:val="single" w:color="auto" w:sz="4" w:space="0"/>
              <w:right w:val="single" w:color="auto" w:sz="4" w:space="0"/>
            </w:tcBorders>
            <w:vAlign w:val="center"/>
          </w:tcPr>
          <w:p w14:paraId="1542AD90">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50≤Y＜1000</w:t>
            </w:r>
          </w:p>
        </w:tc>
        <w:tc>
          <w:tcPr>
            <w:tcW w:w="596" w:type="pct"/>
            <w:tcBorders>
              <w:top w:val="nil"/>
              <w:left w:val="nil"/>
              <w:bottom w:val="single" w:color="auto" w:sz="4" w:space="0"/>
              <w:right w:val="single" w:color="auto" w:sz="4" w:space="0"/>
            </w:tcBorders>
            <w:vAlign w:val="center"/>
          </w:tcPr>
          <w:p w14:paraId="5012D2B4">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w:t>
            </w:r>
          </w:p>
        </w:tc>
      </w:tr>
      <w:tr w14:paraId="65BC44A2">
        <w:tblPrEx>
          <w:tblCellMar>
            <w:top w:w="0" w:type="dxa"/>
            <w:left w:w="108" w:type="dxa"/>
            <w:bottom w:w="0" w:type="dxa"/>
            <w:right w:w="108" w:type="dxa"/>
          </w:tblCellMar>
        </w:tblPrEx>
        <w:trPr>
          <w:trHeight w:val="225" w:hRule="atLeast"/>
        </w:trPr>
        <w:tc>
          <w:tcPr>
            <w:tcW w:w="1044" w:type="pct"/>
            <w:vMerge w:val="restart"/>
            <w:tcBorders>
              <w:top w:val="nil"/>
              <w:left w:val="single" w:color="auto" w:sz="4" w:space="0"/>
              <w:bottom w:val="single" w:color="auto" w:sz="4" w:space="0"/>
              <w:right w:val="single" w:color="auto" w:sz="4" w:space="0"/>
            </w:tcBorders>
            <w:vAlign w:val="bottom"/>
          </w:tcPr>
          <w:p w14:paraId="1E333FD4">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房地产开发经营</w:t>
            </w:r>
          </w:p>
        </w:tc>
        <w:tc>
          <w:tcPr>
            <w:tcW w:w="1044" w:type="pct"/>
            <w:tcBorders>
              <w:top w:val="nil"/>
              <w:left w:val="nil"/>
              <w:bottom w:val="single" w:color="auto" w:sz="4" w:space="0"/>
              <w:right w:val="single" w:color="auto" w:sz="4" w:space="0"/>
            </w:tcBorders>
            <w:vAlign w:val="center"/>
          </w:tcPr>
          <w:p w14:paraId="25F3F856">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447" w:type="pct"/>
            <w:tcBorders>
              <w:top w:val="nil"/>
              <w:left w:val="nil"/>
              <w:bottom w:val="single" w:color="auto" w:sz="4" w:space="0"/>
              <w:right w:val="single" w:color="auto" w:sz="4" w:space="0"/>
            </w:tcBorders>
            <w:vAlign w:val="center"/>
          </w:tcPr>
          <w:p w14:paraId="6EEAB9E3">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970" w:type="pct"/>
            <w:tcBorders>
              <w:top w:val="nil"/>
              <w:left w:val="nil"/>
              <w:bottom w:val="single" w:color="auto" w:sz="4" w:space="0"/>
              <w:right w:val="single" w:color="auto" w:sz="4" w:space="0"/>
            </w:tcBorders>
            <w:vAlign w:val="center"/>
          </w:tcPr>
          <w:p w14:paraId="29A27CF2">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1000≤Y＜200000</w:t>
            </w:r>
          </w:p>
        </w:tc>
        <w:tc>
          <w:tcPr>
            <w:tcW w:w="895" w:type="pct"/>
            <w:tcBorders>
              <w:top w:val="nil"/>
              <w:left w:val="nil"/>
              <w:bottom w:val="single" w:color="auto" w:sz="4" w:space="0"/>
              <w:right w:val="single" w:color="auto" w:sz="4" w:space="0"/>
            </w:tcBorders>
            <w:vAlign w:val="center"/>
          </w:tcPr>
          <w:p w14:paraId="106D5578">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100≤X＜1000</w:t>
            </w:r>
          </w:p>
        </w:tc>
        <w:tc>
          <w:tcPr>
            <w:tcW w:w="596" w:type="pct"/>
            <w:tcBorders>
              <w:top w:val="nil"/>
              <w:left w:val="nil"/>
              <w:bottom w:val="single" w:color="auto" w:sz="4" w:space="0"/>
              <w:right w:val="single" w:color="auto" w:sz="4" w:space="0"/>
            </w:tcBorders>
            <w:vAlign w:val="center"/>
          </w:tcPr>
          <w:p w14:paraId="40EC25D7">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X＜100</w:t>
            </w:r>
          </w:p>
        </w:tc>
      </w:tr>
      <w:tr w14:paraId="430AD37C">
        <w:tblPrEx>
          <w:tblCellMar>
            <w:top w:w="0" w:type="dxa"/>
            <w:left w:w="108" w:type="dxa"/>
            <w:bottom w:w="0" w:type="dxa"/>
            <w:right w:w="108" w:type="dxa"/>
          </w:tblCellMar>
        </w:tblPrEx>
        <w:trPr>
          <w:trHeight w:val="225" w:hRule="atLeast"/>
        </w:trPr>
        <w:tc>
          <w:tcPr>
            <w:tcW w:w="1044" w:type="pct"/>
            <w:vMerge w:val="continue"/>
            <w:tcBorders>
              <w:top w:val="nil"/>
              <w:left w:val="single" w:color="auto" w:sz="4" w:space="0"/>
              <w:bottom w:val="single" w:color="auto" w:sz="4" w:space="0"/>
              <w:right w:val="single" w:color="auto" w:sz="4" w:space="0"/>
            </w:tcBorders>
            <w:vAlign w:val="center"/>
          </w:tcPr>
          <w:p w14:paraId="2DD756EB">
            <w:pPr>
              <w:keepNext w:val="0"/>
              <w:keepLines w:val="0"/>
              <w:widowControl/>
              <w:suppressLineNumbers w:val="0"/>
              <w:spacing w:before="0" w:beforeAutospacing="0" w:after="0" w:afterAutospacing="0"/>
              <w:ind w:left="0" w:right="0"/>
              <w:jc w:val="left"/>
              <w:rPr>
                <w:rFonts w:hint="eastAsia" w:ascii="仿宋_GB2312" w:hAnsi="仿宋" w:eastAsia="仿宋_GB2312" w:cs="宋体"/>
                <w:b/>
                <w:bCs/>
                <w:color w:val="auto"/>
                <w:kern w:val="0"/>
                <w:sz w:val="18"/>
                <w:szCs w:val="18"/>
                <w:highlight w:val="none"/>
              </w:rPr>
            </w:pPr>
          </w:p>
        </w:tc>
        <w:tc>
          <w:tcPr>
            <w:tcW w:w="1044" w:type="pct"/>
            <w:tcBorders>
              <w:top w:val="nil"/>
              <w:left w:val="nil"/>
              <w:bottom w:val="single" w:color="auto" w:sz="4" w:space="0"/>
              <w:right w:val="single" w:color="auto" w:sz="4" w:space="0"/>
            </w:tcBorders>
            <w:vAlign w:val="center"/>
          </w:tcPr>
          <w:p w14:paraId="3EC4D6AF">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447" w:type="pct"/>
            <w:tcBorders>
              <w:top w:val="nil"/>
              <w:left w:val="nil"/>
              <w:bottom w:val="single" w:color="auto" w:sz="4" w:space="0"/>
              <w:right w:val="single" w:color="auto" w:sz="4" w:space="0"/>
            </w:tcBorders>
            <w:vAlign w:val="center"/>
          </w:tcPr>
          <w:p w14:paraId="2B8C239B">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970" w:type="pct"/>
            <w:tcBorders>
              <w:top w:val="nil"/>
              <w:left w:val="nil"/>
              <w:bottom w:val="single" w:color="auto" w:sz="4" w:space="0"/>
              <w:right w:val="single" w:color="auto" w:sz="4" w:space="0"/>
            </w:tcBorders>
            <w:vAlign w:val="center"/>
          </w:tcPr>
          <w:p w14:paraId="6751986A">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5000≤Z＜10000</w:t>
            </w:r>
          </w:p>
        </w:tc>
        <w:tc>
          <w:tcPr>
            <w:tcW w:w="895" w:type="pct"/>
            <w:tcBorders>
              <w:top w:val="nil"/>
              <w:left w:val="nil"/>
              <w:bottom w:val="single" w:color="auto" w:sz="4" w:space="0"/>
              <w:right w:val="single" w:color="auto" w:sz="4" w:space="0"/>
            </w:tcBorders>
            <w:vAlign w:val="center"/>
          </w:tcPr>
          <w:p w14:paraId="7D611281">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2000≤Y＜5000</w:t>
            </w:r>
          </w:p>
        </w:tc>
        <w:tc>
          <w:tcPr>
            <w:tcW w:w="596" w:type="pct"/>
            <w:tcBorders>
              <w:top w:val="nil"/>
              <w:left w:val="nil"/>
              <w:bottom w:val="single" w:color="auto" w:sz="4" w:space="0"/>
              <w:right w:val="single" w:color="auto" w:sz="4" w:space="0"/>
            </w:tcBorders>
            <w:vAlign w:val="center"/>
          </w:tcPr>
          <w:p w14:paraId="561DF245">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Y＜2000</w:t>
            </w:r>
          </w:p>
        </w:tc>
      </w:tr>
      <w:tr w14:paraId="5FEFAA2E">
        <w:tblPrEx>
          <w:tblCellMar>
            <w:top w:w="0" w:type="dxa"/>
            <w:left w:w="108" w:type="dxa"/>
            <w:bottom w:w="0" w:type="dxa"/>
            <w:right w:w="108" w:type="dxa"/>
          </w:tblCellMar>
        </w:tblPrEx>
        <w:trPr>
          <w:trHeight w:val="225" w:hRule="atLeast"/>
        </w:trPr>
        <w:tc>
          <w:tcPr>
            <w:tcW w:w="1044" w:type="pct"/>
            <w:vMerge w:val="restart"/>
            <w:tcBorders>
              <w:top w:val="nil"/>
              <w:left w:val="single" w:color="auto" w:sz="4" w:space="0"/>
              <w:bottom w:val="single" w:color="auto" w:sz="4" w:space="0"/>
              <w:right w:val="single" w:color="auto" w:sz="4" w:space="0"/>
            </w:tcBorders>
            <w:vAlign w:val="bottom"/>
          </w:tcPr>
          <w:p w14:paraId="5E7550CA">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物业管理</w:t>
            </w:r>
          </w:p>
        </w:tc>
        <w:tc>
          <w:tcPr>
            <w:tcW w:w="1044" w:type="pct"/>
            <w:tcBorders>
              <w:top w:val="nil"/>
              <w:left w:val="nil"/>
              <w:bottom w:val="single" w:color="auto" w:sz="4" w:space="0"/>
              <w:right w:val="single" w:color="auto" w:sz="4" w:space="0"/>
            </w:tcBorders>
            <w:vAlign w:val="center"/>
          </w:tcPr>
          <w:p w14:paraId="040D1A54">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447" w:type="pct"/>
            <w:tcBorders>
              <w:top w:val="nil"/>
              <w:left w:val="nil"/>
              <w:bottom w:val="single" w:color="auto" w:sz="4" w:space="0"/>
              <w:right w:val="single" w:color="auto" w:sz="4" w:space="0"/>
            </w:tcBorders>
            <w:vAlign w:val="center"/>
          </w:tcPr>
          <w:p w14:paraId="7BB8EE5E">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970" w:type="pct"/>
            <w:tcBorders>
              <w:top w:val="nil"/>
              <w:left w:val="nil"/>
              <w:bottom w:val="single" w:color="auto" w:sz="4" w:space="0"/>
              <w:right w:val="single" w:color="auto" w:sz="4" w:space="0"/>
            </w:tcBorders>
            <w:vAlign w:val="center"/>
          </w:tcPr>
          <w:p w14:paraId="09B7EA74">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895" w:type="pct"/>
            <w:tcBorders>
              <w:top w:val="nil"/>
              <w:left w:val="nil"/>
              <w:bottom w:val="single" w:color="auto" w:sz="4" w:space="0"/>
              <w:right w:val="single" w:color="auto" w:sz="4" w:space="0"/>
            </w:tcBorders>
            <w:vAlign w:val="center"/>
          </w:tcPr>
          <w:p w14:paraId="0EDBB8EE">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596" w:type="pct"/>
            <w:tcBorders>
              <w:top w:val="nil"/>
              <w:left w:val="nil"/>
              <w:bottom w:val="single" w:color="auto" w:sz="4" w:space="0"/>
              <w:right w:val="single" w:color="auto" w:sz="4" w:space="0"/>
            </w:tcBorders>
            <w:vAlign w:val="center"/>
          </w:tcPr>
          <w:p w14:paraId="152A8835">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X＜100</w:t>
            </w:r>
          </w:p>
        </w:tc>
      </w:tr>
      <w:tr w14:paraId="6D828A79">
        <w:tblPrEx>
          <w:tblCellMar>
            <w:top w:w="0" w:type="dxa"/>
            <w:left w:w="108" w:type="dxa"/>
            <w:bottom w:w="0" w:type="dxa"/>
            <w:right w:w="108" w:type="dxa"/>
          </w:tblCellMar>
        </w:tblPrEx>
        <w:trPr>
          <w:trHeight w:val="225" w:hRule="atLeast"/>
        </w:trPr>
        <w:tc>
          <w:tcPr>
            <w:tcW w:w="1044" w:type="pct"/>
            <w:vMerge w:val="continue"/>
            <w:tcBorders>
              <w:top w:val="nil"/>
              <w:left w:val="single" w:color="auto" w:sz="4" w:space="0"/>
              <w:bottom w:val="single" w:color="auto" w:sz="4" w:space="0"/>
              <w:right w:val="single" w:color="auto" w:sz="4" w:space="0"/>
            </w:tcBorders>
            <w:vAlign w:val="center"/>
          </w:tcPr>
          <w:p w14:paraId="345AD70B">
            <w:pPr>
              <w:keepNext w:val="0"/>
              <w:keepLines w:val="0"/>
              <w:widowControl/>
              <w:suppressLineNumbers w:val="0"/>
              <w:spacing w:before="0" w:beforeAutospacing="0" w:after="0" w:afterAutospacing="0"/>
              <w:ind w:left="0" w:right="0"/>
              <w:jc w:val="left"/>
              <w:rPr>
                <w:rFonts w:hint="eastAsia" w:ascii="仿宋_GB2312" w:hAnsi="仿宋" w:eastAsia="仿宋_GB2312" w:cs="宋体"/>
                <w:b/>
                <w:bCs/>
                <w:color w:val="auto"/>
                <w:kern w:val="0"/>
                <w:sz w:val="18"/>
                <w:szCs w:val="18"/>
                <w:highlight w:val="none"/>
              </w:rPr>
            </w:pPr>
          </w:p>
        </w:tc>
        <w:tc>
          <w:tcPr>
            <w:tcW w:w="1044" w:type="pct"/>
            <w:tcBorders>
              <w:top w:val="nil"/>
              <w:left w:val="nil"/>
              <w:bottom w:val="single" w:color="auto" w:sz="4" w:space="0"/>
              <w:right w:val="single" w:color="auto" w:sz="4" w:space="0"/>
            </w:tcBorders>
            <w:vAlign w:val="center"/>
          </w:tcPr>
          <w:p w14:paraId="0C659A25">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447" w:type="pct"/>
            <w:tcBorders>
              <w:top w:val="nil"/>
              <w:left w:val="nil"/>
              <w:bottom w:val="single" w:color="auto" w:sz="4" w:space="0"/>
              <w:right w:val="single" w:color="auto" w:sz="4" w:space="0"/>
            </w:tcBorders>
            <w:vAlign w:val="center"/>
          </w:tcPr>
          <w:p w14:paraId="1FAF6578">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970" w:type="pct"/>
            <w:tcBorders>
              <w:top w:val="nil"/>
              <w:left w:val="nil"/>
              <w:bottom w:val="single" w:color="auto" w:sz="4" w:space="0"/>
              <w:right w:val="single" w:color="auto" w:sz="4" w:space="0"/>
            </w:tcBorders>
            <w:vAlign w:val="center"/>
          </w:tcPr>
          <w:p w14:paraId="02BDF321">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1000≤Y＜5000</w:t>
            </w:r>
          </w:p>
        </w:tc>
        <w:tc>
          <w:tcPr>
            <w:tcW w:w="895" w:type="pct"/>
            <w:tcBorders>
              <w:top w:val="nil"/>
              <w:left w:val="nil"/>
              <w:bottom w:val="single" w:color="auto" w:sz="4" w:space="0"/>
              <w:right w:val="single" w:color="auto" w:sz="4" w:space="0"/>
            </w:tcBorders>
            <w:vAlign w:val="center"/>
          </w:tcPr>
          <w:p w14:paraId="42A88477">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500≤Y＜1000</w:t>
            </w:r>
          </w:p>
        </w:tc>
        <w:tc>
          <w:tcPr>
            <w:tcW w:w="596" w:type="pct"/>
            <w:tcBorders>
              <w:top w:val="nil"/>
              <w:left w:val="nil"/>
              <w:bottom w:val="single" w:color="auto" w:sz="4" w:space="0"/>
              <w:right w:val="single" w:color="auto" w:sz="4" w:space="0"/>
            </w:tcBorders>
            <w:vAlign w:val="center"/>
          </w:tcPr>
          <w:p w14:paraId="7B50C569">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Y＜500</w:t>
            </w:r>
          </w:p>
        </w:tc>
      </w:tr>
      <w:tr w14:paraId="710E5E1B">
        <w:tblPrEx>
          <w:tblCellMar>
            <w:top w:w="0" w:type="dxa"/>
            <w:left w:w="108" w:type="dxa"/>
            <w:bottom w:w="0" w:type="dxa"/>
            <w:right w:w="108" w:type="dxa"/>
          </w:tblCellMar>
        </w:tblPrEx>
        <w:trPr>
          <w:trHeight w:val="225" w:hRule="atLeast"/>
        </w:trPr>
        <w:tc>
          <w:tcPr>
            <w:tcW w:w="1044" w:type="pct"/>
            <w:vMerge w:val="restart"/>
            <w:tcBorders>
              <w:top w:val="nil"/>
              <w:left w:val="single" w:color="auto" w:sz="4" w:space="0"/>
              <w:bottom w:val="single" w:color="auto" w:sz="4" w:space="0"/>
              <w:right w:val="single" w:color="auto" w:sz="4" w:space="0"/>
            </w:tcBorders>
            <w:vAlign w:val="bottom"/>
          </w:tcPr>
          <w:p w14:paraId="065FAA9B">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租赁和商务服务业</w:t>
            </w:r>
          </w:p>
        </w:tc>
        <w:tc>
          <w:tcPr>
            <w:tcW w:w="1044" w:type="pct"/>
            <w:tcBorders>
              <w:top w:val="nil"/>
              <w:left w:val="nil"/>
              <w:bottom w:val="single" w:color="auto" w:sz="4" w:space="0"/>
              <w:right w:val="single" w:color="auto" w:sz="4" w:space="0"/>
            </w:tcBorders>
            <w:vAlign w:val="center"/>
          </w:tcPr>
          <w:p w14:paraId="01443AB6">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447" w:type="pct"/>
            <w:tcBorders>
              <w:top w:val="nil"/>
              <w:left w:val="nil"/>
              <w:bottom w:val="single" w:color="auto" w:sz="4" w:space="0"/>
              <w:right w:val="single" w:color="auto" w:sz="4" w:space="0"/>
            </w:tcBorders>
            <w:vAlign w:val="center"/>
          </w:tcPr>
          <w:p w14:paraId="399A150C">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970" w:type="pct"/>
            <w:tcBorders>
              <w:top w:val="nil"/>
              <w:left w:val="nil"/>
              <w:bottom w:val="single" w:color="auto" w:sz="4" w:space="0"/>
              <w:right w:val="single" w:color="auto" w:sz="4" w:space="0"/>
            </w:tcBorders>
            <w:vAlign w:val="center"/>
          </w:tcPr>
          <w:p w14:paraId="53AD4104">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895" w:type="pct"/>
            <w:tcBorders>
              <w:top w:val="nil"/>
              <w:left w:val="nil"/>
              <w:bottom w:val="single" w:color="auto" w:sz="4" w:space="0"/>
              <w:right w:val="single" w:color="auto" w:sz="4" w:space="0"/>
            </w:tcBorders>
            <w:vAlign w:val="center"/>
          </w:tcPr>
          <w:p w14:paraId="2243AA65">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596" w:type="pct"/>
            <w:tcBorders>
              <w:top w:val="nil"/>
              <w:left w:val="nil"/>
              <w:bottom w:val="single" w:color="auto" w:sz="4" w:space="0"/>
              <w:right w:val="single" w:color="auto" w:sz="4" w:space="0"/>
            </w:tcBorders>
            <w:vAlign w:val="center"/>
          </w:tcPr>
          <w:p w14:paraId="7642C3BF">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37D27F2A">
        <w:tblPrEx>
          <w:tblCellMar>
            <w:top w:w="0" w:type="dxa"/>
            <w:left w:w="108" w:type="dxa"/>
            <w:bottom w:w="0" w:type="dxa"/>
            <w:right w:w="108" w:type="dxa"/>
          </w:tblCellMar>
        </w:tblPrEx>
        <w:trPr>
          <w:trHeight w:val="225" w:hRule="atLeast"/>
        </w:trPr>
        <w:tc>
          <w:tcPr>
            <w:tcW w:w="1044" w:type="pct"/>
            <w:vMerge w:val="continue"/>
            <w:tcBorders>
              <w:top w:val="nil"/>
              <w:left w:val="single" w:color="auto" w:sz="4" w:space="0"/>
              <w:bottom w:val="single" w:color="auto" w:sz="4" w:space="0"/>
              <w:right w:val="single" w:color="auto" w:sz="4" w:space="0"/>
            </w:tcBorders>
            <w:vAlign w:val="center"/>
          </w:tcPr>
          <w:p w14:paraId="6CF1EBB0">
            <w:pPr>
              <w:keepNext w:val="0"/>
              <w:keepLines w:val="0"/>
              <w:widowControl/>
              <w:suppressLineNumbers w:val="0"/>
              <w:spacing w:before="0" w:beforeAutospacing="0" w:after="0" w:afterAutospacing="0"/>
              <w:ind w:left="0" w:right="0"/>
              <w:jc w:val="left"/>
              <w:rPr>
                <w:rFonts w:hint="eastAsia" w:ascii="仿宋_GB2312" w:hAnsi="仿宋" w:eastAsia="仿宋_GB2312" w:cs="宋体"/>
                <w:b/>
                <w:bCs/>
                <w:color w:val="auto"/>
                <w:kern w:val="0"/>
                <w:sz w:val="18"/>
                <w:szCs w:val="18"/>
                <w:highlight w:val="none"/>
              </w:rPr>
            </w:pPr>
          </w:p>
        </w:tc>
        <w:tc>
          <w:tcPr>
            <w:tcW w:w="1044" w:type="pct"/>
            <w:tcBorders>
              <w:top w:val="nil"/>
              <w:left w:val="nil"/>
              <w:bottom w:val="single" w:color="auto" w:sz="4" w:space="0"/>
              <w:right w:val="single" w:color="auto" w:sz="4" w:space="0"/>
            </w:tcBorders>
            <w:vAlign w:val="center"/>
          </w:tcPr>
          <w:p w14:paraId="14A7304A">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447" w:type="pct"/>
            <w:tcBorders>
              <w:top w:val="nil"/>
              <w:left w:val="nil"/>
              <w:bottom w:val="single" w:color="auto" w:sz="4" w:space="0"/>
              <w:right w:val="single" w:color="auto" w:sz="4" w:space="0"/>
            </w:tcBorders>
            <w:vAlign w:val="center"/>
          </w:tcPr>
          <w:p w14:paraId="5E6C8FF0">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970" w:type="pct"/>
            <w:tcBorders>
              <w:top w:val="nil"/>
              <w:left w:val="nil"/>
              <w:bottom w:val="single" w:color="auto" w:sz="4" w:space="0"/>
              <w:right w:val="single" w:color="auto" w:sz="4" w:space="0"/>
            </w:tcBorders>
            <w:vAlign w:val="center"/>
          </w:tcPr>
          <w:p w14:paraId="42E103B4">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8000≤Z＜120000</w:t>
            </w:r>
          </w:p>
        </w:tc>
        <w:tc>
          <w:tcPr>
            <w:tcW w:w="895" w:type="pct"/>
            <w:tcBorders>
              <w:top w:val="nil"/>
              <w:left w:val="nil"/>
              <w:bottom w:val="single" w:color="auto" w:sz="4" w:space="0"/>
              <w:right w:val="single" w:color="auto" w:sz="4" w:space="0"/>
            </w:tcBorders>
            <w:vAlign w:val="center"/>
          </w:tcPr>
          <w:p w14:paraId="194C6017">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100≤Z＜8000</w:t>
            </w:r>
          </w:p>
        </w:tc>
        <w:tc>
          <w:tcPr>
            <w:tcW w:w="596" w:type="pct"/>
            <w:tcBorders>
              <w:top w:val="nil"/>
              <w:left w:val="nil"/>
              <w:bottom w:val="single" w:color="auto" w:sz="4" w:space="0"/>
              <w:right w:val="single" w:color="auto" w:sz="4" w:space="0"/>
            </w:tcBorders>
            <w:vAlign w:val="center"/>
          </w:tcPr>
          <w:p w14:paraId="38084A85">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7DBB6453">
        <w:tblPrEx>
          <w:tblCellMar>
            <w:top w:w="0" w:type="dxa"/>
            <w:left w:w="108" w:type="dxa"/>
            <w:bottom w:w="0" w:type="dxa"/>
            <w:right w:w="108" w:type="dxa"/>
          </w:tblCellMar>
        </w:tblPrEx>
        <w:trPr>
          <w:trHeight w:val="225" w:hRule="atLeast"/>
        </w:trPr>
        <w:tc>
          <w:tcPr>
            <w:tcW w:w="1044" w:type="pct"/>
            <w:tcBorders>
              <w:top w:val="nil"/>
              <w:left w:val="single" w:color="auto" w:sz="4" w:space="0"/>
              <w:bottom w:val="single" w:color="auto" w:sz="4" w:space="0"/>
              <w:right w:val="single" w:color="auto" w:sz="4" w:space="0"/>
            </w:tcBorders>
            <w:vAlign w:val="bottom"/>
          </w:tcPr>
          <w:p w14:paraId="1CF4F7E5">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其他未列明行业</w:t>
            </w:r>
          </w:p>
        </w:tc>
        <w:tc>
          <w:tcPr>
            <w:tcW w:w="1044" w:type="pct"/>
            <w:tcBorders>
              <w:top w:val="nil"/>
              <w:left w:val="nil"/>
              <w:bottom w:val="single" w:color="auto" w:sz="4" w:space="0"/>
              <w:right w:val="single" w:color="auto" w:sz="4" w:space="0"/>
            </w:tcBorders>
            <w:vAlign w:val="center"/>
          </w:tcPr>
          <w:p w14:paraId="402A6EFA">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447" w:type="pct"/>
            <w:tcBorders>
              <w:top w:val="nil"/>
              <w:left w:val="nil"/>
              <w:bottom w:val="single" w:color="auto" w:sz="4" w:space="0"/>
              <w:right w:val="single" w:color="auto" w:sz="4" w:space="0"/>
            </w:tcBorders>
            <w:vAlign w:val="center"/>
          </w:tcPr>
          <w:p w14:paraId="6435D878">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970" w:type="pct"/>
            <w:tcBorders>
              <w:top w:val="nil"/>
              <w:left w:val="nil"/>
              <w:bottom w:val="single" w:color="auto" w:sz="4" w:space="0"/>
              <w:right w:val="single" w:color="auto" w:sz="4" w:space="0"/>
            </w:tcBorders>
            <w:vAlign w:val="center"/>
          </w:tcPr>
          <w:p w14:paraId="1806C878">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895" w:type="pct"/>
            <w:tcBorders>
              <w:top w:val="nil"/>
              <w:left w:val="nil"/>
              <w:bottom w:val="single" w:color="auto" w:sz="4" w:space="0"/>
              <w:right w:val="single" w:color="auto" w:sz="4" w:space="0"/>
            </w:tcBorders>
            <w:vAlign w:val="center"/>
          </w:tcPr>
          <w:p w14:paraId="75166A46">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596" w:type="pct"/>
            <w:tcBorders>
              <w:top w:val="nil"/>
              <w:left w:val="nil"/>
              <w:bottom w:val="single" w:color="auto" w:sz="4" w:space="0"/>
              <w:right w:val="single" w:color="auto" w:sz="4" w:space="0"/>
            </w:tcBorders>
            <w:vAlign w:val="center"/>
          </w:tcPr>
          <w:p w14:paraId="27A7683B">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bl>
    <w:p w14:paraId="0199D5DD">
      <w:pPr>
        <w:pStyle w:val="8"/>
        <w:rPr>
          <w:color w:val="auto"/>
          <w:highlight w:val="none"/>
        </w:rPr>
      </w:pPr>
    </w:p>
    <w:p w14:paraId="2294D6ED">
      <w:pPr>
        <w:spacing w:line="400" w:lineRule="exact"/>
        <w:ind w:firstLine="525" w:firstLineChars="250"/>
        <w:rPr>
          <w:rFonts w:hint="eastAsia" w:ascii="仿宋_GB2312" w:hAnsi="仿宋" w:eastAsia="仿宋_GB2312"/>
          <w:color w:val="auto"/>
          <w:szCs w:val="21"/>
          <w:highlight w:val="none"/>
        </w:rPr>
      </w:pPr>
      <w:r>
        <w:rPr>
          <w:rFonts w:hint="eastAsia" w:ascii="仿宋_GB2312" w:hAnsi="仿宋" w:eastAsia="仿宋_GB2312"/>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0F02E7E0">
      <w:pPr>
        <w:widowControl/>
        <w:spacing w:line="400" w:lineRule="exact"/>
        <w:jc w:val="left"/>
        <w:rPr>
          <w:rFonts w:hint="eastAsia" w:ascii="宋体" w:hAnsi="宋体"/>
          <w:color w:val="auto"/>
          <w:kern w:val="0"/>
          <w:sz w:val="20"/>
          <w:szCs w:val="21"/>
          <w:highlight w:val="none"/>
        </w:rPr>
        <w:sectPr>
          <w:pgSz w:w="11911" w:h="16838"/>
          <w:pgMar w:top="1417" w:right="1417" w:bottom="1417" w:left="1417" w:header="720" w:footer="720" w:gutter="0"/>
          <w:cols w:space="0" w:num="1"/>
          <w:rtlGutter w:val="0"/>
          <w:docGrid w:linePitch="331" w:charSpace="0"/>
        </w:sectPr>
      </w:pPr>
    </w:p>
    <w:p w14:paraId="092B792D">
      <w:pPr>
        <w:pStyle w:val="2"/>
        <w:spacing w:before="120" w:after="120" w:line="500" w:lineRule="exact"/>
        <w:jc w:val="center"/>
        <w:rPr>
          <w:color w:val="auto"/>
          <w:highlight w:val="none"/>
        </w:rPr>
      </w:pPr>
      <w:bookmarkStart w:id="27" w:name="_Toc11561"/>
      <w:r>
        <w:rPr>
          <w:rFonts w:hint="eastAsia" w:ascii="Cambria" w:hAnsi="Cambria"/>
          <w:bCs w:val="0"/>
          <w:color w:val="auto"/>
          <w:sz w:val="32"/>
          <w:szCs w:val="32"/>
          <w:highlight w:val="none"/>
        </w:rPr>
        <w:t>第三章</w:t>
      </w:r>
      <w:r>
        <w:rPr>
          <w:rFonts w:ascii="Cambria" w:hAnsi="Cambria"/>
          <w:bCs w:val="0"/>
          <w:color w:val="auto"/>
          <w:sz w:val="32"/>
          <w:szCs w:val="32"/>
          <w:highlight w:val="none"/>
        </w:rPr>
        <w:t xml:space="preserve"> </w:t>
      </w:r>
      <w:r>
        <w:rPr>
          <w:rFonts w:hint="eastAsia" w:ascii="Cambria" w:hAnsi="Cambria"/>
          <w:bCs w:val="0"/>
          <w:color w:val="auto"/>
          <w:sz w:val="32"/>
          <w:szCs w:val="32"/>
          <w:highlight w:val="none"/>
        </w:rPr>
        <w:t>供应商须知</w:t>
      </w:r>
      <w:bookmarkEnd w:id="27"/>
    </w:p>
    <w:p w14:paraId="013E1F1C">
      <w:pPr>
        <w:pStyle w:val="3"/>
        <w:jc w:val="center"/>
        <w:rPr>
          <w:rFonts w:hint="eastAsia" w:ascii="宋体" w:hAnsi="宋体"/>
          <w:b w:val="0"/>
          <w:color w:val="auto"/>
          <w:highlight w:val="none"/>
        </w:rPr>
      </w:pPr>
      <w:bookmarkStart w:id="28" w:name="_Toc25061"/>
      <w:r>
        <w:rPr>
          <w:rFonts w:hint="eastAsia" w:ascii="宋体" w:hAnsi="宋体"/>
          <w:b w:val="0"/>
          <w:color w:val="auto"/>
          <w:highlight w:val="none"/>
        </w:rPr>
        <w:t>第一节 供应商须知前附表</w:t>
      </w:r>
      <w:bookmarkEnd w:id="28"/>
    </w:p>
    <w:tbl>
      <w:tblPr>
        <w:tblStyle w:val="22"/>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46"/>
        <w:gridCol w:w="2397"/>
        <w:gridCol w:w="6046"/>
      </w:tblGrid>
      <w:tr w14:paraId="25CEF9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3" w:hRule="atLeast"/>
          <w:jc w:val="center"/>
        </w:trPr>
        <w:tc>
          <w:tcPr>
            <w:tcW w:w="349" w:type="pct"/>
            <w:tcBorders>
              <w:top w:val="single" w:color="000000" w:sz="4" w:space="0"/>
              <w:left w:val="single" w:color="000000" w:sz="4" w:space="0"/>
              <w:bottom w:val="single" w:color="000000" w:sz="4" w:space="0"/>
              <w:right w:val="single" w:color="000000" w:sz="4" w:space="0"/>
            </w:tcBorders>
            <w:vAlign w:val="center"/>
          </w:tcPr>
          <w:p w14:paraId="46FEB52D">
            <w:pPr>
              <w:keepNext w:val="0"/>
              <w:keepLines w:val="0"/>
              <w:suppressLineNumbers w:val="0"/>
              <w:spacing w:before="0" w:beforeAutospacing="0" w:after="0" w:afterAutospacing="0" w:line="360" w:lineRule="auto"/>
              <w:ind w:left="0" w:right="0"/>
              <w:jc w:val="center"/>
              <w:rPr>
                <w:rFonts w:hint="eastAsia" w:ascii="宋体" w:hAnsi="宋体" w:cs="宋体"/>
                <w:b/>
                <w:color w:val="auto"/>
                <w:szCs w:val="21"/>
                <w:highlight w:val="none"/>
              </w:rPr>
            </w:pPr>
            <w:r>
              <w:rPr>
                <w:rFonts w:hint="eastAsia" w:ascii="宋体" w:hAnsi="宋体" w:cs="宋体"/>
                <w:b/>
                <w:color w:val="auto"/>
                <w:szCs w:val="21"/>
                <w:highlight w:val="none"/>
              </w:rPr>
              <w:t>条款号</w:t>
            </w:r>
          </w:p>
        </w:tc>
        <w:tc>
          <w:tcPr>
            <w:tcW w:w="1343" w:type="pct"/>
            <w:tcBorders>
              <w:top w:val="single" w:color="000000" w:sz="4" w:space="0"/>
              <w:left w:val="single" w:color="000000" w:sz="4" w:space="0"/>
              <w:bottom w:val="single" w:color="000000" w:sz="4" w:space="0"/>
              <w:right w:val="single" w:color="000000" w:sz="4" w:space="0"/>
            </w:tcBorders>
            <w:vAlign w:val="center"/>
          </w:tcPr>
          <w:p w14:paraId="76F782AD">
            <w:pPr>
              <w:keepNext w:val="0"/>
              <w:keepLines w:val="0"/>
              <w:suppressLineNumbers w:val="0"/>
              <w:spacing w:before="0" w:beforeAutospacing="0" w:after="0" w:afterAutospacing="0" w:line="360" w:lineRule="auto"/>
              <w:ind w:left="0" w:right="0"/>
              <w:jc w:val="center"/>
              <w:rPr>
                <w:rFonts w:hint="eastAsia" w:ascii="宋体" w:hAnsi="宋体" w:cs="宋体"/>
                <w:b/>
                <w:color w:val="auto"/>
                <w:szCs w:val="21"/>
                <w:highlight w:val="none"/>
              </w:rPr>
            </w:pPr>
            <w:r>
              <w:rPr>
                <w:rFonts w:hint="eastAsia" w:ascii="宋体" w:hAnsi="宋体" w:cs="宋体"/>
                <w:b/>
                <w:color w:val="auto"/>
                <w:szCs w:val="21"/>
                <w:highlight w:val="none"/>
              </w:rPr>
              <w:t>条款内容</w:t>
            </w:r>
          </w:p>
        </w:tc>
        <w:tc>
          <w:tcPr>
            <w:tcW w:w="3306" w:type="pct"/>
            <w:tcBorders>
              <w:top w:val="single" w:color="000000" w:sz="4" w:space="0"/>
              <w:left w:val="single" w:color="000000" w:sz="4" w:space="0"/>
              <w:bottom w:val="single" w:color="000000" w:sz="4" w:space="0"/>
              <w:right w:val="single" w:color="000000" w:sz="4" w:space="0"/>
            </w:tcBorders>
            <w:vAlign w:val="center"/>
          </w:tcPr>
          <w:p w14:paraId="5DC38362">
            <w:pPr>
              <w:keepNext w:val="0"/>
              <w:keepLines w:val="0"/>
              <w:suppressLineNumbers w:val="0"/>
              <w:spacing w:before="0" w:beforeAutospacing="0" w:after="0" w:afterAutospacing="0" w:line="360" w:lineRule="auto"/>
              <w:ind w:left="0" w:right="0"/>
              <w:jc w:val="center"/>
              <w:rPr>
                <w:rFonts w:hint="eastAsia" w:ascii="宋体" w:hAnsi="宋体" w:cs="宋体"/>
                <w:b/>
                <w:color w:val="auto"/>
                <w:szCs w:val="21"/>
                <w:highlight w:val="none"/>
              </w:rPr>
            </w:pPr>
            <w:r>
              <w:rPr>
                <w:rFonts w:hint="eastAsia" w:ascii="宋体" w:hAnsi="宋体" w:cs="宋体"/>
                <w:b/>
                <w:color w:val="auto"/>
                <w:szCs w:val="21"/>
                <w:highlight w:val="none"/>
              </w:rPr>
              <w:t>具体要求</w:t>
            </w:r>
          </w:p>
        </w:tc>
      </w:tr>
      <w:tr w14:paraId="12A1FA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9" w:type="pct"/>
            <w:tcBorders>
              <w:top w:val="single" w:color="000000" w:sz="4" w:space="0"/>
              <w:left w:val="single" w:color="000000" w:sz="4" w:space="0"/>
              <w:bottom w:val="single" w:color="000000" w:sz="4" w:space="0"/>
              <w:right w:val="single" w:color="000000" w:sz="4" w:space="0"/>
            </w:tcBorders>
            <w:vAlign w:val="center"/>
          </w:tcPr>
          <w:p w14:paraId="365D1B33">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3.1</w:t>
            </w:r>
          </w:p>
        </w:tc>
        <w:tc>
          <w:tcPr>
            <w:tcW w:w="1343" w:type="pct"/>
            <w:tcBorders>
              <w:top w:val="single" w:color="000000" w:sz="4" w:space="0"/>
              <w:left w:val="single" w:color="000000" w:sz="4" w:space="0"/>
              <w:bottom w:val="single" w:color="000000" w:sz="4" w:space="0"/>
              <w:right w:val="single" w:color="000000" w:sz="4" w:space="0"/>
            </w:tcBorders>
            <w:vAlign w:val="center"/>
          </w:tcPr>
          <w:p w14:paraId="2C702700">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供应商资格条件</w:t>
            </w:r>
          </w:p>
        </w:tc>
        <w:tc>
          <w:tcPr>
            <w:tcW w:w="3306" w:type="pct"/>
            <w:tcBorders>
              <w:top w:val="single" w:color="000000" w:sz="4" w:space="0"/>
              <w:left w:val="single" w:color="000000" w:sz="4" w:space="0"/>
              <w:bottom w:val="single" w:color="000000" w:sz="4" w:space="0"/>
              <w:right w:val="single" w:color="000000" w:sz="4" w:space="0"/>
            </w:tcBorders>
          </w:tcPr>
          <w:p w14:paraId="06CA0E34">
            <w:pPr>
              <w:keepNext w:val="0"/>
              <w:keepLines w:val="0"/>
              <w:suppressLineNumbers w:val="0"/>
              <w:spacing w:before="0" w:beforeAutospacing="0" w:after="0" w:afterAutospacing="0" w:line="360" w:lineRule="auto"/>
              <w:ind w:left="0" w:right="0"/>
              <w:rPr>
                <w:rFonts w:hint="eastAsia" w:ascii="宋体" w:hAnsi="宋体"/>
                <w:color w:val="auto"/>
                <w:szCs w:val="21"/>
                <w:highlight w:val="none"/>
              </w:rPr>
            </w:pPr>
            <w:r>
              <w:rPr>
                <w:rFonts w:hint="eastAsia" w:ascii="宋体" w:hAnsi="宋体"/>
                <w:color w:val="auto"/>
                <w:szCs w:val="21"/>
                <w:highlight w:val="none"/>
              </w:rPr>
              <w:t>供应商资格条件要求详见公告。</w:t>
            </w:r>
          </w:p>
        </w:tc>
      </w:tr>
      <w:tr w14:paraId="29B7B6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9" w:type="pct"/>
            <w:tcBorders>
              <w:top w:val="single" w:color="000000" w:sz="4" w:space="0"/>
              <w:left w:val="single" w:color="000000" w:sz="4" w:space="0"/>
              <w:bottom w:val="single" w:color="000000" w:sz="4" w:space="0"/>
              <w:right w:val="single" w:color="000000" w:sz="4" w:space="0"/>
            </w:tcBorders>
            <w:vAlign w:val="center"/>
          </w:tcPr>
          <w:p w14:paraId="005C5051">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5.1</w:t>
            </w:r>
          </w:p>
        </w:tc>
        <w:tc>
          <w:tcPr>
            <w:tcW w:w="1343" w:type="pct"/>
            <w:tcBorders>
              <w:top w:val="single" w:color="000000" w:sz="4" w:space="0"/>
              <w:left w:val="single" w:color="000000" w:sz="4" w:space="0"/>
              <w:bottom w:val="single" w:color="000000" w:sz="4" w:space="0"/>
              <w:right w:val="single" w:color="000000" w:sz="4" w:space="0"/>
            </w:tcBorders>
            <w:vAlign w:val="center"/>
          </w:tcPr>
          <w:p w14:paraId="19C99A06">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是否接受联合体竞标</w:t>
            </w:r>
          </w:p>
        </w:tc>
        <w:tc>
          <w:tcPr>
            <w:tcW w:w="3306" w:type="pct"/>
            <w:tcBorders>
              <w:top w:val="single" w:color="000000" w:sz="4" w:space="0"/>
              <w:left w:val="single" w:color="000000" w:sz="4" w:space="0"/>
              <w:bottom w:val="single" w:color="000000" w:sz="4" w:space="0"/>
              <w:right w:val="single" w:color="000000" w:sz="4" w:space="0"/>
            </w:tcBorders>
            <w:vAlign w:val="center"/>
          </w:tcPr>
          <w:p w14:paraId="264E075B">
            <w:pPr>
              <w:keepNext w:val="0"/>
              <w:keepLines w:val="0"/>
              <w:suppressLineNumbers w:val="0"/>
              <w:spacing w:before="0" w:beforeAutospacing="0" w:after="0" w:afterAutospacing="0" w:line="360" w:lineRule="auto"/>
              <w:ind w:left="0" w:right="0"/>
              <w:rPr>
                <w:rFonts w:hint="eastAsia" w:ascii="宋体" w:hAnsi="宋体" w:cs="宋体"/>
                <w:color w:val="auto"/>
                <w:szCs w:val="21"/>
                <w:highlight w:val="none"/>
              </w:rPr>
            </w:pPr>
            <w:bookmarkStart w:id="29" w:name="PO_3000001868_PM007"/>
            <w:r>
              <w:rPr>
                <w:rFonts w:hint="eastAsia" w:ascii="宋体" w:hAnsi="宋体"/>
                <w:color w:val="auto"/>
                <w:szCs w:val="21"/>
                <w:highlight w:val="none"/>
              </w:rPr>
              <w:t>不允许联合体</w:t>
            </w:r>
            <w:bookmarkEnd w:id="29"/>
            <w:r>
              <w:rPr>
                <w:rFonts w:hint="eastAsia" w:ascii="宋体" w:hAnsi="宋体"/>
                <w:color w:val="auto"/>
                <w:szCs w:val="21"/>
                <w:highlight w:val="none"/>
              </w:rPr>
              <w:t>竞标</w:t>
            </w:r>
          </w:p>
        </w:tc>
      </w:tr>
      <w:tr w14:paraId="46D865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9" w:type="pct"/>
            <w:tcBorders>
              <w:top w:val="single" w:color="000000" w:sz="4" w:space="0"/>
              <w:left w:val="single" w:color="000000" w:sz="4" w:space="0"/>
              <w:bottom w:val="single" w:color="000000" w:sz="4" w:space="0"/>
              <w:right w:val="single" w:color="000000" w:sz="4" w:space="0"/>
            </w:tcBorders>
            <w:vAlign w:val="center"/>
          </w:tcPr>
          <w:p w14:paraId="06B53C98">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5.2</w:t>
            </w:r>
          </w:p>
        </w:tc>
        <w:tc>
          <w:tcPr>
            <w:tcW w:w="1343" w:type="pct"/>
            <w:tcBorders>
              <w:top w:val="single" w:color="000000" w:sz="4" w:space="0"/>
              <w:left w:val="single" w:color="000000" w:sz="4" w:space="0"/>
              <w:bottom w:val="single" w:color="000000" w:sz="4" w:space="0"/>
              <w:right w:val="single" w:color="000000" w:sz="4" w:space="0"/>
            </w:tcBorders>
            <w:vAlign w:val="center"/>
          </w:tcPr>
          <w:p w14:paraId="49D837A3">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olor w:val="auto"/>
                <w:szCs w:val="21"/>
                <w:highlight w:val="none"/>
              </w:rPr>
              <w:t>联合体竞标要求</w:t>
            </w:r>
          </w:p>
        </w:tc>
        <w:tc>
          <w:tcPr>
            <w:tcW w:w="3306" w:type="pct"/>
            <w:tcBorders>
              <w:top w:val="single" w:color="000000" w:sz="4" w:space="0"/>
              <w:left w:val="single" w:color="000000" w:sz="4" w:space="0"/>
              <w:bottom w:val="single" w:color="000000" w:sz="4" w:space="0"/>
              <w:right w:val="single" w:color="000000" w:sz="4" w:space="0"/>
            </w:tcBorders>
            <w:vAlign w:val="center"/>
          </w:tcPr>
          <w:p w14:paraId="0DBDE716">
            <w:pPr>
              <w:keepNext w:val="0"/>
              <w:keepLines w:val="0"/>
              <w:suppressLineNumbers w:val="0"/>
              <w:spacing w:before="0" w:beforeAutospacing="0" w:after="0" w:afterAutospacing="0" w:line="360" w:lineRule="auto"/>
              <w:ind w:left="0" w:right="0"/>
              <w:rPr>
                <w:rFonts w:hint="eastAsia" w:ascii="宋体" w:hAnsi="宋体" w:cs="宋体"/>
                <w:color w:val="auto"/>
                <w:szCs w:val="21"/>
                <w:highlight w:val="none"/>
              </w:rPr>
            </w:pPr>
            <w:r>
              <w:rPr>
                <w:rFonts w:hint="eastAsia" w:ascii="宋体" w:hAnsi="宋体" w:cs="宋体"/>
                <w:color w:val="auto"/>
                <w:szCs w:val="21"/>
                <w:highlight w:val="none"/>
              </w:rPr>
              <w:t>无</w:t>
            </w:r>
          </w:p>
        </w:tc>
      </w:tr>
      <w:tr w14:paraId="25F7E6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9" w:type="pct"/>
            <w:tcBorders>
              <w:top w:val="single" w:color="000000" w:sz="4" w:space="0"/>
              <w:left w:val="single" w:color="000000" w:sz="4" w:space="0"/>
              <w:bottom w:val="single" w:color="000000" w:sz="4" w:space="0"/>
              <w:right w:val="single" w:color="000000" w:sz="4" w:space="0"/>
            </w:tcBorders>
            <w:vAlign w:val="center"/>
          </w:tcPr>
          <w:p w14:paraId="6CD81E45">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6.1</w:t>
            </w:r>
          </w:p>
        </w:tc>
        <w:tc>
          <w:tcPr>
            <w:tcW w:w="1343" w:type="pct"/>
            <w:tcBorders>
              <w:top w:val="single" w:color="000000" w:sz="4" w:space="0"/>
              <w:left w:val="single" w:color="000000" w:sz="4" w:space="0"/>
              <w:bottom w:val="single" w:color="000000" w:sz="4" w:space="0"/>
              <w:right w:val="single" w:color="000000" w:sz="4" w:space="0"/>
            </w:tcBorders>
            <w:vAlign w:val="center"/>
          </w:tcPr>
          <w:p w14:paraId="5178E94C">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是否允许分包</w:t>
            </w:r>
          </w:p>
        </w:tc>
        <w:tc>
          <w:tcPr>
            <w:tcW w:w="3306" w:type="pct"/>
            <w:tcBorders>
              <w:top w:val="single" w:color="000000" w:sz="4" w:space="0"/>
              <w:left w:val="single" w:color="000000" w:sz="4" w:space="0"/>
              <w:bottom w:val="single" w:color="000000" w:sz="4" w:space="0"/>
              <w:right w:val="single" w:color="000000" w:sz="4" w:space="0"/>
            </w:tcBorders>
            <w:vAlign w:val="center"/>
          </w:tcPr>
          <w:p w14:paraId="7A4EACAB">
            <w:pPr>
              <w:keepNext w:val="0"/>
              <w:keepLines w:val="0"/>
              <w:suppressLineNumbers w:val="0"/>
              <w:spacing w:before="0" w:beforeAutospacing="0" w:after="0" w:afterAutospacing="0" w:line="360" w:lineRule="auto"/>
              <w:ind w:left="0" w:right="0"/>
              <w:rPr>
                <w:rFonts w:hint="eastAsia" w:ascii="宋体" w:hAnsi="宋体" w:cs="宋体"/>
                <w:color w:val="auto"/>
                <w:kern w:val="0"/>
                <w:sz w:val="24"/>
                <w:szCs w:val="21"/>
                <w:highlight w:val="none"/>
              </w:rPr>
            </w:pPr>
            <w:bookmarkStart w:id="30" w:name="PO_3000001868_PM044"/>
            <w:r>
              <w:rPr>
                <w:rFonts w:hint="eastAsia" w:ascii="宋体" w:hAnsi="宋体"/>
                <w:color w:val="auto"/>
                <w:szCs w:val="21"/>
                <w:highlight w:val="none"/>
              </w:rPr>
              <w:t>不允许分包</w:t>
            </w:r>
            <w:bookmarkEnd w:id="30"/>
          </w:p>
        </w:tc>
      </w:tr>
      <w:tr w14:paraId="002AC2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9" w:type="pct"/>
            <w:tcBorders>
              <w:top w:val="single" w:color="000000" w:sz="4" w:space="0"/>
              <w:left w:val="single" w:color="000000" w:sz="4" w:space="0"/>
              <w:bottom w:val="single" w:color="000000" w:sz="4" w:space="0"/>
              <w:right w:val="single" w:color="000000" w:sz="4" w:space="0"/>
            </w:tcBorders>
            <w:vAlign w:val="center"/>
          </w:tcPr>
          <w:p w14:paraId="51FC85D2">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12.1.1</w:t>
            </w:r>
          </w:p>
        </w:tc>
        <w:tc>
          <w:tcPr>
            <w:tcW w:w="1343" w:type="pct"/>
            <w:tcBorders>
              <w:top w:val="single" w:color="000000" w:sz="4" w:space="0"/>
              <w:left w:val="single" w:color="000000" w:sz="4" w:space="0"/>
              <w:bottom w:val="single" w:color="000000" w:sz="4" w:space="0"/>
              <w:right w:val="single" w:color="000000" w:sz="4" w:space="0"/>
            </w:tcBorders>
            <w:vAlign w:val="center"/>
          </w:tcPr>
          <w:p w14:paraId="67110C04">
            <w:pPr>
              <w:keepNext w:val="0"/>
              <w:keepLines w:val="0"/>
              <w:suppressLineNumbers w:val="0"/>
              <w:snapToGrid w:val="0"/>
              <w:spacing w:before="0" w:beforeAutospacing="0" w:after="0" w:afterAutospacing="0" w:line="360" w:lineRule="auto"/>
              <w:ind w:left="0" w:right="0"/>
              <w:jc w:val="center"/>
              <w:rPr>
                <w:rFonts w:hint="eastAsia" w:ascii="宋体" w:hAnsi="宋体" w:cs="宋体"/>
                <w:b/>
                <w:color w:val="auto"/>
                <w:szCs w:val="21"/>
                <w:highlight w:val="none"/>
              </w:rPr>
            </w:pPr>
            <w:r>
              <w:rPr>
                <w:rFonts w:hint="eastAsia" w:ascii="宋体" w:hAnsi="宋体" w:cs="宋体"/>
                <w:b/>
                <w:color w:val="auto"/>
                <w:szCs w:val="21"/>
                <w:highlight w:val="none"/>
              </w:rPr>
              <w:t>资格证明文件组成</w:t>
            </w:r>
          </w:p>
          <w:p w14:paraId="448F7D31">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3306" w:type="pct"/>
            <w:tcBorders>
              <w:top w:val="single" w:color="000000" w:sz="4" w:space="0"/>
              <w:left w:val="single" w:color="000000" w:sz="4" w:space="0"/>
              <w:bottom w:val="single" w:color="000000" w:sz="4" w:space="0"/>
              <w:right w:val="single" w:color="000000" w:sz="4" w:space="0"/>
            </w:tcBorders>
            <w:vAlign w:val="center"/>
          </w:tcPr>
          <w:p w14:paraId="062CC382">
            <w:pPr>
              <w:keepNext w:val="0"/>
              <w:keepLines w:val="0"/>
              <w:suppressLineNumbers w:val="0"/>
              <w:snapToGrid w:val="0"/>
              <w:spacing w:before="0" w:beforeAutospacing="0" w:after="0" w:afterAutospacing="0" w:line="360" w:lineRule="auto"/>
              <w:ind w:left="0" w:right="0" w:firstLine="411" w:firstLineChars="196"/>
              <w:jc w:val="left"/>
              <w:rPr>
                <w:rFonts w:hint="eastAsia" w:ascii="宋体" w:hAnsi="宋体" w:cs="宋体"/>
                <w:color w:val="auto"/>
                <w:szCs w:val="21"/>
                <w:highlight w:val="none"/>
              </w:rPr>
            </w:pPr>
            <w:r>
              <w:rPr>
                <w:rFonts w:hint="eastAsia" w:ascii="宋体" w:hAnsi="宋体" w:cs="宋体"/>
                <w:color w:val="auto"/>
                <w:szCs w:val="21"/>
                <w:highlight w:val="none"/>
              </w:rPr>
              <w:t>1.供应商为法人或者其他组织的提供其营业执照等证明文件（如营业执照或者事业单位法人证书或者执业许可证等），供应商为自然人的提供其身份证复印件；</w:t>
            </w:r>
            <w:r>
              <w:rPr>
                <w:rFonts w:hint="eastAsia" w:ascii="宋体" w:hAnsi="宋体" w:cs="宋体"/>
                <w:b/>
                <w:bCs/>
                <w:color w:val="auto"/>
                <w:szCs w:val="21"/>
                <w:highlight w:val="none"/>
              </w:rPr>
              <w:t>（必须提供，否则响应文件按无效响应处理）</w:t>
            </w:r>
          </w:p>
          <w:p w14:paraId="74385E3D">
            <w:pPr>
              <w:keepNext w:val="0"/>
              <w:keepLines w:val="0"/>
              <w:suppressLineNumbers w:val="0"/>
              <w:snapToGrid w:val="0"/>
              <w:spacing w:before="0" w:beforeAutospacing="0" w:after="0" w:afterAutospacing="0" w:line="360" w:lineRule="auto"/>
              <w:ind w:left="0" w:right="0" w:firstLine="411" w:firstLineChars="196"/>
              <w:jc w:val="left"/>
              <w:rPr>
                <w:rFonts w:hint="eastAsia" w:ascii="宋体" w:hAnsi="宋体"/>
                <w:color w:val="auto"/>
                <w:szCs w:val="21"/>
                <w:highlight w:val="none"/>
              </w:rPr>
            </w:pPr>
            <w:r>
              <w:rPr>
                <w:rFonts w:hint="eastAsia" w:ascii="宋体" w:hAnsi="宋体" w:cs="宋体"/>
                <w:color w:val="auto"/>
                <w:szCs w:val="21"/>
                <w:highlight w:val="none"/>
              </w:rPr>
              <w:t>2.供应商依法缴纳税收的相关材料：[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2024年1</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u w:val="single"/>
              </w:rPr>
              <w:t>月至 2025年</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月</w:t>
            </w:r>
            <w:r>
              <w:rPr>
                <w:rFonts w:hint="eastAsia" w:ascii="宋体" w:hAnsi="宋体" w:cs="宋体"/>
                <w:color w:val="auto"/>
                <w:szCs w:val="21"/>
                <w:highlight w:val="none"/>
              </w:rPr>
              <w:t>]任意</w:t>
            </w:r>
            <w:r>
              <w:rPr>
                <w:rFonts w:hint="eastAsia" w:ascii="宋体" w:hAnsi="宋体" w:cs="宋体"/>
                <w:color w:val="auto"/>
                <w:szCs w:val="21"/>
                <w:highlight w:val="none"/>
                <w:u w:val="single"/>
              </w:rPr>
              <w:t xml:space="preserve"> 1</w:t>
            </w:r>
            <w:r>
              <w:rPr>
                <w:rFonts w:hint="eastAsia" w:ascii="宋体" w:hAnsi="宋体" w:cs="宋体"/>
                <w:color w:val="auto"/>
                <w:szCs w:val="21"/>
                <w:highlight w:val="none"/>
              </w:rPr>
              <w:t>个月的依法缴纳税收的凭据复印件；依</w:t>
            </w:r>
            <w:r>
              <w:rPr>
                <w:rFonts w:hint="eastAsia" w:ascii="宋体" w:hAnsi="宋体"/>
                <w:color w:val="auto"/>
                <w:szCs w:val="21"/>
                <w:highlight w:val="none"/>
              </w:rPr>
              <w:t>法免税的供应商，必须提供相应文件证明其依法免税。</w:t>
            </w:r>
            <w:r>
              <w:rPr>
                <w:rFonts w:hint="eastAsia" w:ascii="宋体" w:hAnsi="宋体" w:cs="宋体"/>
                <w:color w:val="auto"/>
                <w:szCs w:val="21"/>
                <w:highlight w:val="none"/>
              </w:rPr>
              <w:t>从取得营业执照时间起到竞标文件提交截止时间为止不足要求月数的，只需提供从取得营业执照起的依法缴纳税收</w:t>
            </w:r>
            <w:r>
              <w:rPr>
                <w:rFonts w:hint="eastAsia" w:ascii="宋体" w:hAnsi="宋体"/>
                <w:color w:val="auto"/>
                <w:szCs w:val="21"/>
                <w:highlight w:val="none"/>
              </w:rPr>
              <w:t>相应证明文件</w:t>
            </w:r>
            <w:r>
              <w:rPr>
                <w:rFonts w:hint="eastAsia" w:ascii="宋体" w:hAnsi="宋体" w:cs="宋体"/>
                <w:color w:val="auto"/>
                <w:szCs w:val="21"/>
                <w:highlight w:val="none"/>
              </w:rPr>
              <w:t>）</w:t>
            </w:r>
            <w:r>
              <w:rPr>
                <w:rFonts w:hint="eastAsia" w:ascii="宋体" w:hAnsi="宋体"/>
                <w:color w:val="auto"/>
                <w:szCs w:val="21"/>
                <w:highlight w:val="none"/>
              </w:rPr>
              <w:t>；（</w:t>
            </w:r>
            <w:r>
              <w:rPr>
                <w:rFonts w:hint="eastAsia" w:ascii="宋体" w:hAnsi="宋体"/>
                <w:b/>
                <w:color w:val="auto"/>
                <w:szCs w:val="21"/>
                <w:highlight w:val="none"/>
              </w:rPr>
              <w:t>必须提供，否则作无效竞标处理</w:t>
            </w:r>
            <w:r>
              <w:rPr>
                <w:rFonts w:hint="eastAsia" w:ascii="宋体" w:hAnsi="宋体"/>
                <w:color w:val="auto"/>
                <w:szCs w:val="21"/>
                <w:highlight w:val="none"/>
              </w:rPr>
              <w:t>）</w:t>
            </w:r>
          </w:p>
          <w:p w14:paraId="5692D373">
            <w:pPr>
              <w:keepNext w:val="0"/>
              <w:keepLines w:val="0"/>
              <w:suppressLineNumbers w:val="0"/>
              <w:snapToGrid w:val="0"/>
              <w:spacing w:before="0" w:beforeAutospacing="0" w:after="0" w:afterAutospacing="0" w:line="360" w:lineRule="auto"/>
              <w:ind w:left="0" w:right="0" w:firstLine="411" w:firstLineChars="196"/>
              <w:jc w:val="left"/>
              <w:rPr>
                <w:rFonts w:hint="eastAsia" w:ascii="宋体" w:hAnsi="宋体"/>
                <w:color w:val="auto"/>
                <w:szCs w:val="21"/>
                <w:highlight w:val="none"/>
              </w:rPr>
            </w:pPr>
            <w:r>
              <w:rPr>
                <w:rFonts w:hint="eastAsia" w:ascii="宋体" w:hAnsi="宋体" w:cs="宋体"/>
                <w:color w:val="auto"/>
                <w:szCs w:val="21"/>
                <w:highlight w:val="none"/>
              </w:rPr>
              <w:t>3.供应商依法缴纳社会保障资金的相关材料：[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2024年1</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u w:val="single"/>
              </w:rPr>
              <w:t>月至 2025年</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月</w:t>
            </w:r>
            <w:r>
              <w:rPr>
                <w:rFonts w:hint="eastAsia" w:ascii="宋体" w:hAnsi="宋体" w:cs="宋体"/>
                <w:color w:val="auto"/>
                <w:szCs w:val="21"/>
                <w:highlight w:val="none"/>
              </w:rPr>
              <w:t>]任意</w:t>
            </w:r>
            <w:r>
              <w:rPr>
                <w:rFonts w:hint="eastAsia" w:ascii="宋体" w:hAnsi="宋体" w:cs="宋体"/>
                <w:color w:val="auto"/>
                <w:szCs w:val="21"/>
                <w:highlight w:val="none"/>
                <w:u w:val="single"/>
              </w:rPr>
              <w:t>1</w:t>
            </w:r>
            <w:r>
              <w:rPr>
                <w:rFonts w:hint="eastAsia" w:ascii="宋体" w:hAnsi="宋体" w:cs="宋体"/>
                <w:color w:val="auto"/>
                <w:szCs w:val="21"/>
                <w:highlight w:val="none"/>
              </w:rPr>
              <w:t>个月的依法缴纳社会保障资金的缴费凭证（专用收据或者社会保险缴纳清单）复印件；</w:t>
            </w:r>
            <w:r>
              <w:rPr>
                <w:rFonts w:hint="eastAsia" w:ascii="宋体" w:hAnsi="宋体"/>
                <w:color w:val="auto"/>
                <w:szCs w:val="21"/>
                <w:highlight w:val="none"/>
              </w:rPr>
              <w:t>依法不需要缴纳社会保障资金的供应商，必须提供相应文件证明不需要缴纳社会保障资金。</w:t>
            </w:r>
            <w:r>
              <w:rPr>
                <w:rFonts w:hint="eastAsia" w:ascii="宋体" w:hAnsi="宋体" w:cs="宋体"/>
                <w:color w:val="auto"/>
                <w:szCs w:val="21"/>
                <w:highlight w:val="none"/>
              </w:rPr>
              <w:t>从取得营业执照时间起到响应文件提交截止时间为止不足要求月数的只需提供从取得营业执照起的依法缴纳社会保障资金的</w:t>
            </w:r>
            <w:r>
              <w:rPr>
                <w:rFonts w:hint="eastAsia" w:ascii="宋体" w:hAnsi="宋体"/>
                <w:color w:val="auto"/>
                <w:szCs w:val="21"/>
                <w:highlight w:val="none"/>
              </w:rPr>
              <w:t>相应证明文件</w:t>
            </w:r>
            <w:r>
              <w:rPr>
                <w:rFonts w:hint="eastAsia" w:ascii="宋体" w:hAnsi="宋体" w:cs="宋体"/>
                <w:color w:val="auto"/>
                <w:szCs w:val="21"/>
                <w:highlight w:val="none"/>
              </w:rPr>
              <w:t>]</w:t>
            </w:r>
            <w:r>
              <w:rPr>
                <w:rFonts w:hint="eastAsia" w:ascii="宋体" w:hAnsi="宋体"/>
                <w:color w:val="auto"/>
                <w:szCs w:val="21"/>
                <w:highlight w:val="none"/>
              </w:rPr>
              <w:t>；（</w:t>
            </w:r>
            <w:r>
              <w:rPr>
                <w:rFonts w:hint="eastAsia" w:ascii="宋体" w:hAnsi="宋体"/>
                <w:b/>
                <w:color w:val="auto"/>
                <w:szCs w:val="21"/>
                <w:highlight w:val="none"/>
              </w:rPr>
              <w:t>必须提供，否则作无效竞标处理</w:t>
            </w:r>
            <w:r>
              <w:rPr>
                <w:rFonts w:hint="eastAsia" w:ascii="宋体" w:hAnsi="宋体"/>
                <w:color w:val="auto"/>
                <w:szCs w:val="21"/>
                <w:highlight w:val="none"/>
              </w:rPr>
              <w:t>）</w:t>
            </w:r>
          </w:p>
          <w:p w14:paraId="5551A9D1">
            <w:pPr>
              <w:keepNext w:val="0"/>
              <w:keepLines w:val="0"/>
              <w:suppressLineNumbers w:val="0"/>
              <w:snapToGrid w:val="0"/>
              <w:spacing w:before="0" w:beforeAutospacing="0" w:after="0" w:afterAutospacing="0" w:line="360" w:lineRule="auto"/>
              <w:ind w:left="0" w:right="0" w:firstLine="411" w:firstLineChars="196"/>
              <w:jc w:val="left"/>
              <w:rPr>
                <w:rFonts w:hint="eastAsia" w:ascii="宋体" w:hAnsi="宋体"/>
                <w:color w:val="auto"/>
                <w:szCs w:val="21"/>
                <w:highlight w:val="none"/>
                <w:shd w:val="clear" w:color="FFFFFF" w:fill="D9D9D9"/>
              </w:rPr>
            </w:pPr>
            <w:r>
              <w:rPr>
                <w:rFonts w:hint="eastAsia" w:ascii="宋体" w:hAnsi="宋体" w:cs="宋体"/>
                <w:color w:val="auto"/>
                <w:szCs w:val="21"/>
                <w:highlight w:val="none"/>
              </w:rPr>
              <w:t>4. 供应商财务状况报告：</w:t>
            </w:r>
            <w:r>
              <w:rPr>
                <w:rFonts w:hint="eastAsia" w:ascii="宋体" w:hAnsi="宋体" w:cs="宋体"/>
                <w:color w:val="auto"/>
                <w:szCs w:val="21"/>
                <w:highlight w:val="none"/>
                <w:lang w:bidi="ar"/>
              </w:rPr>
              <w:t>【2023年</w:t>
            </w:r>
            <w:r>
              <w:rPr>
                <w:rFonts w:hint="eastAsia" w:ascii="宋体" w:hAnsi="宋体" w:cs="宋体"/>
                <w:color w:val="auto"/>
                <w:szCs w:val="21"/>
                <w:highlight w:val="none"/>
                <w:lang w:val="en-US" w:eastAsia="zh-CN" w:bidi="ar"/>
              </w:rPr>
              <w:t>或2024年</w:t>
            </w:r>
            <w:r>
              <w:rPr>
                <w:rFonts w:hint="eastAsia" w:ascii="宋体" w:hAnsi="宋体" w:cs="宋体"/>
                <w:color w:val="auto"/>
                <w:szCs w:val="21"/>
                <w:highlight w:val="none"/>
                <w:lang w:bidi="ar"/>
              </w:rPr>
              <w:t>】</w:t>
            </w:r>
            <w:r>
              <w:rPr>
                <w:rFonts w:hint="eastAsia" w:ascii="宋体" w:hAnsi="宋体"/>
                <w:color w:val="auto"/>
                <w:szCs w:val="21"/>
                <w:highlight w:val="none"/>
              </w:rPr>
              <w:t>财务状况报告复印件；供应商成立不满一年的应按提供首次响应文件提交截止时间上一个月的财务状况报告复印件；（</w:t>
            </w:r>
            <w:r>
              <w:rPr>
                <w:rFonts w:hint="eastAsia" w:ascii="宋体" w:hAnsi="宋体"/>
                <w:b/>
                <w:color w:val="auto"/>
                <w:szCs w:val="21"/>
                <w:highlight w:val="none"/>
              </w:rPr>
              <w:t>必须提供，否则作无效竞标处理</w:t>
            </w:r>
            <w:r>
              <w:rPr>
                <w:rFonts w:hint="eastAsia" w:ascii="宋体" w:hAnsi="宋体"/>
                <w:color w:val="auto"/>
                <w:szCs w:val="21"/>
                <w:highlight w:val="none"/>
              </w:rPr>
              <w:t>）</w:t>
            </w:r>
          </w:p>
          <w:p w14:paraId="5A15238E">
            <w:pPr>
              <w:keepNext w:val="0"/>
              <w:keepLines w:val="0"/>
              <w:suppressLineNumbers w:val="0"/>
              <w:snapToGrid w:val="0"/>
              <w:spacing w:before="0" w:beforeAutospacing="0" w:after="0" w:afterAutospacing="0" w:line="360" w:lineRule="auto"/>
              <w:ind w:left="0" w:right="0" w:firstLine="411" w:firstLineChars="196"/>
              <w:jc w:val="left"/>
              <w:rPr>
                <w:rFonts w:hint="eastAsia" w:ascii="宋体" w:hAnsi="宋体" w:cs="宋体"/>
                <w:color w:val="auto"/>
                <w:szCs w:val="21"/>
                <w:highlight w:val="none"/>
              </w:rPr>
            </w:pPr>
            <w:r>
              <w:rPr>
                <w:rFonts w:hint="eastAsia" w:ascii="宋体" w:hAnsi="宋体" w:cs="宋体"/>
                <w:color w:val="auto"/>
                <w:szCs w:val="21"/>
                <w:highlight w:val="none"/>
              </w:rPr>
              <w:t>5.供应商直接控股、管理关系信息表；（</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699D3565">
            <w:pPr>
              <w:keepNext w:val="0"/>
              <w:keepLines w:val="0"/>
              <w:suppressLineNumbers w:val="0"/>
              <w:snapToGrid w:val="0"/>
              <w:spacing w:before="0" w:beforeAutospacing="0" w:after="0" w:afterAutospacing="0" w:line="360" w:lineRule="auto"/>
              <w:ind w:left="0" w:right="0" w:firstLine="411" w:firstLineChars="196"/>
              <w:jc w:val="left"/>
              <w:rPr>
                <w:rFonts w:hint="eastAsia" w:ascii="宋体" w:hAnsi="宋体" w:cs="宋体"/>
                <w:color w:val="auto"/>
                <w:szCs w:val="21"/>
                <w:highlight w:val="none"/>
              </w:rPr>
            </w:pPr>
            <w:r>
              <w:rPr>
                <w:rFonts w:hint="eastAsia" w:ascii="宋体" w:hAnsi="宋体" w:cs="宋体"/>
                <w:color w:val="auto"/>
                <w:szCs w:val="21"/>
                <w:highlight w:val="none"/>
              </w:rPr>
              <w:t>6.资格声明；（</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6A5EB1BA">
            <w:pPr>
              <w:keepNext w:val="0"/>
              <w:keepLines w:val="0"/>
              <w:suppressLineNumbers w:val="0"/>
              <w:snapToGrid w:val="0"/>
              <w:spacing w:before="0" w:beforeAutospacing="0" w:after="0" w:afterAutospacing="0" w:line="360" w:lineRule="auto"/>
              <w:ind w:left="0" w:right="0" w:firstLine="411" w:firstLineChars="196"/>
              <w:jc w:val="left"/>
              <w:rPr>
                <w:rFonts w:hint="eastAsia" w:ascii="宋体" w:hAnsi="宋体" w:cs="宋体"/>
                <w:b/>
                <w:color w:val="auto"/>
                <w:szCs w:val="21"/>
                <w:highlight w:val="none"/>
                <w:lang w:bidi="ar"/>
              </w:rPr>
            </w:pPr>
            <w:r>
              <w:rPr>
                <w:rFonts w:hint="eastAsia" w:ascii="宋体" w:hAnsi="宋体" w:cs="宋体"/>
                <w:color w:val="auto"/>
                <w:szCs w:val="21"/>
                <w:highlight w:val="none"/>
              </w:rPr>
              <w:t>7.</w:t>
            </w:r>
            <w:r>
              <w:rPr>
                <w:rFonts w:hint="eastAsia" w:ascii="宋体" w:hAnsi="宋体" w:cs="宋体"/>
                <w:color w:val="auto"/>
                <w:szCs w:val="21"/>
                <w:highlight w:val="none"/>
                <w:lang w:bidi="ar"/>
              </w:rPr>
              <w:t xml:space="preserve"> 中小企业声明函或者残疾人福利性单位声明函或者供应商属于监狱企业的证明材料。</w:t>
            </w:r>
            <w:r>
              <w:rPr>
                <w:rFonts w:hint="eastAsia" w:ascii="宋体" w:hAnsi="宋体" w:cs="宋体"/>
                <w:b/>
                <w:color w:val="auto"/>
                <w:szCs w:val="21"/>
                <w:highlight w:val="none"/>
                <w:lang w:bidi="ar"/>
              </w:rPr>
              <w:t>（必须提供，否则响应文件按无效响应处理）</w:t>
            </w:r>
          </w:p>
          <w:p w14:paraId="77026E92">
            <w:pPr>
              <w:keepNext w:val="0"/>
              <w:keepLines w:val="0"/>
              <w:suppressLineNumbers w:val="0"/>
              <w:snapToGrid w:val="0"/>
              <w:spacing w:before="0" w:beforeAutospacing="0" w:after="0" w:afterAutospacing="0" w:line="360" w:lineRule="auto"/>
              <w:ind w:left="0" w:right="0" w:firstLine="411" w:firstLineChars="196"/>
              <w:jc w:val="left"/>
              <w:rPr>
                <w:rFonts w:hint="eastAsia" w:ascii="宋体" w:hAnsi="宋体" w:cs="宋体"/>
                <w:color w:val="auto"/>
                <w:szCs w:val="21"/>
                <w:highlight w:val="none"/>
                <w:lang w:bidi="ar"/>
              </w:rPr>
            </w:pPr>
            <w:r>
              <w:rPr>
                <w:rFonts w:hint="eastAsia" w:ascii="宋体" w:hAnsi="宋体" w:cs="宋体"/>
                <w:color w:val="auto"/>
                <w:szCs w:val="21"/>
                <w:highlight w:val="none"/>
                <w:lang w:bidi="ar"/>
              </w:rPr>
              <w:t>8.联合体协议书；（联合体竞标时必须提供，否则响应文件按无效响应处理）</w:t>
            </w:r>
          </w:p>
          <w:p w14:paraId="3F9E7B0B">
            <w:pPr>
              <w:keepNext w:val="0"/>
              <w:keepLines w:val="0"/>
              <w:suppressLineNumbers w:val="0"/>
              <w:snapToGrid w:val="0"/>
              <w:spacing w:before="0" w:beforeAutospacing="0" w:after="0" w:afterAutospacing="0" w:line="360" w:lineRule="auto"/>
              <w:ind w:left="0" w:right="0" w:firstLine="411" w:firstLineChars="196"/>
              <w:jc w:val="left"/>
              <w:rPr>
                <w:rFonts w:hint="eastAsia" w:ascii="宋体" w:hAnsi="宋体" w:cs="宋体"/>
                <w:color w:val="auto"/>
                <w:szCs w:val="21"/>
                <w:highlight w:val="none"/>
              </w:rPr>
            </w:pPr>
            <w:r>
              <w:rPr>
                <w:rFonts w:hint="eastAsia" w:ascii="宋体" w:hAnsi="宋体" w:cs="宋体"/>
                <w:color w:val="auto"/>
                <w:szCs w:val="21"/>
                <w:highlight w:val="none"/>
              </w:rPr>
              <w:t>9.除磋商文件规定必须提供以外，供应商认为需要提供的其他证明材料；</w:t>
            </w:r>
          </w:p>
          <w:p w14:paraId="42D014DC">
            <w:pPr>
              <w:keepNext w:val="0"/>
              <w:keepLines w:val="0"/>
              <w:suppressLineNumbers w:val="0"/>
              <w:snapToGrid w:val="0"/>
              <w:spacing w:before="0" w:beforeAutospacing="0" w:after="0" w:afterAutospacing="0" w:line="360" w:lineRule="auto"/>
              <w:ind w:left="0" w:right="0" w:firstLine="413" w:firstLineChars="196"/>
              <w:jc w:val="left"/>
              <w:rPr>
                <w:rFonts w:hint="eastAsia" w:ascii="宋体" w:hAnsi="宋体" w:cs="宋体"/>
                <w:b/>
                <w:color w:val="auto"/>
                <w:szCs w:val="21"/>
                <w:highlight w:val="none"/>
              </w:rPr>
            </w:pPr>
            <w:r>
              <w:rPr>
                <w:rFonts w:hint="eastAsia" w:ascii="宋体" w:hAnsi="宋体" w:cs="宋体"/>
                <w:b/>
                <w:color w:val="auto"/>
                <w:szCs w:val="21"/>
                <w:highlight w:val="none"/>
              </w:rPr>
              <w:t>注：</w:t>
            </w:r>
          </w:p>
          <w:p w14:paraId="7F9E8A61">
            <w:pPr>
              <w:keepNext w:val="0"/>
              <w:keepLines w:val="0"/>
              <w:suppressLineNumbers w:val="0"/>
              <w:snapToGrid w:val="0"/>
              <w:spacing w:before="0" w:beforeAutospacing="0" w:after="0" w:afterAutospacing="0" w:line="360" w:lineRule="auto"/>
              <w:ind w:left="0" w:right="0" w:firstLine="413" w:firstLineChars="196"/>
              <w:jc w:val="left"/>
              <w:rPr>
                <w:rFonts w:hint="eastAsia" w:ascii="宋体" w:hAnsi="宋体" w:cs="宋体"/>
                <w:b/>
                <w:color w:val="auto"/>
                <w:szCs w:val="21"/>
                <w:highlight w:val="none"/>
              </w:rPr>
            </w:pPr>
            <w:r>
              <w:rPr>
                <w:rFonts w:hint="eastAsia" w:ascii="宋体" w:hAnsi="宋体" w:cs="宋体"/>
                <w:b/>
                <w:color w:val="auto"/>
                <w:szCs w:val="21"/>
                <w:highlight w:val="none"/>
              </w:rPr>
              <w:t>1.以上标明“必须提供”的材料属于复印件的扫描件的，必须加盖供应商电子公章，否则响应文件按无效响应处理。</w:t>
            </w:r>
          </w:p>
          <w:p w14:paraId="1760F00D">
            <w:pPr>
              <w:keepNext w:val="0"/>
              <w:keepLines w:val="0"/>
              <w:suppressLineNumbers w:val="0"/>
              <w:snapToGrid w:val="0"/>
              <w:spacing w:before="0" w:beforeAutospacing="0" w:after="0" w:afterAutospacing="0" w:line="360" w:lineRule="auto"/>
              <w:ind w:left="0" w:right="0" w:firstLine="413" w:firstLineChars="196"/>
              <w:jc w:val="left"/>
              <w:rPr>
                <w:rFonts w:hint="eastAsia" w:ascii="宋体" w:hAnsi="宋体" w:cs="宋体"/>
                <w:b/>
                <w:color w:val="auto"/>
                <w:szCs w:val="21"/>
                <w:highlight w:val="none"/>
              </w:rPr>
            </w:pPr>
            <w:r>
              <w:rPr>
                <w:rFonts w:hint="eastAsia" w:ascii="宋体" w:hAnsi="宋体" w:cs="宋体"/>
                <w:b/>
                <w:color w:val="auto"/>
                <w:szCs w:val="21"/>
                <w:highlight w:val="none"/>
              </w:rPr>
              <w:t>2.联合体竞标时，第1-5项资格证明文件联合体各方均必须分别提供，联合体各方分别盖章和签字，否则响应文件按无效响应处理。</w:t>
            </w:r>
          </w:p>
        </w:tc>
      </w:tr>
      <w:tr w14:paraId="74E36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9" w:type="pct"/>
            <w:vMerge w:val="restart"/>
            <w:tcBorders>
              <w:top w:val="single" w:color="000000" w:sz="4" w:space="0"/>
              <w:left w:val="single" w:color="000000" w:sz="4" w:space="0"/>
              <w:bottom w:val="single" w:color="000000" w:sz="4" w:space="0"/>
              <w:right w:val="single" w:color="000000" w:sz="4" w:space="0"/>
            </w:tcBorders>
            <w:vAlign w:val="center"/>
          </w:tcPr>
          <w:p w14:paraId="4824F8C4">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12.1.2</w:t>
            </w:r>
          </w:p>
        </w:tc>
        <w:tc>
          <w:tcPr>
            <w:tcW w:w="1343" w:type="pct"/>
            <w:tcBorders>
              <w:top w:val="single" w:color="000000" w:sz="4" w:space="0"/>
              <w:left w:val="single" w:color="000000" w:sz="4" w:space="0"/>
              <w:bottom w:val="single" w:color="000000" w:sz="4" w:space="0"/>
              <w:right w:val="single" w:color="000000" w:sz="4" w:space="0"/>
            </w:tcBorders>
            <w:vAlign w:val="center"/>
          </w:tcPr>
          <w:p w14:paraId="7702398D">
            <w:pPr>
              <w:keepNext w:val="0"/>
              <w:keepLines w:val="0"/>
              <w:suppressLineNumbers w:val="0"/>
              <w:spacing w:before="0" w:beforeAutospacing="0" w:after="0" w:afterAutospacing="0" w:line="360" w:lineRule="auto"/>
              <w:ind w:left="0" w:right="0"/>
              <w:jc w:val="center"/>
              <w:rPr>
                <w:rFonts w:hint="eastAsia" w:ascii="宋体" w:hAnsi="宋体" w:cs="宋体"/>
                <w:b/>
                <w:bCs/>
                <w:color w:val="auto"/>
                <w:szCs w:val="21"/>
                <w:highlight w:val="none"/>
              </w:rPr>
            </w:pPr>
            <w:r>
              <w:rPr>
                <w:rFonts w:hint="eastAsia" w:ascii="宋体" w:hAnsi="宋体" w:cs="宋体"/>
                <w:b/>
                <w:bCs/>
                <w:color w:val="auto"/>
                <w:szCs w:val="21"/>
                <w:highlight w:val="none"/>
              </w:rPr>
              <w:t>商务文件组成</w:t>
            </w:r>
          </w:p>
        </w:tc>
        <w:tc>
          <w:tcPr>
            <w:tcW w:w="3306" w:type="pct"/>
            <w:tcBorders>
              <w:top w:val="single" w:color="000000" w:sz="4" w:space="0"/>
              <w:left w:val="single" w:color="000000" w:sz="4" w:space="0"/>
              <w:bottom w:val="single" w:color="000000" w:sz="4" w:space="0"/>
              <w:right w:val="single" w:color="000000" w:sz="4" w:space="0"/>
            </w:tcBorders>
            <w:vAlign w:val="center"/>
          </w:tcPr>
          <w:p w14:paraId="3EBBDB01">
            <w:pPr>
              <w:keepNext w:val="0"/>
              <w:keepLines w:val="0"/>
              <w:suppressLineNumbers w:val="0"/>
              <w:spacing w:before="0" w:beforeAutospacing="0" w:after="0" w:afterAutospacing="0" w:line="360" w:lineRule="auto"/>
              <w:ind w:left="0" w:right="0"/>
              <w:rPr>
                <w:rFonts w:hint="eastAsia" w:ascii="宋体" w:hAnsi="宋体" w:cs="宋体"/>
                <w:color w:val="auto"/>
                <w:szCs w:val="21"/>
                <w:highlight w:val="none"/>
              </w:rPr>
            </w:pPr>
            <w:r>
              <w:rPr>
                <w:rFonts w:hint="eastAsia" w:ascii="宋体" w:hAnsi="宋体" w:cs="宋体"/>
                <w:color w:val="auto"/>
                <w:szCs w:val="21"/>
                <w:highlight w:val="none"/>
              </w:rPr>
              <w:t>1.无串通竞标行为的承诺函；（</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54F81610">
            <w:pPr>
              <w:keepNext w:val="0"/>
              <w:keepLines w:val="0"/>
              <w:suppressLineNumbers w:val="0"/>
              <w:snapToGrid w:val="0"/>
              <w:spacing w:before="0" w:beforeAutospacing="0" w:after="0" w:afterAutospacing="0" w:line="360" w:lineRule="auto"/>
              <w:ind w:left="0" w:right="0"/>
              <w:jc w:val="left"/>
              <w:rPr>
                <w:rFonts w:hint="eastAsia" w:ascii="宋体" w:hAnsi="宋体" w:cs="宋体"/>
                <w:color w:val="auto"/>
                <w:szCs w:val="21"/>
                <w:highlight w:val="none"/>
              </w:rPr>
            </w:pPr>
            <w:r>
              <w:rPr>
                <w:rFonts w:hint="eastAsia" w:ascii="宋体" w:hAnsi="宋体" w:cs="宋体"/>
                <w:color w:val="auto"/>
                <w:szCs w:val="21"/>
                <w:highlight w:val="none"/>
              </w:rPr>
              <w:t>2.法定代表人身份证明书及法定代表人有效身份证正反面复印件；（</w:t>
            </w:r>
            <w:r>
              <w:rPr>
                <w:rFonts w:hint="eastAsia" w:ascii="宋体" w:hAnsi="宋体" w:cs="宋体"/>
                <w:b/>
                <w:bCs/>
                <w:color w:val="auto"/>
                <w:szCs w:val="21"/>
                <w:highlight w:val="none"/>
              </w:rPr>
              <w:t>除自然人竞标外</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1965464E">
            <w:pPr>
              <w:keepNext w:val="0"/>
              <w:keepLines w:val="0"/>
              <w:suppressLineNumbers w:val="0"/>
              <w:spacing w:before="0" w:beforeAutospacing="0" w:after="0" w:afterAutospacing="0" w:line="360" w:lineRule="auto"/>
              <w:ind w:left="0" w:right="0"/>
              <w:rPr>
                <w:rFonts w:hint="eastAsia" w:ascii="宋体" w:hAnsi="宋体" w:cs="宋体"/>
                <w:b/>
                <w:color w:val="auto"/>
                <w:szCs w:val="21"/>
                <w:highlight w:val="none"/>
              </w:rPr>
            </w:pPr>
            <w:r>
              <w:rPr>
                <w:rFonts w:hint="eastAsia" w:ascii="宋体" w:hAnsi="宋体" w:cs="宋体"/>
                <w:color w:val="auto"/>
                <w:szCs w:val="21"/>
                <w:highlight w:val="none"/>
              </w:rPr>
              <w:t>3.法定代表人授权委托书及委托代理人有效身份证正反面复印件；（</w:t>
            </w:r>
            <w:r>
              <w:rPr>
                <w:rFonts w:hint="eastAsia" w:ascii="宋体" w:hAnsi="宋体" w:cs="宋体"/>
                <w:b/>
                <w:color w:val="auto"/>
                <w:szCs w:val="21"/>
                <w:highlight w:val="none"/>
              </w:rPr>
              <w:t>委托时必须提供，否则响应文件按无效响应处理</w:t>
            </w:r>
            <w:r>
              <w:rPr>
                <w:rFonts w:hint="eastAsia" w:ascii="宋体" w:hAnsi="宋体" w:cs="宋体"/>
                <w:color w:val="auto"/>
                <w:szCs w:val="21"/>
                <w:highlight w:val="none"/>
              </w:rPr>
              <w:t>）</w:t>
            </w:r>
          </w:p>
          <w:p w14:paraId="3C7FEA7E">
            <w:pPr>
              <w:keepNext w:val="0"/>
              <w:keepLines w:val="0"/>
              <w:suppressLineNumbers w:val="0"/>
              <w:spacing w:before="0" w:beforeAutospacing="0" w:after="0" w:afterAutospacing="0" w:line="360" w:lineRule="auto"/>
              <w:ind w:left="0" w:right="0"/>
              <w:rPr>
                <w:rFonts w:hint="eastAsia" w:ascii="宋体" w:hAnsi="宋体" w:cs="宋体"/>
                <w:color w:val="auto"/>
                <w:szCs w:val="21"/>
                <w:highlight w:val="none"/>
              </w:rPr>
            </w:pPr>
            <w:r>
              <w:rPr>
                <w:rFonts w:hint="eastAsia" w:ascii="宋体" w:hAnsi="宋体" w:cs="宋体"/>
                <w:color w:val="auto"/>
                <w:szCs w:val="21"/>
                <w:highlight w:val="none"/>
              </w:rPr>
              <w:t>4.商务条款偏离表；（</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760F0780">
            <w:pPr>
              <w:keepNext w:val="0"/>
              <w:keepLines w:val="0"/>
              <w:suppressLineNumbers w:val="0"/>
              <w:spacing w:before="0" w:beforeAutospacing="0" w:after="0" w:afterAutospacing="0" w:line="360" w:lineRule="auto"/>
              <w:ind w:left="0" w:right="0"/>
              <w:rPr>
                <w:rFonts w:hint="eastAsia" w:ascii="宋体" w:hAnsi="宋体" w:cs="宋体"/>
                <w:color w:val="auto"/>
                <w:szCs w:val="21"/>
                <w:highlight w:val="none"/>
              </w:rPr>
            </w:pPr>
            <w:r>
              <w:rPr>
                <w:rFonts w:hint="eastAsia" w:ascii="宋体" w:hAnsi="宋体" w:cs="宋体"/>
                <w:color w:val="auto"/>
                <w:szCs w:val="21"/>
                <w:highlight w:val="none"/>
              </w:rPr>
              <w:t>5.竞标人情况介绍；</w:t>
            </w:r>
          </w:p>
          <w:p w14:paraId="7B206928">
            <w:pPr>
              <w:keepNext w:val="0"/>
              <w:keepLines w:val="0"/>
              <w:suppressLineNumbers w:val="0"/>
              <w:spacing w:before="0" w:beforeAutospacing="0" w:after="0" w:afterAutospacing="0" w:line="360" w:lineRule="auto"/>
              <w:ind w:left="0" w:right="0"/>
              <w:rPr>
                <w:rFonts w:hint="eastAsia" w:ascii="宋体" w:hAnsi="宋体" w:cs="宋体"/>
                <w:color w:val="auto"/>
                <w:szCs w:val="21"/>
                <w:highlight w:val="none"/>
              </w:rPr>
            </w:pPr>
            <w:r>
              <w:rPr>
                <w:rFonts w:hint="eastAsia" w:ascii="宋体" w:hAnsi="宋体" w:cs="宋体"/>
                <w:color w:val="auto"/>
                <w:szCs w:val="21"/>
                <w:highlight w:val="none"/>
              </w:rPr>
              <w:t>6.供应商认为需要提供的其他有关资料。</w:t>
            </w:r>
          </w:p>
          <w:p w14:paraId="241889AE">
            <w:pPr>
              <w:keepNext w:val="0"/>
              <w:keepLines w:val="0"/>
              <w:suppressLineNumbers w:val="0"/>
              <w:snapToGrid w:val="0"/>
              <w:spacing w:before="0" w:beforeAutospacing="0" w:after="0" w:afterAutospacing="0" w:line="360" w:lineRule="auto"/>
              <w:ind w:left="0" w:right="0"/>
              <w:jc w:val="left"/>
              <w:rPr>
                <w:rFonts w:hint="eastAsia" w:ascii="宋体" w:hAnsi="宋体" w:cs="宋体"/>
                <w:b/>
                <w:color w:val="auto"/>
                <w:szCs w:val="21"/>
                <w:highlight w:val="none"/>
              </w:rPr>
            </w:pPr>
            <w:r>
              <w:rPr>
                <w:rFonts w:hint="eastAsia" w:ascii="宋体" w:hAnsi="宋体" w:cs="宋体"/>
                <w:b/>
                <w:color w:val="auto"/>
                <w:szCs w:val="21"/>
                <w:highlight w:val="none"/>
              </w:rPr>
              <w:t xml:space="preserve">注： </w:t>
            </w:r>
          </w:p>
          <w:p w14:paraId="66109B35">
            <w:pPr>
              <w:keepNext w:val="0"/>
              <w:keepLines w:val="0"/>
              <w:suppressLineNumbers w:val="0"/>
              <w:snapToGrid w:val="0"/>
              <w:spacing w:before="0" w:beforeAutospacing="0" w:after="0" w:afterAutospacing="0" w:line="360" w:lineRule="auto"/>
              <w:ind w:left="0" w:right="0" w:firstLine="413" w:firstLineChars="196"/>
              <w:jc w:val="left"/>
              <w:rPr>
                <w:rFonts w:hint="eastAsia" w:ascii="宋体" w:hAnsi="宋体" w:cs="宋体"/>
                <w:b/>
                <w:color w:val="auto"/>
                <w:szCs w:val="21"/>
                <w:highlight w:val="none"/>
              </w:rPr>
            </w:pPr>
            <w:r>
              <w:rPr>
                <w:rFonts w:hint="eastAsia" w:ascii="宋体" w:hAnsi="宋体" w:cs="宋体"/>
                <w:b/>
                <w:color w:val="auto"/>
                <w:szCs w:val="21"/>
                <w:highlight w:val="none"/>
              </w:rPr>
              <w:t>1.法定代表人授权委托书必须由法定代表人及委托代理人签字，并加盖供应商公章，否则响应文件按无效响应处理。</w:t>
            </w:r>
          </w:p>
          <w:p w14:paraId="5BB52DBD">
            <w:pPr>
              <w:keepNext w:val="0"/>
              <w:keepLines w:val="0"/>
              <w:suppressLineNumbers w:val="0"/>
              <w:spacing w:before="0" w:beforeAutospacing="0" w:after="0" w:afterAutospacing="0" w:line="360" w:lineRule="auto"/>
              <w:ind w:left="0" w:right="0" w:firstLine="413" w:firstLineChars="196"/>
              <w:rPr>
                <w:rFonts w:hint="eastAsia" w:ascii="宋体" w:hAnsi="宋体" w:cs="宋体"/>
                <w:b/>
                <w:color w:val="auto"/>
                <w:szCs w:val="21"/>
                <w:highlight w:val="none"/>
              </w:rPr>
            </w:pPr>
            <w:r>
              <w:rPr>
                <w:rFonts w:hint="eastAsia" w:ascii="宋体" w:hAnsi="宋体" w:cs="宋体"/>
                <w:b/>
                <w:color w:val="auto"/>
                <w:szCs w:val="21"/>
                <w:highlight w:val="none"/>
              </w:rPr>
              <w:t>2.以上标明“必须提供”的材料属于复印件的扫描件的，必须加盖供应商电子公章，否则响应文件按无效响应处理。</w:t>
            </w:r>
          </w:p>
        </w:tc>
      </w:tr>
      <w:tr w14:paraId="3B73D9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9" w:type="pct"/>
            <w:vMerge w:val="continue"/>
            <w:tcBorders>
              <w:top w:val="single" w:color="000000" w:sz="4" w:space="0"/>
              <w:left w:val="single" w:color="000000" w:sz="4" w:space="0"/>
              <w:bottom w:val="single" w:color="000000" w:sz="4" w:space="0"/>
              <w:right w:val="single" w:color="000000" w:sz="4" w:space="0"/>
            </w:tcBorders>
            <w:vAlign w:val="center"/>
          </w:tcPr>
          <w:p w14:paraId="418F6E4E">
            <w:pPr>
              <w:keepNext w:val="0"/>
              <w:keepLines w:val="0"/>
              <w:widowControl/>
              <w:suppressLineNumbers w:val="0"/>
              <w:spacing w:before="0" w:beforeAutospacing="0" w:after="0" w:afterAutospacing="0"/>
              <w:ind w:left="0" w:right="0"/>
              <w:jc w:val="left"/>
              <w:rPr>
                <w:rFonts w:hint="eastAsia" w:ascii="宋体" w:hAnsi="宋体" w:cs="宋体"/>
                <w:color w:val="auto"/>
                <w:szCs w:val="21"/>
                <w:highlight w:val="none"/>
              </w:rPr>
            </w:pPr>
          </w:p>
        </w:tc>
        <w:tc>
          <w:tcPr>
            <w:tcW w:w="1343" w:type="pct"/>
            <w:tcBorders>
              <w:top w:val="single" w:color="000000" w:sz="4" w:space="0"/>
              <w:left w:val="single" w:color="000000" w:sz="4" w:space="0"/>
              <w:bottom w:val="single" w:color="000000" w:sz="4" w:space="0"/>
              <w:right w:val="single" w:color="000000" w:sz="4" w:space="0"/>
            </w:tcBorders>
            <w:vAlign w:val="center"/>
          </w:tcPr>
          <w:p w14:paraId="6C13AD2E">
            <w:pPr>
              <w:keepNext w:val="0"/>
              <w:keepLines w:val="0"/>
              <w:suppressLineNumbers w:val="0"/>
              <w:spacing w:before="0" w:beforeAutospacing="0" w:after="0" w:afterAutospacing="0" w:line="360" w:lineRule="auto"/>
              <w:ind w:left="0" w:right="0"/>
              <w:jc w:val="center"/>
              <w:rPr>
                <w:rFonts w:hint="eastAsia" w:ascii="宋体" w:hAnsi="宋体" w:cs="宋体"/>
                <w:b/>
                <w:bCs/>
                <w:color w:val="auto"/>
                <w:szCs w:val="21"/>
                <w:highlight w:val="none"/>
              </w:rPr>
            </w:pPr>
            <w:r>
              <w:rPr>
                <w:rFonts w:hint="eastAsia" w:ascii="宋体" w:hAnsi="宋体" w:cs="宋体"/>
                <w:b/>
                <w:bCs/>
                <w:color w:val="auto"/>
                <w:szCs w:val="21"/>
                <w:highlight w:val="none"/>
              </w:rPr>
              <w:t>技术文件组成</w:t>
            </w:r>
          </w:p>
        </w:tc>
        <w:tc>
          <w:tcPr>
            <w:tcW w:w="3306" w:type="pct"/>
            <w:tcBorders>
              <w:top w:val="single" w:color="000000" w:sz="4" w:space="0"/>
              <w:left w:val="single" w:color="000000" w:sz="4" w:space="0"/>
              <w:bottom w:val="single" w:color="000000" w:sz="4" w:space="0"/>
              <w:right w:val="single" w:color="000000" w:sz="4" w:space="0"/>
            </w:tcBorders>
            <w:vAlign w:val="center"/>
          </w:tcPr>
          <w:p w14:paraId="0CE14F50">
            <w:pPr>
              <w:keepNext w:val="0"/>
              <w:keepLines w:val="0"/>
              <w:suppressLineNumbers w:val="0"/>
              <w:spacing w:before="0" w:beforeAutospacing="0" w:after="0" w:afterAutospacing="0" w:line="360" w:lineRule="auto"/>
              <w:ind w:left="0" w:right="0"/>
              <w:rPr>
                <w:rFonts w:hint="eastAsia" w:ascii="宋体" w:hAnsi="宋体" w:cs="宋体"/>
                <w:color w:val="auto"/>
                <w:szCs w:val="21"/>
                <w:highlight w:val="none"/>
              </w:rPr>
            </w:pPr>
            <w:r>
              <w:rPr>
                <w:rFonts w:hint="eastAsia" w:ascii="宋体" w:hAnsi="宋体" w:cs="宋体"/>
                <w:color w:val="auto"/>
                <w:szCs w:val="21"/>
                <w:highlight w:val="none"/>
              </w:rPr>
              <w:t>1.服务需求偏离表；（</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48F2DE16">
            <w:pPr>
              <w:keepNext w:val="0"/>
              <w:keepLines w:val="0"/>
              <w:suppressLineNumbers w:val="0"/>
              <w:spacing w:before="0" w:beforeAutospacing="0" w:after="0" w:afterAutospacing="0" w:line="360" w:lineRule="auto"/>
              <w:ind w:left="0" w:right="0"/>
              <w:rPr>
                <w:rFonts w:hint="eastAsia" w:ascii="宋体" w:hAnsi="宋体" w:cs="宋体"/>
                <w:color w:val="auto"/>
                <w:szCs w:val="21"/>
                <w:highlight w:val="none"/>
              </w:rPr>
            </w:pPr>
            <w:r>
              <w:rPr>
                <w:rFonts w:hint="eastAsia" w:ascii="宋体" w:hAnsi="宋体" w:cs="宋体"/>
                <w:color w:val="auto"/>
                <w:szCs w:val="21"/>
                <w:highlight w:val="none"/>
              </w:rPr>
              <w:t>2.组织服务方案；（</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5F9F2847">
            <w:pPr>
              <w:keepNext w:val="0"/>
              <w:keepLines w:val="0"/>
              <w:suppressLineNumbers w:val="0"/>
              <w:spacing w:before="0" w:beforeAutospacing="0" w:after="0" w:afterAutospacing="0" w:line="360" w:lineRule="auto"/>
              <w:ind w:left="0" w:right="0"/>
              <w:rPr>
                <w:rFonts w:hint="eastAsia" w:ascii="宋体" w:hAnsi="宋体" w:cs="宋体"/>
                <w:color w:val="auto"/>
                <w:szCs w:val="21"/>
                <w:highlight w:val="none"/>
              </w:rPr>
            </w:pPr>
            <w:r>
              <w:rPr>
                <w:rFonts w:hint="eastAsia" w:ascii="宋体" w:hAnsi="宋体" w:cs="宋体"/>
                <w:color w:val="auto"/>
                <w:szCs w:val="21"/>
                <w:highlight w:val="none"/>
              </w:rPr>
              <w:t>3.售后服务承诺；（</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76F873C9">
            <w:pPr>
              <w:keepNext w:val="0"/>
              <w:keepLines w:val="0"/>
              <w:suppressLineNumbers w:val="0"/>
              <w:spacing w:before="0" w:beforeAutospacing="0" w:after="0" w:afterAutospacing="0" w:line="360" w:lineRule="auto"/>
              <w:ind w:left="0" w:right="0"/>
              <w:rPr>
                <w:rFonts w:hint="eastAsia" w:ascii="宋体" w:hAnsi="宋体" w:cs="宋体"/>
                <w:color w:val="auto"/>
                <w:szCs w:val="21"/>
                <w:highlight w:val="none"/>
              </w:rPr>
            </w:pPr>
            <w:r>
              <w:rPr>
                <w:rFonts w:hint="eastAsia" w:ascii="宋体" w:hAnsi="宋体" w:cs="宋体"/>
                <w:color w:val="auto"/>
                <w:szCs w:val="21"/>
                <w:highlight w:val="none"/>
              </w:rPr>
              <w:t xml:space="preserve">4.项目实施人员一览表； </w:t>
            </w:r>
          </w:p>
          <w:p w14:paraId="20164A60">
            <w:pPr>
              <w:keepNext w:val="0"/>
              <w:keepLines w:val="0"/>
              <w:suppressLineNumbers w:val="0"/>
              <w:spacing w:before="0" w:beforeAutospacing="0" w:after="0" w:afterAutospacing="0" w:line="360" w:lineRule="auto"/>
              <w:ind w:left="0" w:right="0"/>
              <w:rPr>
                <w:rFonts w:hint="eastAsia" w:ascii="宋体" w:hAnsi="宋体" w:cs="宋体"/>
                <w:color w:val="auto"/>
                <w:szCs w:val="21"/>
                <w:highlight w:val="none"/>
              </w:rPr>
            </w:pPr>
            <w:r>
              <w:rPr>
                <w:rFonts w:hint="eastAsia" w:ascii="宋体" w:hAnsi="宋体" w:cs="宋体"/>
                <w:color w:val="auto"/>
                <w:szCs w:val="21"/>
                <w:highlight w:val="none"/>
              </w:rPr>
              <w:t>5.对应采购需求的服务需求、商务条款提供的其他文件资料；</w:t>
            </w:r>
          </w:p>
          <w:p w14:paraId="29ACC2E5">
            <w:pPr>
              <w:keepNext w:val="0"/>
              <w:keepLines w:val="0"/>
              <w:suppressLineNumbers w:val="0"/>
              <w:spacing w:before="0" w:beforeAutospacing="0" w:after="0" w:afterAutospacing="0" w:line="360" w:lineRule="auto"/>
              <w:ind w:left="0" w:right="0"/>
              <w:rPr>
                <w:rFonts w:hint="eastAsia" w:ascii="宋体" w:hAnsi="宋体" w:cs="宋体"/>
                <w:color w:val="auto"/>
                <w:szCs w:val="21"/>
                <w:highlight w:val="none"/>
              </w:rPr>
            </w:pPr>
            <w:r>
              <w:rPr>
                <w:rFonts w:hint="eastAsia" w:ascii="宋体" w:hAnsi="宋体" w:cs="宋体"/>
                <w:color w:val="auto"/>
                <w:szCs w:val="21"/>
                <w:highlight w:val="none"/>
              </w:rPr>
              <w:t>6.供应商认为需要提供的其他有关资料。</w:t>
            </w:r>
          </w:p>
          <w:p w14:paraId="62BB3C0E">
            <w:pPr>
              <w:keepNext w:val="0"/>
              <w:keepLines w:val="0"/>
              <w:suppressLineNumbers w:val="0"/>
              <w:spacing w:before="0" w:beforeAutospacing="0" w:after="0" w:afterAutospacing="0" w:line="360" w:lineRule="auto"/>
              <w:ind w:left="0" w:right="0"/>
              <w:rPr>
                <w:rFonts w:hint="eastAsia" w:ascii="宋体" w:hAnsi="宋体" w:cs="宋体"/>
                <w:color w:val="auto"/>
                <w:szCs w:val="21"/>
                <w:highlight w:val="none"/>
              </w:rPr>
            </w:pPr>
            <w:r>
              <w:rPr>
                <w:rFonts w:hint="eastAsia" w:ascii="宋体" w:hAnsi="宋体" w:cs="宋体"/>
                <w:b/>
                <w:color w:val="auto"/>
                <w:szCs w:val="21"/>
                <w:highlight w:val="none"/>
              </w:rPr>
              <w:t>注：1.以上标明“必须提供”的材料属于复印件的扫描件的，必须加盖供应商电子公章，否则响应文件按无效响应处理。</w:t>
            </w:r>
          </w:p>
        </w:tc>
      </w:tr>
      <w:tr w14:paraId="325DF0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9" w:type="pct"/>
            <w:tcBorders>
              <w:top w:val="single" w:color="000000" w:sz="4" w:space="0"/>
              <w:left w:val="single" w:color="000000" w:sz="4" w:space="0"/>
              <w:bottom w:val="single" w:color="000000" w:sz="4" w:space="0"/>
              <w:right w:val="single" w:color="000000" w:sz="4" w:space="0"/>
            </w:tcBorders>
            <w:vAlign w:val="center"/>
          </w:tcPr>
          <w:p w14:paraId="7B7EFBA4">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12.1.2</w:t>
            </w:r>
          </w:p>
        </w:tc>
        <w:tc>
          <w:tcPr>
            <w:tcW w:w="1343" w:type="pct"/>
            <w:tcBorders>
              <w:top w:val="single" w:color="000000" w:sz="4" w:space="0"/>
              <w:left w:val="single" w:color="000000" w:sz="4" w:space="0"/>
              <w:bottom w:val="single" w:color="000000" w:sz="4" w:space="0"/>
              <w:right w:val="single" w:color="000000" w:sz="4" w:space="0"/>
            </w:tcBorders>
            <w:vAlign w:val="center"/>
          </w:tcPr>
          <w:p w14:paraId="61A45889">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报价文件组成</w:t>
            </w:r>
          </w:p>
        </w:tc>
        <w:tc>
          <w:tcPr>
            <w:tcW w:w="3306" w:type="pct"/>
            <w:tcBorders>
              <w:top w:val="single" w:color="000000" w:sz="4" w:space="0"/>
              <w:left w:val="single" w:color="000000" w:sz="4" w:space="0"/>
              <w:bottom w:val="single" w:color="000000" w:sz="4" w:space="0"/>
              <w:right w:val="single" w:color="000000" w:sz="4" w:space="0"/>
            </w:tcBorders>
            <w:vAlign w:val="center"/>
          </w:tcPr>
          <w:p w14:paraId="4BB3768F">
            <w:pPr>
              <w:keepNext w:val="0"/>
              <w:keepLines w:val="0"/>
              <w:suppressLineNumbers w:val="0"/>
              <w:spacing w:before="0" w:beforeAutospacing="0" w:after="0" w:afterAutospacing="0" w:line="360" w:lineRule="auto"/>
              <w:ind w:left="0" w:right="0"/>
              <w:rPr>
                <w:rFonts w:hint="default"/>
                <w:color w:val="auto"/>
                <w:highlight w:val="none"/>
              </w:rPr>
            </w:pPr>
            <w:r>
              <w:rPr>
                <w:rFonts w:hint="eastAsia"/>
                <w:color w:val="auto"/>
                <w:highlight w:val="none"/>
              </w:rPr>
              <w:t>1.响应函；</w:t>
            </w:r>
            <w:r>
              <w:rPr>
                <w:rFonts w:hint="eastAsia"/>
                <w:b/>
                <w:bCs/>
                <w:color w:val="auto"/>
                <w:highlight w:val="none"/>
              </w:rPr>
              <w:t>（必须提供，否则作无效响应处理）</w:t>
            </w:r>
          </w:p>
          <w:p w14:paraId="2D0B9E61">
            <w:pPr>
              <w:keepNext w:val="0"/>
              <w:keepLines w:val="0"/>
              <w:suppressLineNumbers w:val="0"/>
              <w:spacing w:before="0" w:beforeAutospacing="0" w:after="0" w:afterAutospacing="0" w:line="360" w:lineRule="auto"/>
              <w:ind w:left="0" w:right="0"/>
              <w:rPr>
                <w:rFonts w:hint="default"/>
                <w:color w:val="auto"/>
                <w:highlight w:val="none"/>
              </w:rPr>
            </w:pPr>
            <w:r>
              <w:rPr>
                <w:rFonts w:hint="eastAsia"/>
                <w:color w:val="auto"/>
                <w:highlight w:val="none"/>
              </w:rPr>
              <w:t>2.响应报价表；</w:t>
            </w:r>
            <w:r>
              <w:rPr>
                <w:rFonts w:hint="eastAsia"/>
                <w:b/>
                <w:bCs/>
                <w:color w:val="auto"/>
                <w:highlight w:val="none"/>
              </w:rPr>
              <w:t>（必须提供，否则响应文件按无效响应处理）</w:t>
            </w:r>
          </w:p>
          <w:p w14:paraId="266CD721">
            <w:pPr>
              <w:keepNext w:val="0"/>
              <w:keepLines w:val="0"/>
              <w:suppressLineNumbers w:val="0"/>
              <w:spacing w:before="0" w:beforeAutospacing="0" w:after="0" w:afterAutospacing="0" w:line="360" w:lineRule="auto"/>
              <w:ind w:left="0" w:right="0"/>
              <w:rPr>
                <w:rFonts w:hint="default"/>
                <w:color w:val="auto"/>
                <w:highlight w:val="none"/>
              </w:rPr>
            </w:pPr>
            <w:r>
              <w:rPr>
                <w:rFonts w:hint="eastAsia" w:ascii="宋体" w:hAnsi="宋体"/>
                <w:color w:val="auto"/>
                <w:szCs w:val="21"/>
                <w:highlight w:val="none"/>
              </w:rPr>
              <w:t>3.供应商针对报价需要说明的其他文件和说明（格式自拟）。</w:t>
            </w:r>
          </w:p>
        </w:tc>
      </w:tr>
      <w:tr w14:paraId="1A3EF8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9" w:type="pct"/>
            <w:tcBorders>
              <w:top w:val="single" w:color="000000" w:sz="4" w:space="0"/>
              <w:left w:val="single" w:color="000000" w:sz="4" w:space="0"/>
              <w:bottom w:val="single" w:color="000000" w:sz="4" w:space="0"/>
              <w:right w:val="single" w:color="000000" w:sz="4" w:space="0"/>
            </w:tcBorders>
            <w:vAlign w:val="center"/>
          </w:tcPr>
          <w:p w14:paraId="349D2F55">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12.2</w:t>
            </w:r>
          </w:p>
        </w:tc>
        <w:tc>
          <w:tcPr>
            <w:tcW w:w="1343" w:type="pct"/>
            <w:tcBorders>
              <w:top w:val="single" w:color="000000" w:sz="4" w:space="0"/>
              <w:left w:val="single" w:color="000000" w:sz="4" w:space="0"/>
              <w:bottom w:val="single" w:color="000000" w:sz="4" w:space="0"/>
              <w:right w:val="single" w:color="000000" w:sz="4" w:space="0"/>
            </w:tcBorders>
            <w:vAlign w:val="center"/>
          </w:tcPr>
          <w:p w14:paraId="0BFF4F8E">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响应文件电子版要求</w:t>
            </w:r>
          </w:p>
        </w:tc>
        <w:tc>
          <w:tcPr>
            <w:tcW w:w="3306" w:type="pct"/>
            <w:tcBorders>
              <w:top w:val="single" w:color="000000" w:sz="4" w:space="0"/>
              <w:left w:val="single" w:color="000000" w:sz="4" w:space="0"/>
              <w:bottom w:val="single" w:color="000000" w:sz="4" w:space="0"/>
              <w:right w:val="single" w:color="000000" w:sz="4" w:space="0"/>
            </w:tcBorders>
            <w:vAlign w:val="center"/>
          </w:tcPr>
          <w:p w14:paraId="69E650B6">
            <w:pPr>
              <w:keepNext w:val="0"/>
              <w:keepLines w:val="0"/>
              <w:suppressLineNumbers w:val="0"/>
              <w:snapToGrid w:val="0"/>
              <w:spacing w:before="0" w:beforeAutospacing="0" w:after="0" w:afterAutospacing="0" w:line="360" w:lineRule="auto"/>
              <w:ind w:left="0" w:right="0"/>
              <w:jc w:val="left"/>
              <w:rPr>
                <w:rFonts w:hint="eastAsia" w:ascii="宋体" w:hAnsi="宋体" w:cs="宋体"/>
                <w:color w:val="auto"/>
                <w:szCs w:val="21"/>
                <w:highlight w:val="none"/>
              </w:rPr>
            </w:pPr>
            <w:r>
              <w:rPr>
                <w:rFonts w:hint="eastAsia" w:ascii="宋体" w:hAnsi="宋体" w:cs="宋体"/>
                <w:color w:val="auto"/>
                <w:szCs w:val="21"/>
                <w:highlight w:val="none"/>
              </w:rPr>
              <w:t>1.响应文件电子版要求：按照本采购文件“</w:t>
            </w:r>
            <w:r>
              <w:rPr>
                <w:rFonts w:hint="eastAsia" w:ascii="宋体" w:hAnsi="宋体"/>
                <w:color w:val="auto"/>
                <w:szCs w:val="21"/>
                <w:highlight w:val="none"/>
              </w:rPr>
              <w:t>第五章 响应文件格式</w:t>
            </w:r>
            <w:r>
              <w:rPr>
                <w:rFonts w:hint="eastAsia" w:ascii="宋体" w:hAnsi="宋体" w:cs="宋体"/>
                <w:color w:val="auto"/>
                <w:szCs w:val="21"/>
                <w:highlight w:val="none"/>
              </w:rPr>
              <w:t>”编写（第五章未附格式的，由供应商自行拟定），不可涂改并在规定加盖公章处加盖电子公章，</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p>
          <w:p w14:paraId="2AFA6184">
            <w:pPr>
              <w:keepNext w:val="0"/>
              <w:keepLines w:val="0"/>
              <w:suppressLineNumbers w:val="0"/>
              <w:snapToGrid w:val="0"/>
              <w:spacing w:before="0" w:beforeAutospacing="0" w:after="0" w:afterAutospacing="0" w:line="360" w:lineRule="auto"/>
              <w:ind w:left="0" w:right="0"/>
              <w:jc w:val="left"/>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Courier New"/>
                <w:color w:val="auto"/>
                <w:szCs w:val="21"/>
                <w:highlight w:val="none"/>
              </w:rPr>
              <w:t>.响应文件电子版密封方式：电子响应文件通过平台有效CA加密后在“广西政府采购云平台”投送。（操作方式见公告附件“</w:t>
            </w:r>
            <w:r>
              <w:rPr>
                <w:rFonts w:hint="eastAsia" w:ascii="宋体" w:hAnsi="宋体"/>
                <w:color w:val="auto"/>
                <w:szCs w:val="21"/>
                <w:highlight w:val="none"/>
              </w:rPr>
              <w:t>电子响应文件制作与投送教程</w:t>
            </w:r>
            <w:r>
              <w:rPr>
                <w:rFonts w:hint="eastAsia" w:ascii="宋体" w:hAnsi="宋体" w:cs="Courier New"/>
                <w:color w:val="auto"/>
                <w:szCs w:val="21"/>
                <w:highlight w:val="none"/>
              </w:rPr>
              <w:t>” ）</w:t>
            </w:r>
          </w:p>
        </w:tc>
      </w:tr>
      <w:tr w14:paraId="46F42F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9" w:type="pct"/>
            <w:tcBorders>
              <w:top w:val="single" w:color="000000" w:sz="4" w:space="0"/>
              <w:left w:val="single" w:color="000000" w:sz="4" w:space="0"/>
              <w:bottom w:val="single" w:color="000000" w:sz="4" w:space="0"/>
              <w:right w:val="single" w:color="000000" w:sz="4" w:space="0"/>
            </w:tcBorders>
            <w:vAlign w:val="center"/>
          </w:tcPr>
          <w:p w14:paraId="616D2230">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15.2</w:t>
            </w:r>
          </w:p>
        </w:tc>
        <w:tc>
          <w:tcPr>
            <w:tcW w:w="1343" w:type="pct"/>
            <w:tcBorders>
              <w:top w:val="single" w:color="000000" w:sz="4" w:space="0"/>
              <w:left w:val="single" w:color="000000" w:sz="4" w:space="0"/>
              <w:bottom w:val="single" w:color="000000" w:sz="4" w:space="0"/>
              <w:right w:val="single" w:color="000000" w:sz="4" w:space="0"/>
            </w:tcBorders>
            <w:vAlign w:val="center"/>
          </w:tcPr>
          <w:p w14:paraId="3A526240">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响应报价要求</w:t>
            </w:r>
          </w:p>
        </w:tc>
        <w:tc>
          <w:tcPr>
            <w:tcW w:w="3306" w:type="pct"/>
            <w:tcBorders>
              <w:top w:val="single" w:color="000000" w:sz="4" w:space="0"/>
              <w:left w:val="single" w:color="000000" w:sz="4" w:space="0"/>
              <w:bottom w:val="single" w:color="000000" w:sz="4" w:space="0"/>
              <w:right w:val="single" w:color="000000" w:sz="4" w:space="0"/>
            </w:tcBorders>
            <w:vAlign w:val="center"/>
          </w:tcPr>
          <w:p w14:paraId="0750527B">
            <w:pPr>
              <w:keepNext w:val="0"/>
              <w:keepLines w:val="0"/>
              <w:suppressLineNumbers w:val="0"/>
              <w:snapToGrid w:val="0"/>
              <w:spacing w:before="0" w:beforeAutospacing="0" w:after="0" w:afterAutospacing="0" w:line="360" w:lineRule="auto"/>
              <w:ind w:left="0" w:right="0"/>
              <w:jc w:val="left"/>
              <w:rPr>
                <w:rFonts w:hint="eastAsia" w:ascii="宋体" w:hAnsi="宋体" w:cs="宋体"/>
                <w:color w:val="auto"/>
                <w:szCs w:val="21"/>
                <w:highlight w:val="none"/>
              </w:rPr>
            </w:pPr>
            <w:r>
              <w:rPr>
                <w:rFonts w:hint="eastAsia" w:ascii="宋体" w:hAnsi="宋体" w:cs="宋体"/>
                <w:color w:val="auto"/>
                <w:szCs w:val="21"/>
                <w:highlight w:val="none"/>
              </w:rPr>
              <w:t>响应报价必须包含满足本次竞标全部采购需求所应提供的服务，以及伴随的货物和工程（如有）的价格；包含竞标服务、货物、工程的成本、运输（含保险）、安装（如有）、调试、检验、技术服务、培训、税费等所有费用。</w:t>
            </w:r>
            <w:r>
              <w:rPr>
                <w:rFonts w:hint="eastAsia" w:ascii="宋体" w:hAnsi="宋体"/>
                <w:b/>
                <w:color w:val="auto"/>
                <w:szCs w:val="21"/>
                <w:highlight w:val="none"/>
              </w:rPr>
              <w:t>（采购需求另有约定的，从其约定。）</w:t>
            </w:r>
          </w:p>
        </w:tc>
      </w:tr>
      <w:tr w14:paraId="7E4AED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jc w:val="center"/>
        </w:trPr>
        <w:tc>
          <w:tcPr>
            <w:tcW w:w="349" w:type="pct"/>
            <w:tcBorders>
              <w:top w:val="single" w:color="000000" w:sz="4" w:space="0"/>
              <w:left w:val="single" w:color="000000" w:sz="4" w:space="0"/>
              <w:bottom w:val="single" w:color="000000" w:sz="4" w:space="0"/>
              <w:right w:val="single" w:color="000000" w:sz="4" w:space="0"/>
            </w:tcBorders>
            <w:vAlign w:val="center"/>
          </w:tcPr>
          <w:p w14:paraId="100BC91B">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16.2</w:t>
            </w:r>
          </w:p>
        </w:tc>
        <w:tc>
          <w:tcPr>
            <w:tcW w:w="1343" w:type="pct"/>
            <w:tcBorders>
              <w:top w:val="single" w:color="000000" w:sz="4" w:space="0"/>
              <w:left w:val="single" w:color="000000" w:sz="4" w:space="0"/>
              <w:bottom w:val="single" w:color="000000" w:sz="4" w:space="0"/>
              <w:right w:val="single" w:color="000000" w:sz="4" w:space="0"/>
            </w:tcBorders>
            <w:vAlign w:val="center"/>
          </w:tcPr>
          <w:p w14:paraId="57DEEE41">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竞标有效期</w:t>
            </w:r>
          </w:p>
        </w:tc>
        <w:tc>
          <w:tcPr>
            <w:tcW w:w="3306" w:type="pct"/>
            <w:tcBorders>
              <w:top w:val="single" w:color="000000" w:sz="4" w:space="0"/>
              <w:left w:val="single" w:color="000000" w:sz="4" w:space="0"/>
              <w:bottom w:val="single" w:color="000000" w:sz="4" w:space="0"/>
              <w:right w:val="single" w:color="000000" w:sz="4" w:space="0"/>
            </w:tcBorders>
            <w:vAlign w:val="center"/>
          </w:tcPr>
          <w:p w14:paraId="196EDD88">
            <w:pPr>
              <w:keepNext w:val="0"/>
              <w:keepLines w:val="0"/>
              <w:suppressLineNumbers w:val="0"/>
              <w:snapToGrid w:val="0"/>
              <w:spacing w:before="0" w:beforeAutospacing="0" w:after="120" w:afterAutospacing="0" w:line="360" w:lineRule="auto"/>
              <w:ind w:left="0" w:right="0"/>
              <w:rPr>
                <w:rFonts w:hint="eastAsia" w:ascii="宋体" w:hAnsi="宋体" w:cs="宋体"/>
                <w:color w:val="auto"/>
                <w:szCs w:val="21"/>
                <w:highlight w:val="none"/>
              </w:rPr>
            </w:pPr>
            <w:r>
              <w:rPr>
                <w:rFonts w:hint="eastAsia" w:ascii="宋体" w:hAnsi="宋体" w:cs="宋体"/>
                <w:color w:val="auto"/>
                <w:szCs w:val="21"/>
                <w:highlight w:val="none"/>
              </w:rPr>
              <w:t>自首次响应文件提交截止之日起</w:t>
            </w:r>
            <w:bookmarkStart w:id="31" w:name="PO_3000001868_PM046"/>
            <w:r>
              <w:rPr>
                <w:rFonts w:hint="eastAsia" w:ascii="宋体" w:hAnsi="宋体" w:cs="宋体"/>
                <w:color w:val="auto"/>
                <w:szCs w:val="21"/>
                <w:highlight w:val="none"/>
                <w:u w:val="single"/>
              </w:rPr>
              <w:t>90</w:t>
            </w:r>
            <w:bookmarkEnd w:id="31"/>
            <w:r>
              <w:rPr>
                <w:rFonts w:hint="eastAsia" w:ascii="宋体" w:hAnsi="宋体" w:cs="宋体"/>
                <w:color w:val="auto"/>
                <w:szCs w:val="21"/>
                <w:highlight w:val="none"/>
              </w:rPr>
              <w:t>日。</w:t>
            </w:r>
          </w:p>
        </w:tc>
      </w:tr>
      <w:tr w14:paraId="62F19E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9" w:type="pct"/>
            <w:tcBorders>
              <w:top w:val="single" w:color="000000" w:sz="4" w:space="0"/>
              <w:left w:val="single" w:color="000000" w:sz="4" w:space="0"/>
              <w:bottom w:val="single" w:color="000000" w:sz="4" w:space="0"/>
              <w:right w:val="single" w:color="000000" w:sz="4" w:space="0"/>
            </w:tcBorders>
            <w:vAlign w:val="center"/>
          </w:tcPr>
          <w:p w14:paraId="55E138CE">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17.1</w:t>
            </w:r>
          </w:p>
        </w:tc>
        <w:tc>
          <w:tcPr>
            <w:tcW w:w="1343" w:type="pct"/>
            <w:tcBorders>
              <w:top w:val="single" w:color="000000" w:sz="4" w:space="0"/>
              <w:left w:val="single" w:color="000000" w:sz="4" w:space="0"/>
              <w:bottom w:val="single" w:color="000000" w:sz="4" w:space="0"/>
              <w:right w:val="single" w:color="000000" w:sz="4" w:space="0"/>
            </w:tcBorders>
            <w:vAlign w:val="center"/>
          </w:tcPr>
          <w:p w14:paraId="132E694B">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磋商保证金</w:t>
            </w:r>
          </w:p>
        </w:tc>
        <w:tc>
          <w:tcPr>
            <w:tcW w:w="3306" w:type="pct"/>
            <w:tcBorders>
              <w:top w:val="single" w:color="000000" w:sz="4" w:space="0"/>
              <w:left w:val="single" w:color="000000" w:sz="4" w:space="0"/>
              <w:bottom w:val="single" w:color="000000" w:sz="4" w:space="0"/>
              <w:right w:val="single" w:color="000000" w:sz="4" w:space="0"/>
            </w:tcBorders>
            <w:vAlign w:val="center"/>
          </w:tcPr>
          <w:p w14:paraId="15B5B3D0">
            <w:pPr>
              <w:keepNext w:val="0"/>
              <w:keepLines w:val="0"/>
              <w:suppressLineNumbers w:val="0"/>
              <w:autoSpaceDE w:val="0"/>
              <w:autoSpaceDN w:val="0"/>
              <w:snapToGrid w:val="0"/>
              <w:spacing w:before="0" w:beforeAutospacing="0" w:after="0" w:afterAutospacing="0" w:line="360" w:lineRule="auto"/>
              <w:ind w:left="0" w:right="0"/>
              <w:textAlignment w:val="bottom"/>
              <w:rPr>
                <w:rFonts w:hint="eastAsia" w:ascii="宋体" w:hAnsi="宋体"/>
                <w:color w:val="auto"/>
                <w:szCs w:val="21"/>
                <w:highlight w:val="none"/>
              </w:rPr>
            </w:pPr>
            <w:r>
              <w:rPr>
                <w:rFonts w:hint="eastAsia" w:ascii="宋体" w:hAnsi="宋体"/>
                <w:color w:val="auto"/>
                <w:szCs w:val="21"/>
                <w:highlight w:val="none"/>
              </w:rPr>
              <w:t>本项目不收取磋商保证金。</w:t>
            </w:r>
          </w:p>
        </w:tc>
      </w:tr>
      <w:tr w14:paraId="1487D1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349" w:type="pct"/>
            <w:vMerge w:val="restart"/>
            <w:tcBorders>
              <w:top w:val="single" w:color="000000" w:sz="4" w:space="0"/>
              <w:left w:val="single" w:color="000000" w:sz="4" w:space="0"/>
              <w:bottom w:val="single" w:color="000000" w:sz="4" w:space="0"/>
              <w:right w:val="single" w:color="000000" w:sz="4" w:space="0"/>
            </w:tcBorders>
            <w:vAlign w:val="center"/>
          </w:tcPr>
          <w:p w14:paraId="11A5C9AD">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20.1</w:t>
            </w:r>
          </w:p>
        </w:tc>
        <w:tc>
          <w:tcPr>
            <w:tcW w:w="1343" w:type="pct"/>
            <w:tcBorders>
              <w:top w:val="single" w:color="000000" w:sz="4" w:space="0"/>
              <w:left w:val="single" w:color="000000" w:sz="4" w:space="0"/>
              <w:bottom w:val="single" w:color="000000" w:sz="4" w:space="0"/>
              <w:right w:val="single" w:color="000000" w:sz="4" w:space="0"/>
            </w:tcBorders>
            <w:vAlign w:val="center"/>
          </w:tcPr>
          <w:p w14:paraId="7C986B35">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首次响应文件提交起止时间</w:t>
            </w:r>
          </w:p>
        </w:tc>
        <w:tc>
          <w:tcPr>
            <w:tcW w:w="3306" w:type="pct"/>
            <w:tcBorders>
              <w:top w:val="single" w:color="000000" w:sz="4" w:space="0"/>
              <w:left w:val="single" w:color="000000" w:sz="4" w:space="0"/>
              <w:bottom w:val="single" w:color="000000" w:sz="4" w:space="0"/>
              <w:right w:val="single" w:color="000000" w:sz="4" w:space="0"/>
            </w:tcBorders>
            <w:vAlign w:val="center"/>
          </w:tcPr>
          <w:p w14:paraId="328E00DF">
            <w:pPr>
              <w:keepNext w:val="0"/>
              <w:keepLines w:val="0"/>
              <w:suppressLineNumbers w:val="0"/>
              <w:snapToGrid w:val="0"/>
              <w:spacing w:before="0" w:beforeAutospacing="0" w:after="0" w:afterAutospacing="0" w:line="360" w:lineRule="auto"/>
              <w:ind w:left="0" w:right="0"/>
              <w:jc w:val="left"/>
              <w:rPr>
                <w:rFonts w:hint="eastAsia" w:ascii="宋体" w:hAnsi="宋体" w:cs="宋体"/>
                <w:color w:val="auto"/>
                <w:szCs w:val="21"/>
                <w:highlight w:val="none"/>
                <w:u w:val="single"/>
              </w:rPr>
            </w:pPr>
            <w:r>
              <w:rPr>
                <w:rFonts w:hint="eastAsia" w:ascii="宋体" w:hAnsi="宋体" w:cs="宋体"/>
                <w:color w:val="auto"/>
                <w:szCs w:val="21"/>
                <w:highlight w:val="none"/>
              </w:rPr>
              <w:t>详见竞争性磋商公告。</w:t>
            </w:r>
          </w:p>
        </w:tc>
      </w:tr>
      <w:tr w14:paraId="5AE35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349" w:type="pct"/>
            <w:vMerge w:val="continue"/>
            <w:tcBorders>
              <w:top w:val="single" w:color="000000" w:sz="4" w:space="0"/>
              <w:left w:val="single" w:color="000000" w:sz="4" w:space="0"/>
              <w:bottom w:val="single" w:color="000000" w:sz="4" w:space="0"/>
              <w:right w:val="single" w:color="000000" w:sz="4" w:space="0"/>
            </w:tcBorders>
            <w:vAlign w:val="center"/>
          </w:tcPr>
          <w:p w14:paraId="55A173FA">
            <w:pPr>
              <w:keepNext w:val="0"/>
              <w:keepLines w:val="0"/>
              <w:widowControl/>
              <w:suppressLineNumbers w:val="0"/>
              <w:spacing w:before="0" w:beforeAutospacing="0" w:after="0" w:afterAutospacing="0"/>
              <w:ind w:left="0" w:right="0"/>
              <w:jc w:val="left"/>
              <w:rPr>
                <w:rFonts w:hint="eastAsia" w:ascii="宋体" w:hAnsi="宋体" w:cs="宋体"/>
                <w:color w:val="auto"/>
                <w:szCs w:val="21"/>
                <w:highlight w:val="none"/>
              </w:rPr>
            </w:pPr>
          </w:p>
        </w:tc>
        <w:tc>
          <w:tcPr>
            <w:tcW w:w="1343" w:type="pct"/>
            <w:tcBorders>
              <w:top w:val="single" w:color="000000" w:sz="4" w:space="0"/>
              <w:left w:val="single" w:color="000000" w:sz="4" w:space="0"/>
              <w:bottom w:val="single" w:color="000000" w:sz="4" w:space="0"/>
              <w:right w:val="single" w:color="000000" w:sz="4" w:space="0"/>
            </w:tcBorders>
            <w:vAlign w:val="center"/>
          </w:tcPr>
          <w:p w14:paraId="0C10FC7F">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首次响应文件提交地点</w:t>
            </w:r>
          </w:p>
        </w:tc>
        <w:tc>
          <w:tcPr>
            <w:tcW w:w="3306" w:type="pct"/>
            <w:tcBorders>
              <w:top w:val="single" w:color="000000" w:sz="4" w:space="0"/>
              <w:left w:val="single" w:color="000000" w:sz="4" w:space="0"/>
              <w:bottom w:val="single" w:color="000000" w:sz="4" w:space="0"/>
              <w:right w:val="single" w:color="000000" w:sz="4" w:space="0"/>
            </w:tcBorders>
            <w:vAlign w:val="center"/>
          </w:tcPr>
          <w:p w14:paraId="7A20EB06">
            <w:pPr>
              <w:keepNext w:val="0"/>
              <w:keepLines w:val="0"/>
              <w:suppressLineNumbers w:val="0"/>
              <w:snapToGrid w:val="0"/>
              <w:spacing w:before="0" w:beforeAutospacing="0" w:after="0" w:afterAutospacing="0" w:line="360" w:lineRule="auto"/>
              <w:ind w:left="0" w:right="0"/>
              <w:jc w:val="left"/>
              <w:rPr>
                <w:rFonts w:hint="eastAsia" w:ascii="宋体" w:hAnsi="宋体" w:cs="宋体"/>
                <w:color w:val="auto"/>
                <w:szCs w:val="21"/>
                <w:highlight w:val="none"/>
                <w:u w:val="single"/>
              </w:rPr>
            </w:pPr>
            <w:r>
              <w:rPr>
                <w:rFonts w:hint="eastAsia" w:ascii="宋体" w:hAnsi="宋体" w:cs="宋体"/>
                <w:color w:val="auto"/>
                <w:szCs w:val="21"/>
                <w:highlight w:val="none"/>
              </w:rPr>
              <w:t>详见竞争性磋商公告。</w:t>
            </w:r>
          </w:p>
        </w:tc>
      </w:tr>
      <w:tr w14:paraId="703C61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349" w:type="pct"/>
            <w:tcBorders>
              <w:top w:val="single" w:color="000000" w:sz="4" w:space="0"/>
              <w:left w:val="single" w:color="000000" w:sz="4" w:space="0"/>
              <w:bottom w:val="single" w:color="000000" w:sz="4" w:space="0"/>
              <w:right w:val="single" w:color="000000" w:sz="4" w:space="0"/>
            </w:tcBorders>
            <w:vAlign w:val="center"/>
          </w:tcPr>
          <w:p w14:paraId="54A02DD5">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20.6</w:t>
            </w:r>
          </w:p>
        </w:tc>
        <w:tc>
          <w:tcPr>
            <w:tcW w:w="1343" w:type="pct"/>
            <w:tcBorders>
              <w:top w:val="single" w:color="000000" w:sz="4" w:space="0"/>
              <w:left w:val="single" w:color="000000" w:sz="4" w:space="0"/>
              <w:bottom w:val="single" w:color="000000" w:sz="4" w:space="0"/>
              <w:right w:val="single" w:color="000000" w:sz="4" w:space="0"/>
            </w:tcBorders>
            <w:vAlign w:val="center"/>
          </w:tcPr>
          <w:p w14:paraId="2E28B08C">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备份响应文件</w:t>
            </w:r>
          </w:p>
        </w:tc>
        <w:tc>
          <w:tcPr>
            <w:tcW w:w="3306" w:type="pct"/>
            <w:tcBorders>
              <w:top w:val="single" w:color="000000" w:sz="4" w:space="0"/>
              <w:left w:val="single" w:color="000000" w:sz="4" w:space="0"/>
              <w:bottom w:val="single" w:color="000000" w:sz="4" w:space="0"/>
              <w:right w:val="single" w:color="000000" w:sz="4" w:space="0"/>
            </w:tcBorders>
            <w:vAlign w:val="center"/>
          </w:tcPr>
          <w:p w14:paraId="6EE2E386">
            <w:pPr>
              <w:keepNext w:val="0"/>
              <w:keepLines w:val="0"/>
              <w:suppressLineNumbers w:val="0"/>
              <w:snapToGrid w:val="0"/>
              <w:spacing w:before="0" w:beforeAutospacing="0" w:after="0" w:afterAutospacing="0" w:line="360" w:lineRule="auto"/>
              <w:ind w:left="0" w:right="0"/>
              <w:jc w:val="left"/>
              <w:rPr>
                <w:rFonts w:hint="eastAsia" w:ascii="宋体" w:hAnsi="宋体" w:cs="宋体"/>
                <w:color w:val="auto"/>
                <w:szCs w:val="21"/>
                <w:highlight w:val="none"/>
              </w:rPr>
            </w:pPr>
            <w:r>
              <w:rPr>
                <w:rFonts w:hint="eastAsia" w:ascii="宋体" w:hAnsi="宋体"/>
                <w:color w:val="auto"/>
                <w:szCs w:val="21"/>
                <w:highlight w:val="none"/>
              </w:rPr>
              <w:t>本项目不接受备份响应文件。</w:t>
            </w:r>
          </w:p>
        </w:tc>
      </w:tr>
      <w:tr w14:paraId="20FFAB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349" w:type="pct"/>
            <w:tcBorders>
              <w:top w:val="single" w:color="000000" w:sz="4" w:space="0"/>
              <w:left w:val="single" w:color="000000" w:sz="4" w:space="0"/>
              <w:bottom w:val="single" w:color="000000" w:sz="4" w:space="0"/>
              <w:right w:val="single" w:color="000000" w:sz="4" w:space="0"/>
            </w:tcBorders>
            <w:vAlign w:val="center"/>
          </w:tcPr>
          <w:p w14:paraId="34D4D019">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21</w:t>
            </w:r>
          </w:p>
        </w:tc>
        <w:tc>
          <w:tcPr>
            <w:tcW w:w="1343" w:type="pct"/>
            <w:tcBorders>
              <w:top w:val="single" w:color="000000" w:sz="4" w:space="0"/>
              <w:left w:val="single" w:color="000000" w:sz="4" w:space="0"/>
              <w:bottom w:val="single" w:color="000000" w:sz="4" w:space="0"/>
              <w:right w:val="single" w:color="000000" w:sz="4" w:space="0"/>
            </w:tcBorders>
            <w:vAlign w:val="center"/>
          </w:tcPr>
          <w:p w14:paraId="3FA3C5DE">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首次响应文件的退回</w:t>
            </w:r>
          </w:p>
        </w:tc>
        <w:tc>
          <w:tcPr>
            <w:tcW w:w="3306" w:type="pct"/>
            <w:tcBorders>
              <w:top w:val="single" w:color="000000" w:sz="4" w:space="0"/>
              <w:left w:val="single" w:color="000000" w:sz="4" w:space="0"/>
              <w:bottom w:val="single" w:color="000000" w:sz="4" w:space="0"/>
              <w:right w:val="single" w:color="000000" w:sz="4" w:space="0"/>
            </w:tcBorders>
            <w:vAlign w:val="center"/>
          </w:tcPr>
          <w:p w14:paraId="2FC837F4">
            <w:pPr>
              <w:keepNext w:val="0"/>
              <w:keepLines w:val="0"/>
              <w:suppressLineNumbers w:val="0"/>
              <w:snapToGrid w:val="0"/>
              <w:spacing w:before="0" w:beforeAutospacing="0" w:after="0" w:afterAutospacing="0" w:line="360" w:lineRule="auto"/>
              <w:ind w:left="0" w:right="0"/>
              <w:jc w:val="left"/>
              <w:rPr>
                <w:rFonts w:hint="eastAsia" w:ascii="宋体" w:hAnsi="宋体"/>
                <w:color w:val="auto"/>
                <w:szCs w:val="21"/>
                <w:highlight w:val="none"/>
              </w:rPr>
            </w:pPr>
            <w:r>
              <w:rPr>
                <w:rFonts w:hint="eastAsia" w:ascii="宋体" w:hAnsi="宋体" w:cs="宋体"/>
                <w:color w:val="auto"/>
                <w:szCs w:val="21"/>
                <w:highlight w:val="none"/>
              </w:rPr>
              <w:t>详见竞争性磋商公告。</w:t>
            </w:r>
          </w:p>
        </w:tc>
      </w:tr>
      <w:tr w14:paraId="23BF90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349" w:type="pct"/>
            <w:vMerge w:val="restart"/>
            <w:tcBorders>
              <w:top w:val="single" w:color="000000" w:sz="4" w:space="0"/>
              <w:left w:val="single" w:color="000000" w:sz="4" w:space="0"/>
              <w:bottom w:val="single" w:color="000000" w:sz="4" w:space="0"/>
              <w:right w:val="single" w:color="000000" w:sz="4" w:space="0"/>
            </w:tcBorders>
            <w:vAlign w:val="center"/>
          </w:tcPr>
          <w:p w14:paraId="7C4C638C">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26.2</w:t>
            </w:r>
          </w:p>
        </w:tc>
        <w:tc>
          <w:tcPr>
            <w:tcW w:w="1343" w:type="pct"/>
            <w:tcBorders>
              <w:top w:val="single" w:color="000000" w:sz="4" w:space="0"/>
              <w:left w:val="single" w:color="000000" w:sz="4" w:space="0"/>
              <w:bottom w:val="single" w:color="000000" w:sz="4" w:space="0"/>
              <w:right w:val="single" w:color="000000" w:sz="4" w:space="0"/>
            </w:tcBorders>
            <w:vAlign w:val="center"/>
          </w:tcPr>
          <w:p w14:paraId="47BBBB42">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负偏离要求</w:t>
            </w:r>
          </w:p>
        </w:tc>
        <w:tc>
          <w:tcPr>
            <w:tcW w:w="3306" w:type="pct"/>
            <w:tcBorders>
              <w:top w:val="single" w:color="000000" w:sz="4" w:space="0"/>
              <w:left w:val="single" w:color="000000" w:sz="4" w:space="0"/>
              <w:bottom w:val="single" w:color="000000" w:sz="4" w:space="0"/>
              <w:right w:val="single" w:color="000000" w:sz="4" w:space="0"/>
            </w:tcBorders>
            <w:vAlign w:val="center"/>
          </w:tcPr>
          <w:p w14:paraId="000F77DC">
            <w:pPr>
              <w:keepNext w:val="0"/>
              <w:keepLines w:val="0"/>
              <w:suppressLineNumbers w:val="0"/>
              <w:snapToGrid w:val="0"/>
              <w:spacing w:before="0" w:beforeAutospacing="0" w:after="0" w:afterAutospacing="0" w:line="360" w:lineRule="auto"/>
              <w:ind w:left="0" w:right="0"/>
              <w:rPr>
                <w:rFonts w:hint="eastAsia" w:ascii="宋体" w:hAnsi="宋体" w:cs="宋体"/>
                <w:color w:val="auto"/>
                <w:szCs w:val="21"/>
                <w:highlight w:val="none"/>
              </w:rPr>
            </w:pPr>
            <w:r>
              <w:rPr>
                <w:rFonts w:hint="eastAsia" w:ascii="宋体" w:hAnsi="宋体" w:cs="宋体"/>
                <w:color w:val="auto"/>
                <w:szCs w:val="21"/>
                <w:highlight w:val="none"/>
              </w:rPr>
              <w:t>商务条款评审中允许负偏离的条款数为</w:t>
            </w:r>
            <w:r>
              <w:rPr>
                <w:rFonts w:hint="eastAsia" w:ascii="宋体" w:hAnsi="宋体" w:cs="宋体"/>
                <w:color w:val="auto"/>
                <w:szCs w:val="21"/>
                <w:highlight w:val="none"/>
                <w:u w:val="single"/>
              </w:rPr>
              <w:t xml:space="preserve"> 0 </w:t>
            </w:r>
            <w:r>
              <w:rPr>
                <w:rFonts w:hint="eastAsia" w:ascii="宋体" w:hAnsi="宋体" w:cs="宋体"/>
                <w:color w:val="auto"/>
                <w:szCs w:val="21"/>
                <w:highlight w:val="none"/>
              </w:rPr>
              <w:t>项。</w:t>
            </w:r>
          </w:p>
          <w:p w14:paraId="2513BDA7">
            <w:pPr>
              <w:keepNext w:val="0"/>
              <w:keepLines w:val="0"/>
              <w:suppressLineNumbers w:val="0"/>
              <w:snapToGrid w:val="0"/>
              <w:spacing w:before="0" w:beforeAutospacing="0" w:after="0" w:afterAutospacing="0" w:line="360" w:lineRule="auto"/>
              <w:ind w:left="0" w:right="0"/>
              <w:rPr>
                <w:rFonts w:hint="eastAsia" w:ascii="宋体" w:hAnsi="宋体" w:cs="宋体"/>
                <w:color w:val="auto"/>
                <w:szCs w:val="21"/>
                <w:highlight w:val="none"/>
              </w:rPr>
            </w:pPr>
            <w:r>
              <w:rPr>
                <w:rFonts w:hint="eastAsia" w:ascii="宋体" w:hAnsi="宋体" w:cs="宋体"/>
                <w:color w:val="auto"/>
                <w:szCs w:val="21"/>
                <w:highlight w:val="none"/>
              </w:rPr>
              <w:t>服务需求评审中允许负偏离的条款数为</w:t>
            </w:r>
            <w:r>
              <w:rPr>
                <w:rFonts w:hint="eastAsia" w:ascii="宋体" w:hAnsi="宋体" w:cs="宋体"/>
                <w:color w:val="auto"/>
                <w:szCs w:val="21"/>
                <w:highlight w:val="none"/>
                <w:u w:val="single"/>
              </w:rPr>
              <w:t xml:space="preserve"> 0 </w:t>
            </w:r>
            <w:r>
              <w:rPr>
                <w:rFonts w:hint="eastAsia" w:ascii="宋体" w:hAnsi="宋体" w:cs="宋体"/>
                <w:color w:val="auto"/>
                <w:szCs w:val="21"/>
                <w:highlight w:val="none"/>
              </w:rPr>
              <w:t>项。</w:t>
            </w:r>
          </w:p>
        </w:tc>
      </w:tr>
      <w:tr w14:paraId="326AB0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9" w:type="pct"/>
            <w:vMerge w:val="continue"/>
            <w:tcBorders>
              <w:top w:val="single" w:color="000000" w:sz="4" w:space="0"/>
              <w:left w:val="single" w:color="000000" w:sz="4" w:space="0"/>
              <w:bottom w:val="single" w:color="000000" w:sz="4" w:space="0"/>
              <w:right w:val="single" w:color="000000" w:sz="4" w:space="0"/>
            </w:tcBorders>
            <w:vAlign w:val="center"/>
          </w:tcPr>
          <w:p w14:paraId="5193D289">
            <w:pPr>
              <w:keepNext w:val="0"/>
              <w:keepLines w:val="0"/>
              <w:widowControl/>
              <w:suppressLineNumbers w:val="0"/>
              <w:spacing w:before="0" w:beforeAutospacing="0" w:after="0" w:afterAutospacing="0"/>
              <w:ind w:left="0" w:right="0"/>
              <w:jc w:val="left"/>
              <w:rPr>
                <w:rFonts w:hint="eastAsia" w:ascii="宋体" w:hAnsi="宋体" w:cs="宋体"/>
                <w:color w:val="auto"/>
                <w:szCs w:val="21"/>
                <w:highlight w:val="none"/>
              </w:rPr>
            </w:pPr>
          </w:p>
        </w:tc>
        <w:tc>
          <w:tcPr>
            <w:tcW w:w="1343" w:type="pct"/>
            <w:tcBorders>
              <w:top w:val="single" w:color="000000" w:sz="4" w:space="0"/>
              <w:left w:val="single" w:color="000000" w:sz="4" w:space="0"/>
              <w:bottom w:val="single" w:color="000000" w:sz="4" w:space="0"/>
              <w:right w:val="single" w:color="000000" w:sz="4" w:space="0"/>
            </w:tcBorders>
            <w:vAlign w:val="center"/>
          </w:tcPr>
          <w:p w14:paraId="3A047415">
            <w:pPr>
              <w:keepNext w:val="0"/>
              <w:keepLines w:val="0"/>
              <w:suppressLineNumbers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磋商的顺序</w:t>
            </w:r>
          </w:p>
        </w:tc>
        <w:tc>
          <w:tcPr>
            <w:tcW w:w="3306" w:type="pct"/>
            <w:tcBorders>
              <w:top w:val="single" w:color="000000" w:sz="4" w:space="0"/>
              <w:left w:val="single" w:color="000000" w:sz="4" w:space="0"/>
              <w:bottom w:val="single" w:color="000000" w:sz="4" w:space="0"/>
              <w:right w:val="single" w:color="000000" w:sz="4" w:space="0"/>
            </w:tcBorders>
            <w:vAlign w:val="center"/>
          </w:tcPr>
          <w:p w14:paraId="1497241F">
            <w:pPr>
              <w:pStyle w:val="5"/>
              <w:keepNext w:val="0"/>
              <w:keepLines w:val="0"/>
              <w:widowControl/>
              <w:numPr>
                <w:ilvl w:val="0"/>
                <w:numId w:val="0"/>
              </w:numPr>
              <w:suppressLineNumbers w:val="0"/>
              <w:tabs>
                <w:tab w:val="left" w:pos="454"/>
                <w:tab w:val="left" w:pos="720"/>
                <w:tab w:val="left" w:pos="840"/>
              </w:tabs>
              <w:spacing w:before="0" w:beforeAutospacing="0" w:after="120" w:afterLines="50" w:afterAutospacing="0" w:line="360" w:lineRule="auto"/>
              <w:ind w:left="360" w:right="0" w:hanging="360"/>
              <w:jc w:val="left"/>
              <w:rPr>
                <w:rFonts w:hint="eastAsia" w:ascii="宋体" w:hAnsi="宋体" w:cs="宋体"/>
                <w:color w:val="auto"/>
                <w:szCs w:val="21"/>
                <w:highlight w:val="none"/>
              </w:rPr>
            </w:pPr>
            <w:r>
              <w:rPr>
                <w:rFonts w:hint="eastAsia" w:ascii="宋体" w:hAnsi="宋体" w:cs="宋体"/>
                <w:color w:val="auto"/>
                <w:szCs w:val="21"/>
                <w:highlight w:val="none"/>
              </w:rPr>
              <w:t>□按照提交首次响应文件的顺序，通知磋商时，若某供应商不在通知现场时，该供应商排序到最后磋商，按照签到的顺序由其下一位供应商先参与磋商。</w:t>
            </w:r>
          </w:p>
          <w:p w14:paraId="58606C61">
            <w:pPr>
              <w:keepNext w:val="0"/>
              <w:keepLines w:val="0"/>
              <w:suppressLineNumbers w:val="0"/>
              <w:snapToGrid w:val="0"/>
              <w:spacing w:before="0" w:beforeAutospacing="0" w:after="0" w:afterAutospacing="0" w:line="360" w:lineRule="auto"/>
              <w:ind w:left="0" w:right="0"/>
              <w:rPr>
                <w:rFonts w:hint="eastAsia" w:ascii="宋体" w:hAnsi="宋体" w:cs="宋体"/>
                <w:color w:val="auto"/>
                <w:szCs w:val="21"/>
                <w:highlight w:val="none"/>
              </w:rPr>
            </w:pPr>
            <w:r>
              <w:rPr>
                <w:rFonts w:hint="eastAsia" w:ascii="宋体" w:hAnsi="宋体" w:cs="宋体"/>
                <w:color w:val="auto"/>
                <w:szCs w:val="21"/>
                <w:highlight w:val="none"/>
              </w:rPr>
              <w:sym w:font="Wingdings 2" w:char="0052"/>
            </w:r>
            <w:r>
              <w:rPr>
                <w:rFonts w:hint="eastAsia" w:ascii="宋体" w:hAnsi="宋体" w:cs="宋体"/>
                <w:color w:val="auto"/>
                <w:szCs w:val="21"/>
                <w:highlight w:val="none"/>
              </w:rPr>
              <w:t>随机排序。本项目为政采云电子标，所有响应单位在规定的时间内统一进行磋商报价。</w:t>
            </w:r>
          </w:p>
        </w:tc>
      </w:tr>
      <w:tr w14:paraId="0BD6B9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9" w:type="pct"/>
            <w:tcBorders>
              <w:top w:val="single" w:color="000000" w:sz="4" w:space="0"/>
              <w:left w:val="single" w:color="000000" w:sz="4" w:space="0"/>
              <w:bottom w:val="single" w:color="000000" w:sz="4" w:space="0"/>
              <w:right w:val="single" w:color="000000" w:sz="4" w:space="0"/>
            </w:tcBorders>
            <w:vAlign w:val="center"/>
          </w:tcPr>
          <w:p w14:paraId="0A08C3B8">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28</w:t>
            </w:r>
          </w:p>
        </w:tc>
        <w:tc>
          <w:tcPr>
            <w:tcW w:w="1343" w:type="pct"/>
            <w:tcBorders>
              <w:top w:val="single" w:color="000000" w:sz="4" w:space="0"/>
              <w:left w:val="single" w:color="000000" w:sz="4" w:space="0"/>
              <w:bottom w:val="single" w:color="000000" w:sz="4" w:space="0"/>
              <w:right w:val="single" w:color="000000" w:sz="4" w:space="0"/>
            </w:tcBorders>
            <w:vAlign w:val="center"/>
          </w:tcPr>
          <w:p w14:paraId="2E54773D">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履约保证金</w:t>
            </w:r>
          </w:p>
        </w:tc>
        <w:tc>
          <w:tcPr>
            <w:tcW w:w="3306" w:type="pct"/>
            <w:tcBorders>
              <w:top w:val="single" w:color="000000" w:sz="4" w:space="0"/>
              <w:left w:val="single" w:color="000000" w:sz="4" w:space="0"/>
              <w:bottom w:val="single" w:color="000000" w:sz="4" w:space="0"/>
              <w:right w:val="single" w:color="000000" w:sz="4" w:space="0"/>
            </w:tcBorders>
            <w:vAlign w:val="center"/>
          </w:tcPr>
          <w:p w14:paraId="7DDE5852">
            <w:pPr>
              <w:keepNext w:val="0"/>
              <w:keepLines w:val="0"/>
              <w:suppressLineNumbers w:val="0"/>
              <w:snapToGrid w:val="0"/>
              <w:spacing w:before="0" w:beforeAutospacing="0" w:after="0" w:afterAutospacing="0" w:line="360" w:lineRule="auto"/>
              <w:ind w:left="0" w:right="0"/>
              <w:rPr>
                <w:rFonts w:hint="eastAsia" w:ascii="宋体" w:hAnsi="宋体" w:cs="宋体"/>
                <w:color w:val="auto"/>
                <w:szCs w:val="21"/>
                <w:highlight w:val="none"/>
              </w:rPr>
            </w:pPr>
            <w:r>
              <w:rPr>
                <w:rFonts w:hint="eastAsia" w:ascii="宋体" w:hAnsi="宋体" w:cs="宋体"/>
                <w:color w:val="auto"/>
                <w:szCs w:val="21"/>
                <w:highlight w:val="none"/>
              </w:rPr>
              <w:t xml:space="preserve">本项目不收取履约保证金 </w:t>
            </w:r>
          </w:p>
        </w:tc>
      </w:tr>
      <w:tr w14:paraId="017448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9" w:type="pct"/>
            <w:tcBorders>
              <w:top w:val="single" w:color="000000" w:sz="4" w:space="0"/>
              <w:left w:val="single" w:color="000000" w:sz="4" w:space="0"/>
              <w:bottom w:val="single" w:color="000000" w:sz="4" w:space="0"/>
              <w:right w:val="single" w:color="000000" w:sz="4" w:space="0"/>
            </w:tcBorders>
            <w:vAlign w:val="center"/>
          </w:tcPr>
          <w:p w14:paraId="65D70BDE">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29.5</w:t>
            </w:r>
          </w:p>
        </w:tc>
        <w:tc>
          <w:tcPr>
            <w:tcW w:w="1343" w:type="pct"/>
            <w:tcBorders>
              <w:top w:val="single" w:color="000000" w:sz="4" w:space="0"/>
              <w:left w:val="single" w:color="000000" w:sz="4" w:space="0"/>
              <w:bottom w:val="single" w:color="000000" w:sz="4" w:space="0"/>
              <w:right w:val="single" w:color="000000" w:sz="4" w:space="0"/>
            </w:tcBorders>
            <w:vAlign w:val="center"/>
          </w:tcPr>
          <w:p w14:paraId="0C1ECC54">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olor w:val="auto"/>
                <w:szCs w:val="21"/>
                <w:highlight w:val="none"/>
              </w:rPr>
              <w:t>签订合同携带的材料</w:t>
            </w:r>
          </w:p>
        </w:tc>
        <w:tc>
          <w:tcPr>
            <w:tcW w:w="3306" w:type="pct"/>
            <w:tcBorders>
              <w:top w:val="single" w:color="000000" w:sz="4" w:space="0"/>
              <w:left w:val="single" w:color="000000" w:sz="4" w:space="0"/>
              <w:bottom w:val="single" w:color="000000" w:sz="4" w:space="0"/>
              <w:right w:val="single" w:color="000000" w:sz="4" w:space="0"/>
            </w:tcBorders>
            <w:vAlign w:val="center"/>
          </w:tcPr>
          <w:p w14:paraId="3EE18C50">
            <w:pPr>
              <w:keepNext w:val="0"/>
              <w:keepLines w:val="0"/>
              <w:suppressLineNumbers w:val="0"/>
              <w:snapToGrid w:val="0"/>
              <w:spacing w:before="0" w:beforeAutospacing="0" w:after="0" w:afterAutospacing="0" w:line="360" w:lineRule="auto"/>
              <w:ind w:left="0" w:right="0"/>
              <w:rPr>
                <w:rFonts w:hint="eastAsia" w:ascii="宋体" w:hAnsi="宋体" w:cs="宋体"/>
                <w:color w:val="auto"/>
                <w:szCs w:val="21"/>
                <w:highlight w:val="none"/>
              </w:rPr>
            </w:pPr>
            <w:r>
              <w:rPr>
                <w:rFonts w:hint="eastAsia" w:ascii="宋体" w:hAnsi="宋体"/>
                <w:color w:val="auto"/>
                <w:szCs w:val="21"/>
                <w:highlight w:val="none"/>
              </w:rPr>
              <w:t>使用的有效CA证书加盖单位电子公章</w:t>
            </w:r>
          </w:p>
        </w:tc>
      </w:tr>
      <w:tr w14:paraId="242375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9" w:type="pct"/>
            <w:vMerge w:val="restart"/>
            <w:tcBorders>
              <w:top w:val="single" w:color="000000" w:sz="4" w:space="0"/>
              <w:left w:val="single" w:color="000000" w:sz="4" w:space="0"/>
              <w:bottom w:val="single" w:color="000000" w:sz="4" w:space="0"/>
              <w:right w:val="single" w:color="000000" w:sz="4" w:space="0"/>
            </w:tcBorders>
            <w:vAlign w:val="center"/>
          </w:tcPr>
          <w:p w14:paraId="471571AE">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31.2</w:t>
            </w:r>
          </w:p>
        </w:tc>
        <w:tc>
          <w:tcPr>
            <w:tcW w:w="1343" w:type="pct"/>
            <w:tcBorders>
              <w:top w:val="single" w:color="000000" w:sz="4" w:space="0"/>
              <w:left w:val="single" w:color="000000" w:sz="4" w:space="0"/>
              <w:bottom w:val="single" w:color="000000" w:sz="4" w:space="0"/>
              <w:right w:val="single" w:color="000000" w:sz="4" w:space="0"/>
            </w:tcBorders>
            <w:vAlign w:val="center"/>
          </w:tcPr>
          <w:p w14:paraId="1433C2CB">
            <w:pPr>
              <w:keepNext w:val="0"/>
              <w:keepLines w:val="0"/>
              <w:suppressLineNumbers w:val="0"/>
              <w:spacing w:before="0" w:beforeAutospacing="0" w:after="0" w:afterAutospacing="0" w:line="380" w:lineRule="exact"/>
              <w:ind w:left="0" w:right="0"/>
              <w:jc w:val="center"/>
              <w:rPr>
                <w:rFonts w:hint="eastAsia" w:ascii="宋体" w:hAnsi="宋体"/>
                <w:color w:val="auto"/>
                <w:szCs w:val="21"/>
                <w:highlight w:val="none"/>
              </w:rPr>
            </w:pPr>
            <w:r>
              <w:rPr>
                <w:rFonts w:hint="eastAsia" w:ascii="宋体" w:hAnsi="宋体"/>
                <w:color w:val="auto"/>
                <w:szCs w:val="21"/>
                <w:highlight w:val="none"/>
              </w:rPr>
              <w:t>接收质疑函方式</w:t>
            </w:r>
          </w:p>
        </w:tc>
        <w:tc>
          <w:tcPr>
            <w:tcW w:w="3306" w:type="pct"/>
            <w:tcBorders>
              <w:top w:val="single" w:color="000000" w:sz="4" w:space="0"/>
              <w:left w:val="single" w:color="000000" w:sz="4" w:space="0"/>
              <w:bottom w:val="single" w:color="000000" w:sz="4" w:space="0"/>
              <w:right w:val="single" w:color="000000" w:sz="4" w:space="0"/>
            </w:tcBorders>
            <w:vAlign w:val="center"/>
          </w:tcPr>
          <w:p w14:paraId="31488AFB">
            <w:pPr>
              <w:keepNext w:val="0"/>
              <w:keepLines w:val="0"/>
              <w:suppressLineNumbers w:val="0"/>
              <w:snapToGrid w:val="0"/>
              <w:spacing w:before="0" w:beforeAutospacing="0" w:after="0" w:afterAutospacing="0" w:line="380" w:lineRule="exact"/>
              <w:ind w:left="0" w:right="0"/>
              <w:rPr>
                <w:rFonts w:hint="eastAsia" w:ascii="宋体" w:hAnsi="宋体"/>
                <w:color w:val="auto"/>
                <w:szCs w:val="21"/>
                <w:highlight w:val="none"/>
              </w:rPr>
            </w:pPr>
            <w:r>
              <w:rPr>
                <w:rFonts w:hint="eastAsia" w:ascii="宋体" w:hAnsi="宋体"/>
                <w:color w:val="auto"/>
                <w:szCs w:val="21"/>
                <w:highlight w:val="none"/>
              </w:rPr>
              <w:t>以书面形式</w:t>
            </w:r>
          </w:p>
        </w:tc>
      </w:tr>
      <w:tr w14:paraId="4740F3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9" w:type="pct"/>
            <w:vMerge w:val="continue"/>
            <w:tcBorders>
              <w:top w:val="single" w:color="000000" w:sz="4" w:space="0"/>
              <w:left w:val="single" w:color="000000" w:sz="4" w:space="0"/>
              <w:bottom w:val="single" w:color="000000" w:sz="4" w:space="0"/>
              <w:right w:val="single" w:color="000000" w:sz="4" w:space="0"/>
            </w:tcBorders>
            <w:vAlign w:val="center"/>
          </w:tcPr>
          <w:p w14:paraId="69F9821E">
            <w:pPr>
              <w:keepNext w:val="0"/>
              <w:keepLines w:val="0"/>
              <w:widowControl/>
              <w:suppressLineNumbers w:val="0"/>
              <w:spacing w:before="0" w:beforeAutospacing="0" w:after="0" w:afterAutospacing="0"/>
              <w:ind w:left="0" w:right="0"/>
              <w:jc w:val="left"/>
              <w:rPr>
                <w:rFonts w:hint="eastAsia" w:ascii="宋体" w:hAnsi="宋体" w:cs="宋体"/>
                <w:color w:val="auto"/>
                <w:szCs w:val="21"/>
                <w:highlight w:val="none"/>
              </w:rPr>
            </w:pPr>
          </w:p>
        </w:tc>
        <w:tc>
          <w:tcPr>
            <w:tcW w:w="1343" w:type="pct"/>
            <w:tcBorders>
              <w:top w:val="single" w:color="000000" w:sz="4" w:space="0"/>
              <w:left w:val="single" w:color="000000" w:sz="4" w:space="0"/>
              <w:bottom w:val="single" w:color="000000" w:sz="4" w:space="0"/>
              <w:right w:val="single" w:color="000000" w:sz="4" w:space="0"/>
            </w:tcBorders>
            <w:vAlign w:val="center"/>
          </w:tcPr>
          <w:p w14:paraId="7385A4CD">
            <w:pPr>
              <w:keepNext w:val="0"/>
              <w:keepLines w:val="0"/>
              <w:suppressLineNumbers w:val="0"/>
              <w:spacing w:before="0" w:beforeAutospacing="0" w:after="0" w:afterAutospacing="0" w:line="380" w:lineRule="exact"/>
              <w:ind w:left="0" w:right="0"/>
              <w:jc w:val="center"/>
              <w:rPr>
                <w:rFonts w:hint="eastAsia" w:ascii="宋体" w:hAnsi="宋体"/>
                <w:color w:val="auto"/>
                <w:szCs w:val="21"/>
                <w:highlight w:val="none"/>
              </w:rPr>
            </w:pPr>
            <w:r>
              <w:rPr>
                <w:rFonts w:hint="eastAsia" w:ascii="宋体" w:hAnsi="宋体"/>
                <w:color w:val="auto"/>
                <w:szCs w:val="21"/>
                <w:highlight w:val="none"/>
              </w:rPr>
              <w:t>质疑联系部门及联系方式</w:t>
            </w:r>
          </w:p>
        </w:tc>
        <w:tc>
          <w:tcPr>
            <w:tcW w:w="3306" w:type="pct"/>
            <w:tcBorders>
              <w:top w:val="single" w:color="000000" w:sz="4" w:space="0"/>
              <w:left w:val="single" w:color="000000" w:sz="4" w:space="0"/>
              <w:bottom w:val="single" w:color="000000" w:sz="4" w:space="0"/>
              <w:right w:val="single" w:color="000000" w:sz="4" w:space="0"/>
            </w:tcBorders>
            <w:vAlign w:val="center"/>
          </w:tcPr>
          <w:p w14:paraId="2ADD44A9">
            <w:pPr>
              <w:keepNext w:val="0"/>
              <w:keepLines w:val="0"/>
              <w:suppressLineNumbers w:val="0"/>
              <w:snapToGrid w:val="0"/>
              <w:spacing w:before="0" w:beforeAutospacing="0" w:after="0" w:afterAutospacing="0" w:line="380" w:lineRule="exact"/>
              <w:ind w:left="0" w:right="0"/>
              <w:rPr>
                <w:rFonts w:hint="eastAsia" w:ascii="宋体" w:hAnsi="宋体"/>
                <w:color w:val="auto"/>
                <w:szCs w:val="21"/>
                <w:highlight w:val="none"/>
              </w:rPr>
            </w:pPr>
            <w:r>
              <w:rPr>
                <w:rFonts w:hint="eastAsia" w:ascii="宋体" w:hAnsi="宋体"/>
                <w:color w:val="auto"/>
                <w:szCs w:val="21"/>
                <w:highlight w:val="none"/>
                <w:u w:val="single"/>
              </w:rPr>
              <w:t xml:space="preserve">（1）广西机电设备招标有限公司 </w:t>
            </w:r>
            <w:r>
              <w:rPr>
                <w:rFonts w:hint="eastAsia" w:ascii="宋体" w:hAnsi="宋体"/>
                <w:color w:val="auto"/>
                <w:szCs w:val="21"/>
                <w:highlight w:val="none"/>
              </w:rPr>
              <w:t>部门；</w:t>
            </w:r>
          </w:p>
          <w:p w14:paraId="0D73C2AB">
            <w:pPr>
              <w:keepNext w:val="0"/>
              <w:keepLines w:val="0"/>
              <w:suppressLineNumbers w:val="0"/>
              <w:snapToGrid w:val="0"/>
              <w:spacing w:before="0" w:beforeAutospacing="0" w:after="0" w:afterAutospacing="0" w:line="380" w:lineRule="exact"/>
              <w:ind w:left="0" w:right="0"/>
              <w:rPr>
                <w:rFonts w:hint="eastAsia" w:ascii="宋体" w:hAnsi="宋体"/>
                <w:color w:val="auto"/>
                <w:szCs w:val="21"/>
                <w:highlight w:val="none"/>
              </w:rPr>
            </w:pPr>
            <w:r>
              <w:rPr>
                <w:rFonts w:hint="eastAsia" w:ascii="宋体" w:hAnsi="宋体"/>
                <w:color w:val="auto"/>
                <w:szCs w:val="21"/>
                <w:highlight w:val="none"/>
              </w:rPr>
              <w:t>联系电话：0771-2808981，</w:t>
            </w:r>
          </w:p>
          <w:p w14:paraId="2490C764">
            <w:pPr>
              <w:keepNext w:val="0"/>
              <w:keepLines w:val="0"/>
              <w:suppressLineNumbers w:val="0"/>
              <w:snapToGrid w:val="0"/>
              <w:spacing w:before="0" w:beforeAutospacing="0" w:after="0" w:afterAutospacing="0" w:line="380" w:lineRule="exact"/>
              <w:ind w:left="0" w:right="0"/>
              <w:rPr>
                <w:rFonts w:hint="eastAsia" w:ascii="宋体" w:hAnsi="宋体"/>
                <w:color w:val="auto"/>
                <w:szCs w:val="21"/>
                <w:highlight w:val="none"/>
              </w:rPr>
            </w:pPr>
            <w:r>
              <w:rPr>
                <w:rFonts w:hint="eastAsia" w:ascii="宋体" w:hAnsi="宋体"/>
                <w:color w:val="auto"/>
                <w:szCs w:val="21"/>
                <w:highlight w:val="none"/>
              </w:rPr>
              <w:t>通讯地址</w:t>
            </w:r>
            <w:r>
              <w:rPr>
                <w:rFonts w:hint="eastAsia" w:ascii="宋体" w:hAnsi="宋体" w:cs="Helvetica"/>
                <w:color w:val="auto"/>
                <w:szCs w:val="21"/>
                <w:highlight w:val="none"/>
              </w:rPr>
              <w:t>：</w:t>
            </w:r>
            <w:r>
              <w:rPr>
                <w:rFonts w:hint="eastAsia" w:ascii="宋体" w:hAnsi="宋体"/>
                <w:color w:val="auto"/>
                <w:szCs w:val="21"/>
                <w:highlight w:val="none"/>
                <w:u w:val="single"/>
              </w:rPr>
              <w:t>南宁市青秀区金湖路63号金源CBD现代城7层</w:t>
            </w:r>
          </w:p>
          <w:p w14:paraId="0A02CC8E">
            <w:pPr>
              <w:keepNext w:val="0"/>
              <w:keepLines w:val="0"/>
              <w:suppressLineNumbers w:val="0"/>
              <w:snapToGrid w:val="0"/>
              <w:spacing w:before="0" w:beforeAutospacing="0" w:after="0" w:afterAutospacing="0" w:line="380" w:lineRule="exact"/>
              <w:ind w:left="0" w:right="0"/>
              <w:rPr>
                <w:rFonts w:hint="eastAsia" w:ascii="宋体" w:hAnsi="宋体"/>
                <w:color w:val="auto"/>
                <w:szCs w:val="21"/>
                <w:highlight w:val="none"/>
              </w:rPr>
            </w:pPr>
            <w:r>
              <w:rPr>
                <w:rFonts w:hint="eastAsia" w:ascii="宋体" w:hAnsi="宋体"/>
                <w:color w:val="auto"/>
                <w:szCs w:val="21"/>
                <w:highlight w:val="none"/>
                <w:u w:val="single"/>
              </w:rPr>
              <w:t xml:space="preserve">（2）南宁市工业和信息化局  </w:t>
            </w:r>
            <w:r>
              <w:rPr>
                <w:rFonts w:hint="eastAsia" w:ascii="宋体" w:hAnsi="宋体"/>
                <w:color w:val="auto"/>
                <w:szCs w:val="21"/>
                <w:highlight w:val="none"/>
              </w:rPr>
              <w:t>部门；</w:t>
            </w:r>
          </w:p>
          <w:p w14:paraId="07E1286E">
            <w:pPr>
              <w:keepNext w:val="0"/>
              <w:keepLines w:val="0"/>
              <w:suppressLineNumbers w:val="0"/>
              <w:snapToGrid w:val="0"/>
              <w:spacing w:before="0" w:beforeAutospacing="0" w:after="0" w:afterAutospacing="0" w:line="380" w:lineRule="exact"/>
              <w:ind w:left="0" w:right="0"/>
              <w:rPr>
                <w:rFonts w:hint="eastAsia" w:ascii="宋体" w:hAnsi="宋体"/>
                <w:color w:val="auto"/>
                <w:szCs w:val="21"/>
                <w:highlight w:val="none"/>
              </w:rPr>
            </w:pPr>
            <w:r>
              <w:rPr>
                <w:rFonts w:hint="eastAsia" w:ascii="宋体" w:hAnsi="宋体"/>
                <w:color w:val="auto"/>
                <w:szCs w:val="21"/>
                <w:highlight w:val="none"/>
              </w:rPr>
              <w:t>联系电话：0771-5530519</w:t>
            </w:r>
          </w:p>
          <w:p w14:paraId="3A4DC61B">
            <w:pPr>
              <w:keepNext w:val="0"/>
              <w:keepLines w:val="0"/>
              <w:suppressLineNumbers w:val="0"/>
              <w:snapToGrid w:val="0"/>
              <w:spacing w:before="0" w:beforeAutospacing="0" w:after="0" w:afterAutospacing="0" w:line="380" w:lineRule="exact"/>
              <w:ind w:left="0" w:right="0"/>
              <w:rPr>
                <w:rFonts w:hint="eastAsia" w:ascii="宋体" w:hAnsi="宋体"/>
                <w:color w:val="auto"/>
                <w:szCs w:val="21"/>
                <w:highlight w:val="none"/>
              </w:rPr>
            </w:pPr>
            <w:r>
              <w:rPr>
                <w:rFonts w:hint="eastAsia" w:ascii="宋体" w:hAnsi="宋体"/>
                <w:color w:val="auto"/>
                <w:szCs w:val="21"/>
                <w:highlight w:val="none"/>
              </w:rPr>
              <w:t>通讯地址</w:t>
            </w:r>
            <w:r>
              <w:rPr>
                <w:rFonts w:hint="eastAsia" w:ascii="宋体" w:hAnsi="宋体" w:cs="Helvetica"/>
                <w:color w:val="auto"/>
                <w:szCs w:val="21"/>
                <w:highlight w:val="none"/>
              </w:rPr>
              <w:t>：</w:t>
            </w:r>
            <w:r>
              <w:rPr>
                <w:rFonts w:hint="eastAsia" w:ascii="宋体" w:hAnsi="宋体"/>
                <w:color w:val="auto"/>
                <w:szCs w:val="21"/>
                <w:highlight w:val="none"/>
                <w:u w:val="single"/>
              </w:rPr>
              <w:t>南宁市嘉宾路1号</w:t>
            </w:r>
          </w:p>
        </w:tc>
      </w:tr>
      <w:tr w14:paraId="60DA6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jc w:val="center"/>
        </w:trPr>
        <w:tc>
          <w:tcPr>
            <w:tcW w:w="349" w:type="pct"/>
            <w:vMerge w:val="continue"/>
            <w:tcBorders>
              <w:top w:val="single" w:color="000000" w:sz="4" w:space="0"/>
              <w:left w:val="single" w:color="000000" w:sz="4" w:space="0"/>
              <w:bottom w:val="single" w:color="000000" w:sz="4" w:space="0"/>
              <w:right w:val="single" w:color="000000" w:sz="4" w:space="0"/>
            </w:tcBorders>
            <w:vAlign w:val="center"/>
          </w:tcPr>
          <w:p w14:paraId="53DAD878">
            <w:pPr>
              <w:keepNext w:val="0"/>
              <w:keepLines w:val="0"/>
              <w:widowControl/>
              <w:suppressLineNumbers w:val="0"/>
              <w:spacing w:before="0" w:beforeAutospacing="0" w:after="0" w:afterAutospacing="0"/>
              <w:ind w:left="0" w:right="0"/>
              <w:jc w:val="left"/>
              <w:rPr>
                <w:rFonts w:hint="eastAsia" w:ascii="宋体" w:hAnsi="宋体" w:cs="宋体"/>
                <w:color w:val="auto"/>
                <w:szCs w:val="21"/>
                <w:highlight w:val="none"/>
              </w:rPr>
            </w:pPr>
          </w:p>
        </w:tc>
        <w:tc>
          <w:tcPr>
            <w:tcW w:w="1343" w:type="pct"/>
            <w:tcBorders>
              <w:top w:val="single" w:color="000000" w:sz="4" w:space="0"/>
              <w:left w:val="single" w:color="000000" w:sz="4" w:space="0"/>
              <w:bottom w:val="single" w:color="000000" w:sz="4" w:space="0"/>
              <w:right w:val="single" w:color="000000" w:sz="4" w:space="0"/>
            </w:tcBorders>
            <w:vAlign w:val="center"/>
          </w:tcPr>
          <w:p w14:paraId="5FF2D541">
            <w:pPr>
              <w:keepNext w:val="0"/>
              <w:keepLines w:val="0"/>
              <w:suppressLineNumbers w:val="0"/>
              <w:spacing w:before="0" w:beforeAutospacing="0" w:after="0" w:afterAutospacing="0" w:line="380" w:lineRule="exact"/>
              <w:ind w:left="0" w:right="0"/>
              <w:jc w:val="center"/>
              <w:rPr>
                <w:rFonts w:hint="eastAsia" w:ascii="宋体" w:hAnsi="宋体"/>
                <w:color w:val="auto"/>
                <w:szCs w:val="21"/>
                <w:highlight w:val="none"/>
              </w:rPr>
            </w:pPr>
            <w:r>
              <w:rPr>
                <w:rFonts w:hint="eastAsia" w:hAnsi="宋体"/>
                <w:color w:val="auto"/>
                <w:highlight w:val="none"/>
              </w:rPr>
              <w:t>现场提交质疑办理业务时间</w:t>
            </w:r>
          </w:p>
        </w:tc>
        <w:tc>
          <w:tcPr>
            <w:tcW w:w="3306" w:type="pct"/>
            <w:tcBorders>
              <w:top w:val="single" w:color="000000" w:sz="4" w:space="0"/>
              <w:left w:val="single" w:color="000000" w:sz="4" w:space="0"/>
              <w:bottom w:val="single" w:color="000000" w:sz="4" w:space="0"/>
              <w:right w:val="single" w:color="000000" w:sz="4" w:space="0"/>
            </w:tcBorders>
            <w:vAlign w:val="center"/>
          </w:tcPr>
          <w:p w14:paraId="340F99C7">
            <w:pPr>
              <w:keepNext w:val="0"/>
              <w:keepLines w:val="0"/>
              <w:suppressLineNumbers w:val="0"/>
              <w:snapToGrid w:val="0"/>
              <w:spacing w:before="0" w:beforeAutospacing="0" w:after="0" w:afterAutospacing="0" w:line="380" w:lineRule="exact"/>
              <w:ind w:left="0" w:right="0"/>
              <w:rPr>
                <w:rFonts w:hint="eastAsia" w:ascii="宋体" w:hAnsi="宋体"/>
                <w:color w:val="auto"/>
                <w:szCs w:val="21"/>
                <w:highlight w:val="none"/>
              </w:rPr>
            </w:pPr>
            <w:r>
              <w:rPr>
                <w:rFonts w:hint="eastAsia" w:ascii="宋体" w:hAnsi="宋体" w:cs="宋体"/>
                <w:color w:val="auto"/>
                <w:highlight w:val="none"/>
              </w:rPr>
              <w:t>质疑期内每个工作日</w:t>
            </w:r>
            <w:r>
              <w:rPr>
                <w:rFonts w:hint="eastAsia" w:ascii="宋体" w:hAnsi="宋体" w:cs="宋体"/>
                <w:color w:val="auto"/>
                <w:highlight w:val="none"/>
                <w:u w:val="single"/>
              </w:rPr>
              <w:t>9时00分到11时30分，15时00分到17 时30分</w:t>
            </w:r>
          </w:p>
        </w:tc>
      </w:tr>
      <w:tr w14:paraId="32B322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9" w:type="pct"/>
            <w:tcBorders>
              <w:top w:val="single" w:color="000000" w:sz="4" w:space="0"/>
              <w:left w:val="single" w:color="000000" w:sz="4" w:space="0"/>
              <w:bottom w:val="single" w:color="000000" w:sz="4" w:space="0"/>
              <w:right w:val="single" w:color="000000" w:sz="4" w:space="0"/>
            </w:tcBorders>
            <w:vAlign w:val="center"/>
          </w:tcPr>
          <w:p w14:paraId="7E6081E9">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31.6</w:t>
            </w:r>
          </w:p>
        </w:tc>
        <w:tc>
          <w:tcPr>
            <w:tcW w:w="1343" w:type="pct"/>
            <w:tcBorders>
              <w:top w:val="single" w:color="000000" w:sz="4" w:space="0"/>
              <w:left w:val="single" w:color="000000" w:sz="4" w:space="0"/>
              <w:bottom w:val="single" w:color="000000" w:sz="4" w:space="0"/>
              <w:right w:val="single" w:color="000000" w:sz="4" w:space="0"/>
            </w:tcBorders>
            <w:vAlign w:val="center"/>
          </w:tcPr>
          <w:p w14:paraId="1B81D329">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受理投诉方式</w:t>
            </w:r>
          </w:p>
        </w:tc>
        <w:tc>
          <w:tcPr>
            <w:tcW w:w="3306" w:type="pct"/>
            <w:tcBorders>
              <w:top w:val="single" w:color="000000" w:sz="4" w:space="0"/>
              <w:left w:val="single" w:color="000000" w:sz="4" w:space="0"/>
              <w:bottom w:val="single" w:color="000000" w:sz="4" w:space="0"/>
              <w:right w:val="single" w:color="000000" w:sz="4" w:space="0"/>
            </w:tcBorders>
            <w:vAlign w:val="center"/>
          </w:tcPr>
          <w:p w14:paraId="0F67F148">
            <w:pPr>
              <w:keepNext w:val="0"/>
              <w:keepLines w:val="0"/>
              <w:suppressLineNumbers w:val="0"/>
              <w:snapToGrid w:val="0"/>
              <w:spacing w:before="0" w:beforeAutospacing="0" w:after="0" w:afterAutospacing="0" w:line="380" w:lineRule="exact"/>
              <w:ind w:left="0" w:right="0"/>
              <w:rPr>
                <w:rFonts w:hint="eastAsia" w:ascii="宋体" w:hAnsi="宋体" w:cs="宋体"/>
                <w:color w:val="auto"/>
                <w:highlight w:val="none"/>
              </w:rPr>
            </w:pPr>
            <w:r>
              <w:rPr>
                <w:rFonts w:hint="eastAsia" w:ascii="宋体" w:hAnsi="宋体" w:cs="宋体"/>
                <w:color w:val="auto"/>
                <w:highlight w:val="none"/>
              </w:rPr>
              <w:t>1、受理方式：纸质方式受理，投诉书正、副本（经过质疑的事项才可投诉）。</w:t>
            </w:r>
          </w:p>
          <w:p w14:paraId="33037B9D">
            <w:pPr>
              <w:keepNext w:val="0"/>
              <w:keepLines w:val="0"/>
              <w:suppressLineNumbers w:val="0"/>
              <w:snapToGrid w:val="0"/>
              <w:spacing w:before="0" w:beforeAutospacing="0" w:after="0" w:afterAutospacing="0" w:line="380" w:lineRule="exact"/>
              <w:ind w:left="0" w:right="0"/>
              <w:rPr>
                <w:rFonts w:hint="eastAsia" w:ascii="宋体" w:hAnsi="宋体" w:cs="宋体"/>
                <w:color w:val="auto"/>
                <w:highlight w:val="none"/>
              </w:rPr>
            </w:pPr>
            <w:r>
              <w:rPr>
                <w:rFonts w:hint="eastAsia" w:ascii="宋体" w:hAnsi="宋体" w:cs="宋体"/>
                <w:color w:val="auto"/>
                <w:highlight w:val="none"/>
              </w:rPr>
              <w:t>2、邮寄地址：</w:t>
            </w:r>
            <w:bookmarkStart w:id="32" w:name="PO_3000001868_PM038"/>
          </w:p>
          <w:bookmarkEnd w:id="32"/>
          <w:p w14:paraId="63E3838D">
            <w:pPr>
              <w:keepNext w:val="0"/>
              <w:keepLines w:val="0"/>
              <w:suppressLineNumbers w:val="0"/>
              <w:snapToGrid w:val="0"/>
              <w:spacing w:before="0" w:beforeAutospacing="0" w:after="0" w:afterAutospacing="0" w:line="380" w:lineRule="exact"/>
              <w:ind w:left="0" w:right="0"/>
              <w:rPr>
                <w:rFonts w:hint="eastAsia" w:ascii="宋体" w:hAnsi="宋体" w:cs="宋体"/>
                <w:color w:val="auto"/>
                <w:highlight w:val="none"/>
              </w:rPr>
            </w:pPr>
            <w:r>
              <w:rPr>
                <w:rFonts w:hint="eastAsia" w:ascii="宋体" w:hAnsi="宋体" w:cs="宋体"/>
                <w:color w:val="auto"/>
                <w:highlight w:val="none"/>
              </w:rPr>
              <w:t>名称：南宁市财政局政府采购监督管理科</w:t>
            </w:r>
          </w:p>
          <w:p w14:paraId="4503B044">
            <w:pPr>
              <w:keepNext w:val="0"/>
              <w:keepLines w:val="0"/>
              <w:suppressLineNumbers w:val="0"/>
              <w:snapToGrid w:val="0"/>
              <w:spacing w:before="0" w:beforeAutospacing="0" w:after="0" w:afterAutospacing="0" w:line="380" w:lineRule="exact"/>
              <w:ind w:left="0" w:right="0"/>
              <w:rPr>
                <w:rFonts w:hint="eastAsia" w:ascii="宋体" w:hAnsi="宋体" w:cs="宋体"/>
                <w:color w:val="auto"/>
                <w:highlight w:val="none"/>
              </w:rPr>
            </w:pPr>
            <w:r>
              <w:rPr>
                <w:rFonts w:hint="eastAsia" w:ascii="宋体" w:hAnsi="宋体" w:cs="宋体"/>
                <w:color w:val="auto"/>
                <w:highlight w:val="none"/>
              </w:rPr>
              <w:t>地址：</w:t>
            </w:r>
            <w:bookmarkStart w:id="33" w:name="PO_3000001866_PM039"/>
            <w:r>
              <w:rPr>
                <w:rFonts w:hint="eastAsia" w:hAnsi="宋体"/>
                <w:color w:val="auto"/>
                <w:highlight w:val="none"/>
              </w:rPr>
              <w:t>南宁市青秀区东葛路129号</w:t>
            </w:r>
            <w:bookmarkEnd w:id="33"/>
          </w:p>
          <w:p w14:paraId="6D0364CE">
            <w:pPr>
              <w:keepNext w:val="0"/>
              <w:keepLines w:val="0"/>
              <w:suppressLineNumbers w:val="0"/>
              <w:snapToGrid w:val="0"/>
              <w:spacing w:before="0" w:beforeAutospacing="0" w:after="0" w:afterAutospacing="0" w:line="380" w:lineRule="exact"/>
              <w:ind w:left="0" w:right="0"/>
              <w:rPr>
                <w:rFonts w:hint="eastAsia" w:hAnsi="宋体" w:cs="宋体"/>
                <w:color w:val="auto"/>
                <w:highlight w:val="none"/>
              </w:rPr>
            </w:pPr>
            <w:r>
              <w:rPr>
                <w:rFonts w:hint="eastAsia" w:ascii="宋体" w:hAnsi="宋体" w:cs="宋体"/>
                <w:color w:val="auto"/>
                <w:highlight w:val="none"/>
              </w:rPr>
              <w:t>联系电话：</w:t>
            </w:r>
            <w:bookmarkStart w:id="34" w:name="PO_3000001866_PM038_1"/>
            <w:r>
              <w:rPr>
                <w:rFonts w:hint="eastAsia" w:hAnsi="宋体"/>
                <w:color w:val="auto"/>
                <w:highlight w:val="none"/>
              </w:rPr>
              <w:t>0771-2189091</w:t>
            </w:r>
            <w:bookmarkEnd w:id="34"/>
          </w:p>
        </w:tc>
      </w:tr>
      <w:tr w14:paraId="2F697E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9" w:type="pct"/>
            <w:tcBorders>
              <w:top w:val="single" w:color="000000" w:sz="4" w:space="0"/>
              <w:left w:val="single" w:color="000000" w:sz="4" w:space="0"/>
              <w:bottom w:val="single" w:color="000000" w:sz="4" w:space="0"/>
              <w:right w:val="single" w:color="000000" w:sz="4" w:space="0"/>
            </w:tcBorders>
            <w:vAlign w:val="center"/>
          </w:tcPr>
          <w:p w14:paraId="7AC507FE">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33</w:t>
            </w:r>
          </w:p>
        </w:tc>
        <w:tc>
          <w:tcPr>
            <w:tcW w:w="1343" w:type="pct"/>
            <w:tcBorders>
              <w:top w:val="single" w:color="000000" w:sz="4" w:space="0"/>
              <w:left w:val="single" w:color="000000" w:sz="4" w:space="0"/>
              <w:bottom w:val="single" w:color="000000" w:sz="4" w:space="0"/>
              <w:right w:val="single" w:color="000000" w:sz="4" w:space="0"/>
            </w:tcBorders>
            <w:vAlign w:val="center"/>
          </w:tcPr>
          <w:p w14:paraId="268E7931">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采购代理费</w:t>
            </w:r>
          </w:p>
        </w:tc>
        <w:tc>
          <w:tcPr>
            <w:tcW w:w="3306" w:type="pct"/>
            <w:tcBorders>
              <w:top w:val="single" w:color="000000" w:sz="4" w:space="0"/>
              <w:left w:val="single" w:color="000000" w:sz="4" w:space="0"/>
              <w:bottom w:val="single" w:color="000000" w:sz="4" w:space="0"/>
              <w:right w:val="single" w:color="000000" w:sz="4" w:space="0"/>
            </w:tcBorders>
            <w:vAlign w:val="center"/>
          </w:tcPr>
          <w:p w14:paraId="319F9A06">
            <w:pPr>
              <w:pStyle w:val="11"/>
              <w:keepNext w:val="0"/>
              <w:keepLines w:val="0"/>
              <w:suppressLineNumbers w:val="0"/>
              <w:snapToGrid w:val="0"/>
              <w:spacing w:before="0" w:beforeAutospacing="0" w:after="0" w:afterAutospacing="0" w:line="360" w:lineRule="auto"/>
              <w:ind w:left="0" w:leftChars="0" w:right="0"/>
              <w:rPr>
                <w:rFonts w:hint="eastAsia" w:hAnsi="宋体" w:cs="宋体"/>
                <w:color w:val="auto"/>
                <w:highlight w:val="none"/>
              </w:rPr>
            </w:pPr>
            <w:r>
              <w:rPr>
                <w:rFonts w:hint="eastAsia" w:hAnsi="宋体" w:cs="宋体"/>
                <w:color w:val="auto"/>
                <w:highlight w:val="none"/>
              </w:rPr>
              <w:t>1. 是否收取采购代理费：</w:t>
            </w:r>
          </w:p>
          <w:p w14:paraId="60484FEE">
            <w:pPr>
              <w:pStyle w:val="11"/>
              <w:keepNext w:val="0"/>
              <w:keepLines w:val="0"/>
              <w:suppressLineNumbers w:val="0"/>
              <w:snapToGrid w:val="0"/>
              <w:spacing w:before="0" w:beforeAutospacing="0" w:after="0" w:afterAutospacing="0" w:line="360" w:lineRule="auto"/>
              <w:ind w:left="0" w:leftChars="0" w:right="0"/>
              <w:rPr>
                <w:rFonts w:hint="eastAsia" w:hAnsi="宋体" w:cs="宋体"/>
                <w:color w:val="auto"/>
                <w:highlight w:val="none"/>
              </w:rPr>
            </w:pPr>
            <w:r>
              <w:rPr>
                <w:rFonts w:hint="eastAsia" w:hAnsi="宋体" w:cs="宋体"/>
                <w:color w:val="auto"/>
                <w:highlight w:val="none"/>
              </w:rPr>
              <w:sym w:font="Wingdings 2" w:char="0052"/>
            </w:r>
            <w:r>
              <w:rPr>
                <w:rFonts w:hint="eastAsia" w:hAnsi="宋体" w:cs="宋体"/>
                <w:color w:val="auto"/>
                <w:highlight w:val="none"/>
              </w:rPr>
              <w:t>是    □ 否</w:t>
            </w:r>
          </w:p>
          <w:p w14:paraId="2A554F62">
            <w:pPr>
              <w:pStyle w:val="11"/>
              <w:keepNext w:val="0"/>
              <w:keepLines w:val="0"/>
              <w:suppressLineNumbers w:val="0"/>
              <w:snapToGrid w:val="0"/>
              <w:spacing w:before="0" w:beforeAutospacing="0" w:after="0" w:afterAutospacing="0" w:line="360" w:lineRule="auto"/>
              <w:ind w:left="0" w:leftChars="0" w:right="0"/>
              <w:rPr>
                <w:rFonts w:hint="eastAsia" w:hAnsi="宋体" w:cs="宋体"/>
                <w:color w:val="auto"/>
                <w:highlight w:val="none"/>
              </w:rPr>
            </w:pPr>
            <w:r>
              <w:rPr>
                <w:rFonts w:hint="eastAsia" w:hAnsi="宋体" w:cs="宋体"/>
                <w:color w:val="auto"/>
                <w:highlight w:val="none"/>
              </w:rPr>
              <w:t>2.采购代理费支付方式：</w:t>
            </w:r>
          </w:p>
          <w:p w14:paraId="26218B95">
            <w:pPr>
              <w:pStyle w:val="11"/>
              <w:keepNext w:val="0"/>
              <w:keepLines w:val="0"/>
              <w:suppressLineNumbers w:val="0"/>
              <w:snapToGrid w:val="0"/>
              <w:spacing w:before="0" w:beforeAutospacing="0" w:after="0" w:afterAutospacing="0" w:line="360" w:lineRule="auto"/>
              <w:ind w:left="0" w:leftChars="0" w:right="0"/>
              <w:rPr>
                <w:rFonts w:hint="eastAsia" w:hAnsi="宋体" w:cs="宋体"/>
                <w:color w:val="auto"/>
                <w:highlight w:val="none"/>
              </w:rPr>
            </w:pPr>
            <w:r>
              <w:rPr>
                <w:rFonts w:hint="eastAsia" w:hAnsi="宋体" w:cs="宋体"/>
                <w:color w:val="auto"/>
                <w:highlight w:val="none"/>
              </w:rPr>
              <w:sym w:font="Wingdings 2" w:char="0052"/>
            </w:r>
            <w:r>
              <w:rPr>
                <w:rFonts w:hint="eastAsia" w:hAnsi="宋体" w:cs="宋体"/>
                <w:color w:val="auto"/>
                <w:highlight w:val="none"/>
              </w:rPr>
              <w:t>本项目代理服务费由</w:t>
            </w:r>
            <w:r>
              <w:rPr>
                <w:rFonts w:hint="eastAsia" w:hAnsi="宋体" w:cs="宋体"/>
                <w:color w:val="auto"/>
                <w:highlight w:val="none"/>
                <w:u w:val="single"/>
              </w:rPr>
              <w:t>成交供应商</w:t>
            </w:r>
            <w:r>
              <w:rPr>
                <w:rFonts w:hint="eastAsia" w:hAnsi="宋体" w:cs="宋体"/>
                <w:color w:val="auto"/>
                <w:highlight w:val="none"/>
              </w:rPr>
              <w:t>领取成交通知书前，一次性向采购代理机构支付。</w:t>
            </w:r>
          </w:p>
          <w:p w14:paraId="1E18538C">
            <w:pPr>
              <w:pStyle w:val="11"/>
              <w:keepNext w:val="0"/>
              <w:keepLines w:val="0"/>
              <w:suppressLineNumbers w:val="0"/>
              <w:snapToGrid w:val="0"/>
              <w:spacing w:before="0" w:beforeAutospacing="0" w:after="0" w:afterAutospacing="0" w:line="360" w:lineRule="auto"/>
              <w:ind w:left="0" w:leftChars="0" w:right="0"/>
              <w:rPr>
                <w:rFonts w:hint="eastAsia" w:hAnsi="宋体" w:cs="宋体"/>
                <w:color w:val="auto"/>
                <w:highlight w:val="none"/>
              </w:rPr>
            </w:pPr>
            <w:r>
              <w:rPr>
                <w:rFonts w:hint="eastAsia" w:hAnsi="宋体" w:cs="宋体"/>
                <w:color w:val="auto"/>
                <w:highlight w:val="none"/>
              </w:rPr>
              <w:t>□采购人支付。</w:t>
            </w:r>
          </w:p>
          <w:p w14:paraId="4333B923">
            <w:pPr>
              <w:pStyle w:val="11"/>
              <w:keepNext w:val="0"/>
              <w:keepLines w:val="0"/>
              <w:suppressLineNumbers w:val="0"/>
              <w:snapToGrid w:val="0"/>
              <w:spacing w:before="0" w:beforeAutospacing="0" w:after="0" w:afterAutospacing="0" w:line="360" w:lineRule="auto"/>
              <w:ind w:left="0" w:leftChars="0" w:right="0"/>
              <w:rPr>
                <w:rFonts w:hint="eastAsia" w:hAnsi="宋体" w:cs="宋体"/>
                <w:color w:val="auto"/>
                <w:highlight w:val="none"/>
              </w:rPr>
            </w:pPr>
            <w:r>
              <w:rPr>
                <w:rFonts w:hint="eastAsia" w:hAnsi="宋体" w:cs="宋体"/>
                <w:color w:val="auto"/>
                <w:highlight w:val="none"/>
              </w:rPr>
              <w:t>3.采购代理费收取标准：</w:t>
            </w:r>
          </w:p>
          <w:p w14:paraId="48D37E8A">
            <w:pPr>
              <w:pStyle w:val="11"/>
              <w:keepNext w:val="0"/>
              <w:keepLines w:val="0"/>
              <w:suppressLineNumbers w:val="0"/>
              <w:snapToGrid w:val="0"/>
              <w:spacing w:before="0" w:beforeAutospacing="0" w:after="0" w:afterAutospacing="0" w:line="360" w:lineRule="auto"/>
              <w:ind w:left="0" w:leftChars="0" w:right="0"/>
              <w:rPr>
                <w:rFonts w:hint="eastAsia" w:hAnsi="宋体" w:cs="宋体"/>
                <w:color w:val="auto"/>
                <w:highlight w:val="none"/>
              </w:rPr>
            </w:pPr>
            <w:bookmarkStart w:id="35" w:name="PO_3000001868_PM025"/>
            <w:r>
              <w:rPr>
                <w:rFonts w:hint="eastAsia" w:hAnsi="宋体" w:cs="宋体"/>
                <w:color w:val="auto"/>
                <w:highlight w:val="none"/>
              </w:rPr>
              <w:sym w:font="Wingdings 2" w:char="0052"/>
            </w:r>
            <w:r>
              <w:rPr>
                <w:rFonts w:hint="eastAsia" w:hAnsi="宋体" w:cs="宋体"/>
                <w:color w:val="auto"/>
                <w:highlight w:val="none"/>
              </w:rPr>
              <w:t>以标项（☑成交金额/□采购预算/□暂定成交金额/□其他）为计费额，按服务类采用差额定率累进法计算出收费基准价格，采购代理收费以（收费基准价格）收取。</w:t>
            </w:r>
            <w:bookmarkEnd w:id="35"/>
          </w:p>
          <w:p w14:paraId="3DC6EE1B">
            <w:pPr>
              <w:pStyle w:val="11"/>
              <w:keepNext w:val="0"/>
              <w:keepLines w:val="0"/>
              <w:suppressLineNumbers w:val="0"/>
              <w:snapToGrid w:val="0"/>
              <w:spacing w:before="0" w:beforeAutospacing="0" w:after="0" w:afterAutospacing="0" w:line="360" w:lineRule="auto"/>
              <w:ind w:left="0" w:leftChars="0" w:right="0"/>
              <w:rPr>
                <w:rFonts w:hint="eastAsia" w:hAnsi="宋体" w:cs="宋体"/>
                <w:color w:val="auto"/>
                <w:highlight w:val="none"/>
              </w:rPr>
            </w:pPr>
            <w:r>
              <w:rPr>
                <w:rFonts w:hint="eastAsia" w:hAnsi="宋体" w:cs="宋体"/>
                <w:color w:val="auto"/>
                <w:highlight w:val="none"/>
              </w:rPr>
              <w:t>4. 采购代理费收取银行账户</w:t>
            </w:r>
          </w:p>
          <w:p w14:paraId="11E37646">
            <w:pPr>
              <w:pStyle w:val="11"/>
              <w:keepNext w:val="0"/>
              <w:keepLines w:val="0"/>
              <w:suppressLineNumbers w:val="0"/>
              <w:snapToGrid w:val="0"/>
              <w:spacing w:before="0" w:beforeAutospacing="0" w:after="0" w:afterAutospacing="0" w:line="360" w:lineRule="auto"/>
              <w:ind w:left="0" w:leftChars="0" w:right="0"/>
              <w:rPr>
                <w:rFonts w:hint="eastAsia" w:hAnsi="宋体" w:cs="宋体"/>
                <w:color w:val="auto"/>
                <w:highlight w:val="none"/>
              </w:rPr>
            </w:pPr>
            <w:r>
              <w:rPr>
                <w:rFonts w:hint="eastAsia" w:hAnsi="宋体" w:cs="宋体"/>
                <w:color w:val="auto"/>
                <w:highlight w:val="none"/>
              </w:rPr>
              <w:t>开户名称：广西机电设备招标有限公司</w:t>
            </w:r>
          </w:p>
          <w:p w14:paraId="36CADDC6">
            <w:pPr>
              <w:pStyle w:val="11"/>
              <w:keepNext w:val="0"/>
              <w:keepLines w:val="0"/>
              <w:suppressLineNumbers w:val="0"/>
              <w:snapToGrid w:val="0"/>
              <w:spacing w:before="0" w:beforeAutospacing="0" w:after="0" w:afterAutospacing="0" w:line="360" w:lineRule="auto"/>
              <w:ind w:left="0" w:leftChars="0" w:right="0"/>
              <w:rPr>
                <w:rFonts w:hint="eastAsia" w:hAnsi="宋体" w:cs="宋体"/>
                <w:color w:val="auto"/>
                <w:highlight w:val="none"/>
              </w:rPr>
            </w:pPr>
            <w:r>
              <w:rPr>
                <w:rFonts w:hint="eastAsia" w:hAnsi="宋体" w:cs="宋体"/>
                <w:color w:val="auto"/>
                <w:highlight w:val="none"/>
              </w:rPr>
              <w:t>开户银行：广西北部湾银行南宁市金湖支行</w:t>
            </w:r>
          </w:p>
          <w:p w14:paraId="52B398F6">
            <w:pPr>
              <w:pStyle w:val="11"/>
              <w:keepNext w:val="0"/>
              <w:keepLines w:val="0"/>
              <w:suppressLineNumbers w:val="0"/>
              <w:snapToGrid w:val="0"/>
              <w:spacing w:before="0" w:beforeAutospacing="0" w:after="0" w:afterAutospacing="0" w:line="360" w:lineRule="auto"/>
              <w:ind w:left="0" w:leftChars="0" w:right="0"/>
              <w:rPr>
                <w:rFonts w:hint="eastAsia" w:hAnsi="宋体" w:cs="宋体"/>
                <w:color w:val="auto"/>
                <w:highlight w:val="none"/>
              </w:rPr>
            </w:pPr>
            <w:r>
              <w:rPr>
                <w:rFonts w:hint="eastAsia" w:hAnsi="宋体" w:cs="宋体"/>
                <w:color w:val="auto"/>
                <w:highlight w:val="none"/>
              </w:rPr>
              <w:t>银行账号：1705012090027723 (联行号 313611017053)</w:t>
            </w:r>
          </w:p>
        </w:tc>
      </w:tr>
      <w:tr w14:paraId="3F685F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9" w:type="pct"/>
            <w:tcBorders>
              <w:top w:val="single" w:color="000000" w:sz="4" w:space="0"/>
              <w:left w:val="single" w:color="000000" w:sz="4" w:space="0"/>
              <w:bottom w:val="single" w:color="000000" w:sz="4" w:space="0"/>
              <w:right w:val="single" w:color="000000" w:sz="4" w:space="0"/>
            </w:tcBorders>
            <w:vAlign w:val="center"/>
          </w:tcPr>
          <w:p w14:paraId="26F0B08C">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34.1</w:t>
            </w:r>
          </w:p>
        </w:tc>
        <w:tc>
          <w:tcPr>
            <w:tcW w:w="1343" w:type="pct"/>
            <w:tcBorders>
              <w:top w:val="single" w:color="000000" w:sz="4" w:space="0"/>
              <w:left w:val="single" w:color="000000" w:sz="4" w:space="0"/>
              <w:bottom w:val="single" w:color="000000" w:sz="4" w:space="0"/>
              <w:right w:val="single" w:color="000000" w:sz="4" w:space="0"/>
            </w:tcBorders>
            <w:vAlign w:val="center"/>
          </w:tcPr>
          <w:p w14:paraId="779AB28F">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hAnsi="宋体"/>
                <w:color w:val="auto"/>
                <w:highlight w:val="none"/>
              </w:rPr>
              <w:t>解释</w:t>
            </w:r>
          </w:p>
        </w:tc>
        <w:tc>
          <w:tcPr>
            <w:tcW w:w="3306" w:type="pct"/>
            <w:tcBorders>
              <w:top w:val="single" w:color="000000" w:sz="4" w:space="0"/>
              <w:left w:val="single" w:color="000000" w:sz="4" w:space="0"/>
              <w:bottom w:val="single" w:color="000000" w:sz="4" w:space="0"/>
              <w:right w:val="single" w:color="000000" w:sz="4" w:space="0"/>
            </w:tcBorders>
            <w:vAlign w:val="center"/>
          </w:tcPr>
          <w:p w14:paraId="2006EBAA">
            <w:pPr>
              <w:pStyle w:val="11"/>
              <w:keepNext w:val="0"/>
              <w:keepLines w:val="0"/>
              <w:suppressLineNumbers w:val="0"/>
              <w:snapToGrid w:val="0"/>
              <w:spacing w:before="0" w:beforeAutospacing="0" w:after="0" w:afterAutospacing="0" w:line="360" w:lineRule="auto"/>
              <w:ind w:left="0" w:leftChars="0" w:right="0"/>
              <w:rPr>
                <w:rFonts w:hint="eastAsia" w:hAnsi="宋体" w:cs="宋体"/>
                <w:b/>
                <w:color w:val="auto"/>
                <w:highlight w:val="none"/>
              </w:rPr>
            </w:pPr>
            <w:r>
              <w:rPr>
                <w:rFonts w:hint="eastAsia" w:hAnsi="宋体" w:cs="宋体"/>
                <w:b/>
                <w:color w:val="auto"/>
                <w:highlight w:val="none"/>
              </w:rPr>
              <w:t>解释权：</w:t>
            </w:r>
            <w:r>
              <w:rPr>
                <w:rFonts w:hint="eastAsia" w:hAnsi="宋体" w:cs="宋体"/>
                <w:color w:val="auto"/>
                <w:highlight w:val="none"/>
              </w:rPr>
              <w:t>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hint="eastAsia" w:hAnsi="宋体" w:cs="宋体"/>
                <w:b/>
                <w:color w:val="auto"/>
                <w:highlight w:val="none"/>
              </w:rPr>
              <w:t>由采购人或者采购代理机构负责解释。</w:t>
            </w:r>
          </w:p>
          <w:p w14:paraId="15B8DEBE">
            <w:pPr>
              <w:pStyle w:val="11"/>
              <w:keepNext w:val="0"/>
              <w:keepLines w:val="0"/>
              <w:suppressLineNumbers w:val="0"/>
              <w:snapToGrid w:val="0"/>
              <w:spacing w:before="0" w:beforeAutospacing="0" w:after="0" w:afterAutospacing="0" w:line="360" w:lineRule="auto"/>
              <w:ind w:left="0" w:leftChars="0" w:right="0"/>
              <w:rPr>
                <w:rFonts w:hint="eastAsia" w:hAnsi="宋体" w:cs="宋体"/>
                <w:b/>
                <w:color w:val="auto"/>
                <w:highlight w:val="none"/>
              </w:rPr>
            </w:pPr>
            <w:r>
              <w:rPr>
                <w:rFonts w:hint="eastAsia" w:hAnsi="宋体" w:cs="宋体"/>
                <w:b/>
                <w:color w:val="auto"/>
                <w:highlight w:val="none"/>
              </w:rPr>
              <w:t>法律责任：</w:t>
            </w:r>
          </w:p>
          <w:p w14:paraId="2DE874F4">
            <w:pPr>
              <w:pStyle w:val="11"/>
              <w:keepNext w:val="0"/>
              <w:keepLines w:val="0"/>
              <w:suppressLineNumbers w:val="0"/>
              <w:snapToGrid w:val="0"/>
              <w:spacing w:before="0" w:beforeAutospacing="0" w:after="0" w:afterAutospacing="0" w:line="360" w:lineRule="auto"/>
              <w:ind w:left="0" w:leftChars="0" w:right="0"/>
              <w:rPr>
                <w:rFonts w:hint="eastAsia" w:hAnsi="宋体" w:cs="宋体"/>
                <w:color w:val="auto"/>
                <w:highlight w:val="none"/>
              </w:rPr>
            </w:pPr>
            <w:r>
              <w:rPr>
                <w:rFonts w:hint="eastAsia" w:hAnsi="宋体" w:cs="宋体"/>
                <w:b/>
                <w:color w:val="auto"/>
                <w:highlight w:val="none"/>
              </w:rPr>
              <w:t>1.</w:t>
            </w:r>
            <w:r>
              <w:rPr>
                <w:rFonts w:hint="eastAsia" w:hAnsi="宋体" w:cs="宋体"/>
                <w:color w:val="auto"/>
                <w:highlight w:val="none"/>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p w14:paraId="02D9672A">
            <w:pPr>
              <w:keepNext w:val="0"/>
              <w:keepLines w:val="0"/>
              <w:suppressLineNumbers w:val="0"/>
              <w:spacing w:before="0" w:beforeAutospacing="0" w:after="0" w:afterAutospacing="0" w:line="360" w:lineRule="auto"/>
              <w:ind w:left="0" w:right="0"/>
              <w:rPr>
                <w:rFonts w:hint="eastAsia" w:hAnsi="宋体" w:cs="宋体"/>
                <w:color w:val="auto"/>
                <w:highlight w:val="none"/>
              </w:rPr>
            </w:pPr>
            <w:r>
              <w:rPr>
                <w:rFonts w:hint="eastAsia" w:hAnsi="宋体" w:cs="宋体"/>
                <w:b/>
                <w:color w:val="auto"/>
                <w:highlight w:val="none"/>
              </w:rPr>
              <w:t>2.</w:t>
            </w:r>
            <w:r>
              <w:rPr>
                <w:rFonts w:hint="eastAsia" w:ascii="宋体" w:hAnsi="宋体"/>
                <w:b/>
                <w:color w:val="auto"/>
                <w:szCs w:val="21"/>
                <w:highlight w:val="none"/>
              </w:rPr>
              <w:t xml:space="preserve"> 本项目采购代理机构应严格按照“广西政府采购云平台”项目采购全流程电子化电子开评标规程执行项目采购活动，代理机构在“广西政府采购云平台”的“项目管理”—“采购文件管理”内开评标规则设置作为本采购文件的组成部分，截标之后不可更改，因代理机构开评标规则设置错误导致采购活动无法开展下去的情况，由代理机构负责解释并承担其后果。</w:t>
            </w:r>
          </w:p>
        </w:tc>
      </w:tr>
      <w:tr w14:paraId="25D6D0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9" w:type="pct"/>
            <w:tcBorders>
              <w:top w:val="single" w:color="000000" w:sz="4" w:space="0"/>
              <w:left w:val="single" w:color="000000" w:sz="4" w:space="0"/>
              <w:bottom w:val="single" w:color="000000" w:sz="4" w:space="0"/>
              <w:right w:val="single" w:color="000000" w:sz="4" w:space="0"/>
            </w:tcBorders>
            <w:vAlign w:val="center"/>
          </w:tcPr>
          <w:p w14:paraId="42D4906B">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34.2</w:t>
            </w:r>
          </w:p>
        </w:tc>
        <w:tc>
          <w:tcPr>
            <w:tcW w:w="1343" w:type="pct"/>
            <w:tcBorders>
              <w:top w:val="single" w:color="000000" w:sz="4" w:space="0"/>
              <w:left w:val="single" w:color="000000" w:sz="4" w:space="0"/>
              <w:bottom w:val="single" w:color="000000" w:sz="4" w:space="0"/>
              <w:right w:val="single" w:color="000000" w:sz="4" w:space="0"/>
            </w:tcBorders>
            <w:vAlign w:val="center"/>
          </w:tcPr>
          <w:p w14:paraId="1A448ECB">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其他</w:t>
            </w:r>
          </w:p>
        </w:tc>
        <w:tc>
          <w:tcPr>
            <w:tcW w:w="3306" w:type="pct"/>
            <w:tcBorders>
              <w:top w:val="single" w:color="000000" w:sz="4" w:space="0"/>
              <w:left w:val="single" w:color="000000" w:sz="4" w:space="0"/>
              <w:bottom w:val="single" w:color="000000" w:sz="4" w:space="0"/>
              <w:right w:val="single" w:color="000000" w:sz="4" w:space="0"/>
            </w:tcBorders>
            <w:vAlign w:val="center"/>
          </w:tcPr>
          <w:p w14:paraId="04379DA9">
            <w:pPr>
              <w:pStyle w:val="11"/>
              <w:keepNext w:val="0"/>
              <w:keepLines w:val="0"/>
              <w:suppressLineNumbers w:val="0"/>
              <w:snapToGrid w:val="0"/>
              <w:spacing w:before="0" w:beforeAutospacing="0" w:after="0" w:afterAutospacing="0" w:line="360" w:lineRule="auto"/>
              <w:ind w:left="0" w:leftChars="0" w:right="0"/>
              <w:rPr>
                <w:rFonts w:hint="eastAsia" w:hAnsi="宋体" w:cs="宋体"/>
                <w:color w:val="auto"/>
                <w:highlight w:val="none"/>
              </w:rPr>
            </w:pPr>
            <w:r>
              <w:rPr>
                <w:rFonts w:hint="eastAsia" w:hAnsi="宋体" w:cs="宋体"/>
                <w:color w:val="auto"/>
                <w:highlight w:val="none"/>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5C73305C">
            <w:pPr>
              <w:pStyle w:val="11"/>
              <w:keepNext w:val="0"/>
              <w:keepLines w:val="0"/>
              <w:suppressLineNumbers w:val="0"/>
              <w:snapToGrid w:val="0"/>
              <w:spacing w:before="0" w:beforeAutospacing="0" w:after="0" w:afterAutospacing="0" w:line="360" w:lineRule="auto"/>
              <w:ind w:left="0" w:leftChars="0" w:right="0"/>
              <w:rPr>
                <w:rFonts w:hint="eastAsia" w:hAnsi="宋体" w:cs="宋体"/>
                <w:color w:val="auto"/>
                <w:highlight w:val="none"/>
              </w:rPr>
            </w:pPr>
            <w:r>
              <w:rPr>
                <w:rFonts w:hint="eastAsia" w:hAnsi="宋体" w:cs="宋体"/>
                <w:color w:val="auto"/>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4E691558">
            <w:pPr>
              <w:pStyle w:val="11"/>
              <w:keepNext w:val="0"/>
              <w:keepLines w:val="0"/>
              <w:suppressLineNumbers w:val="0"/>
              <w:snapToGrid w:val="0"/>
              <w:spacing w:before="0" w:beforeAutospacing="0" w:after="0" w:afterAutospacing="0" w:line="360" w:lineRule="auto"/>
              <w:ind w:left="0" w:leftChars="0" w:right="0"/>
              <w:rPr>
                <w:rFonts w:hint="eastAsia" w:hAnsi="宋体" w:cs="宋体"/>
                <w:color w:val="auto"/>
                <w:highlight w:val="none"/>
              </w:rPr>
            </w:pPr>
            <w:r>
              <w:rPr>
                <w:rFonts w:hint="eastAsia" w:hAnsi="宋体" w:cs="宋体"/>
                <w:color w:val="auto"/>
                <w:highlight w:val="none"/>
              </w:rPr>
              <w:t>3.本磋商文件中描述供应商的“签字”是指供应商的法定代表人或者委托代理人亲自在文件规定签署处亲笔写上个人的名字的行为，私章、签字章、印鉴、影印等其他形式均不能代替亲笔签字。</w:t>
            </w:r>
          </w:p>
          <w:p w14:paraId="48B2C072">
            <w:pPr>
              <w:pStyle w:val="11"/>
              <w:keepNext w:val="0"/>
              <w:keepLines w:val="0"/>
              <w:suppressLineNumbers w:val="0"/>
              <w:snapToGrid w:val="0"/>
              <w:spacing w:before="0" w:beforeAutospacing="0" w:after="0" w:afterAutospacing="0" w:line="360" w:lineRule="auto"/>
              <w:ind w:left="0" w:leftChars="0" w:right="0"/>
              <w:rPr>
                <w:rFonts w:hint="eastAsia" w:hAnsi="宋体" w:cs="宋体"/>
                <w:color w:val="auto"/>
                <w:highlight w:val="none"/>
              </w:rPr>
            </w:pPr>
            <w:r>
              <w:rPr>
                <w:rFonts w:hint="eastAsia" w:hAnsi="宋体" w:cs="宋体"/>
                <w:color w:val="auto"/>
                <w:highlight w:val="none"/>
              </w:rPr>
              <w:t>4.自然人竞标的，磋商文件规定盖公章处由自然人摁手指指印。</w:t>
            </w:r>
          </w:p>
          <w:p w14:paraId="04CAA5F2">
            <w:pPr>
              <w:pStyle w:val="11"/>
              <w:keepNext w:val="0"/>
              <w:keepLines w:val="0"/>
              <w:suppressLineNumbers w:val="0"/>
              <w:snapToGrid w:val="0"/>
              <w:spacing w:before="0" w:beforeAutospacing="0" w:after="0" w:afterAutospacing="0" w:line="360" w:lineRule="auto"/>
              <w:ind w:left="0" w:leftChars="0" w:right="0"/>
              <w:rPr>
                <w:rFonts w:hint="eastAsia" w:hAnsi="宋体" w:cs="宋体"/>
                <w:color w:val="auto"/>
                <w:highlight w:val="none"/>
              </w:rPr>
            </w:pPr>
            <w:r>
              <w:rPr>
                <w:rFonts w:hint="eastAsia" w:hAnsi="宋体" w:cs="宋体"/>
                <w:color w:val="auto"/>
                <w:highlight w:val="none"/>
              </w:rPr>
              <w:t>5.本磋商文件所称的“以上”“以下”“以内”“届满”，包括本数；所称的“不满”“超过”“以外”，不包括本数。</w:t>
            </w:r>
          </w:p>
        </w:tc>
      </w:tr>
    </w:tbl>
    <w:p w14:paraId="4A99BC3F">
      <w:pPr>
        <w:pStyle w:val="3"/>
        <w:spacing w:line="420" w:lineRule="exact"/>
        <w:jc w:val="center"/>
        <w:rPr>
          <w:rFonts w:hint="eastAsia" w:ascii="宋体" w:hAnsi="宋体" w:cs="宋体"/>
          <w:b w:val="0"/>
          <w:color w:val="auto"/>
          <w:highlight w:val="none"/>
        </w:rPr>
      </w:pPr>
      <w:r>
        <w:rPr>
          <w:rFonts w:hint="eastAsia" w:ascii="宋体" w:hAnsi="宋体"/>
          <w:bCs w:val="0"/>
          <w:color w:val="auto"/>
          <w:highlight w:val="none"/>
        </w:rPr>
        <w:br w:type="page"/>
      </w:r>
      <w:bookmarkStart w:id="36" w:name="_Toc22962"/>
      <w:r>
        <w:rPr>
          <w:rFonts w:hint="eastAsia" w:ascii="宋体" w:hAnsi="宋体"/>
          <w:b w:val="0"/>
          <w:color w:val="auto"/>
          <w:highlight w:val="none"/>
        </w:rPr>
        <w:t>第二节 供应商须知正文</w:t>
      </w:r>
      <w:bookmarkEnd w:id="36"/>
    </w:p>
    <w:p w14:paraId="6BA0B1E8">
      <w:pPr>
        <w:pStyle w:val="4"/>
        <w:spacing w:before="0" w:after="0" w:line="360" w:lineRule="auto"/>
        <w:ind w:firstLine="640" w:firstLineChars="200"/>
        <w:rPr>
          <w:rFonts w:hint="eastAsia" w:ascii="宋体" w:hAnsi="宋体"/>
          <w:b w:val="0"/>
          <w:color w:val="auto"/>
          <w:highlight w:val="none"/>
        </w:rPr>
      </w:pPr>
      <w:bookmarkStart w:id="37" w:name="_Toc10364"/>
      <w:r>
        <w:rPr>
          <w:rFonts w:hint="eastAsia" w:ascii="宋体" w:hAnsi="宋体"/>
          <w:b w:val="0"/>
          <w:color w:val="auto"/>
          <w:highlight w:val="none"/>
        </w:rPr>
        <w:t>一、总则</w:t>
      </w:r>
      <w:bookmarkEnd w:id="37"/>
    </w:p>
    <w:p w14:paraId="246F0FE8">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1.适用范围</w:t>
      </w:r>
    </w:p>
    <w:p w14:paraId="4F92530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1.1本项目采购人、采购代理机构、供应商、磋商小组的相关行为均受《中华人民共和国政府采购法》《中华人民共和国政府采购法实施条例》</w:t>
      </w:r>
      <w:r>
        <w:rPr>
          <w:rFonts w:hint="eastAsia" w:ascii="宋体" w:hAnsi="宋体"/>
          <w:color w:val="auto"/>
          <w:szCs w:val="21"/>
          <w:highlight w:val="none"/>
        </w:rPr>
        <w:t>《政府采购竞争性磋商采购方式管理暂行办法》《财政部关于政府采购竞争性磋商采购方式管理暂行办法有关问题的补充通知》</w:t>
      </w:r>
      <w:r>
        <w:rPr>
          <w:rFonts w:hint="eastAsia" w:ascii="宋体" w:hAnsi="宋体" w:cs="宋体"/>
          <w:color w:val="auto"/>
          <w:szCs w:val="21"/>
          <w:highlight w:val="none"/>
        </w:rPr>
        <w:t>及本项目本级和上级财政部门政府采购有关规定的约束和保护。</w:t>
      </w:r>
    </w:p>
    <w:p w14:paraId="0159B05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w:t>
      </w:r>
      <w:r>
        <w:rPr>
          <w:rFonts w:hint="eastAsia" w:ascii="宋体" w:hAnsi="宋体" w:cs="宋体"/>
          <w:color w:val="auto"/>
          <w:spacing w:val="-6"/>
          <w:szCs w:val="21"/>
          <w:highlight w:val="none"/>
        </w:rPr>
        <w:t>本竞争性磋商文件（以下简称磋商文件）适用于本项目的所有采购程序和环节（法律、法规另有规定的，从其规定）。</w:t>
      </w:r>
    </w:p>
    <w:p w14:paraId="17AEB50E">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2.定义</w:t>
      </w:r>
    </w:p>
    <w:p w14:paraId="3D15140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2.1“采购人”是指依法进行政府采购的国家机关、事业单位、团体组织。</w:t>
      </w:r>
    </w:p>
    <w:p w14:paraId="4BA80B9A">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2.2“采购代理机构”是指政府采购集中采购机构和集中采购机构以外的采购代理机构。</w:t>
      </w:r>
    </w:p>
    <w:p w14:paraId="435E45C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2.3“供应商”是指向采购人提供货物、工程或者服务的法人、其他组织或者自然人。</w:t>
      </w:r>
    </w:p>
    <w:p w14:paraId="75C0D0B0">
      <w:pPr>
        <w:spacing w:line="360" w:lineRule="auto"/>
        <w:ind w:firstLine="420" w:firstLineChars="200"/>
        <w:rPr>
          <w:rFonts w:hint="eastAsia" w:ascii="宋体" w:hAnsi="宋体" w:cs="宋体"/>
          <w:color w:val="auto"/>
          <w:szCs w:val="21"/>
          <w:highlight w:val="none"/>
        </w:rPr>
      </w:pPr>
      <w:r>
        <w:rPr>
          <w:rFonts w:hint="eastAsia" w:ascii="宋体" w:hAnsi="宋体"/>
          <w:color w:val="auto"/>
          <w:szCs w:val="21"/>
          <w:highlight w:val="none"/>
        </w:rPr>
        <w:t>2.4“服务”是指除货物和工程以外的其他政府采购对象。</w:t>
      </w:r>
    </w:p>
    <w:p w14:paraId="6630646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2.5“竞标”是指供应商按照本项目竞争性磋商公告或者邀请函规定的方式获取磋商文件、提交响应文件并希望获得标的的行为。</w:t>
      </w:r>
    </w:p>
    <w:p w14:paraId="4B8F5A1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2.6“响应文件”</w:t>
      </w:r>
      <w:r>
        <w:rPr>
          <w:rFonts w:hint="eastAsia" w:ascii="宋体" w:hAnsi="宋体" w:cs="宋体"/>
          <w:color w:val="auto"/>
          <w:spacing w:val="-6"/>
          <w:szCs w:val="21"/>
          <w:highlight w:val="none"/>
        </w:rPr>
        <w:t>是指：供应商根据本磋商文件要求，编制包含资格证明、报价商务技术等所有内容的文件。</w:t>
      </w:r>
    </w:p>
    <w:p w14:paraId="61709B7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2.7“实质性要求”是指磋商文件中已经指明不满足则响应文件按无效响应处理的条款，或者不能负偏离的条款，或者采购需求中带“▲”的条款。</w:t>
      </w:r>
    </w:p>
    <w:p w14:paraId="4F71A51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2.8“正偏离”，是指响应文件对磋商文件“采购需求”中有关条款作出的响应优于条款要求并有利于采购人的情形。</w:t>
      </w:r>
    </w:p>
    <w:p w14:paraId="5458987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2.9“负偏离”，是指响应文件对磋商文件“采购需求”中有关条款作出的响应不满足条款要求，导致采购人要求不能得到满足的情形。</w:t>
      </w:r>
    </w:p>
    <w:p w14:paraId="38B4D06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2.10“允许负偏离的条款”是指采购需求中的不属于“实质性要求”的条款。</w:t>
      </w:r>
    </w:p>
    <w:p w14:paraId="696FF8B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2.11“书面形式”是指合同书、信件和数据电文（包括电报、电传、传真、电子数据交换和电子邮件）等可以有形地表现所载内容的形式。</w:t>
      </w:r>
    </w:p>
    <w:p w14:paraId="5C91946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2.12“首次报价”是指供应商提交的首次响应文件中的报价。</w:t>
      </w:r>
    </w:p>
    <w:p w14:paraId="6F94904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2.13“评审报价”是指供应商提交的最后报价并经修正（如有）和政策功能价格扣除（如有）后的价格。</w:t>
      </w:r>
    </w:p>
    <w:p w14:paraId="2D3F32E5">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3.供应商的资格条件</w:t>
      </w:r>
    </w:p>
    <w:p w14:paraId="4B71C78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供应商的资格条件详见“供应商须知前附表”。</w:t>
      </w:r>
    </w:p>
    <w:p w14:paraId="096F1F4D">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4.磋商费用</w:t>
      </w:r>
    </w:p>
    <w:p w14:paraId="140BD1C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供应商应承担参与本次采购活动有关的所有费用，包括但不限于、勘查现场、编制和提交响应文件、参加磋商与应答、签订合同等，不论竞标结果如何，均应自行承担。</w:t>
      </w:r>
    </w:p>
    <w:p w14:paraId="4CC569B0">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5.联合体竞标</w:t>
      </w:r>
    </w:p>
    <w:p w14:paraId="48C9418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5.1本项目是否接受联合体竞标，详见“供应商须知前附表”。</w:t>
      </w:r>
    </w:p>
    <w:p w14:paraId="1A0AA09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5.2</w:t>
      </w:r>
      <w:r>
        <w:rPr>
          <w:rFonts w:hint="eastAsia" w:ascii="宋体" w:hAnsi="宋体"/>
          <w:color w:val="auto"/>
          <w:highlight w:val="none"/>
        </w:rPr>
        <w:t>如接受联合体竞标，</w:t>
      </w:r>
      <w:r>
        <w:rPr>
          <w:rFonts w:hint="eastAsia" w:ascii="宋体" w:hAnsi="宋体" w:cs="宋体"/>
          <w:color w:val="auto"/>
          <w:szCs w:val="21"/>
          <w:highlight w:val="none"/>
        </w:rPr>
        <w:t>联合体竞标要求详见“供应商须知前附表”。</w:t>
      </w:r>
    </w:p>
    <w:p w14:paraId="6C2495EF">
      <w:pPr>
        <w:spacing w:line="360" w:lineRule="auto"/>
        <w:ind w:firstLine="420" w:firstLineChars="200"/>
        <w:rPr>
          <w:rFonts w:hint="eastAsia" w:ascii="宋体" w:hAnsi="宋体"/>
          <w:bCs/>
          <w:color w:val="auto"/>
          <w:szCs w:val="21"/>
          <w:highlight w:val="none"/>
        </w:rPr>
      </w:pPr>
      <w:r>
        <w:rPr>
          <w:rFonts w:hint="eastAsia" w:ascii="宋体" w:hAnsi="宋体" w:cs="宋体"/>
          <w:color w:val="auto"/>
          <w:szCs w:val="21"/>
          <w:highlight w:val="none"/>
        </w:rPr>
        <w:t>5.3</w:t>
      </w:r>
      <w:r>
        <w:rPr>
          <w:rFonts w:hint="eastAsia" w:ascii="宋体" w:hAnsi="宋体"/>
          <w:bCs/>
          <w:color w:val="auto"/>
          <w:szCs w:val="21"/>
          <w:highlight w:val="none"/>
        </w:rPr>
        <w:t>根据《政府采购促进中小企业发展管理办法》（财库[2020]46号）第九条及</w:t>
      </w:r>
      <w:r>
        <w:rPr>
          <w:rFonts w:hint="eastAsia"/>
          <w:color w:val="auto"/>
          <w:highlight w:val="none"/>
        </w:rPr>
        <w:t>《广西壮族自治区财政厅关于贯彻落实政府采购支持中小企业发展政策的通知》（桂财采〔2022〕31号）</w:t>
      </w:r>
      <w:r>
        <w:rPr>
          <w:rFonts w:hint="eastAsia" w:ascii="宋体" w:hAnsi="宋体"/>
          <w:bCs/>
          <w:color w:val="auto"/>
          <w:szCs w:val="21"/>
          <w:highlight w:val="none"/>
        </w:rPr>
        <w:t>规定，接受大中型企业与小微企业组成联合体的采购项目，对于联合协议约定小微企业的合同份额占到合同总金额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14:paraId="23B249B0">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 xml:space="preserve">6.转包与分包             </w:t>
      </w:r>
    </w:p>
    <w:p w14:paraId="43D7CDB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6.1本项目是否允许分包详见“供应商须知前附表”，本项目不允许违法分包。</w:t>
      </w:r>
    </w:p>
    <w:p w14:paraId="7B7962D9">
      <w:pPr>
        <w:spacing w:line="360" w:lineRule="auto"/>
        <w:ind w:firstLine="420" w:firstLineChars="200"/>
        <w:rPr>
          <w:rFonts w:hint="eastAsia" w:ascii="宋体" w:hAnsi="宋体" w:cs="宋体"/>
          <w:bCs/>
          <w:color w:val="auto"/>
          <w:szCs w:val="21"/>
          <w:highlight w:val="none"/>
        </w:rPr>
      </w:pPr>
      <w:r>
        <w:rPr>
          <w:rFonts w:hint="eastAsia" w:ascii="宋体" w:hAnsi="宋体" w:cs="宋体"/>
          <w:color w:val="auto"/>
          <w:szCs w:val="21"/>
          <w:highlight w:val="none"/>
        </w:rPr>
        <w:t>6.2</w:t>
      </w:r>
      <w:r>
        <w:rPr>
          <w:rFonts w:hint="eastAsia" w:ascii="宋体" w:hAnsi="宋体"/>
          <w:bCs/>
          <w:color w:val="auto"/>
          <w:szCs w:val="21"/>
          <w:highlight w:val="none"/>
        </w:rPr>
        <w:t>根据《政府采购促进中小企业发展管理办法》（财库[2020]46号）第九条及</w:t>
      </w:r>
      <w:r>
        <w:rPr>
          <w:rFonts w:hint="eastAsia"/>
          <w:color w:val="auto"/>
          <w:highlight w:val="none"/>
        </w:rPr>
        <w:t>《广西壮族自治区财政厅关于贯彻落实政府采购支持中小企业发展政策的通知》（桂财采〔2022〕31号）</w:t>
      </w:r>
      <w:r>
        <w:rPr>
          <w:rFonts w:hint="eastAsia" w:ascii="宋体" w:hAnsi="宋体"/>
          <w:bCs/>
          <w:color w:val="auto"/>
          <w:szCs w:val="21"/>
          <w:highlight w:val="none"/>
        </w:rPr>
        <w:t>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14:paraId="0136E1C6">
      <w:pPr>
        <w:spacing w:line="360" w:lineRule="auto"/>
        <w:ind w:firstLine="482" w:firstLineChars="200"/>
        <w:rPr>
          <w:rFonts w:hint="eastAsia" w:ascii="黑体" w:hAnsi="黑体" w:eastAsia="黑体" w:cs="宋体"/>
          <w:b/>
          <w:bCs/>
          <w:color w:val="auto"/>
          <w:sz w:val="24"/>
          <w:highlight w:val="none"/>
        </w:rPr>
      </w:pPr>
      <w:bookmarkStart w:id="38" w:name="_Toc254970532"/>
      <w:bookmarkStart w:id="39" w:name="_Toc254970673"/>
      <w:r>
        <w:rPr>
          <w:rFonts w:hint="eastAsia" w:ascii="黑体" w:hAnsi="黑体" w:eastAsia="黑体" w:cs="宋体"/>
          <w:b/>
          <w:bCs/>
          <w:color w:val="auto"/>
          <w:sz w:val="24"/>
          <w:highlight w:val="none"/>
        </w:rPr>
        <w:t>7.特别说明</w:t>
      </w:r>
      <w:bookmarkEnd w:id="38"/>
      <w:bookmarkEnd w:id="39"/>
    </w:p>
    <w:p w14:paraId="6618AA14">
      <w:pPr>
        <w:spacing w:line="360" w:lineRule="auto"/>
        <w:ind w:firstLine="420" w:firstLineChars="200"/>
        <w:rPr>
          <w:rFonts w:hint="eastAsia" w:ascii="宋体" w:hAnsi="宋体" w:cs="宋体"/>
          <w:color w:val="auto"/>
          <w:szCs w:val="21"/>
          <w:highlight w:val="none"/>
        </w:rPr>
      </w:pPr>
      <w:bookmarkStart w:id="40" w:name="_8.1提供相同品牌产品且通过资格审查、符合性审查的不同投标人参加同一合"/>
      <w:bookmarkEnd w:id="40"/>
      <w:r>
        <w:rPr>
          <w:rFonts w:hint="eastAsia" w:ascii="宋体" w:hAnsi="宋体" w:cs="宋体"/>
          <w:color w:val="auto"/>
          <w:szCs w:val="21"/>
          <w:highlight w:val="none"/>
        </w:rPr>
        <w:t>7.1</w:t>
      </w:r>
      <w:bookmarkStart w:id="41" w:name="_Hlk65832145"/>
      <w:r>
        <w:rPr>
          <w:rFonts w:hint="eastAsia" w:ascii="宋体" w:hAnsi="宋体"/>
          <w:color w:val="auto"/>
          <w:szCs w:val="21"/>
          <w:highlight w:val="none"/>
        </w:rPr>
        <w:t xml:space="preserve">如果本磋商文件要求提供供应商或制造商的资格、信誉、荣誉、业绩与企业认证等材料的，资格、信誉、荣誉、业绩与企业认证等必须为供应商或者制造商所拥有或自身获得 </w:t>
      </w:r>
      <w:r>
        <w:rPr>
          <w:rFonts w:hint="eastAsia" w:ascii="宋体" w:hAnsi="宋体" w:cs="宋体"/>
          <w:color w:val="auto"/>
          <w:szCs w:val="21"/>
          <w:highlight w:val="none"/>
        </w:rPr>
        <w:t>。</w:t>
      </w:r>
    </w:p>
    <w:bookmarkEnd w:id="41"/>
    <w:p w14:paraId="3657E22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7.2供应商应仔细阅读磋商文件的所有内容，按照磋商文件的要求提交响应文件，并对所提供的全部资料的真实性承担法律责任。</w:t>
      </w:r>
    </w:p>
    <w:p w14:paraId="1C3594F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0F34F61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7.4在政府采购活动中，采购人员及相关人员与供应商有下列利害关系之一的，应当回避：</w:t>
      </w:r>
    </w:p>
    <w:p w14:paraId="1BAA244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14:paraId="57BC24D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14:paraId="40697BB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14:paraId="1AD7BD7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（4）与供应商的法定代表人或者负责人有夫妻、直系血亲、三代以内旁系血亲或者近姻亲关系；</w:t>
      </w:r>
    </w:p>
    <w:p w14:paraId="2DAEBBB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（5）与供应商有其他可能影响政府采购活动公平、公正进行的关系。</w:t>
      </w:r>
    </w:p>
    <w:p w14:paraId="0EAF725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0E8951F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7.5有下列情形之一的视为供应商相互串通竞标，响应文件将被视为无效：</w:t>
      </w:r>
    </w:p>
    <w:p w14:paraId="6F3060F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（1）不同供应商的响应文件由同一单位或者个人编制；或者不同供应商报名的IP地址一致的；或者编制响应文件硬件设备CPU编号、硬盘编号、网卡地址一致的情况。 </w:t>
      </w:r>
    </w:p>
    <w:p w14:paraId="678DDF8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（2）不同供应商委托同一单位或者个人办理竞标事宜；</w:t>
      </w:r>
    </w:p>
    <w:p w14:paraId="7074B0C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（3）不同的供应商的响应文件载明的项目管理员为同一个人；</w:t>
      </w:r>
    </w:p>
    <w:p w14:paraId="5CCC462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（4）不同供应商的响应文件异常一致或者报价呈规律性差异；</w:t>
      </w:r>
    </w:p>
    <w:p w14:paraId="6840452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（5）不同供应商的响应文件相互混装；</w:t>
      </w:r>
    </w:p>
    <w:p w14:paraId="0B06C1B7">
      <w:pPr>
        <w:tabs>
          <w:tab w:val="left" w:pos="6931"/>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（6）不同供应商的磋商保证金从同一单位或者个人账户转出。</w:t>
      </w:r>
      <w:r>
        <w:rPr>
          <w:rFonts w:hint="eastAsia" w:ascii="宋体" w:hAnsi="宋体" w:cs="宋体"/>
          <w:color w:val="auto"/>
          <w:szCs w:val="21"/>
          <w:highlight w:val="none"/>
        </w:rPr>
        <w:tab/>
      </w:r>
    </w:p>
    <w:p w14:paraId="2D64F2F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7.6供应商有下列情形之一的，属于恶意串通行为，将报同级监督管理部门：</w:t>
      </w:r>
    </w:p>
    <w:p w14:paraId="55C9638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（1）供应商直接或者间接从采购人或者采购代理机构处获得其他供应商的相关信息并修改其响应文件；</w:t>
      </w:r>
    </w:p>
    <w:p w14:paraId="19DF89C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（2）供应商按照采购人或者采购代理机构的授意撤换、修改响应文件；</w:t>
      </w:r>
    </w:p>
    <w:p w14:paraId="04E5054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（3）供应商之间协商报价、技术方案等响应文件或者响应文件的实质性内容；</w:t>
      </w:r>
    </w:p>
    <w:p w14:paraId="0015DF7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14:paraId="50182D9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1BD584A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（6）供应商之间商定部分供应商放弃参加政府采购活动或者放弃成交；</w:t>
      </w:r>
    </w:p>
    <w:p w14:paraId="3641999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（7）供应商与采购人或者采购代理机构之间、供应商相互之间，为谋求特定供应商成交或者排斥其他供应商的其他串通行为。</w:t>
      </w:r>
    </w:p>
    <w:p w14:paraId="6060F3EE">
      <w:pPr>
        <w:pStyle w:val="4"/>
        <w:spacing w:before="0" w:after="0" w:line="360" w:lineRule="auto"/>
        <w:ind w:firstLine="640" w:firstLineChars="200"/>
        <w:rPr>
          <w:rFonts w:hint="eastAsia" w:ascii="宋体" w:hAnsi="宋体"/>
          <w:b w:val="0"/>
          <w:bCs w:val="0"/>
          <w:color w:val="auto"/>
          <w:highlight w:val="none"/>
        </w:rPr>
      </w:pPr>
      <w:bookmarkStart w:id="42" w:name="_Toc254970675"/>
      <w:bookmarkStart w:id="43" w:name="_Toc28927"/>
      <w:bookmarkStart w:id="44" w:name="_Toc254970534"/>
      <w:r>
        <w:rPr>
          <w:rFonts w:hint="eastAsia" w:ascii="宋体" w:hAnsi="宋体"/>
          <w:b w:val="0"/>
          <w:bCs w:val="0"/>
          <w:color w:val="auto"/>
          <w:highlight w:val="none"/>
        </w:rPr>
        <w:t>二、磋商文件</w:t>
      </w:r>
      <w:bookmarkEnd w:id="42"/>
      <w:bookmarkEnd w:id="43"/>
      <w:bookmarkEnd w:id="44"/>
    </w:p>
    <w:p w14:paraId="54D189E3">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8.磋商文件的构成</w:t>
      </w:r>
    </w:p>
    <w:p w14:paraId="2828030C">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第一章 竞争性磋商公告；</w:t>
      </w:r>
    </w:p>
    <w:p w14:paraId="79531DF6">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第二章 采购需求；</w:t>
      </w:r>
    </w:p>
    <w:p w14:paraId="3162DC5C">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 xml:space="preserve">第三章 供应商须知； </w:t>
      </w:r>
    </w:p>
    <w:p w14:paraId="4F87B540">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第四章 评审程序、评审方法和评审标准；</w:t>
      </w:r>
    </w:p>
    <w:p w14:paraId="76E52E71">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第五章 响应文件格式；</w:t>
      </w:r>
    </w:p>
    <w:p w14:paraId="62D0D837">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第六章 合同文本；</w:t>
      </w:r>
    </w:p>
    <w:p w14:paraId="4FF710E6">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第七章 质疑、投诉材料格式。</w:t>
      </w:r>
    </w:p>
    <w:p w14:paraId="5D0E3A9C">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9.供应商的询问</w:t>
      </w:r>
    </w:p>
    <w:p w14:paraId="20D82D25">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供应商应认真阅读磋商文件的采购需求，如供应商对磋商文件有疑问的，如要求采购人作出澄清或者修改的，供应商尽应在提交首次响应文件截止之日前，以书面形式向采购人、采购代理机构提出。</w:t>
      </w:r>
    </w:p>
    <w:p w14:paraId="602215D8">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10.磋商文件的澄清和修改</w:t>
      </w:r>
    </w:p>
    <w:p w14:paraId="01AB9533">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10.1已获取磋商文件的潜在供应商，若有问题需要澄清，应于应标截止时间前，以书面形式向采购代理机构提出，采购代理机构与采购人研究后，对认为有必要回答的问题，按照本章10.3的内容处理。</w:t>
      </w:r>
    </w:p>
    <w:p w14:paraId="2941ECDB">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11E50CF0">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目前为网上公告和系统短信等形式）通知所有获取磋商文件的供应商，不足3个工作日的，应当顺延提交首次响应文件截止之日。</w:t>
      </w:r>
    </w:p>
    <w:p w14:paraId="22BEEE28">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10.4</w:t>
      </w:r>
      <w:r>
        <w:rPr>
          <w:rFonts w:hint="eastAsia" w:ascii="Arial" w:hAnsi="Arial" w:cs="Arial"/>
          <w:color w:val="auto"/>
          <w:highlight w:val="none"/>
          <w:shd w:val="clear" w:color="auto" w:fill="FFFFFF"/>
        </w:rPr>
        <w:t>采购信息更正公告的内容应当包括采购人和采购代理机构名称、地址、联系方式，原公告的采购项目名称及首次公告日期，更正事项、内容及日期，采购项目联系人和电话。</w:t>
      </w:r>
    </w:p>
    <w:p w14:paraId="63D2CFC0">
      <w:pPr>
        <w:spacing w:line="360" w:lineRule="auto"/>
        <w:ind w:firstLine="420" w:firstLineChars="200"/>
        <w:rPr>
          <w:color w:val="auto"/>
          <w:highlight w:val="none"/>
        </w:rPr>
      </w:pPr>
      <w:r>
        <w:rPr>
          <w:rFonts w:hAnsi="宋体"/>
          <w:color w:val="auto"/>
          <w:highlight w:val="none"/>
        </w:rPr>
        <w:t xml:space="preserve">10.5  </w:t>
      </w:r>
      <w:r>
        <w:rPr>
          <w:rFonts w:hint="eastAsia"/>
          <w:color w:val="auto"/>
          <w:highlight w:val="none"/>
        </w:rPr>
        <w:t>采购人和采购代理机构可以视采购具体情况，变更</w:t>
      </w:r>
      <w:r>
        <w:rPr>
          <w:rFonts w:hint="eastAsia" w:hAnsi="宋体"/>
          <w:color w:val="auto"/>
          <w:highlight w:val="none"/>
        </w:rPr>
        <w:t>提交首次响应文件</w:t>
      </w:r>
      <w:r>
        <w:rPr>
          <w:rFonts w:hint="eastAsia"/>
          <w:color w:val="auto"/>
          <w:highlight w:val="none"/>
        </w:rPr>
        <w:t>截止时间和竞谈时间，将变更时间将在</w:t>
      </w:r>
      <w:r>
        <w:rPr>
          <w:rFonts w:hint="eastAsia" w:hAnsi="宋体"/>
          <w:color w:val="auto"/>
          <w:highlight w:val="none"/>
        </w:rPr>
        <w:t>“采购文件公告”中“七、其他补充事宜</w:t>
      </w:r>
      <w:r>
        <w:rPr>
          <w:rFonts w:hAnsi="宋体"/>
          <w:color w:val="auto"/>
          <w:highlight w:val="none"/>
        </w:rPr>
        <w:t>3.</w:t>
      </w:r>
      <w:r>
        <w:rPr>
          <w:rFonts w:hint="eastAsia" w:hAnsi="宋体"/>
          <w:color w:val="auto"/>
          <w:highlight w:val="none"/>
        </w:rPr>
        <w:t>网上查询地址”</w:t>
      </w:r>
      <w:r>
        <w:rPr>
          <w:rFonts w:hint="eastAsia" w:cs="宋体"/>
          <w:color w:val="auto"/>
          <w:highlight w:val="none"/>
        </w:rPr>
        <w:t>规定的政府采购信息发布媒体上</w:t>
      </w:r>
      <w:r>
        <w:rPr>
          <w:rFonts w:hint="eastAsia"/>
          <w:color w:val="auto"/>
          <w:highlight w:val="none"/>
        </w:rPr>
        <w:t>发布更正公告。</w:t>
      </w:r>
    </w:p>
    <w:p w14:paraId="79104917">
      <w:pPr>
        <w:spacing w:line="360" w:lineRule="auto"/>
        <w:ind w:firstLine="400" w:firstLineChars="200"/>
        <w:rPr>
          <w:rFonts w:ascii="宋体" w:hAnsi="Courier New"/>
          <w:color w:val="auto"/>
          <w:kern w:val="0"/>
          <w:sz w:val="20"/>
          <w:szCs w:val="21"/>
          <w:highlight w:val="none"/>
        </w:rPr>
      </w:pPr>
      <w:r>
        <w:rPr>
          <w:rFonts w:hint="eastAsia" w:ascii="宋体" w:hAnsi="Courier New"/>
          <w:color w:val="auto"/>
          <w:kern w:val="0"/>
          <w:sz w:val="20"/>
          <w:szCs w:val="21"/>
          <w:highlight w:val="none"/>
        </w:rPr>
        <w:t>▲</w:t>
      </w:r>
      <w:r>
        <w:rPr>
          <w:rFonts w:hint="eastAsia" w:ascii="宋体" w:hAnsi="Courier New"/>
          <w:b/>
          <w:color w:val="auto"/>
          <w:kern w:val="0"/>
          <w:sz w:val="20"/>
          <w:szCs w:val="21"/>
          <w:highlight w:val="none"/>
        </w:rPr>
        <w:t>响应文件未按磋商文件的澄清、修改的内容编制，又不符合实质性要求的，其响应文件作无效处理。</w:t>
      </w:r>
    </w:p>
    <w:p w14:paraId="2876CF1B">
      <w:pPr>
        <w:pStyle w:val="4"/>
        <w:spacing w:before="0" w:after="0" w:line="360" w:lineRule="auto"/>
        <w:ind w:firstLine="640" w:firstLineChars="200"/>
        <w:rPr>
          <w:rFonts w:hint="eastAsia" w:ascii="宋体" w:hAnsi="宋体"/>
          <w:b w:val="0"/>
          <w:bCs w:val="0"/>
          <w:color w:val="auto"/>
          <w:highlight w:val="none"/>
        </w:rPr>
      </w:pPr>
      <w:bookmarkStart w:id="45" w:name="_Toc12927"/>
      <w:r>
        <w:rPr>
          <w:rFonts w:hint="eastAsia" w:ascii="宋体" w:hAnsi="宋体"/>
          <w:b w:val="0"/>
          <w:bCs w:val="0"/>
          <w:color w:val="auto"/>
          <w:highlight w:val="none"/>
        </w:rPr>
        <w:t>三、响应文件的编制</w:t>
      </w:r>
      <w:bookmarkEnd w:id="45"/>
    </w:p>
    <w:p w14:paraId="5A8BA17C">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11.响应文件的编制原则</w:t>
      </w:r>
    </w:p>
    <w:p w14:paraId="774A2B9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供应商必须按照磋商文件的要求编制响应文件，并对其提交的响应文件的真实性、合法性承担法律责任。响应文件必须对磋商文件作出实质性响应。</w:t>
      </w:r>
    </w:p>
    <w:p w14:paraId="08AF3758">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12.响应文件的组成</w:t>
      </w:r>
    </w:p>
    <w:p w14:paraId="3CB0536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12.1响应文件由资格证明文件、报价文件、商务和技术文件三部分组成。</w:t>
      </w:r>
    </w:p>
    <w:p w14:paraId="2EF11E8D">
      <w:pPr>
        <w:spacing w:line="360" w:lineRule="auto"/>
        <w:ind w:left="420" w:leftChars="200"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12.1.1资格证明文件：详见须知前附表</w:t>
      </w:r>
    </w:p>
    <w:p w14:paraId="0AF1C8BC">
      <w:pPr>
        <w:spacing w:line="360" w:lineRule="auto"/>
        <w:ind w:left="420" w:leftChars="200"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12.1.2商务技术文件：详见须知前附表</w:t>
      </w:r>
    </w:p>
    <w:p w14:paraId="1DE93B0C">
      <w:pPr>
        <w:spacing w:line="360" w:lineRule="auto"/>
        <w:ind w:left="420" w:leftChars="200"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12.1.3报价文件：详见须知前附表</w:t>
      </w:r>
    </w:p>
    <w:p w14:paraId="41640BB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12.2响应文件电子版：详见须知前附表</w:t>
      </w:r>
    </w:p>
    <w:p w14:paraId="4C3D4B75">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13.计量单位</w:t>
      </w:r>
    </w:p>
    <w:p w14:paraId="71C21F7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35D80C51">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14.竞标的风险</w:t>
      </w:r>
    </w:p>
    <w:p w14:paraId="63FF706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供应商没有按照磋商文件要求提供全部资料，或者供应商没有对磋商文件在各方面作出实质性响应可能导致其响应无效，是供应商应当考虑的风险。</w:t>
      </w:r>
    </w:p>
    <w:p w14:paraId="28C1CA36">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15.响应报价要求和构成</w:t>
      </w:r>
    </w:p>
    <w:p w14:paraId="553D53E1">
      <w:pPr>
        <w:tabs>
          <w:tab w:val="left" w:pos="2492"/>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15.1响应报价应按“第五章 响应文件格式”中“响应报价表”格式填写。</w:t>
      </w:r>
    </w:p>
    <w:p w14:paraId="430D808E">
      <w:pPr>
        <w:tabs>
          <w:tab w:val="left" w:pos="2492"/>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15.2响应报价的价格构成见“供应商须知前附表”。</w:t>
      </w:r>
    </w:p>
    <w:p w14:paraId="703A0B4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15.3响应报价要求</w:t>
      </w:r>
    </w:p>
    <w:p w14:paraId="2266E26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15.3.1供应商的响应报价应符合以下要求，否则响应文件按无效响应处理：</w:t>
      </w:r>
    </w:p>
    <w:p w14:paraId="407EB57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（1）供应商必须就“采购需求”中所竞标的每个标项的全部内容分别作完整唯一总价报价，不得存在漏项报价；</w:t>
      </w:r>
    </w:p>
    <w:p w14:paraId="7E30D74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（2）供应商必须就所竞标的标项的单项内容作唯一报价。</w:t>
      </w:r>
    </w:p>
    <w:p w14:paraId="74FDD48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15.3.2响应报价（包含首次报价、最后报价）超过所竞标标项规定的采购预算金额或者最高限价的，其响应文件将作无效处理。</w:t>
      </w:r>
    </w:p>
    <w:p w14:paraId="4843657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15.3.3</w:t>
      </w:r>
      <w:bookmarkStart w:id="46" w:name="_Hlk42592874"/>
      <w:r>
        <w:rPr>
          <w:rFonts w:hint="eastAsia" w:ascii="宋体" w:hAnsi="宋体" w:cs="宋体"/>
          <w:color w:val="auto"/>
          <w:szCs w:val="21"/>
          <w:highlight w:val="none"/>
        </w:rPr>
        <w:t>响应报价（包含首次报价、最后报价）超过分项采购预算金额或者最高限价的，其响应文件将作无效处理。</w:t>
      </w:r>
    </w:p>
    <w:bookmarkEnd w:id="46"/>
    <w:p w14:paraId="41FC5B11">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16.竞标有效期</w:t>
      </w:r>
    </w:p>
    <w:p w14:paraId="563B2F7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1DF9BEF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16.2 竞标有效期应由供应商按“供应商须知前附表”规定的期限作出响应。</w:t>
      </w:r>
    </w:p>
    <w:p w14:paraId="295CB5C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16.3供应商的响应文件在竞标有效期内均保持有效。</w:t>
      </w:r>
    </w:p>
    <w:p w14:paraId="74EE729A">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17.磋商保证金</w:t>
      </w:r>
    </w:p>
    <w:p w14:paraId="32D1939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详见“供应商须知前附表”。</w:t>
      </w:r>
    </w:p>
    <w:p w14:paraId="55359AF3">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18.响应文件编制的要求</w:t>
      </w:r>
    </w:p>
    <w:p w14:paraId="5590530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18.1各供应商在编制响应文件时请按照磋商文件“第五章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w:t>
      </w:r>
      <w:r>
        <w:rPr>
          <w:rFonts w:hint="eastAsia" w:ascii="宋体" w:hAnsi="宋体" w:cs="宋体"/>
          <w:color w:val="auto"/>
          <w:highlight w:val="none"/>
        </w:rPr>
        <w:t>由此引发的</w:t>
      </w:r>
      <w:r>
        <w:rPr>
          <w:rFonts w:hint="eastAsia" w:ascii="宋体" w:hAnsi="宋体" w:cs="宋体"/>
          <w:color w:val="auto"/>
          <w:szCs w:val="21"/>
          <w:highlight w:val="none"/>
        </w:rPr>
        <w:t>后果由供应商承担。</w:t>
      </w:r>
    </w:p>
    <w:p w14:paraId="1167CEB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18.2响应文件应按资格证明、报价分别编制，商务技术文件合并编制，本磋商只接受电子版响应文件，要求见本章“12.2响应文件电子版要求”。</w:t>
      </w:r>
    </w:p>
    <w:p w14:paraId="17B05C6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w:t>
      </w:r>
      <w:bookmarkStart w:id="47" w:name="_Hlk65832699"/>
      <w:r>
        <w:rPr>
          <w:rFonts w:hint="eastAsia" w:ascii="宋体" w:hAnsi="宋体" w:cs="宋体"/>
          <w:color w:val="auto"/>
          <w:szCs w:val="21"/>
          <w:highlight w:val="none"/>
        </w:rPr>
        <w:t>3</w:t>
      </w:r>
      <w:r>
        <w:rPr>
          <w:rFonts w:hint="eastAsia" w:ascii="宋体" w:hAnsi="宋体"/>
          <w:color w:val="auto"/>
          <w:szCs w:val="21"/>
          <w:highlight w:val="none"/>
        </w:rPr>
        <w:t>响应文件须由供应商在</w:t>
      </w:r>
      <w:r>
        <w:rPr>
          <w:rFonts w:hint="eastAsia" w:ascii="宋体" w:hAnsi="宋体" w:cs="仿宋_GB2312"/>
          <w:color w:val="auto"/>
          <w:kern w:val="0"/>
          <w:szCs w:val="21"/>
          <w:highlight w:val="none"/>
          <w:lang w:val="zh-CN"/>
        </w:rPr>
        <w:t>“</w:t>
      </w:r>
      <w:r>
        <w:rPr>
          <w:rFonts w:hint="eastAsia" w:ascii="宋体" w:hAnsi="宋体"/>
          <w:color w:val="auto"/>
          <w:szCs w:val="21"/>
          <w:highlight w:val="none"/>
        </w:rPr>
        <w:t>第五章 响应文件格式</w:t>
      </w:r>
      <w:r>
        <w:rPr>
          <w:rFonts w:hint="eastAsia" w:ascii="宋体" w:hAnsi="宋体" w:cs="仿宋_GB2312"/>
          <w:color w:val="auto"/>
          <w:kern w:val="0"/>
          <w:szCs w:val="21"/>
          <w:highlight w:val="none"/>
          <w:lang w:val="zh-CN"/>
        </w:rPr>
        <w:t>”</w:t>
      </w:r>
      <w:r>
        <w:rPr>
          <w:rFonts w:hint="eastAsia" w:ascii="宋体" w:hAnsi="宋体"/>
          <w:color w:val="auto"/>
          <w:szCs w:val="21"/>
          <w:highlight w:val="none"/>
        </w:rPr>
        <w:t>规定位置</w:t>
      </w:r>
      <w:r>
        <w:rPr>
          <w:rFonts w:hint="eastAsia" w:ascii="宋体" w:hAnsi="宋体" w:cs="仿宋_GB2312"/>
          <w:color w:val="auto"/>
          <w:szCs w:val="21"/>
          <w:highlight w:val="none"/>
        </w:rPr>
        <w:t>进行签署、盖章</w:t>
      </w:r>
      <w:bookmarkEnd w:id="47"/>
      <w:r>
        <w:rPr>
          <w:rFonts w:hint="eastAsia" w:ascii="宋体" w:hAnsi="宋体" w:cs="宋体"/>
          <w:color w:val="auto"/>
          <w:szCs w:val="21"/>
          <w:highlight w:val="none"/>
        </w:rPr>
        <w:t>，否则其响应文件按无效响应处理。骑缝盖公章不视为在规定位置盖章。</w:t>
      </w:r>
    </w:p>
    <w:p w14:paraId="4588E37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18.4响应文件中标注的供应商名称应与营业执照（事业单位法人证书、执业许可证、自然人身份证）及电子公章一致，否则其响应文件按无效响应处理。</w:t>
      </w:r>
    </w:p>
    <w:p w14:paraId="4E70037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18.5响应文件应避免涂改、行间插字或者删除，否则其响应文件按无效响应处理。</w:t>
      </w:r>
    </w:p>
    <w:p w14:paraId="47FC8D66">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19.响应文件的密封和标记</w:t>
      </w:r>
    </w:p>
    <w:p w14:paraId="2EFDBE67">
      <w:pPr>
        <w:spacing w:line="360" w:lineRule="auto"/>
        <w:ind w:firstLine="420" w:firstLineChars="200"/>
        <w:rPr>
          <w:rFonts w:hint="eastAsia" w:ascii="宋体" w:hAnsi="宋体" w:cs="仿宋_GB2312"/>
          <w:color w:val="auto"/>
          <w:kern w:val="0"/>
          <w:szCs w:val="21"/>
          <w:highlight w:val="none"/>
          <w:lang w:val="zh-CN"/>
        </w:rPr>
      </w:pPr>
      <w:r>
        <w:rPr>
          <w:rFonts w:hint="eastAsia" w:ascii="宋体" w:hAnsi="宋体" w:cs="仿宋_GB2312"/>
          <w:color w:val="auto"/>
          <w:kern w:val="0"/>
          <w:szCs w:val="21"/>
          <w:highlight w:val="none"/>
          <w:lang w:val="zh-CN"/>
        </w:rPr>
        <w:t>19.1供应商进行电子交易应安装客户端软件—“政采云电子交易客户端”，并按照磋商文件和电子交易平台的要求编制并加密响应文件。供应商未按规定加密的响应文件，电子交易平台将拒收并提示。</w:t>
      </w:r>
    </w:p>
    <w:p w14:paraId="0E0D5058">
      <w:pPr>
        <w:spacing w:line="360" w:lineRule="auto"/>
        <w:ind w:firstLine="420" w:firstLineChars="200"/>
        <w:rPr>
          <w:rFonts w:hint="eastAsia" w:ascii="宋体" w:hAnsi="宋体" w:cs="仿宋_GB2312"/>
          <w:color w:val="auto"/>
          <w:kern w:val="0"/>
          <w:szCs w:val="21"/>
          <w:highlight w:val="none"/>
          <w:lang w:val="zh-CN"/>
        </w:rPr>
      </w:pPr>
      <w:r>
        <w:rPr>
          <w:rFonts w:hint="eastAsia" w:ascii="宋体" w:hAnsi="宋体" w:cs="仿宋_GB2312"/>
          <w:color w:val="auto"/>
          <w:kern w:val="0"/>
          <w:szCs w:val="21"/>
          <w:highlight w:val="none"/>
          <w:lang w:val="zh-CN"/>
        </w:rPr>
        <w:t>19.2使用“政采云电子交易客户端”需要提前申领CA数字证书，申领流程见该项目采购公告附件。</w:t>
      </w:r>
    </w:p>
    <w:p w14:paraId="180ECBCD">
      <w:pPr>
        <w:pStyle w:val="11"/>
        <w:spacing w:line="360" w:lineRule="auto"/>
        <w:ind w:left="0" w:leftChars="0" w:firstLine="420" w:firstLineChars="200"/>
        <w:rPr>
          <w:rFonts w:hint="eastAsia" w:hAnsi="宋体" w:cs="仿宋_GB2312"/>
          <w:color w:val="auto"/>
          <w:highlight w:val="none"/>
        </w:rPr>
      </w:pPr>
      <w:r>
        <w:rPr>
          <w:rFonts w:hint="eastAsia" w:hAnsi="宋体" w:cs="仿宋_GB2312"/>
          <w:color w:val="auto"/>
          <w:highlight w:val="none"/>
        </w:rPr>
        <w:t>19.3为确保网上操作合法、有效和安全，供应商应当在响应文件提交截止时间前完成在“广西政府采购云平台”的身份认证，确保在电子交易过程中能够对相关数据电文进行加密和使用电子签名。</w:t>
      </w:r>
    </w:p>
    <w:p w14:paraId="3F870F6D">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20.响应文件的提交</w:t>
      </w:r>
    </w:p>
    <w:p w14:paraId="4BAF977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20.1供应商必须在“供应商须知前附表”规定的时间和地点提交响应文件。</w:t>
      </w:r>
    </w:p>
    <w:p w14:paraId="5FD1AB64">
      <w:pPr>
        <w:spacing w:line="360" w:lineRule="auto"/>
        <w:ind w:firstLine="420" w:firstLineChars="200"/>
        <w:rPr>
          <w:rFonts w:hint="eastAsia" w:ascii="宋体" w:hAnsi="宋体"/>
          <w:color w:val="auto"/>
          <w:szCs w:val="21"/>
          <w:highlight w:val="none"/>
        </w:rPr>
      </w:pPr>
      <w:r>
        <w:rPr>
          <w:rFonts w:hint="eastAsia" w:ascii="宋体" w:hAnsi="宋体" w:cs="宋体"/>
          <w:color w:val="auto"/>
          <w:szCs w:val="21"/>
          <w:highlight w:val="none"/>
        </w:rPr>
        <w:t>20</w:t>
      </w:r>
      <w:r>
        <w:rPr>
          <w:rFonts w:hint="eastAsia" w:ascii="宋体" w:hAnsi="宋体"/>
          <w:color w:val="auto"/>
          <w:szCs w:val="21"/>
          <w:highlight w:val="none"/>
        </w:rPr>
        <w:t>.2 在响应文件提交截止时间以后，不能补充、修改响应文件。</w:t>
      </w:r>
    </w:p>
    <w:p w14:paraId="2D96D060">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20.3 在提交“最后报价”后，供应商不能退出谈判。</w:t>
      </w:r>
    </w:p>
    <w:p w14:paraId="3AF20626">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20.4 电子交易平台收到响应文件，将妥善保存并即时向供应商发出确认回执通知。在响应文件提交截止时间前，除供应商补充、修改或者撤回响应文件外，任何单位和个人不得解密或提取响应文件。</w:t>
      </w:r>
    </w:p>
    <w:p w14:paraId="3D2A2867">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20.5 采购机构不可视情况延长提交响应文件的截止时间。</w:t>
      </w:r>
    </w:p>
    <w:p w14:paraId="5D404FA3">
      <w:pPr>
        <w:spacing w:line="360" w:lineRule="auto"/>
        <w:ind w:firstLine="420" w:firstLineChars="200"/>
        <w:rPr>
          <w:rFonts w:hint="eastAsia" w:ascii="黑体" w:hAnsi="黑体" w:eastAsia="黑体"/>
          <w:color w:val="auto"/>
          <w:sz w:val="24"/>
          <w:highlight w:val="none"/>
        </w:rPr>
      </w:pPr>
      <w:r>
        <w:rPr>
          <w:rFonts w:hint="eastAsia" w:ascii="宋体" w:hAnsi="宋体"/>
          <w:color w:val="auto"/>
          <w:szCs w:val="21"/>
          <w:highlight w:val="none"/>
        </w:rPr>
        <w:t>20.6备份响应文件。</w:t>
      </w:r>
      <w:r>
        <w:rPr>
          <w:rFonts w:hint="eastAsia" w:hAnsi="宋体"/>
          <w:bCs/>
          <w:color w:val="auto"/>
          <w:szCs w:val="21"/>
          <w:highlight w:val="none"/>
        </w:rPr>
        <w:t>详见在“供应商须知前附表”。</w:t>
      </w:r>
    </w:p>
    <w:p w14:paraId="7843ED2A">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21.首次响应文件的补充、修改与撤回</w:t>
      </w:r>
    </w:p>
    <w:p w14:paraId="10209CA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详见“供应商须知前附表”。</w:t>
      </w:r>
    </w:p>
    <w:p w14:paraId="2A2C4F2B">
      <w:pPr>
        <w:spacing w:line="360" w:lineRule="auto"/>
        <w:ind w:firstLine="482" w:firstLineChars="200"/>
        <w:rPr>
          <w:rFonts w:hint="eastAsia" w:ascii="黑体" w:hAnsi="黑体" w:eastAsia="黑体" w:cs="宋体"/>
          <w:b/>
          <w:bCs/>
          <w:color w:val="auto"/>
          <w:sz w:val="24"/>
          <w:highlight w:val="none"/>
        </w:rPr>
      </w:pPr>
      <w:bookmarkStart w:id="48" w:name="_Hlk45702405"/>
      <w:r>
        <w:rPr>
          <w:rFonts w:hint="eastAsia" w:ascii="黑体" w:hAnsi="黑体" w:eastAsia="黑体" w:cs="宋体"/>
          <w:b/>
          <w:bCs/>
          <w:color w:val="auto"/>
          <w:sz w:val="24"/>
          <w:highlight w:val="none"/>
        </w:rPr>
        <w:t>22. 首次响应文件的退回</w:t>
      </w:r>
    </w:p>
    <w:p w14:paraId="11D0C78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在首次响应文件提交截止时间止提交响应文件的供应商不足3家时电子响应文件由代理机构在“广西政府采购云平台”操作退回，除此之外采购人和采购代理机构对已提交的电子响应文件概不退回。</w:t>
      </w:r>
    </w:p>
    <w:p w14:paraId="3D64D130">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23. 截止时间后的撤回</w:t>
      </w:r>
    </w:p>
    <w:p w14:paraId="2DDD2458">
      <w:pPr>
        <w:spacing w:line="360" w:lineRule="auto"/>
        <w:ind w:firstLine="420" w:firstLineChars="200"/>
        <w:rPr>
          <w:rFonts w:hint="eastAsia" w:ascii="宋体" w:hAnsi="宋体"/>
          <w:color w:val="auto"/>
          <w:szCs w:val="21"/>
          <w:highlight w:val="none"/>
        </w:rPr>
      </w:pPr>
      <w:r>
        <w:rPr>
          <w:rFonts w:hint="eastAsia" w:ascii="宋体" w:hAnsi="宋体" w:cs="宋体"/>
          <w:color w:val="auto"/>
          <w:szCs w:val="21"/>
          <w:highlight w:val="none"/>
        </w:rPr>
        <w:t>本项目不收取磋商保证金，供应商在首次响应文件提交截止时间后可向采购人、采购代理机构书面申请撤回电子响应文件。</w:t>
      </w:r>
      <w:bookmarkEnd w:id="48"/>
    </w:p>
    <w:p w14:paraId="15841D05">
      <w:pPr>
        <w:pStyle w:val="4"/>
        <w:spacing w:before="0" w:after="0" w:line="360" w:lineRule="auto"/>
        <w:ind w:firstLine="640" w:firstLineChars="200"/>
        <w:rPr>
          <w:rFonts w:hint="eastAsia" w:ascii="宋体" w:hAnsi="宋体"/>
          <w:b w:val="0"/>
          <w:bCs w:val="0"/>
          <w:color w:val="auto"/>
          <w:highlight w:val="none"/>
        </w:rPr>
      </w:pPr>
      <w:bookmarkStart w:id="49" w:name="_Toc12248"/>
      <w:r>
        <w:rPr>
          <w:rFonts w:hint="eastAsia" w:ascii="宋体" w:hAnsi="宋体"/>
          <w:b w:val="0"/>
          <w:bCs w:val="0"/>
          <w:color w:val="auto"/>
          <w:highlight w:val="none"/>
        </w:rPr>
        <w:t>四、评审及磋商</w:t>
      </w:r>
      <w:bookmarkEnd w:id="49"/>
    </w:p>
    <w:p w14:paraId="7B8F68CC">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24.磋商小组成立</w:t>
      </w:r>
    </w:p>
    <w:p w14:paraId="3EDB47B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21AB2F4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23B125FD">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25.首次响应文件的开启</w:t>
      </w:r>
    </w:p>
    <w:p w14:paraId="36CC27D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25.1首次响应文件由磋商小组或者采购代理机构在“供应商须知前附表”规定的时间开启。</w:t>
      </w:r>
    </w:p>
    <w:p w14:paraId="0E7580AD">
      <w:pPr>
        <w:pStyle w:val="11"/>
        <w:spacing w:line="360" w:lineRule="auto"/>
        <w:ind w:left="0" w:leftChars="0" w:firstLine="420" w:firstLineChars="200"/>
        <w:rPr>
          <w:rFonts w:hint="eastAsia" w:hAnsi="宋体"/>
          <w:bCs/>
          <w:color w:val="auto"/>
          <w:highlight w:val="none"/>
        </w:rPr>
      </w:pPr>
      <w:r>
        <w:rPr>
          <w:rFonts w:hint="eastAsia" w:hAnsi="宋体" w:cs="宋体"/>
          <w:color w:val="auto"/>
          <w:highlight w:val="none"/>
        </w:rPr>
        <w:t xml:space="preserve">25.2 </w:t>
      </w:r>
      <w:r>
        <w:rPr>
          <w:rFonts w:hint="eastAsia" w:hAnsi="宋体"/>
          <w:bCs/>
          <w:color w:val="auto"/>
          <w:highlight w:val="none"/>
        </w:rPr>
        <w:t>响应文件解密</w:t>
      </w:r>
    </w:p>
    <w:p w14:paraId="4657C99C">
      <w:pPr>
        <w:pStyle w:val="11"/>
        <w:snapToGrid w:val="0"/>
        <w:spacing w:line="360" w:lineRule="auto"/>
        <w:ind w:left="0" w:leftChars="0" w:firstLine="420" w:firstLineChars="200"/>
        <w:rPr>
          <w:rFonts w:hint="eastAsia" w:hAnsi="宋体"/>
          <w:color w:val="auto"/>
          <w:highlight w:val="none"/>
        </w:rPr>
      </w:pPr>
      <w:r>
        <w:rPr>
          <w:rFonts w:hint="eastAsia" w:hAnsi="宋体"/>
          <w:bCs/>
          <w:color w:val="auto"/>
          <w:highlight w:val="none"/>
        </w:rPr>
        <w:t>采购代理机构将在“供应商须知前附表”规定的时</w:t>
      </w:r>
      <w:r>
        <w:rPr>
          <w:rFonts w:hint="eastAsia" w:hAnsi="宋体"/>
          <w:color w:val="auto"/>
          <w:highlight w:val="none"/>
        </w:rPr>
        <w:t>间通过电子交易平台组织响应文件开启，采购机构依托电子交易平台发起开始解密指令，供应商的法定代表人或其委托代理人</w:t>
      </w:r>
      <w:r>
        <w:rPr>
          <w:rFonts w:hint="eastAsia" w:hAnsi="宋体"/>
          <w:b/>
          <w:color w:val="auto"/>
          <w:highlight w:val="none"/>
        </w:rPr>
        <w:t>须携带加密时所用的CA锁按平台提示和采购文件的规定登录到“广西政府采购云平台”电子开标大厅签到并在发起解密指令之时起30分钟内完成对电子响应文件在线解密</w:t>
      </w:r>
      <w:r>
        <w:rPr>
          <w:rFonts w:hint="eastAsia" w:hAnsi="宋体"/>
          <w:color w:val="auto"/>
          <w:highlight w:val="none"/>
        </w:rPr>
        <w:t>。发起解密指令之时起5分钟内供应商还未进行解密的，代理机构要通知供应商，供应商没预留联系方式或预留联系方式无效，导致代理机构无法联系到供应商进行解密的，</w:t>
      </w:r>
      <w:r>
        <w:rPr>
          <w:rFonts w:hint="eastAsia" w:hAnsi="宋体"/>
          <w:b/>
          <w:color w:val="auto"/>
          <w:highlight w:val="none"/>
        </w:rPr>
        <w:t>视为响应文件无效。</w:t>
      </w:r>
      <w:r>
        <w:rPr>
          <w:rFonts w:hint="eastAsia" w:hAnsi="宋体"/>
          <w:color w:val="auto"/>
          <w:highlight w:val="none"/>
        </w:rPr>
        <w:t>（解密</w:t>
      </w:r>
      <w:r>
        <w:rPr>
          <w:rFonts w:hint="eastAsia" w:hAnsi="宋体"/>
          <w:bCs/>
          <w:color w:val="auto"/>
          <w:highlight w:val="none"/>
        </w:rPr>
        <w:t>异常情况处理：详见本章</w:t>
      </w:r>
      <w:r>
        <w:rPr>
          <w:rFonts w:hint="eastAsia" w:hAnsi="宋体"/>
          <w:color w:val="auto"/>
          <w:highlight w:val="none"/>
        </w:rPr>
        <w:t>26.3 电子交易活动的中止。）</w:t>
      </w:r>
    </w:p>
    <w:p w14:paraId="18773066">
      <w:pPr>
        <w:pStyle w:val="11"/>
        <w:spacing w:line="360" w:lineRule="auto"/>
        <w:ind w:left="0" w:leftChars="0" w:firstLine="420" w:firstLineChars="200"/>
        <w:rPr>
          <w:color w:val="auto"/>
          <w:highlight w:val="none"/>
        </w:rPr>
      </w:pPr>
      <w:r>
        <w:rPr>
          <w:rFonts w:hint="eastAsia" w:hAnsi="宋体"/>
          <w:color w:val="auto"/>
          <w:highlight w:val="none"/>
        </w:rPr>
        <w:t>如</w:t>
      </w:r>
      <w:r>
        <w:rPr>
          <w:rFonts w:hint="eastAsia" w:hAnsi="宋体"/>
          <w:bCs/>
          <w:color w:val="auto"/>
          <w:highlight w:val="none"/>
        </w:rPr>
        <w:t>供应商成功解密响应文件，但未在“广西政府采购云平台”电子开标大厅参加谈判的，视同认可谈判过程和结果，</w:t>
      </w:r>
      <w:r>
        <w:rPr>
          <w:rFonts w:hint="eastAsia" w:hAnsi="宋体"/>
          <w:color w:val="auto"/>
          <w:highlight w:val="none"/>
        </w:rPr>
        <w:t>由此产生的后果由供应商自行负责。 参与谈判的供应商</w:t>
      </w:r>
      <w:r>
        <w:rPr>
          <w:rFonts w:hint="eastAsia"/>
          <w:color w:val="auto"/>
          <w:highlight w:val="none"/>
        </w:rPr>
        <w:t>不足3家的，不得谈判。</w:t>
      </w:r>
    </w:p>
    <w:p w14:paraId="11A0505E">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26.评审程序、评审方法和评审标准</w:t>
      </w:r>
    </w:p>
    <w:p w14:paraId="4EB3C0C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26.1磋商小组按照“第四章 评审程序、评审方法和评审标准”规定的方法、评审因素、标准和程序对响应文件进行评审。</w:t>
      </w:r>
    </w:p>
    <w:p w14:paraId="10E930C8">
      <w:pPr>
        <w:spacing w:line="360" w:lineRule="auto"/>
        <w:ind w:firstLine="420" w:firstLineChars="200"/>
        <w:rPr>
          <w:rFonts w:hint="eastAsia" w:ascii="宋体" w:hAnsi="宋体" w:cs="宋体"/>
          <w:color w:val="auto"/>
          <w:szCs w:val="21"/>
          <w:highlight w:val="none"/>
        </w:rPr>
      </w:pPr>
      <w:r>
        <w:rPr>
          <w:rFonts w:hint="eastAsia" w:ascii="宋体" w:hAnsi="宋体"/>
          <w:color w:val="auto"/>
          <w:szCs w:val="21"/>
          <w:highlight w:val="none"/>
        </w:rPr>
        <w:t xml:space="preserve">26.2 </w:t>
      </w:r>
      <w:r>
        <w:rPr>
          <w:rFonts w:hint="eastAsia" w:ascii="宋体" w:hAnsi="宋体" w:cs="宋体"/>
          <w:color w:val="auto"/>
          <w:szCs w:val="21"/>
          <w:highlight w:val="none"/>
        </w:rPr>
        <w:t>磋商文件内容违反国家有关强制性规定的，磋商小组应当停止评审并向采购人或者采购代理机构说明情况，并在评审报告中书面体现。</w:t>
      </w:r>
    </w:p>
    <w:p w14:paraId="1E0F233D">
      <w:pPr>
        <w:spacing w:line="360" w:lineRule="auto"/>
        <w:ind w:firstLine="420" w:firstLineChars="200"/>
        <w:rPr>
          <w:rFonts w:hint="eastAsia" w:ascii="宋体" w:hAnsi="宋体"/>
          <w:color w:val="auto"/>
          <w:szCs w:val="21"/>
          <w:highlight w:val="none"/>
        </w:rPr>
      </w:pPr>
      <w:r>
        <w:rPr>
          <w:rFonts w:hint="eastAsia" w:ascii="宋体" w:hAnsi="宋体" w:cs="宋体"/>
          <w:color w:val="auto"/>
          <w:szCs w:val="21"/>
          <w:highlight w:val="none"/>
        </w:rPr>
        <w:t xml:space="preserve">26.3 </w:t>
      </w:r>
      <w:r>
        <w:rPr>
          <w:rFonts w:hint="eastAsia" w:ascii="宋体" w:hAnsi="宋体"/>
          <w:color w:val="auto"/>
          <w:szCs w:val="21"/>
          <w:highlight w:val="none"/>
        </w:rPr>
        <w:t>采购需求负偏离要求及磋商顺序详见 “ 供应商须知前附表”。</w:t>
      </w:r>
    </w:p>
    <w:p w14:paraId="09417EB4">
      <w:pPr>
        <w:spacing w:line="360" w:lineRule="auto"/>
        <w:ind w:firstLine="420" w:firstLineChars="200"/>
        <w:rPr>
          <w:rFonts w:hint="eastAsia" w:ascii="宋体" w:hAnsi="宋体"/>
          <w:color w:val="auto"/>
          <w:highlight w:val="none"/>
        </w:rPr>
      </w:pPr>
      <w:r>
        <w:rPr>
          <w:rFonts w:hint="eastAsia" w:ascii="宋体" w:hAnsi="宋体"/>
          <w:color w:val="auto"/>
          <w:highlight w:val="none"/>
        </w:rPr>
        <w:t>26.4电子交易活动的中止。采购过程中出现以下情形，导致电子交易平台无法正常运行，或者无法保证电子交易的公平、公正和安全时，采购机构可中止电子交易活动：</w:t>
      </w:r>
    </w:p>
    <w:p w14:paraId="4F665852">
      <w:pPr>
        <w:spacing w:line="360" w:lineRule="auto"/>
        <w:ind w:firstLine="420" w:firstLineChars="200"/>
        <w:rPr>
          <w:rFonts w:hint="eastAsia" w:ascii="宋体" w:hAnsi="宋体"/>
          <w:color w:val="auto"/>
          <w:highlight w:val="none"/>
        </w:rPr>
      </w:pPr>
      <w:r>
        <w:rPr>
          <w:rFonts w:hint="eastAsia" w:ascii="宋体" w:hAnsi="宋体"/>
          <w:color w:val="auto"/>
          <w:highlight w:val="none"/>
        </w:rPr>
        <w:t xml:space="preserve">（1）电子交易平台发生故障而无法登录访问的； </w:t>
      </w:r>
    </w:p>
    <w:p w14:paraId="1F44A02C">
      <w:pPr>
        <w:spacing w:line="360" w:lineRule="auto"/>
        <w:ind w:firstLine="420" w:firstLineChars="200"/>
        <w:rPr>
          <w:rFonts w:hint="eastAsia" w:ascii="宋体" w:hAnsi="宋体"/>
          <w:color w:val="auto"/>
          <w:highlight w:val="none"/>
        </w:rPr>
      </w:pPr>
      <w:r>
        <w:rPr>
          <w:rFonts w:hint="eastAsia" w:ascii="宋体" w:hAnsi="宋体"/>
          <w:color w:val="auto"/>
          <w:highlight w:val="none"/>
        </w:rPr>
        <w:t>（2）电子交易平台应用或数据库出现错误，不能进行正常操作的；</w:t>
      </w:r>
    </w:p>
    <w:p w14:paraId="22E2D7CA">
      <w:pPr>
        <w:spacing w:line="360" w:lineRule="auto"/>
        <w:ind w:firstLine="420" w:firstLineChars="200"/>
        <w:rPr>
          <w:rFonts w:hint="eastAsia" w:ascii="宋体" w:hAnsi="宋体"/>
          <w:color w:val="auto"/>
          <w:highlight w:val="none"/>
        </w:rPr>
      </w:pPr>
      <w:r>
        <w:rPr>
          <w:rFonts w:hint="eastAsia" w:ascii="宋体" w:hAnsi="宋体"/>
          <w:color w:val="auto"/>
          <w:highlight w:val="none"/>
        </w:rPr>
        <w:t>（3）电子交易平台发现严重安全漏洞，有潜在泄密危险的；</w:t>
      </w:r>
    </w:p>
    <w:p w14:paraId="733F7BA8">
      <w:pPr>
        <w:spacing w:line="360" w:lineRule="auto"/>
        <w:ind w:firstLine="420" w:firstLineChars="200"/>
        <w:rPr>
          <w:rFonts w:hint="eastAsia" w:ascii="宋体" w:hAnsi="宋体"/>
          <w:color w:val="auto"/>
          <w:highlight w:val="none"/>
        </w:rPr>
      </w:pPr>
      <w:r>
        <w:rPr>
          <w:rFonts w:hint="eastAsia" w:ascii="宋体" w:hAnsi="宋体"/>
          <w:color w:val="auto"/>
          <w:highlight w:val="none"/>
        </w:rPr>
        <w:t xml:space="preserve">（4）病毒发作导致不能进行正常操作的； </w:t>
      </w:r>
    </w:p>
    <w:p w14:paraId="1CB0B22B">
      <w:pPr>
        <w:spacing w:line="360" w:lineRule="auto"/>
        <w:ind w:firstLine="420" w:firstLineChars="200"/>
        <w:rPr>
          <w:rFonts w:hint="eastAsia" w:ascii="宋体" w:hAnsi="宋体"/>
          <w:color w:val="auto"/>
          <w:highlight w:val="none"/>
        </w:rPr>
      </w:pPr>
      <w:r>
        <w:rPr>
          <w:rFonts w:hint="eastAsia" w:ascii="宋体" w:hAnsi="宋体"/>
          <w:color w:val="auto"/>
          <w:highlight w:val="none"/>
        </w:rPr>
        <w:t>（5）其他无法保证电子交易的公平、公正和安全的情况。</w:t>
      </w:r>
    </w:p>
    <w:p w14:paraId="0959EE6C">
      <w:pPr>
        <w:spacing w:line="360" w:lineRule="auto"/>
        <w:ind w:firstLine="420" w:firstLineChars="200"/>
        <w:rPr>
          <w:rFonts w:hint="eastAsia" w:ascii="宋体" w:hAnsi="宋体"/>
          <w:color w:val="auto"/>
          <w:highlight w:val="none"/>
        </w:rPr>
      </w:pPr>
      <w:r>
        <w:rPr>
          <w:rFonts w:hint="eastAsia" w:ascii="宋体" w:hAnsi="宋体"/>
          <w:color w:val="auto"/>
          <w:highlight w:val="none"/>
        </w:rPr>
        <w:t>26.5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7D7D5E53">
      <w:pPr>
        <w:pStyle w:val="4"/>
        <w:spacing w:before="0" w:after="0" w:line="360" w:lineRule="auto"/>
        <w:ind w:firstLine="480" w:firstLineChars="150"/>
        <w:rPr>
          <w:rFonts w:hint="eastAsia" w:ascii="宋体" w:hAnsi="宋体"/>
          <w:b w:val="0"/>
          <w:bCs w:val="0"/>
          <w:color w:val="auto"/>
          <w:highlight w:val="none"/>
        </w:rPr>
      </w:pPr>
      <w:bookmarkStart w:id="50" w:name="_Toc31092"/>
      <w:r>
        <w:rPr>
          <w:rFonts w:hint="eastAsia" w:ascii="宋体" w:hAnsi="宋体"/>
          <w:b w:val="0"/>
          <w:bCs w:val="0"/>
          <w:color w:val="auto"/>
          <w:highlight w:val="none"/>
        </w:rPr>
        <w:t>五、成交及合同</w:t>
      </w:r>
      <w:bookmarkEnd w:id="50"/>
    </w:p>
    <w:p w14:paraId="3CE91075">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27.确定成交供应商及结果公告</w:t>
      </w:r>
    </w:p>
    <w:p w14:paraId="5CD7944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27.1确定成交供应商。</w:t>
      </w:r>
      <w:r>
        <w:rPr>
          <w:rFonts w:hint="eastAsia" w:ascii="宋体" w:hAnsi="宋体" w:cs="宋体"/>
          <w:color w:val="auto"/>
          <w:kern w:val="0"/>
          <w:szCs w:val="21"/>
          <w:highlight w:val="none"/>
          <w:u w:val="single"/>
        </w:rPr>
        <w:t xml:space="preserve"> 由采购人直接委托评审专家确定</w:t>
      </w:r>
      <w:r>
        <w:rPr>
          <w:rFonts w:hint="eastAsia" w:ascii="宋体" w:hAnsi="宋体" w:cs="宋体"/>
          <w:color w:val="auto"/>
          <w:szCs w:val="21"/>
          <w:highlight w:val="none"/>
          <w:u w:val="single"/>
        </w:rPr>
        <w:t>，评审报告提出的排序第一的供应商为成交供应商。</w:t>
      </w:r>
    </w:p>
    <w:p w14:paraId="71D11D6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27.2成交通知及成交结果公告。</w:t>
      </w:r>
      <w:r>
        <w:rPr>
          <w:rFonts w:hint="eastAsia" w:ascii="宋体" w:hAnsi="宋体" w:cs="宋体"/>
          <w:color w:val="auto"/>
          <w:kern w:val="0"/>
          <w:szCs w:val="21"/>
          <w:highlight w:val="none"/>
        </w:rPr>
        <w:t>成交</w:t>
      </w:r>
      <w:r>
        <w:rPr>
          <w:rFonts w:hint="eastAsia" w:ascii="宋体" w:hAnsi="宋体" w:cs="宋体"/>
          <w:color w:val="auto"/>
          <w:szCs w:val="21"/>
          <w:highlight w:val="none"/>
        </w:rPr>
        <w:t>供应商确定后2个工作日内，在省级以上财政部门指定的媒体上公</w:t>
      </w:r>
      <w:r>
        <w:rPr>
          <w:rFonts w:hint="eastAsia" w:ascii="宋体" w:hAnsi="宋体" w:cs="宋体"/>
          <w:color w:val="auto"/>
          <w:kern w:val="0"/>
          <w:szCs w:val="21"/>
          <w:highlight w:val="none"/>
        </w:rPr>
        <w:t>告成交结果（成交通知及成交结果公告应使用南宁市模板进行公告，公告内容除包含《政府采购公告和公示信息格式规范（2020年版）》要求内容外，还应包含采购人专门面向中小企业预留份额情况及成交供应商评审价格、优惠率等内容），</w:t>
      </w:r>
      <w:r>
        <w:rPr>
          <w:rFonts w:hint="eastAsia" w:ascii="宋体" w:hAnsi="宋体" w:cs="宋体"/>
          <w:color w:val="auto"/>
          <w:szCs w:val="21"/>
          <w:highlight w:val="none"/>
        </w:rPr>
        <w:t>同时向成交供应商发出成交通知书，成交通知书规定签订合同的时间不得超过25日。</w:t>
      </w:r>
    </w:p>
    <w:p w14:paraId="0685CEDD">
      <w:pPr>
        <w:spacing w:line="360" w:lineRule="auto"/>
        <w:ind w:firstLine="420" w:firstLineChars="200"/>
        <w:rPr>
          <w:rFonts w:hint="eastAsia" w:ascii="宋体" w:hAnsi="宋体" w:cs="Courier New"/>
          <w:color w:val="auto"/>
          <w:szCs w:val="21"/>
          <w:highlight w:val="none"/>
        </w:rPr>
      </w:pPr>
      <w:r>
        <w:rPr>
          <w:rFonts w:hint="eastAsia" w:ascii="宋体" w:hAnsi="宋体" w:cs="宋体"/>
          <w:color w:val="auto"/>
          <w:szCs w:val="21"/>
          <w:highlight w:val="none"/>
        </w:rPr>
        <w:t>27.3采购人或者采购代理机构发出成交通知书前，应当对成交供应商信用进行查询核实，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磋文件一并保存。</w:t>
      </w:r>
      <w:r>
        <w:rPr>
          <w:rFonts w:hint="eastAsia" w:ascii="宋体" w:hAnsi="宋体" w:cs="Courier New"/>
          <w:color w:val="auto"/>
          <w:szCs w:val="21"/>
          <w:highlight w:val="none"/>
        </w:rPr>
        <w:t>成交供应商享受</w:t>
      </w:r>
      <w:r>
        <w:rPr>
          <w:rFonts w:hint="eastAsia" w:ascii="宋体" w:hAnsi="宋体"/>
          <w:color w:val="auto"/>
          <w:szCs w:val="21"/>
          <w:highlight w:val="none"/>
        </w:rPr>
        <w:t>《政府采购促进中小企业发展管理办法》（财库〔2020〕46号）规定的中小企业扶持</w:t>
      </w:r>
      <w:r>
        <w:rPr>
          <w:rFonts w:hint="eastAsia" w:ascii="宋体" w:hAnsi="宋体" w:cs="Courier New"/>
          <w:color w:val="auto"/>
          <w:szCs w:val="21"/>
          <w:highlight w:val="none"/>
        </w:rPr>
        <w:t>政策的，采购人、采购代理机构应当随成交结果公开成交供应商的《中小企业声明函》。</w:t>
      </w:r>
    </w:p>
    <w:p w14:paraId="7BC2F24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54FA6653">
      <w:pPr>
        <w:spacing w:line="360" w:lineRule="auto"/>
        <w:ind w:firstLine="420" w:firstLineChars="200"/>
        <w:rPr>
          <w:rFonts w:hint="eastAsia" w:ascii="宋体" w:hAnsi="宋体" w:cs="宋体"/>
          <w:color w:val="auto"/>
          <w:szCs w:val="21"/>
          <w:highlight w:val="none"/>
        </w:rPr>
      </w:pPr>
      <w:r>
        <w:rPr>
          <w:rFonts w:hint="eastAsia" w:ascii="宋体" w:hAnsi="宋体"/>
          <w:bCs/>
          <w:color w:val="auto"/>
          <w:szCs w:val="21"/>
          <w:highlight w:val="none"/>
        </w:rPr>
        <w:t>27.5</w:t>
      </w:r>
      <w:r>
        <w:rPr>
          <w:rFonts w:hint="eastAsia" w:ascii="宋体" w:hAnsi="宋体" w:cs="宋体"/>
          <w:color w:val="auto"/>
          <w:szCs w:val="21"/>
          <w:highlight w:val="none"/>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14:paraId="1D77D9AC">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28.履约保证金</w:t>
      </w:r>
    </w:p>
    <w:p w14:paraId="696270D1">
      <w:pPr>
        <w:spacing w:line="360" w:lineRule="auto"/>
        <w:ind w:firstLine="420" w:firstLineChars="200"/>
        <w:rPr>
          <w:rFonts w:hint="eastAsia" w:ascii="黑体" w:hAnsi="黑体" w:eastAsia="黑体" w:cs="宋体"/>
          <w:b/>
          <w:bCs/>
          <w:color w:val="auto"/>
          <w:sz w:val="24"/>
          <w:highlight w:val="none"/>
        </w:rPr>
      </w:pPr>
      <w:r>
        <w:rPr>
          <w:rFonts w:hint="eastAsia" w:ascii="宋体" w:hAnsi="宋体" w:cs="宋体"/>
          <w:color w:val="auto"/>
          <w:szCs w:val="21"/>
          <w:highlight w:val="none"/>
        </w:rPr>
        <w:t>详见 “供应商须知前附表”</w:t>
      </w:r>
    </w:p>
    <w:p w14:paraId="218CB34E">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29.签订合同</w:t>
      </w:r>
    </w:p>
    <w:p w14:paraId="37F8B1D3">
      <w:pPr>
        <w:snapToGrid w:val="0"/>
        <w:ind w:firstLine="420"/>
        <w:rPr>
          <w:rFonts w:hint="eastAsia" w:ascii="宋体" w:hAnsi="宋体"/>
          <w:color w:val="auto"/>
          <w:szCs w:val="21"/>
          <w:highlight w:val="none"/>
          <w:lang w:val="zh-CN"/>
        </w:rPr>
      </w:pPr>
      <w:r>
        <w:rPr>
          <w:rFonts w:hint="eastAsia" w:ascii="宋体" w:hAnsi="宋体" w:cs="宋体"/>
          <w:color w:val="auto"/>
          <w:szCs w:val="21"/>
          <w:highlight w:val="none"/>
        </w:rPr>
        <w:t>29.1</w:t>
      </w:r>
      <w:r>
        <w:rPr>
          <w:rFonts w:hint="eastAsia" w:ascii="宋体" w:hAnsi="宋体"/>
          <w:color w:val="auto"/>
          <w:szCs w:val="21"/>
          <w:highlight w:val="none"/>
        </w:rPr>
        <w:t>采购人与成交供应商应当在</w:t>
      </w:r>
      <w:r>
        <w:rPr>
          <w:rFonts w:hint="eastAsia" w:ascii="宋体" w:hAnsi="宋体" w:cs="宋体"/>
          <w:color w:val="auto"/>
          <w:szCs w:val="21"/>
          <w:highlight w:val="none"/>
        </w:rPr>
        <w:t>成交通知书规定的时间内</w:t>
      </w:r>
      <w:r>
        <w:rPr>
          <w:rFonts w:hint="eastAsia" w:ascii="宋体" w:hAnsi="宋体"/>
          <w:color w:val="auto"/>
          <w:szCs w:val="21"/>
          <w:highlight w:val="none"/>
        </w:rPr>
        <w:t>，按照磋商文件确定的合同文本以及采购标的、服务技术、采购金额、采购数量、技术和服务要求等事项签订政府采购合同。</w:t>
      </w:r>
      <w:r>
        <w:rPr>
          <w:rFonts w:hint="eastAsia" w:ascii="宋体" w:hAnsi="宋体"/>
          <w:color w:val="auto"/>
          <w:szCs w:val="21"/>
          <w:highlight w:val="none"/>
          <w:lang w:val="zh-CN"/>
        </w:rPr>
        <w:t>如成交供应商为联合体的，由联合体成员各方法定代表人或其授权代表与采购人代表签订合同。</w:t>
      </w:r>
    </w:p>
    <w:p w14:paraId="73E4BB46">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14:paraId="3253D0D8">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2F1491FB">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29.4如签订合同并生效后，供应商无故拒绝或延期，除按照合同条款处理外，列入不良行为记录，并给予通报。</w:t>
      </w:r>
    </w:p>
    <w:p w14:paraId="5A3F56B0">
      <w:pPr>
        <w:ind w:firstLine="420"/>
        <w:rPr>
          <w:rFonts w:hint="eastAsia" w:ascii="宋体" w:hAnsi="宋体" w:cs="宋体"/>
          <w:color w:val="auto"/>
          <w:szCs w:val="21"/>
          <w:highlight w:val="none"/>
        </w:rPr>
      </w:pPr>
      <w:r>
        <w:rPr>
          <w:rFonts w:hint="eastAsia" w:ascii="宋体" w:hAnsi="宋体" w:cs="仿宋_GB2312"/>
          <w:color w:val="auto"/>
          <w:szCs w:val="21"/>
          <w:highlight w:val="none"/>
        </w:rPr>
        <w:t>29.5采购合同由采购人与成交供应商根据</w:t>
      </w:r>
      <w:r>
        <w:rPr>
          <w:rFonts w:hint="eastAsia" w:ascii="宋体" w:hAnsi="宋体"/>
          <w:color w:val="auto"/>
          <w:szCs w:val="21"/>
          <w:highlight w:val="none"/>
        </w:rPr>
        <w:t>磋商文件</w:t>
      </w:r>
      <w:r>
        <w:rPr>
          <w:rFonts w:hint="eastAsia" w:ascii="宋体" w:hAnsi="宋体" w:cs="仿宋_GB2312"/>
          <w:color w:val="auto"/>
          <w:szCs w:val="21"/>
          <w:highlight w:val="none"/>
        </w:rPr>
        <w:t>、响应文件等内容通过政府采购电子交易平台在线签订，自动备案，在线签订须携带的材料见“</w:t>
      </w:r>
      <w:r>
        <w:rPr>
          <w:color w:val="auto"/>
          <w:highlight w:val="none"/>
        </w:rPr>
        <w:t xml:space="preserve"> </w:t>
      </w:r>
      <w:r>
        <w:rPr>
          <w:rFonts w:hint="eastAsia" w:ascii="宋体" w:hAnsi="宋体" w:cs="仿宋_GB2312"/>
          <w:color w:val="auto"/>
          <w:szCs w:val="21"/>
          <w:highlight w:val="none"/>
        </w:rPr>
        <w:t>供应商须</w:t>
      </w:r>
      <w:r>
        <w:rPr>
          <w:rFonts w:hint="eastAsia" w:ascii="宋体" w:hAnsi="宋体"/>
          <w:color w:val="auto"/>
          <w:szCs w:val="21"/>
          <w:highlight w:val="none"/>
        </w:rPr>
        <w:t>知前附表</w:t>
      </w:r>
      <w:r>
        <w:rPr>
          <w:rFonts w:hint="eastAsia" w:ascii="宋体" w:hAnsi="宋体" w:cs="仿宋_GB2312"/>
          <w:color w:val="auto"/>
          <w:szCs w:val="21"/>
          <w:highlight w:val="none"/>
        </w:rPr>
        <w:t>”。</w:t>
      </w:r>
    </w:p>
    <w:p w14:paraId="76A1BC32">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30.政府采购合同公告</w:t>
      </w:r>
    </w:p>
    <w:p w14:paraId="2379BDFF">
      <w:pPr>
        <w:spacing w:line="360" w:lineRule="auto"/>
        <w:ind w:firstLine="420" w:firstLineChars="200"/>
        <w:rPr>
          <w:rFonts w:hint="eastAsia" w:hAnsi="宋体"/>
          <w:color w:val="auto"/>
          <w:highlight w:val="none"/>
        </w:rPr>
      </w:pPr>
      <w:r>
        <w:rPr>
          <w:rFonts w:hint="eastAsia" w:hAnsi="宋体"/>
          <w:color w:val="auto"/>
          <w:highlight w:val="none"/>
        </w:rPr>
        <w:t>采购人或者受托采购代理机构应当自政府采购合同签订之日起</w:t>
      </w:r>
      <w:r>
        <w:rPr>
          <w:rFonts w:hAnsi="宋体"/>
          <w:color w:val="auto"/>
          <w:highlight w:val="none"/>
        </w:rPr>
        <w:t>2</w:t>
      </w:r>
      <w:r>
        <w:rPr>
          <w:rFonts w:hint="eastAsia" w:hAnsi="宋体"/>
          <w:color w:val="auto"/>
          <w:highlight w:val="none"/>
        </w:rPr>
        <w:t>个工作日内，将政府采购合同</w:t>
      </w:r>
      <w:r>
        <w:rPr>
          <w:rFonts w:hint="eastAsia" w:ascii="宋体" w:hAnsi="宋体"/>
          <w:bCs/>
          <w:color w:val="auto"/>
          <w:highlight w:val="none"/>
        </w:rPr>
        <w:t>在以下媒体上发布</w:t>
      </w:r>
      <w:r>
        <w:rPr>
          <w:rFonts w:hint="eastAsia" w:ascii="宋体" w:hAnsi="宋体" w:cs="宋体"/>
          <w:color w:val="auto"/>
          <w:kern w:val="0"/>
          <w:szCs w:val="21"/>
          <w:highlight w:val="none"/>
        </w:rPr>
        <w:t xml:space="preserve"> “广西政府采购网”（http://zfcg.gxzf.gov.cn）</w:t>
      </w:r>
      <w:r>
        <w:rPr>
          <w:rFonts w:hint="eastAsia" w:hAnsi="宋体"/>
          <w:color w:val="auto"/>
          <w:highlight w:val="none"/>
        </w:rPr>
        <w:t>上公告，但政府采购合同中涉及国家秘密、商业秘密的内容除外。</w:t>
      </w:r>
    </w:p>
    <w:p w14:paraId="309FB9B3">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31. 询问、质疑和投诉</w:t>
      </w:r>
    </w:p>
    <w:p w14:paraId="407CABCE">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31.1供应商对政府采购活动事项有疑问的，可以向采购人、采购代理机构提出询问，采购人或者采购代理机构应当在3个工作日内对供应商依法提出的询问作出答复。</w:t>
      </w:r>
    </w:p>
    <w:p w14:paraId="45887961">
      <w:pPr>
        <w:spacing w:line="360" w:lineRule="auto"/>
        <w:ind w:firstLine="420" w:firstLineChars="200"/>
        <w:rPr>
          <w:rFonts w:hint="eastAsia" w:ascii="宋体" w:hAnsi="宋体"/>
          <w:b/>
          <w:color w:val="auto"/>
          <w:szCs w:val="21"/>
          <w:highlight w:val="none"/>
        </w:rPr>
      </w:pPr>
      <w:r>
        <w:rPr>
          <w:rFonts w:hint="eastAsia" w:ascii="宋体" w:hAnsi="宋体" w:cs="宋体"/>
          <w:color w:val="auto"/>
          <w:highlight w:val="none"/>
        </w:rPr>
        <w:t>31.2供应商认为磋商文件、采购过程或者成交结果使自己的合法权益受到损害的，应当在知道或者应知其权益受到损害之日起7个工作日内，以书面形式向采购人、采购代理机构提出质疑，</w:t>
      </w:r>
      <w:r>
        <w:rPr>
          <w:rFonts w:hint="eastAsia" w:ascii="宋体" w:hAnsi="宋体" w:cs="Arial"/>
          <w:color w:val="auto"/>
          <w:highlight w:val="none"/>
          <w:shd w:val="clear" w:color="auto" w:fill="FFFFFF"/>
        </w:rPr>
        <w:t>接收质疑函的方式、联系部门、联系电话和通讯地址等信息详见</w:t>
      </w:r>
      <w:r>
        <w:rPr>
          <w:rFonts w:hint="eastAsia" w:ascii="宋体" w:hAnsi="宋体" w:cs="宋体"/>
          <w:color w:val="auto"/>
          <w:szCs w:val="21"/>
          <w:highlight w:val="none"/>
        </w:rPr>
        <w:t>“供应商须知前附表”</w:t>
      </w:r>
      <w:r>
        <w:rPr>
          <w:rFonts w:hint="eastAsia" w:ascii="宋体" w:hAnsi="宋体" w:cs="宋体"/>
          <w:color w:val="auto"/>
          <w:highlight w:val="none"/>
        </w:rPr>
        <w:t>。</w:t>
      </w:r>
      <w:r>
        <w:rPr>
          <w:rFonts w:hint="eastAsia" w:ascii="宋体" w:hAnsi="宋体"/>
          <w:b/>
          <w:color w:val="auto"/>
          <w:szCs w:val="21"/>
          <w:highlight w:val="none"/>
        </w:rPr>
        <w:t xml:space="preserve">具体质疑起算时间及处理方式如下： </w:t>
      </w:r>
    </w:p>
    <w:p w14:paraId="7CF79A8E">
      <w:pPr>
        <w:spacing w:line="360" w:lineRule="auto"/>
        <w:ind w:firstLine="420" w:firstLineChars="200"/>
        <w:rPr>
          <w:rFonts w:hint="eastAsia" w:hAnsi="宋体"/>
          <w:bCs/>
          <w:color w:val="auto"/>
          <w:highlight w:val="none"/>
        </w:rPr>
      </w:pPr>
      <w:r>
        <w:rPr>
          <w:rFonts w:hint="eastAsia" w:hAnsi="宋体"/>
          <w:bCs/>
          <w:color w:val="auto"/>
          <w:highlight w:val="none"/>
        </w:rPr>
        <w:t>（</w:t>
      </w:r>
      <w:r>
        <w:rPr>
          <w:rFonts w:hAnsi="宋体"/>
          <w:bCs/>
          <w:color w:val="auto"/>
          <w:highlight w:val="none"/>
        </w:rPr>
        <w:t>1</w:t>
      </w:r>
      <w:r>
        <w:rPr>
          <w:rFonts w:hint="eastAsia" w:hAnsi="宋体"/>
          <w:bCs/>
          <w:color w:val="auto"/>
          <w:highlight w:val="none"/>
        </w:rPr>
        <w:t>）潜在供应商依法获取采购文件后，认为采购文件使自己的权益受到损害的，应当在竞争性磋商采购文件公告期限届满之日起</w:t>
      </w:r>
      <w:r>
        <w:rPr>
          <w:rFonts w:hAnsi="宋体"/>
          <w:bCs/>
          <w:color w:val="auto"/>
          <w:highlight w:val="none"/>
        </w:rPr>
        <w:t>7</w:t>
      </w:r>
      <w:r>
        <w:rPr>
          <w:rFonts w:hint="eastAsia" w:hAnsi="宋体"/>
          <w:bCs/>
          <w:color w:val="auto"/>
          <w:highlight w:val="none"/>
        </w:rPr>
        <w:t>个工作日内提出质疑。</w:t>
      </w:r>
      <w:r>
        <w:rPr>
          <w:rFonts w:hint="eastAsia"/>
          <w:color w:val="auto"/>
          <w:highlight w:val="none"/>
        </w:rPr>
        <w:t>委托代理协议无特殊约定的，</w:t>
      </w:r>
      <w:r>
        <w:rPr>
          <w:rFonts w:hint="eastAsia" w:hAnsi="宋体"/>
          <w:bCs/>
          <w:color w:val="auto"/>
          <w:highlight w:val="none"/>
        </w:rPr>
        <w:t>对竞争性磋商文件中采购需求（含资格要求、采购预算和评分办法）的质疑由采购人受理并负责答复；对竞争性磋商文件中的采购执行程序的质疑由采购代理机构受理并负责答复。</w:t>
      </w:r>
    </w:p>
    <w:p w14:paraId="1A02EB0F">
      <w:pPr>
        <w:spacing w:line="360" w:lineRule="auto"/>
        <w:ind w:firstLine="420" w:firstLineChars="200"/>
        <w:rPr>
          <w:rFonts w:hint="eastAsia" w:hAnsi="宋体"/>
          <w:bCs/>
          <w:color w:val="auto"/>
          <w:highlight w:val="none"/>
        </w:rPr>
      </w:pPr>
      <w:r>
        <w:rPr>
          <w:rFonts w:hint="eastAsia" w:hAnsi="宋体"/>
          <w:bCs/>
          <w:color w:val="auto"/>
          <w:highlight w:val="none"/>
        </w:rPr>
        <w:t>（</w:t>
      </w:r>
      <w:r>
        <w:rPr>
          <w:rFonts w:hAnsi="宋体"/>
          <w:bCs/>
          <w:color w:val="auto"/>
          <w:highlight w:val="none"/>
        </w:rPr>
        <w:t>2</w:t>
      </w:r>
      <w:r>
        <w:rPr>
          <w:rFonts w:hint="eastAsia" w:hAnsi="宋体"/>
          <w:bCs/>
          <w:color w:val="auto"/>
          <w:highlight w:val="none"/>
        </w:rPr>
        <w:t>）供应商认为采购过程使自己的权益受到损害的，应当在各采购程序环节结束之日起</w:t>
      </w:r>
      <w:r>
        <w:rPr>
          <w:rFonts w:hAnsi="宋体"/>
          <w:bCs/>
          <w:color w:val="auto"/>
          <w:highlight w:val="none"/>
        </w:rPr>
        <w:t>7</w:t>
      </w:r>
      <w:r>
        <w:rPr>
          <w:rFonts w:hint="eastAsia" w:hAnsi="宋体"/>
          <w:bCs/>
          <w:color w:val="auto"/>
          <w:highlight w:val="none"/>
        </w:rPr>
        <w:t>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11D07450">
      <w:pPr>
        <w:spacing w:line="360" w:lineRule="auto"/>
        <w:ind w:firstLine="420" w:firstLineChars="200"/>
        <w:rPr>
          <w:rFonts w:hint="eastAsia" w:hAnsi="宋体"/>
          <w:bCs/>
          <w:color w:val="auto"/>
          <w:highlight w:val="none"/>
        </w:rPr>
      </w:pPr>
      <w:r>
        <w:rPr>
          <w:rFonts w:hint="eastAsia" w:hAnsi="宋体"/>
          <w:bCs/>
          <w:color w:val="auto"/>
          <w:highlight w:val="none"/>
        </w:rPr>
        <w:t>（</w:t>
      </w:r>
      <w:r>
        <w:rPr>
          <w:rFonts w:hAnsi="宋体"/>
          <w:bCs/>
          <w:color w:val="auto"/>
          <w:highlight w:val="none"/>
        </w:rPr>
        <w:t>3</w:t>
      </w:r>
      <w:r>
        <w:rPr>
          <w:rFonts w:hint="eastAsia" w:hAnsi="宋体"/>
          <w:bCs/>
          <w:color w:val="auto"/>
          <w:highlight w:val="none"/>
        </w:rPr>
        <w:t>）供应商认为成交结果使自己的权益受到损害的，应当在成交结果公告期限届满之日起</w:t>
      </w:r>
      <w:r>
        <w:rPr>
          <w:rFonts w:hAnsi="宋体"/>
          <w:bCs/>
          <w:color w:val="auto"/>
          <w:highlight w:val="none"/>
        </w:rPr>
        <w:t>7</w:t>
      </w:r>
      <w:r>
        <w:rPr>
          <w:rFonts w:hint="eastAsia" w:hAnsi="宋体"/>
          <w:bCs/>
          <w:color w:val="auto"/>
          <w:highlight w:val="none"/>
        </w:rPr>
        <w:t>个工作日内提出质疑，由采购人受理并负责答复。</w:t>
      </w:r>
    </w:p>
    <w:p w14:paraId="5A1928E6">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666968A7">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31.4 供应商提出质疑应当提交质疑函和必要的证明材料，针对同一采购程序环节的质疑必须在法定质疑期内一次性提出。质疑函应当包括下列内容</w:t>
      </w:r>
      <w:r>
        <w:rPr>
          <w:rFonts w:hint="eastAsia" w:hAnsi="宋体"/>
          <w:bCs/>
          <w:color w:val="auto"/>
          <w:highlight w:val="none"/>
        </w:rPr>
        <w:t>（质疑函格式后附）</w:t>
      </w:r>
      <w:r>
        <w:rPr>
          <w:rFonts w:hint="eastAsia" w:ascii="宋体" w:hAnsi="宋体" w:cs="宋体"/>
          <w:color w:val="auto"/>
          <w:highlight w:val="none"/>
        </w:rPr>
        <w:t>：</w:t>
      </w:r>
    </w:p>
    <w:p w14:paraId="2C50C92F">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（1）供应商的姓名或者名称、地址、邮编、联系人及联系电话；</w:t>
      </w:r>
    </w:p>
    <w:p w14:paraId="56A262E6">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（2）质疑项目的名称、编号；</w:t>
      </w:r>
    </w:p>
    <w:p w14:paraId="52C23DB0">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（3）具体、明确的质疑事项和与质疑事项相关的请求；</w:t>
      </w:r>
    </w:p>
    <w:p w14:paraId="08274D8B">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（4）事实依据；</w:t>
      </w:r>
    </w:p>
    <w:p w14:paraId="64841893">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（5）必要的法律依据；</w:t>
      </w:r>
    </w:p>
    <w:p w14:paraId="34486C13">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（6）提出质疑的日期。</w:t>
      </w:r>
    </w:p>
    <w:p w14:paraId="4A2C6355">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供应商为自然人的，应当由本人签字；供应商为法人或者其他组织的，应当由法定代表人、主要负责人，或者其委托代理人签字或者盖章，并加盖公章。</w:t>
      </w:r>
    </w:p>
    <w:p w14:paraId="6F095D36">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31.5采购人、采购代理机构认为供应商质疑不成立，或者成立但未对成交结果构成影响的，继续开展采购活动；认为供应商质疑成立且影响或者可能影响成交结果的，按照下列情况处理：</w:t>
      </w:r>
    </w:p>
    <w:p w14:paraId="6C1D16C1">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17BFA73D">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04FD5E34">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质疑答复导致成交结果改变的，采购人或者采购代理机构应当将有关情况书面报告本级财政部门。</w:t>
      </w:r>
    </w:p>
    <w:p w14:paraId="7ACBAC6D">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bookmarkStart w:id="51" w:name="_Toc80205930"/>
    </w:p>
    <w:p w14:paraId="424B4C18">
      <w:pPr>
        <w:pStyle w:val="4"/>
        <w:spacing w:before="0" w:after="0" w:line="360" w:lineRule="auto"/>
        <w:ind w:firstLine="315" w:firstLineChars="98"/>
        <w:rPr>
          <w:rFonts w:hint="eastAsia" w:ascii="宋体" w:hAnsi="宋体"/>
          <w:b w:val="0"/>
          <w:color w:val="auto"/>
          <w:highlight w:val="none"/>
        </w:rPr>
      </w:pPr>
      <w:bookmarkStart w:id="52" w:name="_Toc536"/>
      <w:r>
        <w:rPr>
          <w:rFonts w:hint="eastAsia" w:ascii="宋体" w:hAnsi="宋体"/>
          <w:color w:val="auto"/>
          <w:highlight w:val="none"/>
        </w:rPr>
        <w:t>六</w:t>
      </w:r>
      <w:r>
        <w:rPr>
          <w:rFonts w:hint="eastAsia" w:ascii="宋体" w:hAnsi="宋体"/>
          <w:b w:val="0"/>
          <w:color w:val="auto"/>
          <w:highlight w:val="none"/>
        </w:rPr>
        <w:t>、验收</w:t>
      </w:r>
      <w:bookmarkEnd w:id="51"/>
      <w:bookmarkEnd w:id="52"/>
    </w:p>
    <w:p w14:paraId="764A5CE3">
      <w:pPr>
        <w:tabs>
          <w:tab w:val="left" w:pos="0"/>
        </w:tabs>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32.验收</w:t>
      </w:r>
    </w:p>
    <w:p w14:paraId="5173369E">
      <w:pPr>
        <w:tabs>
          <w:tab w:val="left" w:pos="0"/>
        </w:tabs>
        <w:spacing w:line="360" w:lineRule="auto"/>
        <w:ind w:firstLine="420" w:firstLineChars="200"/>
        <w:rPr>
          <w:rFonts w:hint="eastAsia" w:ascii="宋体" w:hAnsi="宋体" w:cs="Helvetica"/>
          <w:color w:val="auto"/>
          <w:kern w:val="0"/>
          <w:szCs w:val="21"/>
          <w:highlight w:val="none"/>
        </w:rPr>
      </w:pPr>
      <w:r>
        <w:rPr>
          <w:rFonts w:hint="eastAsia" w:ascii="宋体" w:hAnsi="宋体" w:cs="Helvetica"/>
          <w:color w:val="auto"/>
          <w:kern w:val="0"/>
          <w:szCs w:val="21"/>
          <w:highlight w:val="none"/>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848F224">
      <w:pPr>
        <w:tabs>
          <w:tab w:val="left" w:pos="0"/>
        </w:tabs>
        <w:spacing w:line="360" w:lineRule="auto"/>
        <w:ind w:firstLine="420" w:firstLineChars="200"/>
        <w:rPr>
          <w:rFonts w:hint="eastAsia" w:ascii="宋体" w:hAnsi="宋体" w:cs="Helvetica"/>
          <w:color w:val="auto"/>
          <w:kern w:val="0"/>
          <w:szCs w:val="21"/>
          <w:highlight w:val="none"/>
        </w:rPr>
      </w:pPr>
      <w:r>
        <w:rPr>
          <w:rFonts w:hint="eastAsia" w:ascii="宋体" w:hAnsi="宋体" w:cs="Helvetica"/>
          <w:color w:val="auto"/>
          <w:kern w:val="0"/>
          <w:szCs w:val="21"/>
          <w:highlight w:val="none"/>
        </w:rPr>
        <w:t>32.2采购人可以邀请参加本项目的其他供应商或者第三方机构参与验收。参与验收的供应商或者第三方机构的意见作为验收书的参考资料一并存档。</w:t>
      </w:r>
    </w:p>
    <w:p w14:paraId="0EEACD4E">
      <w:pPr>
        <w:tabs>
          <w:tab w:val="left" w:pos="0"/>
        </w:tabs>
        <w:spacing w:line="360" w:lineRule="auto"/>
        <w:ind w:firstLine="420" w:firstLineChars="200"/>
        <w:rPr>
          <w:rFonts w:hint="eastAsia" w:ascii="宋体" w:hAnsi="宋体" w:cs="Helvetica"/>
          <w:color w:val="auto"/>
          <w:kern w:val="0"/>
          <w:szCs w:val="21"/>
          <w:highlight w:val="none"/>
        </w:rPr>
      </w:pPr>
      <w:r>
        <w:rPr>
          <w:rFonts w:hint="eastAsia" w:ascii="宋体" w:hAnsi="宋体" w:cs="Helvetica"/>
          <w:color w:val="auto"/>
          <w:kern w:val="0"/>
          <w:szCs w:val="21"/>
          <w:highlight w:val="none"/>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7247EC2">
      <w:pPr>
        <w:tabs>
          <w:tab w:val="left" w:pos="0"/>
        </w:tabs>
        <w:spacing w:line="360" w:lineRule="auto"/>
        <w:ind w:firstLine="420" w:firstLineChars="200"/>
        <w:rPr>
          <w:rFonts w:hint="eastAsia" w:ascii="宋体" w:hAnsi="宋体" w:cs="宋体"/>
          <w:color w:val="auto"/>
          <w:szCs w:val="21"/>
          <w:highlight w:val="none"/>
        </w:rPr>
      </w:pPr>
      <w:r>
        <w:rPr>
          <w:rFonts w:hint="eastAsia" w:ascii="宋体" w:hAnsi="宋体" w:cs="Helvetica"/>
          <w:color w:val="auto"/>
          <w:kern w:val="0"/>
          <w:szCs w:val="21"/>
          <w:highlight w:val="none"/>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01BE833">
      <w:pPr>
        <w:pStyle w:val="4"/>
        <w:spacing w:before="0" w:after="0" w:line="360" w:lineRule="auto"/>
        <w:ind w:firstLine="320" w:firstLineChars="100"/>
        <w:rPr>
          <w:rFonts w:hint="eastAsia" w:ascii="宋体" w:hAnsi="宋体"/>
          <w:b w:val="0"/>
          <w:bCs w:val="0"/>
          <w:color w:val="auto"/>
          <w:highlight w:val="none"/>
        </w:rPr>
      </w:pPr>
      <w:bookmarkStart w:id="53" w:name="_Toc30836"/>
      <w:r>
        <w:rPr>
          <w:rFonts w:hint="eastAsia" w:ascii="宋体" w:hAnsi="宋体"/>
          <w:b w:val="0"/>
          <w:bCs w:val="0"/>
          <w:color w:val="auto"/>
          <w:highlight w:val="none"/>
        </w:rPr>
        <w:t>七、其他事项</w:t>
      </w:r>
      <w:bookmarkEnd w:id="53"/>
    </w:p>
    <w:p w14:paraId="7C097D28">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33.代理服务费</w:t>
      </w:r>
    </w:p>
    <w:p w14:paraId="612C95B8">
      <w:pPr>
        <w:tabs>
          <w:tab w:val="left" w:pos="2835"/>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代理服务收费标准及缴费账户详见“供应商须知前附表”，供应商为联合体的，可以由联合体中的一方或者多方共同交纳代理服务费。</w:t>
      </w:r>
    </w:p>
    <w:p w14:paraId="1544A47D">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34.需要补充的其他内容</w:t>
      </w:r>
    </w:p>
    <w:p w14:paraId="34EB572F">
      <w:pPr>
        <w:pStyle w:val="11"/>
        <w:spacing w:line="360" w:lineRule="auto"/>
        <w:ind w:left="0" w:leftChars="0" w:firstLine="420" w:firstLineChars="200"/>
        <w:textAlignment w:val="center"/>
        <w:rPr>
          <w:rFonts w:hint="eastAsia" w:hAnsi="宋体" w:cs="宋体"/>
          <w:color w:val="auto"/>
          <w:highlight w:val="none"/>
        </w:rPr>
      </w:pPr>
      <w:r>
        <w:rPr>
          <w:rFonts w:hint="eastAsia" w:hAnsi="宋体" w:cs="宋体"/>
          <w:color w:val="auto"/>
          <w:highlight w:val="none"/>
        </w:rPr>
        <w:t>34.1本磋商文件解释规则详见“供应商须知前附表”。</w:t>
      </w:r>
    </w:p>
    <w:p w14:paraId="3ECD30C4">
      <w:pPr>
        <w:pStyle w:val="11"/>
        <w:spacing w:line="360" w:lineRule="auto"/>
        <w:ind w:left="0" w:leftChars="0" w:firstLine="420" w:firstLineChars="200"/>
        <w:textAlignment w:val="center"/>
        <w:rPr>
          <w:rFonts w:hint="eastAsia" w:hAnsi="宋体" w:cs="宋体"/>
          <w:color w:val="auto"/>
          <w:highlight w:val="none"/>
        </w:rPr>
      </w:pPr>
      <w:r>
        <w:rPr>
          <w:rFonts w:hint="eastAsia" w:hAnsi="宋体" w:cs="宋体"/>
          <w:color w:val="auto"/>
          <w:highlight w:val="none"/>
        </w:rPr>
        <w:t>34.2 其他事项详见“供应商须知前附表”。</w:t>
      </w:r>
    </w:p>
    <w:p w14:paraId="1C71A76A">
      <w:pPr>
        <w:pStyle w:val="11"/>
        <w:spacing w:line="360" w:lineRule="auto"/>
        <w:ind w:left="0" w:leftChars="0" w:firstLine="420" w:firstLineChars="200"/>
        <w:textAlignment w:val="center"/>
        <w:rPr>
          <w:rFonts w:hint="eastAsia" w:hAnsi="宋体" w:cs="宋体"/>
          <w:color w:val="auto"/>
          <w:highlight w:val="none"/>
        </w:rPr>
      </w:pPr>
      <w:r>
        <w:rPr>
          <w:rFonts w:hint="eastAsia" w:hAnsi="宋体" w:cs="宋体"/>
          <w:color w:val="auto"/>
          <w:highlight w:val="none"/>
        </w:rPr>
        <w:t>34.3本文件所称中小企业，是指在中华人民共和国境内依法设立，依据国务院批准的中小企业划标项准确定的中型企业、小型企业和微型企业，但与大企业的负责人为同一人，或者与大企业存在直接控股、管理关系的除外。符合中小企业划标项准的个体工商户，在政府采购活动中视同中小企业。在政府采购活动中，供应商提供的</w:t>
      </w:r>
      <w:r>
        <w:rPr>
          <w:rFonts w:hint="eastAsia" w:hAnsi="宋体"/>
          <w:color w:val="auto"/>
          <w:highlight w:val="none"/>
        </w:rPr>
        <w:t>服务由中小企业承接，即提供服务的人员为中小企业依照《中华人民共和国劳动合同法》订立劳动合同的从业人员，不对其中涉及的货物的制造商和工程承建商作出要求的</w:t>
      </w:r>
      <w:r>
        <w:rPr>
          <w:rFonts w:hint="eastAsia" w:hAnsi="宋体" w:cs="宋体"/>
          <w:color w:val="auto"/>
          <w:highlight w:val="none"/>
        </w:rPr>
        <w:t>，享受本文件规定的中小企业扶持政策。</w:t>
      </w:r>
    </w:p>
    <w:p w14:paraId="1322DCBB">
      <w:pPr>
        <w:pStyle w:val="11"/>
        <w:spacing w:line="360" w:lineRule="auto"/>
        <w:ind w:left="0" w:leftChars="0" w:firstLine="420" w:firstLineChars="200"/>
        <w:textAlignment w:val="center"/>
        <w:rPr>
          <w:rFonts w:hint="eastAsia" w:hAnsi="宋体" w:cs="宋体"/>
          <w:color w:val="auto"/>
          <w:highlight w:val="none"/>
        </w:rPr>
      </w:pPr>
      <w:r>
        <w:rPr>
          <w:rFonts w:hint="eastAsia" w:hAnsi="宋体" w:cs="宋体"/>
          <w:color w:val="auto"/>
          <w:highlight w:val="none"/>
        </w:rPr>
        <w:t>以联合体形式参加政府采购活动，联合体各方均为中小企业的，联合体视同中小企业。其中，联合体各方均为小微企业的，联合体视同小微企业。</w:t>
      </w:r>
    </w:p>
    <w:p w14:paraId="6A3080D8">
      <w:pPr>
        <w:pStyle w:val="11"/>
        <w:spacing w:line="360" w:lineRule="auto"/>
        <w:ind w:left="0" w:leftChars="0" w:firstLine="420" w:firstLineChars="200"/>
        <w:textAlignment w:val="center"/>
        <w:rPr>
          <w:rFonts w:hint="eastAsia" w:hAnsi="宋体" w:cs="宋体"/>
          <w:color w:val="auto"/>
          <w:highlight w:val="none"/>
        </w:rPr>
      </w:pPr>
      <w:r>
        <w:rPr>
          <w:rFonts w:hint="eastAsia" w:hAnsi="宋体" w:cs="宋体"/>
          <w:color w:val="auto"/>
          <w:highlight w:val="none"/>
        </w:rPr>
        <w:t>依据本文件规定享受扶持政策获得政府采购合同的，小微企业不得将合同分包给大中型企业，中型企业不得将合同分包给大型企业。</w:t>
      </w:r>
    </w:p>
    <w:p w14:paraId="0AB9BEBF">
      <w:pPr>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35. 政采贷相关说明</w:t>
      </w:r>
    </w:p>
    <w:p w14:paraId="07EBAC7B">
      <w:pPr>
        <w:pStyle w:val="11"/>
        <w:spacing w:line="360" w:lineRule="auto"/>
        <w:ind w:left="0" w:leftChars="0" w:firstLine="420" w:firstLineChars="200"/>
        <w:textAlignment w:val="center"/>
        <w:rPr>
          <w:color w:val="auto"/>
          <w:highlight w:val="none"/>
        </w:rPr>
      </w:pPr>
      <w:r>
        <w:rPr>
          <w:rFonts w:hint="eastAsia" w:hAnsi="宋体"/>
          <w:color w:val="auto"/>
          <w:highlight w:val="none"/>
        </w:rPr>
        <w:t>为优化政府采购营商环境，缓解供应商资金难题，南宁市政府采购试行政府采购信用融资制度，中标供应商如有融资需求，可凭政府采购合同通过以下方式申请政府采购信用融资贷款：</w:t>
      </w:r>
    </w:p>
    <w:p w14:paraId="09972FB2">
      <w:pPr>
        <w:pStyle w:val="11"/>
        <w:spacing w:line="360" w:lineRule="auto"/>
        <w:ind w:left="0" w:leftChars="0" w:firstLine="420" w:firstLineChars="200"/>
        <w:textAlignment w:val="center"/>
        <w:rPr>
          <w:rFonts w:hint="eastAsia" w:hAnsi="宋体"/>
          <w:color w:val="auto"/>
          <w:highlight w:val="none"/>
        </w:rPr>
      </w:pPr>
      <w:r>
        <w:rPr>
          <w:rFonts w:hint="eastAsia" w:hAnsi="宋体"/>
          <w:color w:val="auto"/>
          <w:highlight w:val="none"/>
        </w:rPr>
        <w:t>（1）线下渠道：在“南宁市公共资源交易中心”官网（网址：</w:t>
      </w:r>
      <w:r>
        <w:rPr>
          <w:color w:val="auto"/>
          <w:highlight w:val="none"/>
        </w:rPr>
        <w:fldChar w:fldCharType="begin"/>
      </w:r>
      <w:r>
        <w:rPr>
          <w:color w:val="auto"/>
          <w:highlight w:val="none"/>
        </w:rPr>
        <w:instrText xml:space="preserve"> HYPERLINK "http://www.nnggzy.org.cn）" </w:instrText>
      </w:r>
      <w:r>
        <w:rPr>
          <w:color w:val="auto"/>
          <w:highlight w:val="none"/>
        </w:rPr>
        <w:fldChar w:fldCharType="separate"/>
      </w:r>
      <w:r>
        <w:rPr>
          <w:rStyle w:val="26"/>
          <w:rFonts w:hint="eastAsia" w:hAnsi="宋体"/>
          <w:color w:val="auto"/>
          <w:highlight w:val="none"/>
        </w:rPr>
        <w:t>http://www.nnggzy.org.cn）“交易信息-政府采购-政府采购信用融资”中融资银行和南宁市企业融资服务中心专栏信息申请政府采购信用融资。</w:t>
      </w:r>
      <w:r>
        <w:rPr>
          <w:rStyle w:val="26"/>
          <w:rFonts w:hint="eastAsia" w:hAnsi="宋体"/>
          <w:color w:val="auto"/>
          <w:highlight w:val="none"/>
        </w:rPr>
        <w:fldChar w:fldCharType="end"/>
      </w:r>
    </w:p>
    <w:p w14:paraId="7121C7E4">
      <w:pPr>
        <w:pStyle w:val="11"/>
        <w:spacing w:line="360" w:lineRule="auto"/>
        <w:ind w:firstLine="420" w:firstLineChars="200"/>
        <w:textAlignment w:val="center"/>
        <w:rPr>
          <w:color w:val="auto"/>
          <w:highlight w:val="none"/>
        </w:rPr>
      </w:pPr>
      <w:r>
        <w:rPr>
          <w:color w:val="auto"/>
          <w:highlight w:val="none"/>
        </w:rPr>
        <w:t>（2）</w:t>
      </w:r>
      <w:r>
        <w:rPr>
          <w:rFonts w:hint="eastAsia" w:hAnsi="宋体"/>
          <w:b/>
          <w:color w:val="auto"/>
          <w:highlight w:val="none"/>
        </w:rPr>
        <w:t>线上渠道：登录中征营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ww.ccgp-guangxi.gov.cn/AdministrativeRegulations/AutonomousRegion/9830442.html）</w:t>
      </w:r>
      <w:r>
        <w:rPr>
          <w:rFonts w:hint="eastAsia" w:hAnsi="宋体"/>
          <w:b/>
          <w:color w:val="auto"/>
          <w:highlight w:val="none"/>
        </w:rPr>
        <w:br w:type="page"/>
      </w:r>
    </w:p>
    <w:p w14:paraId="50EF2CF1">
      <w:pPr>
        <w:pStyle w:val="2"/>
        <w:spacing w:before="120" w:after="120" w:line="500" w:lineRule="exact"/>
        <w:jc w:val="center"/>
        <w:rPr>
          <w:color w:val="auto"/>
          <w:highlight w:val="none"/>
        </w:rPr>
      </w:pPr>
      <w:bookmarkStart w:id="54" w:name="_Toc25211"/>
      <w:r>
        <w:rPr>
          <w:rFonts w:hint="eastAsia"/>
          <w:color w:val="auto"/>
          <w:highlight w:val="none"/>
        </w:rPr>
        <w:t>第四章</w:t>
      </w:r>
      <w:r>
        <w:rPr>
          <w:color w:val="auto"/>
          <w:highlight w:val="none"/>
        </w:rPr>
        <w:t xml:space="preserve">  </w:t>
      </w:r>
      <w:r>
        <w:rPr>
          <w:rFonts w:hint="eastAsia"/>
          <w:color w:val="auto"/>
          <w:highlight w:val="none"/>
        </w:rPr>
        <w:t>评审程序、评审方法和评审标准</w:t>
      </w:r>
      <w:bookmarkEnd w:id="54"/>
    </w:p>
    <w:p w14:paraId="44E6FF77">
      <w:pPr>
        <w:pStyle w:val="3"/>
        <w:jc w:val="center"/>
        <w:rPr>
          <w:rFonts w:hint="eastAsia" w:ascii="宋体" w:hAnsi="宋体"/>
          <w:b w:val="0"/>
          <w:color w:val="auto"/>
          <w:highlight w:val="none"/>
        </w:rPr>
      </w:pPr>
      <w:bookmarkStart w:id="55" w:name="_Toc833"/>
      <w:r>
        <w:rPr>
          <w:rFonts w:hint="eastAsia" w:ascii="宋体" w:hAnsi="宋体"/>
          <w:b w:val="0"/>
          <w:color w:val="auto"/>
          <w:highlight w:val="none"/>
        </w:rPr>
        <w:t>第一节 评审程序和评审方法</w:t>
      </w:r>
      <w:bookmarkEnd w:id="55"/>
    </w:p>
    <w:p w14:paraId="5CA65644">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1.确认磋商文件</w:t>
      </w:r>
    </w:p>
    <w:p w14:paraId="4BCA8DD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由磋商小组确认磋商文件。</w:t>
      </w:r>
    </w:p>
    <w:p w14:paraId="5922B82E">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2.资格审查</w:t>
      </w:r>
    </w:p>
    <w:p w14:paraId="730C3A81">
      <w:pPr>
        <w:snapToGrid w:val="0"/>
        <w:spacing w:line="360" w:lineRule="auto"/>
        <w:ind w:firstLine="420" w:firstLineChars="200"/>
        <w:rPr>
          <w:rFonts w:hint="eastAsia" w:ascii="宋体" w:hAnsi="宋体"/>
          <w:color w:val="auto"/>
          <w:szCs w:val="21"/>
          <w:highlight w:val="none"/>
        </w:rPr>
      </w:pPr>
      <w:r>
        <w:rPr>
          <w:rFonts w:hint="eastAsia" w:ascii="宋体" w:hAnsi="宋体" w:cs="宋体"/>
          <w:color w:val="auto"/>
          <w:szCs w:val="21"/>
          <w:highlight w:val="none"/>
        </w:rPr>
        <w:t>2.1</w:t>
      </w:r>
      <w:r>
        <w:rPr>
          <w:rFonts w:hint="eastAsia" w:ascii="宋体" w:hAnsi="宋体"/>
          <w:color w:val="auto"/>
          <w:szCs w:val="21"/>
          <w:highlight w:val="none"/>
        </w:rPr>
        <w:t>响应文件开启后，磋商小组依法对供应商的资格证明文件进行审查。</w:t>
      </w:r>
    </w:p>
    <w:p w14:paraId="55673009">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注：采购人代表或者采购代理机构在资格审查结束前，对供应商进行信用查询。</w:t>
      </w:r>
    </w:p>
    <w:p w14:paraId="008B93ED">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（1）查询渠道：“广西政府采购云平台”“信用中国”网站(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26"/>
          <w:rFonts w:hAnsi="宋体" w:cs="宋体"/>
          <w:color w:val="auto"/>
          <w:highlight w:val="none"/>
        </w:rPr>
        <w:t>www.creditchina.gov.cn</w:t>
      </w:r>
      <w:r>
        <w:rPr>
          <w:rStyle w:val="26"/>
          <w:rFonts w:hAnsi="宋体" w:cs="宋体"/>
          <w:color w:val="auto"/>
          <w:highlight w:val="none"/>
        </w:rPr>
        <w:fldChar w:fldCharType="end"/>
      </w:r>
      <w:r>
        <w:rPr>
          <w:rFonts w:hint="eastAsia" w:ascii="宋体" w:hAnsi="宋体" w:cs="宋体"/>
          <w:color w:val="auto"/>
          <w:szCs w:val="21"/>
          <w:highlight w:val="none"/>
        </w:rPr>
        <w:t>)、中国政府采购网(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Style w:val="26"/>
          <w:rFonts w:hAnsi="宋体" w:cs="宋体"/>
          <w:color w:val="auto"/>
          <w:highlight w:val="none"/>
        </w:rPr>
        <w:t>www.ccgp.gov.cn</w:t>
      </w:r>
      <w:r>
        <w:rPr>
          <w:rStyle w:val="26"/>
          <w:rFonts w:hAnsi="宋体" w:cs="宋体"/>
          <w:color w:val="auto"/>
          <w:highlight w:val="none"/>
        </w:rPr>
        <w:fldChar w:fldCharType="end"/>
      </w:r>
      <w:r>
        <w:rPr>
          <w:rFonts w:hint="eastAsia" w:ascii="宋体" w:hAnsi="宋体" w:cs="宋体"/>
          <w:color w:val="auto"/>
          <w:szCs w:val="21"/>
          <w:highlight w:val="none"/>
        </w:rPr>
        <w:t>)链接入口。</w:t>
      </w:r>
    </w:p>
    <w:p w14:paraId="3F8C3EE9">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（2）信用查询截止时点：资格审查结束前。</w:t>
      </w:r>
    </w:p>
    <w:p w14:paraId="09DE383D">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查询记录和证据留存方式：在查询网站中直接打印查询记录，截图另存为电子文档作为评审资料保存。</w:t>
      </w:r>
    </w:p>
    <w:p w14:paraId="2255321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E503C7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2.2资格审查标准为本磋商文件中载明对供应商资格要求的条件。资格审查采用合格制，凡符合磋商文件规定的供应商资格要求的响应文件均通过资格审查。</w:t>
      </w:r>
    </w:p>
    <w:p w14:paraId="4AC6B91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2.3供应商有下列情形之一的，资格审查不通过，其响应文件按无效响应处理：</w:t>
      </w:r>
    </w:p>
    <w:p w14:paraId="5D99583D">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（1）不具备磋商文件中规定的资格要求的；</w:t>
      </w:r>
    </w:p>
    <w:p w14:paraId="143DB5F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（2）响应文件未提供任一项“供应商须知前附表”资格证明文件规定的“必须提供”的文件资料的；</w:t>
      </w:r>
    </w:p>
    <w:p w14:paraId="1E8684F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（3）响应文件提供的资格证明文件出现任一项不符合“供应商须知前附表”资格证明文件规定的“必须提供”的文件资料要求或者无效的。</w:t>
      </w:r>
    </w:p>
    <w:p w14:paraId="72F0564A">
      <w:pPr>
        <w:spacing w:line="360" w:lineRule="auto"/>
        <w:ind w:firstLine="420" w:firstLineChars="200"/>
        <w:rPr>
          <w:rFonts w:hint="eastAsia" w:ascii="宋体" w:hAnsi="宋体" w:cs="宋体"/>
          <w:color w:val="auto"/>
          <w:szCs w:val="21"/>
          <w:highlight w:val="none"/>
        </w:rPr>
      </w:pPr>
      <w:bookmarkStart w:id="56" w:name="_Hlk68601553"/>
      <w:r>
        <w:rPr>
          <w:rFonts w:hint="eastAsia" w:ascii="宋体" w:hAnsi="宋体" w:cs="宋体"/>
          <w:color w:val="auto"/>
          <w:szCs w:val="21"/>
          <w:highlight w:val="none"/>
        </w:rPr>
        <w:t>（4）同一合同项下的不同供应商，单位负责人为同一人或者存在直接控股、管理关系的；为本项目提供过整体设计、规范编制或者项目管理、监理、检测等服务的。</w:t>
      </w:r>
      <w:bookmarkEnd w:id="56"/>
    </w:p>
    <w:p w14:paraId="3EB1CC6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2.4通过资格审查的合格供应商不足3家的，不得进入符合性审查环节，</w:t>
      </w:r>
      <w:r>
        <w:rPr>
          <w:rFonts w:hint="eastAsia" w:ascii="宋体" w:hAnsi="宋体"/>
          <w:color w:val="auto"/>
          <w:szCs w:val="21"/>
          <w:highlight w:val="none"/>
        </w:rPr>
        <w:t>采购人或者采购代理机构应当重新开展采购活动。</w:t>
      </w:r>
    </w:p>
    <w:p w14:paraId="6E057CA8">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3.符合性审查</w:t>
      </w:r>
    </w:p>
    <w:p w14:paraId="4EDB165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3.1由磋商小组对</w:t>
      </w:r>
      <w:r>
        <w:rPr>
          <w:rFonts w:hint="eastAsia" w:ascii="宋体" w:hAnsi="宋体"/>
          <w:color w:val="auto"/>
          <w:szCs w:val="21"/>
          <w:highlight w:val="none"/>
        </w:rPr>
        <w:t>通过资格审查的合格供应商</w:t>
      </w:r>
      <w:r>
        <w:rPr>
          <w:rFonts w:hint="eastAsia" w:ascii="宋体" w:hAnsi="宋体" w:cs="宋体"/>
          <w:color w:val="auto"/>
          <w:szCs w:val="21"/>
          <w:highlight w:val="none"/>
        </w:rPr>
        <w:t>的响应文件的响应报价、商务、技术等实质性要求进行符合性审查，以确定其是否满足磋商文件的实质性要求。</w:t>
      </w:r>
    </w:p>
    <w:p w14:paraId="1757475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E083688">
      <w:pPr>
        <w:spacing w:line="360" w:lineRule="auto"/>
        <w:ind w:firstLine="420" w:firstLineChars="200"/>
        <w:rPr>
          <w:rFonts w:hint="eastAsia" w:ascii="宋体" w:hAnsi="宋体" w:cs="宋体"/>
          <w:color w:val="auto"/>
          <w:spacing w:val="-6"/>
          <w:szCs w:val="21"/>
          <w:highlight w:val="none"/>
        </w:rPr>
      </w:pPr>
      <w:r>
        <w:rPr>
          <w:rFonts w:hint="eastAsia" w:ascii="宋体" w:hAnsi="宋体" w:cs="宋体"/>
          <w:color w:val="auto"/>
          <w:szCs w:val="21"/>
          <w:highlight w:val="none"/>
        </w:rPr>
        <w:t>3.3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hint="eastAsia" w:ascii="宋体" w:hAnsi="宋体" w:cs="宋体"/>
          <w:color w:val="auto"/>
          <w:spacing w:val="-6"/>
          <w:szCs w:val="21"/>
          <w:highlight w:val="none"/>
        </w:rPr>
        <w:t>。供应商为自然人的，必须由本人签字并附身份证明。</w:t>
      </w:r>
    </w:p>
    <w:p w14:paraId="36426DC6">
      <w:pPr>
        <w:spacing w:line="360" w:lineRule="auto"/>
        <w:ind w:firstLine="396" w:firstLineChars="200"/>
        <w:rPr>
          <w:rFonts w:hint="eastAsia" w:ascii="宋体" w:hAnsi="宋体" w:cs="宋体"/>
          <w:color w:val="auto"/>
          <w:szCs w:val="21"/>
          <w:highlight w:val="none"/>
        </w:rPr>
      </w:pPr>
      <w:r>
        <w:rPr>
          <w:rFonts w:hint="eastAsia" w:ascii="宋体" w:hAnsi="宋体" w:cs="宋体"/>
          <w:color w:val="auto"/>
          <w:spacing w:val="-6"/>
          <w:szCs w:val="21"/>
          <w:highlight w:val="none"/>
        </w:rPr>
        <w:t>3.4</w:t>
      </w:r>
      <w:r>
        <w:rPr>
          <w:rFonts w:hint="eastAsia" w:ascii="宋体" w:hAnsi="宋体" w:cs="宋体"/>
          <w:color w:val="auto"/>
          <w:szCs w:val="21"/>
          <w:highlight w:val="none"/>
        </w:rPr>
        <w:t xml:space="preserve">首次响应文件报价出现前后不一致的，按照下列规定修正： </w:t>
      </w:r>
    </w:p>
    <w:p w14:paraId="0A0E5B5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（1）响应文件中报价表内容与响应文件中相应内容不一致的，以报价表为准；</w:t>
      </w:r>
    </w:p>
    <w:p w14:paraId="27BF2D7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14:paraId="368D5E6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（3）单价金额小数点或者百分比有明显错位的，以报价表的总价为准，并修改单价；</w:t>
      </w:r>
    </w:p>
    <w:p w14:paraId="2DB624D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14:paraId="5866DC4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7061A89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3.5商务技术、报价评审</w:t>
      </w:r>
    </w:p>
    <w:p w14:paraId="5573919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在评审时，如发现下列情形之一的，将被视为响应文件无效处理：</w:t>
      </w:r>
    </w:p>
    <w:p w14:paraId="48C6F69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（1）商务技术评审</w:t>
      </w:r>
    </w:p>
    <w:p w14:paraId="17A8DD8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1）响应文件未按磋商文件要求签署、盖章；</w:t>
      </w:r>
    </w:p>
    <w:p w14:paraId="12D9456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2）委托代理人未能出具有效身份证明或者出具的身份证明与授权委托书中的信息不符； </w:t>
      </w:r>
    </w:p>
    <w:p w14:paraId="55BF707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08D2490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4）商务条款中标“</w:t>
      </w:r>
      <w:bookmarkStart w:id="57" w:name="OLE_LINK15"/>
      <w:r>
        <w:rPr>
          <w:rFonts w:hint="eastAsia" w:ascii="宋体" w:hAnsi="宋体" w:cs="宋体"/>
          <w:color w:val="auto"/>
          <w:szCs w:val="21"/>
          <w:highlight w:val="none"/>
        </w:rPr>
        <w:t>▲</w:t>
      </w:r>
      <w:bookmarkEnd w:id="57"/>
      <w:r>
        <w:rPr>
          <w:rFonts w:hint="eastAsia" w:ascii="宋体" w:hAnsi="宋体" w:cs="宋体"/>
          <w:color w:val="auto"/>
          <w:szCs w:val="21"/>
          <w:highlight w:val="none"/>
        </w:rPr>
        <w:t>”的条款发生负偏离的或者允许负偏离的条款数超过“供应商须知前附表”规定项数的或者标明实质性的要求发生负偏离；</w:t>
      </w:r>
    </w:p>
    <w:p w14:paraId="66CCF31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5）未对竞标有效期作出响应或者响应文件承诺的竞标有效期不满足磋商文件要求；</w:t>
      </w:r>
    </w:p>
    <w:p w14:paraId="473E78B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6）响应文件的实质性内容未使用中文表述、使用计量单位不符合磋商文件要求；</w:t>
      </w:r>
    </w:p>
    <w:p w14:paraId="28FEB76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7）响应文件中的文件资料因填写不齐全或者内容虚假或者出现其他情形而导致被磋商小组认定无效；</w:t>
      </w:r>
    </w:p>
    <w:p w14:paraId="726C6AE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8）响应文件含有采购人不能接受的附加条件；</w:t>
      </w:r>
    </w:p>
    <w:p w14:paraId="1DD500D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9）属于“供应商须知正文”第7.5条情形；</w:t>
      </w:r>
    </w:p>
    <w:p w14:paraId="312584A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10）技术需求允许负偏离的条款数超过“供应商须知前附表”规定项数；</w:t>
      </w:r>
    </w:p>
    <w:p w14:paraId="435FD9F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11）虚假竞标，或者出现其他情形而导致被磋商小组认定无效；</w:t>
      </w:r>
    </w:p>
    <w:p w14:paraId="3D06303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12）竞标技术方案不明确，磋商文件未允许</w:t>
      </w:r>
      <w:r>
        <w:rPr>
          <w:rFonts w:hint="eastAsia" w:ascii="宋体" w:hAnsi="宋体"/>
          <w:color w:val="auto"/>
          <w:szCs w:val="21"/>
          <w:highlight w:val="none"/>
        </w:rPr>
        <w:t>但响应文件中</w:t>
      </w:r>
      <w:r>
        <w:rPr>
          <w:rFonts w:hint="eastAsia" w:ascii="宋体" w:hAnsi="宋体" w:cs="宋体"/>
          <w:color w:val="auto"/>
          <w:szCs w:val="21"/>
          <w:highlight w:val="none"/>
        </w:rPr>
        <w:t>存在一个或者一个以上备选（替代）竞标方案；</w:t>
      </w:r>
    </w:p>
    <w:p w14:paraId="4D92692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13）响应文件标注的项目名称或者项目编号与竞争性磋商文件标注的项目名称或者项目编号不一致的；</w:t>
      </w:r>
    </w:p>
    <w:p w14:paraId="6BDC7A3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14）未响应磋商文件实质性要求；</w:t>
      </w:r>
    </w:p>
    <w:p w14:paraId="4548B95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15）法律、法规和磋商文件规定的其他无效情形。</w:t>
      </w:r>
    </w:p>
    <w:p w14:paraId="2E7C0DC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（2）报价评审</w:t>
      </w:r>
    </w:p>
    <w:p w14:paraId="090972D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 响应文件未提供“供应商须知前附表” 报价文件中规定的“响应报价表”；</w:t>
      </w:r>
    </w:p>
    <w:p w14:paraId="6174A9E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2）未采用人民币报价或者未按照磋商文件标明的币种报价；</w:t>
      </w:r>
    </w:p>
    <w:p w14:paraId="5E9F702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商未就所竞标标项进行报价或者存在漏项报价；供应商未就所竞标标项的单项内容作唯一报价；供应商未就所竞标标项的全部内容作唯一总价报价；供应商响应文件中存在有选择、有条件报价的（磋商文件允许有备选方案或者其他约定的除外）；</w:t>
      </w:r>
    </w:p>
    <w:p w14:paraId="196CCF1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响应报价（包含首次报价、最后报价）超过所竞标标项规定的采购预算金额或者最高限价的（如本项目公布了最高限价）；响应报价（包含首次报价、最后报价）超过磋商文件分项采购预算金额或者最高限价的（如本项目公布了最高限价）；</w:t>
      </w:r>
    </w:p>
    <w:p w14:paraId="38D1C49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修正后的报价，供应商不确认的；或者经供应商确认修正后的响应报价（包含首次报价、最后报价）超过所竞标标项规定的采购预算金额或者最高限价（如本项目公布了最高限价）；或者经供应商确认修正后响应报价（包含首次报价、最后报价）超过磋商文件分项采购预算金额或者最高限价的（如本项目公布了最高限价）。</w:t>
      </w:r>
    </w:p>
    <w:p w14:paraId="2A1B5E3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olor w:val="auto"/>
          <w:szCs w:val="21"/>
          <w:highlight w:val="none"/>
        </w:rPr>
        <w:t>响应文件响应的标的数量及单位与竞争性磋商采购文件要求实质性不一致的。</w:t>
      </w:r>
    </w:p>
    <w:p w14:paraId="69A7862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32E291A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3.7非</w:t>
      </w:r>
      <w:r>
        <w:rPr>
          <w:rFonts w:hint="eastAsia" w:ascii="宋体" w:hAnsi="宋体"/>
          <w:color w:val="auto"/>
          <w:szCs w:val="21"/>
          <w:highlight w:val="none"/>
        </w:rPr>
        <w:t>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24F36DAA">
      <w:pPr>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4.磋商程序</w:t>
      </w:r>
    </w:p>
    <w:p w14:paraId="2F1AA0E4">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4.1磋商小组按照“供应商须知前附表”</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确定的</w:t>
      </w:r>
      <w:r>
        <w:rPr>
          <w:rFonts w:hint="eastAsia" w:ascii="宋体" w:hAnsi="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2A25F6A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6677E17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4.3对磋商文件作出的实质性变动是磋商文件的有效组成部分，由磋商小组及时以电子澄清函形式同时通知所有参加磋商的供应商。</w:t>
      </w:r>
    </w:p>
    <w:p w14:paraId="30B54D1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14:paraId="59D1505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4.5磋商中，</w:t>
      </w:r>
      <w:r>
        <w:rPr>
          <w:rFonts w:hint="eastAsia" w:ascii="宋体" w:hAnsi="宋体" w:cs="宋体"/>
          <w:color w:val="auto"/>
          <w:spacing w:val="-6"/>
          <w:szCs w:val="21"/>
          <w:highlight w:val="none"/>
        </w:rPr>
        <w:t>磋商的任何一方不得透露与磋商有关的其他供应商的技术资料、价格和其他信息。</w:t>
      </w:r>
    </w:p>
    <w:p w14:paraId="46002C54">
      <w:pPr>
        <w:widowControl/>
        <w:tabs>
          <w:tab w:val="left" w:pos="540"/>
        </w:tabs>
        <w:spacing w:line="360" w:lineRule="auto"/>
        <w:ind w:firstLine="420" w:firstLineChars="200"/>
        <w:jc w:val="left"/>
        <w:rPr>
          <w:rFonts w:hint="eastAsia" w:ascii="仿宋" w:hAnsi="仿宋" w:eastAsia="仿宋" w:cs="仿宋_GB2312"/>
          <w:b/>
          <w:color w:val="auto"/>
          <w:highlight w:val="none"/>
        </w:rPr>
      </w:pPr>
      <w:r>
        <w:rPr>
          <w:rFonts w:hint="eastAsia" w:ascii="宋体" w:hAnsi="宋体" w:cs="宋体"/>
          <w:color w:val="auto"/>
          <w:szCs w:val="21"/>
          <w:highlight w:val="none"/>
        </w:rPr>
        <w:t>4.6磋商小组应对磋商过程和重要磋商内容进行记录，作为评标报告一部分，磋商小组在记录上签字确认。</w:t>
      </w:r>
      <w:r>
        <w:rPr>
          <w:rFonts w:hint="eastAsia" w:ascii="仿宋" w:hAnsi="仿宋" w:eastAsia="仿宋" w:cs="仿宋_GB2312"/>
          <w:b/>
          <w:color w:val="auto"/>
          <w:highlight w:val="none"/>
        </w:rPr>
        <w:t>主要内容包括：</w:t>
      </w:r>
    </w:p>
    <w:p w14:paraId="17BE03F4">
      <w:pPr>
        <w:ind w:firstLine="396"/>
        <w:rPr>
          <w:rFonts w:hint="eastAsia" w:ascii="宋体" w:hAnsi="宋体" w:cs="宋体"/>
          <w:color w:val="auto"/>
          <w:spacing w:val="-6"/>
          <w:szCs w:val="21"/>
          <w:highlight w:val="none"/>
        </w:rPr>
      </w:pPr>
      <w:r>
        <w:rPr>
          <w:rFonts w:hint="eastAsia" w:ascii="宋体" w:hAnsi="宋体" w:cs="宋体"/>
          <w:color w:val="auto"/>
          <w:spacing w:val="-6"/>
          <w:szCs w:val="21"/>
          <w:highlight w:val="none"/>
        </w:rPr>
        <w:t>（1）按照相关规定进行公示的，公示情况说明；</w:t>
      </w:r>
    </w:p>
    <w:p w14:paraId="5BF9495E">
      <w:pPr>
        <w:ind w:firstLine="396"/>
        <w:rPr>
          <w:rFonts w:hint="eastAsia" w:ascii="宋体" w:hAnsi="宋体" w:cs="宋体"/>
          <w:color w:val="auto"/>
          <w:spacing w:val="-6"/>
          <w:szCs w:val="21"/>
          <w:highlight w:val="none"/>
        </w:rPr>
      </w:pPr>
      <w:r>
        <w:rPr>
          <w:rFonts w:hint="eastAsia" w:ascii="宋体" w:hAnsi="宋体" w:cs="宋体"/>
          <w:color w:val="auto"/>
          <w:spacing w:val="-6"/>
          <w:szCs w:val="21"/>
          <w:highlight w:val="none"/>
        </w:rPr>
        <w:t>（2）磋商日期和地点，磋商人员名单；</w:t>
      </w:r>
    </w:p>
    <w:p w14:paraId="3AEAF064">
      <w:pPr>
        <w:ind w:firstLine="396"/>
        <w:rPr>
          <w:rFonts w:hint="eastAsia" w:ascii="宋体" w:hAnsi="宋体" w:cs="宋体"/>
          <w:color w:val="auto"/>
          <w:spacing w:val="-6"/>
          <w:szCs w:val="21"/>
          <w:highlight w:val="none"/>
        </w:rPr>
      </w:pPr>
      <w:r>
        <w:rPr>
          <w:rFonts w:hint="eastAsia" w:ascii="宋体" w:hAnsi="宋体" w:cs="宋体"/>
          <w:color w:val="auto"/>
          <w:spacing w:val="-6"/>
          <w:szCs w:val="21"/>
          <w:highlight w:val="none"/>
        </w:rPr>
        <w:t>（3）合同主要条款及价格商定情况。</w:t>
      </w:r>
    </w:p>
    <w:p w14:paraId="0959CA06">
      <w:pPr>
        <w:widowControl/>
        <w:tabs>
          <w:tab w:val="left" w:pos="540"/>
        </w:tabs>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4.7磋商过程中重新提交的响应文件，供应商可以在开启前补充、修改。</w:t>
      </w:r>
    </w:p>
    <w:p w14:paraId="652CC158">
      <w:pPr>
        <w:tabs>
          <w:tab w:val="left" w:pos="2835"/>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4.8</w:t>
      </w:r>
      <w:r>
        <w:rPr>
          <w:rFonts w:hint="eastAsia" w:ascii="宋体" w:hAnsi="宋体"/>
          <w:color w:val="auto"/>
          <w:szCs w:val="21"/>
          <w:highlight w:val="none"/>
        </w:rPr>
        <w:t>对磋商过程提交的响应文件进行有效性、完整性和响应程度审查，通过审查的合格供应商不足3家的，采购人或者采购代理机构应当重新开展采购活动。</w:t>
      </w:r>
    </w:p>
    <w:p w14:paraId="3E3D1710">
      <w:pPr>
        <w:ind w:firstLine="200"/>
        <w:rPr>
          <w:rFonts w:hint="eastAsia" w:ascii="宋体" w:hAnsi="宋体" w:cs="宋体"/>
          <w:color w:val="auto"/>
          <w:szCs w:val="21"/>
          <w:highlight w:val="none"/>
        </w:rPr>
      </w:pPr>
      <w:r>
        <w:rPr>
          <w:rFonts w:hint="eastAsia" w:ascii="黑体" w:hAnsi="黑体" w:eastAsia="黑体" w:cs="宋体"/>
          <w:b/>
          <w:bCs/>
          <w:color w:val="auto"/>
          <w:sz w:val="24"/>
          <w:highlight w:val="none"/>
        </w:rPr>
        <w:t>5. 最后报价</w:t>
      </w:r>
    </w:p>
    <w:p w14:paraId="24BF951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磋商文件能够详细列明采购标的的技术、服务要求的，磋商结束后，由磋商小组要求所有继续参加磋商的供应商在规定时间内密封提交最后报价，除本章第5.3条外，提交最后报价的供应商不得少于3家，否则必须重新采购。</w:t>
      </w:r>
    </w:p>
    <w:p w14:paraId="59CF387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367FBDD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002910E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5.4已经提交响应文件的供应商，在提交最后报价之前，可以根据磋商情况退出磋商，退出磋商的供应商的响应文件按无效响应处理。</w:t>
      </w:r>
    </w:p>
    <w:p w14:paraId="4D6AF53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5.5供应商未在规定时间内提交最后报价的，视同退出磋商。</w:t>
      </w:r>
    </w:p>
    <w:p w14:paraId="254A911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5.6磋商小组收齐某一标项最后报价后统一开启，磋商小组对最后报价进行有效性、完整性和响应程度的审查。</w:t>
      </w:r>
    </w:p>
    <w:p w14:paraId="79A73AF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5.7最终响应文件的报价出现前后不一致的，按照本章第3.4条的规定修正。 </w:t>
      </w:r>
    </w:p>
    <w:p w14:paraId="774D096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5.8修正后的最终报价出现下列情形的，按无效响应处理：</w:t>
      </w:r>
    </w:p>
    <w:p w14:paraId="599586A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（1）供应商不确认的（全流程电子化评标采取在线确认）；</w:t>
      </w:r>
    </w:p>
    <w:p w14:paraId="66D8EF7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（2）经供应商确认修正后的响应报价（包含首次报价、最后报价）超过所竞标标项规定的采购预算金额或者最高限价的（如本项目公布了最高限价）；</w:t>
      </w:r>
    </w:p>
    <w:p w14:paraId="1D21AD0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（3）经供应商确认修正后的响应报价（包含首次报价、最后报价）超过分项采购预算金额或者最高限价的（如本项目公布了最高限价）。</w:t>
      </w:r>
    </w:p>
    <w:p w14:paraId="7945B8F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5.9经供应商确认修正后的最后报价作为评审及签订合同的依据。</w:t>
      </w:r>
    </w:p>
    <w:p w14:paraId="69E1F64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5.10供应商出现最后报价按无效响应处理或者响应文件按无效处理时</w:t>
      </w:r>
      <w:r>
        <w:rPr>
          <w:rFonts w:hint="eastAsia" w:ascii="宋体" w:hAnsi="宋体"/>
          <w:color w:val="auto"/>
          <w:sz w:val="22"/>
          <w:szCs w:val="22"/>
          <w:highlight w:val="none"/>
        </w:rPr>
        <w:t>，磋商小组应当告知有关供应商</w:t>
      </w:r>
      <w:r>
        <w:rPr>
          <w:rFonts w:hint="eastAsia" w:ascii="宋体" w:hAnsi="宋体" w:cs="宋体"/>
          <w:color w:val="auto"/>
          <w:szCs w:val="21"/>
          <w:highlight w:val="none"/>
        </w:rPr>
        <w:t>。</w:t>
      </w:r>
    </w:p>
    <w:p w14:paraId="1F4149A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5.11最后报价结束后，磋商小组不得再与供应商进行任何形式的商谈。</w:t>
      </w:r>
    </w:p>
    <w:p w14:paraId="52207131">
      <w:pPr>
        <w:ind w:firstLine="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6.比较与评价</w:t>
      </w:r>
    </w:p>
    <w:p w14:paraId="62B9FAB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6.1评审方法：综合评分法。</w:t>
      </w:r>
    </w:p>
    <w:p w14:paraId="59F8CB3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6.2经磋商确定最终采购需求和提交最后报价的供应商后，由磋商小组采用综合评分法对提交最后报价的供应商的响应文件和最后报价进行综合评分。</w:t>
      </w:r>
    </w:p>
    <w:p w14:paraId="3603377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6.3评审时，磋商小组各成员应当独立对每个有效响应的文件进行评价、打分，然后汇总每个供应商每项评分因素的得分。</w:t>
      </w:r>
    </w:p>
    <w:p w14:paraId="41CBB64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14:paraId="061FA00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（2）磋商小组按照磋商文件中规定的评审标准计算各供应商的报价得分。项目评审过程中，不得去掉最后报价中的最高报价和最低报价。</w:t>
      </w:r>
    </w:p>
    <w:p w14:paraId="238ADE3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（3）各供应商的得分为磋商小组所有成员的有效评分的算术平均数。</w:t>
      </w:r>
    </w:p>
    <w:p w14:paraId="7395A16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6.4评审价为供应商的最后报价进行政策性扣除后的价格，评审价只是作为评审时使用。最终成交供应商的成交金额等于最后报价（如有修正，以确认修正后的最后报价为准）。</w:t>
      </w:r>
    </w:p>
    <w:p w14:paraId="0C80428A">
      <w:pPr>
        <w:spacing w:line="360" w:lineRule="auto"/>
        <w:ind w:firstLine="420" w:firstLineChars="200"/>
        <w:rPr>
          <w:rFonts w:hint="eastAsia" w:ascii="宋体" w:hAnsi="宋体"/>
          <w:color w:val="auto"/>
          <w:kern w:val="0"/>
          <w:szCs w:val="21"/>
          <w:highlight w:val="none"/>
        </w:rPr>
      </w:pPr>
      <w:r>
        <w:rPr>
          <w:rFonts w:hint="eastAsia" w:ascii="宋体" w:hAnsi="宋体" w:cs="宋体"/>
          <w:color w:val="auto"/>
          <w:szCs w:val="21"/>
          <w:highlight w:val="none"/>
        </w:rPr>
        <w:t>6.5由磋商小组根据综合评分情况，按照评审得分由高到低顺序推荐3名以上成交候选供应商，并编写评</w:t>
      </w:r>
      <w:r>
        <w:rPr>
          <w:rFonts w:hint="eastAsia" w:ascii="宋体" w:hAnsi="宋体"/>
          <w:color w:val="auto"/>
          <w:kern w:val="0"/>
          <w:szCs w:val="21"/>
          <w:highlight w:val="none"/>
        </w:rPr>
        <w:t>审报告。符合本章第4.3条情形的，可以推荐2家成交候选供应商。评审得分相同的，按照最后报价由低到高的顺序推荐。评审得分且最后报价相同的，按照技术指标优劣顺序推荐。</w:t>
      </w:r>
    </w:p>
    <w:p w14:paraId="07816021">
      <w:pPr>
        <w:spacing w:line="360" w:lineRule="auto"/>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3A74BB7C">
      <w:pPr>
        <w:spacing w:line="360" w:lineRule="auto"/>
        <w:ind w:firstLine="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7.评审复核</w:t>
      </w:r>
    </w:p>
    <w:p w14:paraId="115984E6">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7.1评审报告签署前，评审委员会要对评审结果进行复核，复核意见要体现在评审报告中。</w:t>
      </w:r>
    </w:p>
    <w:p w14:paraId="2F22B4DA">
      <w:pPr>
        <w:widowControl/>
        <w:spacing w:line="360" w:lineRule="auto"/>
        <w:ind w:firstLine="420" w:firstLineChars="200"/>
        <w:jc w:val="left"/>
        <w:rPr>
          <w:rFonts w:hint="eastAsia" w:ascii="宋体" w:hAnsi="宋体"/>
          <w:color w:val="auto"/>
          <w:kern w:val="0"/>
          <w:szCs w:val="21"/>
          <w:highlight w:val="none"/>
        </w:rPr>
      </w:pPr>
      <w:r>
        <w:rPr>
          <w:rFonts w:hint="eastAsia" w:ascii="宋体" w:hAnsi="宋体" w:cs="宋体"/>
          <w:color w:val="auto"/>
          <w:kern w:val="0"/>
          <w:szCs w:val="21"/>
          <w:highlight w:val="none"/>
        </w:rPr>
        <w:t>7.2评审结果汇总完成后，采购人、采购代理机构和评审委员会均不得修改评审结果或者要求重新评审，但资格性检查认定错误、分值汇总计算错误、分项评分超出评标项准范围、客观分评分不一致、经评审委员会一致认定评分畸高、畸低的情形除外。出现上述除外情形的，评审委员会应当现场修改评审结果，并在评审报告中明确记载。</w:t>
      </w:r>
    </w:p>
    <w:p w14:paraId="253640F3">
      <w:pPr>
        <w:ind w:firstLine="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8.评审标准</w:t>
      </w:r>
    </w:p>
    <w:p w14:paraId="55628A9D">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8.1评审依据：磋商小组将以磋商响应文件为评审依据，对供应商的报价、技术、商务等方面内容按百分制打分。（计分方法按四舍五入取至百分位）</w:t>
      </w:r>
    </w:p>
    <w:p w14:paraId="2561BF2A">
      <w:pPr>
        <w:rPr>
          <w:rFonts w:hint="eastAsia" w:ascii="仿宋" w:hAnsi="仿宋" w:eastAsia="仿宋" w:cs="仿宋"/>
          <w:color w:val="auto"/>
          <w:highlight w:val="none"/>
        </w:rPr>
      </w:pPr>
    </w:p>
    <w:p w14:paraId="70F15412">
      <w:pPr>
        <w:spacing w:line="360" w:lineRule="auto"/>
        <w:ind w:firstLine="420" w:firstLineChars="200"/>
        <w:rPr>
          <w:rFonts w:hint="eastAsia" w:ascii="宋体" w:hAnsi="宋体"/>
          <w:bCs/>
          <w:color w:val="auto"/>
          <w:highlight w:val="none"/>
        </w:rPr>
      </w:pPr>
      <w:r>
        <w:rPr>
          <w:rFonts w:hint="eastAsia" w:ascii="宋体" w:hAnsi="宋体"/>
          <w:bCs/>
          <w:color w:val="auto"/>
          <w:highlight w:val="none"/>
        </w:rPr>
        <w:t>8.2商务技术评审因素为客观评分项的，应在评分项目或评标项准中予以标注为“客观分”。对供应商的客观评分项目，各评审专家评分应当一致。</w:t>
      </w:r>
    </w:p>
    <w:p w14:paraId="25F1DF1F">
      <w:pPr>
        <w:spacing w:line="360" w:lineRule="auto"/>
        <w:ind w:firstLine="420" w:firstLineChars="200"/>
        <w:rPr>
          <w:rFonts w:hint="eastAsia" w:ascii="宋体" w:hAnsi="宋体"/>
          <w:bCs/>
          <w:color w:val="auto"/>
          <w:highlight w:val="none"/>
        </w:rPr>
      </w:pPr>
      <w:r>
        <w:rPr>
          <w:rFonts w:hint="eastAsia" w:ascii="宋体" w:hAnsi="宋体"/>
          <w:bCs/>
          <w:color w:val="auto"/>
          <w:highlight w:val="none"/>
        </w:rPr>
        <w:t>8.3.终止竞争性磋商采购活动</w:t>
      </w:r>
    </w:p>
    <w:p w14:paraId="31A07E4D">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14:paraId="1147CC82">
      <w:pPr>
        <w:rPr>
          <w:rFonts w:hint="eastAsia" w:ascii="仿宋" w:hAnsi="仿宋" w:eastAsia="仿宋" w:cs="仿宋"/>
          <w:color w:val="auto"/>
          <w:highlight w:val="none"/>
        </w:rPr>
        <w:sectPr>
          <w:footerReference r:id="rId8" w:type="default"/>
          <w:pgSz w:w="11911" w:h="16838"/>
          <w:pgMar w:top="1417" w:right="1417" w:bottom="1417" w:left="1417" w:header="720" w:footer="720" w:gutter="0"/>
          <w:cols w:space="0" w:num="1"/>
          <w:rtlGutter w:val="0"/>
          <w:docGrid w:linePitch="0" w:charSpace="0"/>
        </w:sectPr>
      </w:pPr>
    </w:p>
    <w:p w14:paraId="34713A94">
      <w:pPr>
        <w:pStyle w:val="8"/>
        <w:spacing w:after="0" w:line="480" w:lineRule="auto"/>
        <w:rPr>
          <w:rFonts w:hint="eastAsia"/>
          <w:color w:val="auto"/>
          <w:highlight w:val="none"/>
          <w:lang w:val="en-US" w:eastAsia="zh-CN"/>
        </w:rPr>
      </w:pPr>
      <w:r>
        <w:rPr>
          <w:rFonts w:hint="eastAsia"/>
          <w:color w:val="auto"/>
          <w:highlight w:val="none"/>
          <w:lang w:val="en-US" w:eastAsia="zh-CN"/>
        </w:rPr>
        <w:t>具体评审内容如下：</w:t>
      </w:r>
    </w:p>
    <w:tbl>
      <w:tblPr>
        <w:tblStyle w:val="22"/>
        <w:tblW w:w="5046"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574"/>
        <w:gridCol w:w="1263"/>
        <w:gridCol w:w="6833"/>
        <w:gridCol w:w="7"/>
        <w:gridCol w:w="490"/>
      </w:tblGrid>
      <w:tr w14:paraId="3D9099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90" w:hRule="atLeast"/>
          <w:jc w:val="center"/>
        </w:trPr>
        <w:tc>
          <w:tcPr>
            <w:tcW w:w="313" w:type="pct"/>
            <w:tcBorders>
              <w:top w:val="single" w:color="000000" w:sz="2" w:space="0"/>
              <w:left w:val="single" w:color="000000" w:sz="2" w:space="0"/>
              <w:bottom w:val="single" w:color="000000" w:sz="2" w:space="0"/>
              <w:right w:val="single" w:color="000000" w:sz="2" w:space="0"/>
            </w:tcBorders>
            <w:shd w:val="clear" w:color="auto" w:fill="auto"/>
            <w:vAlign w:val="center"/>
          </w:tcPr>
          <w:p w14:paraId="58053967">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jc w:val="center"/>
              <w:textAlignment w:val="baseline"/>
              <w:rPr>
                <w:rFonts w:hint="eastAsia" w:ascii="宋体" w:hAnsi="宋体" w:eastAsia="宋体" w:cs="宋体"/>
                <w:snapToGrid w:val="0"/>
                <w:color w:val="auto"/>
                <w:kern w:val="0"/>
                <w:szCs w:val="21"/>
                <w:highlight w:val="none"/>
                <w:vertAlign w:val="baseline"/>
                <w:lang w:val="en-US"/>
              </w:rPr>
            </w:pPr>
            <w:r>
              <w:rPr>
                <w:rFonts w:hint="eastAsia" w:ascii="宋体" w:hAnsi="宋体" w:eastAsia="宋体" w:cs="宋体"/>
                <w:b/>
                <w:bCs/>
                <w:snapToGrid w:val="0"/>
                <w:color w:val="auto"/>
                <w:spacing w:val="2"/>
                <w:kern w:val="0"/>
                <w:sz w:val="21"/>
                <w:szCs w:val="21"/>
                <w:highlight w:val="none"/>
                <w:vertAlign w:val="baseline"/>
                <w:lang w:val="en-US" w:eastAsia="zh-CN" w:bidi="ar"/>
              </w:rPr>
              <w:t>序号</w:t>
            </w:r>
          </w:p>
        </w:tc>
        <w:tc>
          <w:tcPr>
            <w:tcW w:w="689" w:type="pct"/>
            <w:tcBorders>
              <w:top w:val="single" w:color="000000" w:sz="2" w:space="0"/>
              <w:left w:val="single" w:color="000000" w:sz="2" w:space="0"/>
              <w:bottom w:val="single" w:color="000000" w:sz="2" w:space="0"/>
              <w:right w:val="single" w:color="000000" w:sz="2" w:space="0"/>
            </w:tcBorders>
            <w:shd w:val="clear" w:color="auto" w:fill="auto"/>
            <w:vAlign w:val="center"/>
          </w:tcPr>
          <w:p w14:paraId="0FE10487">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jc w:val="center"/>
              <w:textAlignment w:val="baseline"/>
              <w:rPr>
                <w:rFonts w:hint="eastAsia" w:ascii="宋体" w:hAnsi="宋体" w:eastAsia="宋体" w:cs="宋体"/>
                <w:snapToGrid w:val="0"/>
                <w:color w:val="auto"/>
                <w:kern w:val="0"/>
                <w:szCs w:val="21"/>
                <w:highlight w:val="none"/>
                <w:vertAlign w:val="baseline"/>
                <w:lang w:val="en-US"/>
              </w:rPr>
            </w:pPr>
            <w:r>
              <w:rPr>
                <w:rFonts w:hint="eastAsia" w:ascii="宋体" w:hAnsi="宋体" w:eastAsia="宋体" w:cs="宋体"/>
                <w:b/>
                <w:bCs/>
                <w:snapToGrid w:val="0"/>
                <w:color w:val="auto"/>
                <w:spacing w:val="7"/>
                <w:kern w:val="0"/>
                <w:sz w:val="21"/>
                <w:szCs w:val="21"/>
                <w:highlight w:val="none"/>
                <w:vertAlign w:val="baseline"/>
                <w:lang w:val="en-US" w:eastAsia="zh-CN" w:bidi="ar"/>
              </w:rPr>
              <w:t>评</w:t>
            </w:r>
            <w:r>
              <w:rPr>
                <w:rFonts w:hint="eastAsia" w:ascii="宋体" w:hAnsi="宋体" w:eastAsia="宋体" w:cs="宋体"/>
                <w:b/>
                <w:bCs/>
                <w:snapToGrid w:val="0"/>
                <w:color w:val="auto"/>
                <w:spacing w:val="6"/>
                <w:kern w:val="0"/>
                <w:sz w:val="21"/>
                <w:szCs w:val="21"/>
                <w:highlight w:val="none"/>
                <w:vertAlign w:val="baseline"/>
                <w:lang w:val="en-US" w:eastAsia="zh-CN" w:bidi="ar"/>
              </w:rPr>
              <w:t>审因素</w:t>
            </w:r>
          </w:p>
        </w:tc>
        <w:tc>
          <w:tcPr>
            <w:tcW w:w="3727" w:type="pct"/>
            <w:tcBorders>
              <w:top w:val="single" w:color="000000" w:sz="2" w:space="0"/>
              <w:left w:val="single" w:color="000000" w:sz="2" w:space="0"/>
              <w:bottom w:val="single" w:color="000000" w:sz="2" w:space="0"/>
              <w:right w:val="single" w:color="000000" w:sz="2" w:space="0"/>
            </w:tcBorders>
            <w:shd w:val="clear" w:color="auto" w:fill="auto"/>
            <w:vAlign w:val="center"/>
          </w:tcPr>
          <w:p w14:paraId="78D530D9">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jc w:val="center"/>
              <w:textAlignment w:val="baseline"/>
              <w:rPr>
                <w:rFonts w:hint="eastAsia" w:ascii="宋体" w:hAnsi="宋体" w:eastAsia="宋体" w:cs="宋体"/>
                <w:snapToGrid w:val="0"/>
                <w:color w:val="auto"/>
                <w:kern w:val="0"/>
                <w:szCs w:val="21"/>
                <w:highlight w:val="none"/>
                <w:vertAlign w:val="baseline"/>
                <w:lang w:val="en-US"/>
              </w:rPr>
            </w:pPr>
            <w:r>
              <w:rPr>
                <w:rFonts w:hint="eastAsia" w:ascii="宋体" w:hAnsi="宋体" w:eastAsia="宋体" w:cs="宋体"/>
                <w:b/>
                <w:bCs/>
                <w:snapToGrid w:val="0"/>
                <w:color w:val="auto"/>
                <w:spacing w:val="14"/>
                <w:kern w:val="0"/>
                <w:sz w:val="21"/>
                <w:szCs w:val="21"/>
                <w:highlight w:val="none"/>
                <w:vertAlign w:val="baseline"/>
                <w:lang w:val="en-US" w:eastAsia="zh-CN" w:bidi="ar"/>
              </w:rPr>
              <w:t>评</w:t>
            </w:r>
            <w:r>
              <w:rPr>
                <w:rFonts w:hint="eastAsia" w:ascii="宋体" w:hAnsi="宋体" w:eastAsia="宋体" w:cs="宋体"/>
                <w:b/>
                <w:bCs/>
                <w:snapToGrid w:val="0"/>
                <w:color w:val="auto"/>
                <w:spacing w:val="8"/>
                <w:kern w:val="0"/>
                <w:sz w:val="21"/>
                <w:szCs w:val="21"/>
                <w:highlight w:val="none"/>
                <w:vertAlign w:val="baseline"/>
                <w:lang w:val="en-US" w:eastAsia="zh-CN" w:bidi="ar"/>
              </w:rPr>
              <w:t>审因素具体内容</w:t>
            </w:r>
          </w:p>
        </w:tc>
        <w:tc>
          <w:tcPr>
            <w:tcW w:w="268" w:type="pct"/>
            <w:gridSpan w:val="2"/>
            <w:tcBorders>
              <w:top w:val="single" w:color="000000" w:sz="2" w:space="0"/>
              <w:left w:val="single" w:color="000000" w:sz="2" w:space="0"/>
              <w:bottom w:val="single" w:color="000000" w:sz="2" w:space="0"/>
              <w:right w:val="single" w:color="000000" w:sz="2" w:space="0"/>
            </w:tcBorders>
            <w:shd w:val="clear" w:color="auto" w:fill="auto"/>
            <w:vAlign w:val="center"/>
          </w:tcPr>
          <w:p w14:paraId="6459BBF1">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jc w:val="center"/>
              <w:textAlignment w:val="baseline"/>
              <w:rPr>
                <w:rFonts w:hint="eastAsia" w:ascii="宋体" w:hAnsi="宋体" w:eastAsia="宋体" w:cs="宋体"/>
                <w:snapToGrid w:val="0"/>
                <w:color w:val="auto"/>
                <w:kern w:val="0"/>
                <w:szCs w:val="21"/>
                <w:highlight w:val="none"/>
                <w:vertAlign w:val="baseline"/>
                <w:lang w:val="en-US"/>
              </w:rPr>
            </w:pPr>
            <w:r>
              <w:rPr>
                <w:rFonts w:hint="eastAsia" w:ascii="宋体" w:hAnsi="宋体" w:eastAsia="宋体" w:cs="宋体"/>
                <w:b/>
                <w:bCs/>
                <w:snapToGrid w:val="0"/>
                <w:color w:val="auto"/>
                <w:spacing w:val="1"/>
                <w:kern w:val="0"/>
                <w:sz w:val="21"/>
                <w:szCs w:val="21"/>
                <w:highlight w:val="none"/>
                <w:vertAlign w:val="baseline"/>
                <w:lang w:val="en-US" w:eastAsia="zh-CN" w:bidi="ar"/>
              </w:rPr>
              <w:t>分</w:t>
            </w:r>
            <w:r>
              <w:rPr>
                <w:rFonts w:hint="eastAsia" w:ascii="宋体" w:hAnsi="宋体" w:eastAsia="宋体" w:cs="宋体"/>
                <w:b/>
                <w:bCs/>
                <w:snapToGrid w:val="0"/>
                <w:color w:val="auto"/>
                <w:kern w:val="0"/>
                <w:sz w:val="21"/>
                <w:szCs w:val="21"/>
                <w:highlight w:val="none"/>
                <w:vertAlign w:val="baseline"/>
                <w:lang w:val="en-US" w:eastAsia="zh-CN" w:bidi="ar"/>
              </w:rPr>
              <w:t>值</w:t>
            </w:r>
          </w:p>
        </w:tc>
      </w:tr>
      <w:tr w14:paraId="358A4F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313" w:type="pct"/>
            <w:tcBorders>
              <w:top w:val="single" w:color="000000" w:sz="2" w:space="0"/>
              <w:left w:val="single" w:color="000000" w:sz="2" w:space="0"/>
              <w:bottom w:val="single" w:color="000000" w:sz="2" w:space="0"/>
              <w:right w:val="single" w:color="000000" w:sz="2" w:space="0"/>
            </w:tcBorders>
            <w:shd w:val="clear" w:color="auto" w:fill="auto"/>
            <w:vAlign w:val="center"/>
          </w:tcPr>
          <w:p w14:paraId="334FEFB8">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jc w:val="center"/>
              <w:textAlignment w:val="baseline"/>
              <w:rPr>
                <w:rFonts w:hint="eastAsia" w:ascii="宋体" w:hAnsi="宋体" w:eastAsia="宋体" w:cs="宋体"/>
                <w:b/>
                <w:bCs/>
                <w:snapToGrid w:val="0"/>
                <w:color w:val="auto"/>
                <w:kern w:val="0"/>
                <w:szCs w:val="21"/>
                <w:highlight w:val="none"/>
                <w:vertAlign w:val="baseline"/>
                <w:lang w:val="en-US"/>
              </w:rPr>
            </w:pPr>
            <w:r>
              <w:rPr>
                <w:rFonts w:hint="eastAsia" w:ascii="宋体" w:hAnsi="宋体" w:eastAsia="宋体" w:cs="宋体"/>
                <w:snapToGrid w:val="0"/>
                <w:color w:val="auto"/>
                <w:kern w:val="0"/>
                <w:sz w:val="21"/>
                <w:szCs w:val="21"/>
                <w:highlight w:val="none"/>
                <w:vertAlign w:val="baseline"/>
                <w:lang w:val="en-US" w:eastAsia="zh-CN" w:bidi="ar"/>
              </w:rPr>
              <w:t>1</w:t>
            </w:r>
          </w:p>
        </w:tc>
        <w:tc>
          <w:tcPr>
            <w:tcW w:w="689" w:type="pct"/>
            <w:tcBorders>
              <w:top w:val="single" w:color="000000" w:sz="2" w:space="0"/>
              <w:left w:val="single" w:color="000000" w:sz="2" w:space="0"/>
              <w:bottom w:val="single" w:color="000000" w:sz="2" w:space="0"/>
              <w:right w:val="single" w:color="000000" w:sz="2" w:space="0"/>
            </w:tcBorders>
            <w:shd w:val="clear" w:color="auto" w:fill="auto"/>
            <w:vAlign w:val="center"/>
          </w:tcPr>
          <w:p w14:paraId="6A71BC71">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jc w:val="center"/>
              <w:textAlignment w:val="baseline"/>
              <w:rPr>
                <w:rFonts w:hint="eastAsia" w:ascii="宋体" w:hAnsi="宋体" w:eastAsia="宋体" w:cs="宋体"/>
                <w:b/>
                <w:bCs/>
                <w:snapToGrid w:val="0"/>
                <w:color w:val="auto"/>
                <w:spacing w:val="5"/>
                <w:kern w:val="0"/>
                <w:szCs w:val="21"/>
                <w:highlight w:val="none"/>
                <w:vertAlign w:val="baseline"/>
                <w:lang w:val="en-US"/>
              </w:rPr>
            </w:pPr>
            <w:r>
              <w:rPr>
                <w:rFonts w:hint="eastAsia" w:ascii="宋体" w:hAnsi="宋体" w:eastAsia="宋体" w:cs="宋体"/>
                <w:snapToGrid w:val="0"/>
                <w:color w:val="auto"/>
                <w:kern w:val="0"/>
                <w:sz w:val="21"/>
                <w:szCs w:val="21"/>
                <w:highlight w:val="none"/>
                <w:vertAlign w:val="baseline"/>
                <w:lang w:val="en-US" w:eastAsia="zh-CN" w:bidi="ar"/>
              </w:rPr>
              <w:t>报价分</w:t>
            </w:r>
          </w:p>
        </w:tc>
        <w:tc>
          <w:tcPr>
            <w:tcW w:w="3727" w:type="pct"/>
            <w:tcBorders>
              <w:top w:val="single" w:color="000000" w:sz="2" w:space="0"/>
              <w:left w:val="single" w:color="000000" w:sz="2" w:space="0"/>
              <w:bottom w:val="single" w:color="000000" w:sz="2" w:space="0"/>
              <w:right w:val="single" w:color="000000" w:sz="2" w:space="0"/>
            </w:tcBorders>
            <w:shd w:val="clear" w:color="auto" w:fill="auto"/>
            <w:vAlign w:val="center"/>
          </w:tcPr>
          <w:p w14:paraId="43613A22">
            <w:pPr>
              <w:keepNext w:val="0"/>
              <w:keepLines w:val="0"/>
              <w:widowControl w:val="0"/>
              <w:suppressLineNumbers w:val="0"/>
              <w:spacing w:before="0" w:beforeAutospacing="0" w:after="0" w:afterAutospacing="0" w:line="340" w:lineRule="exact"/>
              <w:ind w:left="0" w:right="0" w:firstLine="280"/>
              <w:jc w:val="left"/>
              <w:outlineLvl w:val="0"/>
              <w:rPr>
                <w:rFonts w:hint="eastAsia" w:ascii="宋体" w:hAnsi="宋体" w:eastAsia="宋体" w:cs="宋体"/>
                <w:b/>
                <w:bCs w:val="0"/>
                <w:color w:val="auto"/>
                <w:szCs w:val="21"/>
                <w:highlight w:val="none"/>
                <w:lang w:val="en-US"/>
              </w:rPr>
            </w:pPr>
            <w:bookmarkStart w:id="58" w:name="_Toc96526555"/>
            <w:r>
              <w:rPr>
                <w:rFonts w:hint="eastAsia" w:ascii="宋体" w:hAnsi="宋体" w:eastAsia="宋体" w:cs="宋体"/>
                <w:b/>
                <w:bCs w:val="0"/>
                <w:color w:val="auto"/>
                <w:kern w:val="2"/>
                <w:sz w:val="21"/>
                <w:szCs w:val="21"/>
                <w:highlight w:val="none"/>
                <w:lang w:val="en-US" w:eastAsia="zh-CN" w:bidi="ar"/>
              </w:rPr>
              <w:t>本项目</w:t>
            </w:r>
            <w:r>
              <w:rPr>
                <w:rFonts w:hint="eastAsia" w:ascii="宋体" w:hAnsi="宋体" w:cs="宋体"/>
                <w:b/>
                <w:bCs w:val="0"/>
                <w:color w:val="auto"/>
                <w:kern w:val="2"/>
                <w:sz w:val="21"/>
                <w:szCs w:val="21"/>
                <w:highlight w:val="none"/>
                <w:lang w:val="en-US" w:eastAsia="zh-CN" w:bidi="ar"/>
              </w:rPr>
              <w:t>已</w:t>
            </w:r>
            <w:r>
              <w:rPr>
                <w:rFonts w:hint="eastAsia" w:ascii="宋体" w:hAnsi="宋体" w:eastAsia="宋体" w:cs="宋体"/>
                <w:b/>
                <w:bCs w:val="0"/>
                <w:color w:val="auto"/>
                <w:kern w:val="2"/>
                <w:sz w:val="21"/>
                <w:szCs w:val="21"/>
                <w:highlight w:val="none"/>
                <w:lang w:val="en-US" w:eastAsia="zh-CN" w:bidi="ar"/>
              </w:rPr>
              <w:t>专门面向中小微企业采购，不再执行价格评审优惠的扶持政策</w:t>
            </w:r>
            <w:bookmarkEnd w:id="58"/>
            <w:r>
              <w:rPr>
                <w:rFonts w:hint="eastAsia" w:ascii="宋体" w:hAnsi="宋体" w:eastAsia="宋体" w:cs="宋体"/>
                <w:b/>
                <w:bCs w:val="0"/>
                <w:color w:val="auto"/>
                <w:kern w:val="2"/>
                <w:sz w:val="21"/>
                <w:szCs w:val="21"/>
                <w:highlight w:val="none"/>
                <w:lang w:val="en-US" w:eastAsia="zh-CN" w:bidi="ar"/>
              </w:rPr>
              <w:t>。</w:t>
            </w:r>
          </w:p>
          <w:p w14:paraId="38882A64">
            <w:pPr>
              <w:keepNext w:val="0"/>
              <w:keepLines w:val="0"/>
              <w:widowControl w:val="0"/>
              <w:suppressLineNumbers w:val="0"/>
              <w:snapToGrid w:val="0"/>
              <w:spacing w:before="0" w:beforeAutospacing="0" w:after="0" w:afterAutospacing="0" w:line="340" w:lineRule="exact"/>
              <w:ind w:left="0" w:right="0" w:firstLine="233" w:firstLineChars="111"/>
              <w:jc w:val="left"/>
              <w:rPr>
                <w:rFonts w:hint="eastAsia" w:ascii="宋体" w:hAnsi="宋体" w:eastAsia="宋体" w:cs="宋体"/>
                <w:bCs/>
                <w:color w:val="auto"/>
                <w:szCs w:val="21"/>
                <w:highlight w:val="none"/>
                <w:lang w:val="en-US"/>
              </w:rPr>
            </w:pPr>
            <w:r>
              <w:rPr>
                <w:rFonts w:hint="eastAsia" w:ascii="宋体" w:hAnsi="宋体" w:eastAsia="宋体" w:cs="宋体"/>
                <w:bCs/>
                <w:color w:val="auto"/>
                <w:kern w:val="2"/>
                <w:sz w:val="21"/>
                <w:szCs w:val="21"/>
                <w:highlight w:val="none"/>
                <w:lang w:val="en-US" w:eastAsia="zh-CN" w:bidi="ar"/>
              </w:rPr>
              <w:t>（1）满足采购文件要求且评审报价最低的评审报价为评审基准价，其价格分为满分。</w:t>
            </w:r>
          </w:p>
          <w:p w14:paraId="72A773F0">
            <w:pPr>
              <w:keepNext w:val="0"/>
              <w:keepLines w:val="0"/>
              <w:widowControl w:val="0"/>
              <w:suppressLineNumbers w:val="0"/>
              <w:spacing w:before="0" w:beforeAutospacing="0" w:after="0" w:afterAutospacing="0" w:line="340" w:lineRule="exact"/>
              <w:ind w:left="0" w:right="0" w:firstLine="233" w:firstLineChars="111"/>
              <w:jc w:val="left"/>
              <w:rPr>
                <w:rFonts w:hint="eastAsia" w:ascii="宋体" w:hAnsi="宋体" w:eastAsia="宋体" w:cs="宋体"/>
                <w:bCs/>
                <w:color w:val="auto"/>
                <w:szCs w:val="21"/>
                <w:highlight w:val="none"/>
                <w:lang w:val="en-US"/>
              </w:rPr>
            </w:pPr>
            <w:r>
              <w:rPr>
                <w:rFonts w:hint="eastAsia" w:ascii="宋体" w:hAnsi="宋体" w:eastAsia="宋体" w:cs="宋体"/>
                <w:bCs/>
                <w:color w:val="auto"/>
                <w:kern w:val="2"/>
                <w:sz w:val="21"/>
                <w:szCs w:val="21"/>
                <w:highlight w:val="none"/>
                <w:lang w:val="en-US" w:eastAsia="zh-CN" w:bidi="ar"/>
              </w:rPr>
              <w:t xml:space="preserve">（2）价格分计算公式：        </w:t>
            </w:r>
          </w:p>
          <w:p w14:paraId="4476F18A">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firstLine="420"/>
              <w:jc w:val="left"/>
              <w:textAlignment w:val="baseline"/>
              <w:rPr>
                <w:rFonts w:hint="eastAsia" w:ascii="宋体" w:hAnsi="宋体" w:eastAsia="宋体" w:cs="宋体"/>
                <w:b/>
                <w:bCs/>
                <w:snapToGrid w:val="0"/>
                <w:color w:val="auto"/>
                <w:spacing w:val="7"/>
                <w:kern w:val="0"/>
                <w:szCs w:val="21"/>
                <w:highlight w:val="none"/>
                <w:vertAlign w:val="baseline"/>
                <w:lang w:val="en-US"/>
              </w:rPr>
            </w:pPr>
            <w:r>
              <w:rPr>
                <w:rFonts w:hint="eastAsia" w:ascii="宋体" w:hAnsi="宋体" w:eastAsia="宋体" w:cs="宋体"/>
                <w:bCs/>
                <w:color w:val="auto"/>
                <w:kern w:val="2"/>
                <w:sz w:val="21"/>
                <w:szCs w:val="21"/>
                <w:highlight w:val="none"/>
                <w:vertAlign w:val="baseline"/>
                <w:lang w:val="en-US" w:eastAsia="zh-CN" w:bidi="ar"/>
              </w:rPr>
              <w:t>价格分=(评审基准价／供应商响应报价)×</w:t>
            </w:r>
            <w:r>
              <w:rPr>
                <w:rFonts w:hint="eastAsia" w:ascii="宋体" w:hAnsi="宋体" w:eastAsia="宋体" w:cs="宋体"/>
                <w:bCs/>
                <w:color w:val="auto"/>
                <w:kern w:val="2"/>
                <w:sz w:val="21"/>
                <w:szCs w:val="21"/>
                <w:highlight w:val="none"/>
                <w:u w:val="single"/>
                <w:vertAlign w:val="baseline"/>
                <w:lang w:val="en-US" w:eastAsia="zh-CN" w:bidi="ar"/>
              </w:rPr>
              <w:t xml:space="preserve"> 10 </w:t>
            </w:r>
            <w:r>
              <w:rPr>
                <w:rFonts w:hint="eastAsia" w:ascii="宋体" w:hAnsi="宋体" w:eastAsia="宋体" w:cs="宋体"/>
                <w:bCs/>
                <w:color w:val="auto"/>
                <w:kern w:val="2"/>
                <w:sz w:val="21"/>
                <w:szCs w:val="21"/>
                <w:highlight w:val="none"/>
                <w:vertAlign w:val="baseline"/>
                <w:lang w:val="en-US" w:eastAsia="zh-CN" w:bidi="ar"/>
              </w:rPr>
              <w:t>分</w:t>
            </w:r>
          </w:p>
        </w:tc>
        <w:tc>
          <w:tcPr>
            <w:tcW w:w="268" w:type="pct"/>
            <w:gridSpan w:val="2"/>
            <w:tcBorders>
              <w:top w:val="single" w:color="000000" w:sz="2" w:space="0"/>
              <w:left w:val="single" w:color="000000" w:sz="2" w:space="0"/>
              <w:bottom w:val="single" w:color="000000" w:sz="2" w:space="0"/>
              <w:right w:val="single" w:color="000000" w:sz="2" w:space="0"/>
            </w:tcBorders>
            <w:shd w:val="clear" w:color="auto" w:fill="auto"/>
            <w:vAlign w:val="center"/>
          </w:tcPr>
          <w:p w14:paraId="479B5898">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jc w:val="center"/>
              <w:textAlignment w:val="baseline"/>
              <w:rPr>
                <w:rFonts w:hint="eastAsia" w:ascii="宋体" w:hAnsi="宋体" w:eastAsia="宋体" w:cs="宋体"/>
                <w:b/>
                <w:bCs/>
                <w:color w:val="auto"/>
                <w:spacing w:val="-11"/>
                <w:kern w:val="0"/>
                <w:szCs w:val="21"/>
                <w:highlight w:val="none"/>
                <w:vertAlign w:val="baseline"/>
                <w:lang w:val="en-US"/>
              </w:rPr>
            </w:pPr>
            <w:r>
              <w:rPr>
                <w:rFonts w:hint="eastAsia" w:ascii="宋体" w:hAnsi="宋体" w:eastAsia="宋体" w:cs="宋体"/>
                <w:snapToGrid w:val="0"/>
                <w:color w:val="auto"/>
                <w:kern w:val="0"/>
                <w:sz w:val="21"/>
                <w:szCs w:val="21"/>
                <w:highlight w:val="none"/>
                <w:vertAlign w:val="baseline"/>
                <w:lang w:val="en-US" w:eastAsia="zh-CN" w:bidi="ar"/>
              </w:rPr>
              <w:t>10分</w:t>
            </w:r>
          </w:p>
        </w:tc>
      </w:tr>
      <w:tr w14:paraId="123C6F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jc w:val="center"/>
        </w:trPr>
        <w:tc>
          <w:tcPr>
            <w:tcW w:w="313" w:type="pct"/>
            <w:tcBorders>
              <w:top w:val="single" w:color="000000" w:sz="2" w:space="0"/>
              <w:left w:val="single" w:color="000000" w:sz="2" w:space="0"/>
              <w:bottom w:val="single" w:color="000000" w:sz="2" w:space="0"/>
              <w:right w:val="single" w:color="000000" w:sz="2" w:space="0"/>
            </w:tcBorders>
            <w:shd w:val="clear" w:color="auto" w:fill="auto"/>
            <w:vAlign w:val="center"/>
          </w:tcPr>
          <w:p w14:paraId="6F3D6BE0">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jc w:val="center"/>
              <w:textAlignment w:val="baseline"/>
              <w:rPr>
                <w:rFonts w:hint="eastAsia" w:ascii="宋体" w:hAnsi="宋体" w:eastAsia="宋体" w:cs="宋体"/>
                <w:b/>
                <w:bCs/>
                <w:snapToGrid w:val="0"/>
                <w:color w:val="auto"/>
                <w:kern w:val="0"/>
                <w:szCs w:val="21"/>
                <w:highlight w:val="none"/>
                <w:vertAlign w:val="baseline"/>
                <w:lang w:val="en-US"/>
              </w:rPr>
            </w:pPr>
            <w:r>
              <w:rPr>
                <w:rFonts w:hint="eastAsia" w:ascii="宋体" w:hAnsi="宋体" w:eastAsia="宋体" w:cs="宋体"/>
                <w:b/>
                <w:bCs/>
                <w:snapToGrid w:val="0"/>
                <w:color w:val="auto"/>
                <w:kern w:val="0"/>
                <w:sz w:val="21"/>
                <w:szCs w:val="21"/>
                <w:highlight w:val="none"/>
                <w:vertAlign w:val="baseline"/>
                <w:lang w:val="en-US" w:eastAsia="zh-CN" w:bidi="ar"/>
              </w:rPr>
              <w:t>2</w:t>
            </w:r>
          </w:p>
        </w:tc>
        <w:tc>
          <w:tcPr>
            <w:tcW w:w="689" w:type="pct"/>
            <w:tcBorders>
              <w:top w:val="single" w:color="000000" w:sz="2" w:space="0"/>
              <w:left w:val="single" w:color="000000" w:sz="2" w:space="0"/>
              <w:bottom w:val="single" w:color="000000" w:sz="2" w:space="0"/>
              <w:right w:val="single" w:color="000000" w:sz="2" w:space="0"/>
            </w:tcBorders>
            <w:shd w:val="clear" w:color="auto" w:fill="auto"/>
            <w:vAlign w:val="center"/>
          </w:tcPr>
          <w:p w14:paraId="172AE90D">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jc w:val="center"/>
              <w:textAlignment w:val="baseline"/>
              <w:rPr>
                <w:rFonts w:hint="eastAsia" w:ascii="宋体" w:hAnsi="宋体" w:eastAsia="宋体" w:cs="宋体"/>
                <w:b/>
                <w:bCs/>
                <w:snapToGrid w:val="0"/>
                <w:color w:val="auto"/>
                <w:kern w:val="0"/>
                <w:szCs w:val="21"/>
                <w:highlight w:val="none"/>
                <w:vertAlign w:val="baseline"/>
                <w:lang w:val="en-US"/>
              </w:rPr>
            </w:pPr>
            <w:r>
              <w:rPr>
                <w:rFonts w:hint="eastAsia" w:ascii="宋体" w:hAnsi="宋体" w:eastAsia="宋体" w:cs="宋体"/>
                <w:b/>
                <w:bCs/>
                <w:snapToGrid w:val="0"/>
                <w:color w:val="auto"/>
                <w:spacing w:val="5"/>
                <w:kern w:val="0"/>
                <w:sz w:val="21"/>
                <w:szCs w:val="21"/>
                <w:highlight w:val="none"/>
                <w:vertAlign w:val="baseline"/>
                <w:lang w:val="en-US" w:eastAsia="zh-CN" w:bidi="ar"/>
              </w:rPr>
              <w:t>技术分</w:t>
            </w:r>
          </w:p>
        </w:tc>
        <w:tc>
          <w:tcPr>
            <w:tcW w:w="3727" w:type="pct"/>
            <w:tcBorders>
              <w:top w:val="single" w:color="000000" w:sz="2" w:space="0"/>
              <w:left w:val="single" w:color="000000" w:sz="2" w:space="0"/>
              <w:bottom w:val="single" w:color="000000" w:sz="2" w:space="0"/>
              <w:right w:val="single" w:color="000000" w:sz="2" w:space="0"/>
            </w:tcBorders>
            <w:shd w:val="clear" w:color="auto" w:fill="auto"/>
            <w:vAlign w:val="center"/>
          </w:tcPr>
          <w:p w14:paraId="6F37D904">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jc w:val="center"/>
              <w:textAlignment w:val="baseline"/>
              <w:rPr>
                <w:rFonts w:hint="eastAsia" w:ascii="宋体" w:hAnsi="宋体" w:eastAsia="宋体" w:cs="宋体"/>
                <w:b/>
                <w:bCs/>
                <w:snapToGrid w:val="0"/>
                <w:color w:val="auto"/>
                <w:kern w:val="0"/>
                <w:szCs w:val="21"/>
                <w:highlight w:val="none"/>
                <w:vertAlign w:val="baseline"/>
                <w:lang w:val="en-US"/>
              </w:rPr>
            </w:pPr>
            <w:r>
              <w:rPr>
                <w:rFonts w:hint="eastAsia" w:ascii="宋体" w:hAnsi="宋体" w:eastAsia="宋体" w:cs="宋体"/>
                <w:b/>
                <w:bCs/>
                <w:snapToGrid w:val="0"/>
                <w:color w:val="auto"/>
                <w:spacing w:val="7"/>
                <w:kern w:val="0"/>
                <w:sz w:val="21"/>
                <w:szCs w:val="21"/>
                <w:highlight w:val="none"/>
                <w:vertAlign w:val="baseline"/>
                <w:lang w:val="en-US" w:eastAsia="zh-CN" w:bidi="ar"/>
              </w:rPr>
              <w:t>评</w:t>
            </w:r>
            <w:r>
              <w:rPr>
                <w:rFonts w:hint="eastAsia" w:ascii="宋体" w:hAnsi="宋体" w:eastAsia="宋体" w:cs="宋体"/>
                <w:b/>
                <w:bCs/>
                <w:snapToGrid w:val="0"/>
                <w:color w:val="auto"/>
                <w:spacing w:val="6"/>
                <w:kern w:val="0"/>
                <w:sz w:val="21"/>
                <w:szCs w:val="21"/>
                <w:highlight w:val="none"/>
                <w:vertAlign w:val="baseline"/>
                <w:lang w:val="en-US" w:eastAsia="zh-CN" w:bidi="ar"/>
              </w:rPr>
              <w:t>审因素</w:t>
            </w:r>
          </w:p>
        </w:tc>
        <w:tc>
          <w:tcPr>
            <w:tcW w:w="268" w:type="pct"/>
            <w:gridSpan w:val="2"/>
            <w:tcBorders>
              <w:top w:val="single" w:color="000000" w:sz="2" w:space="0"/>
              <w:left w:val="single" w:color="000000" w:sz="2" w:space="0"/>
              <w:bottom w:val="single" w:color="000000" w:sz="2" w:space="0"/>
              <w:right w:val="single" w:color="000000" w:sz="2" w:space="0"/>
            </w:tcBorders>
            <w:shd w:val="clear" w:color="auto" w:fill="auto"/>
            <w:vAlign w:val="center"/>
          </w:tcPr>
          <w:p w14:paraId="3C66CAFB">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jc w:val="center"/>
              <w:textAlignment w:val="baseline"/>
              <w:rPr>
                <w:rFonts w:hint="eastAsia" w:ascii="宋体" w:hAnsi="宋体" w:eastAsia="宋体" w:cs="宋体"/>
                <w:b/>
                <w:bCs/>
                <w:color w:val="auto"/>
                <w:spacing w:val="1"/>
                <w:kern w:val="0"/>
                <w:position w:val="5"/>
                <w:szCs w:val="21"/>
                <w:highlight w:val="none"/>
                <w:vertAlign w:val="baseline"/>
                <w:lang w:val="en-US"/>
              </w:rPr>
            </w:pPr>
            <w:r>
              <w:rPr>
                <w:rFonts w:hint="eastAsia" w:ascii="宋体" w:hAnsi="宋体" w:eastAsia="宋体" w:cs="宋体"/>
                <w:b/>
                <w:bCs/>
                <w:snapToGrid w:val="0"/>
                <w:color w:val="auto"/>
                <w:spacing w:val="2"/>
                <w:kern w:val="0"/>
                <w:position w:val="5"/>
                <w:sz w:val="21"/>
                <w:szCs w:val="21"/>
                <w:highlight w:val="none"/>
                <w:vertAlign w:val="baseline"/>
                <w:lang w:val="en-US" w:eastAsia="zh-CN" w:bidi="ar"/>
              </w:rPr>
              <w:t>满</w:t>
            </w:r>
            <w:r>
              <w:rPr>
                <w:rFonts w:hint="eastAsia" w:ascii="宋体" w:hAnsi="宋体" w:eastAsia="宋体" w:cs="宋体"/>
                <w:b/>
                <w:bCs/>
                <w:snapToGrid w:val="0"/>
                <w:color w:val="auto"/>
                <w:spacing w:val="1"/>
                <w:kern w:val="0"/>
                <w:position w:val="5"/>
                <w:sz w:val="21"/>
                <w:szCs w:val="21"/>
                <w:highlight w:val="none"/>
                <w:vertAlign w:val="baseline"/>
                <w:lang w:val="en-US" w:eastAsia="zh-CN" w:bidi="ar"/>
              </w:rPr>
              <w:t>分</w:t>
            </w:r>
          </w:p>
          <w:p w14:paraId="7B90FD87">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jc w:val="center"/>
              <w:textAlignment w:val="baseline"/>
              <w:rPr>
                <w:rFonts w:hint="eastAsia" w:ascii="宋体" w:hAnsi="宋体" w:eastAsia="宋体" w:cs="宋体"/>
                <w:b/>
                <w:bCs/>
                <w:snapToGrid w:val="0"/>
                <w:color w:val="auto"/>
                <w:kern w:val="0"/>
                <w:szCs w:val="21"/>
                <w:highlight w:val="none"/>
                <w:vertAlign w:val="baseline"/>
                <w:lang w:val="en-US"/>
              </w:rPr>
            </w:pPr>
            <w:r>
              <w:rPr>
                <w:rFonts w:hint="eastAsia" w:ascii="宋体" w:hAnsi="宋体" w:eastAsia="宋体" w:cs="宋体"/>
                <w:b/>
                <w:bCs/>
                <w:snapToGrid w:val="0"/>
                <w:color w:val="auto"/>
                <w:spacing w:val="-11"/>
                <w:kern w:val="0"/>
                <w:sz w:val="21"/>
                <w:szCs w:val="21"/>
                <w:highlight w:val="none"/>
                <w:vertAlign w:val="baseline"/>
                <w:lang w:val="en-US" w:eastAsia="zh-CN" w:bidi="ar"/>
              </w:rPr>
              <w:t>65</w:t>
            </w:r>
            <w:r>
              <w:rPr>
                <w:rFonts w:hint="eastAsia" w:ascii="宋体" w:hAnsi="宋体" w:eastAsia="宋体" w:cs="宋体"/>
                <w:b/>
                <w:bCs/>
                <w:snapToGrid w:val="0"/>
                <w:color w:val="auto"/>
                <w:spacing w:val="-10"/>
                <w:kern w:val="0"/>
                <w:sz w:val="21"/>
                <w:szCs w:val="21"/>
                <w:highlight w:val="none"/>
                <w:vertAlign w:val="baseline"/>
                <w:lang w:val="en-US" w:eastAsia="zh-CN" w:bidi="ar"/>
              </w:rPr>
              <w:t>分</w:t>
            </w:r>
          </w:p>
        </w:tc>
      </w:tr>
      <w:tr w14:paraId="413A46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106" w:hRule="atLeast"/>
          <w:jc w:val="center"/>
        </w:trPr>
        <w:tc>
          <w:tcPr>
            <w:tcW w:w="313" w:type="pct"/>
            <w:tcBorders>
              <w:top w:val="single" w:color="000000" w:sz="2" w:space="0"/>
              <w:left w:val="single" w:color="000000" w:sz="2" w:space="0"/>
              <w:bottom w:val="single" w:color="000000" w:sz="2" w:space="0"/>
              <w:right w:val="single" w:color="000000" w:sz="2" w:space="0"/>
            </w:tcBorders>
            <w:shd w:val="clear" w:color="auto" w:fill="auto"/>
            <w:vAlign w:val="center"/>
          </w:tcPr>
          <w:p w14:paraId="11B311E8">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jc w:val="center"/>
              <w:textAlignment w:val="baseline"/>
              <w:rPr>
                <w:rFonts w:hint="eastAsia" w:ascii="宋体" w:hAnsi="宋体" w:eastAsia="宋体" w:cs="宋体"/>
                <w:snapToGrid w:val="0"/>
                <w:color w:val="auto"/>
                <w:kern w:val="0"/>
                <w:szCs w:val="21"/>
                <w:highlight w:val="none"/>
                <w:vertAlign w:val="baseline"/>
                <w:lang w:val="en-US"/>
              </w:rPr>
            </w:pPr>
            <w:r>
              <w:rPr>
                <w:rFonts w:hint="eastAsia" w:ascii="宋体" w:hAnsi="宋体" w:eastAsia="宋体" w:cs="宋体"/>
                <w:snapToGrid w:val="0"/>
                <w:color w:val="auto"/>
                <w:kern w:val="0"/>
                <w:sz w:val="21"/>
                <w:szCs w:val="21"/>
                <w:highlight w:val="none"/>
                <w:vertAlign w:val="baseline"/>
                <w:lang w:val="en-US" w:eastAsia="zh-CN" w:bidi="ar"/>
              </w:rPr>
              <w:t>2.1</w:t>
            </w:r>
          </w:p>
        </w:tc>
        <w:tc>
          <w:tcPr>
            <w:tcW w:w="689" w:type="pct"/>
            <w:tcBorders>
              <w:top w:val="single" w:color="000000" w:sz="2" w:space="0"/>
              <w:left w:val="single" w:color="000000" w:sz="2" w:space="0"/>
              <w:bottom w:val="single" w:color="000000" w:sz="2" w:space="0"/>
              <w:right w:val="single" w:color="000000" w:sz="2" w:space="0"/>
            </w:tcBorders>
            <w:shd w:val="clear" w:color="auto" w:fill="auto"/>
            <w:vAlign w:val="center"/>
          </w:tcPr>
          <w:p w14:paraId="26AEDA1D">
            <w:pPr>
              <w:keepNext w:val="0"/>
              <w:keepLines w:val="0"/>
              <w:widowControl w:val="0"/>
              <w:suppressLineNumbers w:val="0"/>
              <w:spacing w:before="0" w:beforeAutospacing="0" w:after="0" w:afterAutospacing="0" w:line="340" w:lineRule="exact"/>
              <w:ind w:left="0" w:right="0"/>
              <w:jc w:val="center"/>
              <w:rPr>
                <w:rFonts w:hint="eastAsia" w:ascii="宋体" w:hAnsi="宋体" w:eastAsia="宋体" w:cs="宋体"/>
                <w:snapToGrid w:val="0"/>
                <w:color w:val="auto"/>
                <w:kern w:val="0"/>
                <w:szCs w:val="21"/>
                <w:highlight w:val="none"/>
                <w:lang w:val="en-US"/>
              </w:rPr>
            </w:pPr>
            <w:r>
              <w:rPr>
                <w:rFonts w:hint="eastAsia" w:ascii="宋体" w:hAnsi="宋体" w:eastAsia="宋体" w:cs="宋体"/>
                <w:color w:val="auto"/>
                <w:kern w:val="2"/>
                <w:sz w:val="21"/>
                <w:szCs w:val="21"/>
                <w:highlight w:val="none"/>
                <w:lang w:val="en-US" w:eastAsia="zh-CN" w:bidi="ar"/>
              </w:rPr>
              <w:t>审计服务工作方案分</w:t>
            </w:r>
          </w:p>
        </w:tc>
        <w:tc>
          <w:tcPr>
            <w:tcW w:w="3727" w:type="pct"/>
            <w:tcBorders>
              <w:top w:val="single" w:color="000000" w:sz="2" w:space="0"/>
              <w:left w:val="single" w:color="000000" w:sz="2" w:space="0"/>
              <w:bottom w:val="single" w:color="000000" w:sz="2" w:space="0"/>
              <w:right w:val="single" w:color="000000" w:sz="2" w:space="0"/>
            </w:tcBorders>
            <w:shd w:val="clear" w:color="auto" w:fill="auto"/>
            <w:vAlign w:val="center"/>
          </w:tcPr>
          <w:p w14:paraId="7A7E210B">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firstLine="420" w:firstLineChars="200"/>
              <w:jc w:val="left"/>
              <w:textAlignment w:val="baseline"/>
              <w:rPr>
                <w:rFonts w:hint="eastAsia" w:ascii="宋体" w:hAnsi="宋体" w:eastAsia="宋体" w:cs="宋体"/>
                <w:color w:val="auto"/>
                <w:kern w:val="0"/>
                <w:szCs w:val="21"/>
                <w:highlight w:val="none"/>
                <w:vertAlign w:val="baseline"/>
                <w:lang w:val="en-US"/>
              </w:rPr>
            </w:pPr>
            <w:r>
              <w:rPr>
                <w:rFonts w:hint="eastAsia" w:ascii="宋体" w:hAnsi="宋体" w:eastAsia="宋体" w:cs="宋体"/>
                <w:snapToGrid w:val="0"/>
                <w:color w:val="auto"/>
                <w:kern w:val="0"/>
                <w:sz w:val="21"/>
                <w:szCs w:val="21"/>
                <w:highlight w:val="none"/>
                <w:vertAlign w:val="baseline"/>
                <w:lang w:val="en-US" w:eastAsia="zh-CN" w:bidi="ar"/>
              </w:rPr>
              <w:t>供应商应根据本采购文件项目要求里面审计工作要求的具体内容编制审计服务工作方案，磋商小组各成员对各供应商提交的方案分档打分。</w:t>
            </w:r>
          </w:p>
          <w:p w14:paraId="4263FA02">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firstLine="420" w:firstLineChars="200"/>
              <w:jc w:val="left"/>
              <w:textAlignment w:val="baseline"/>
              <w:rPr>
                <w:rFonts w:hint="eastAsia" w:ascii="宋体" w:hAnsi="宋体" w:eastAsia="宋体" w:cs="宋体"/>
                <w:color w:val="auto"/>
                <w:kern w:val="0"/>
                <w:szCs w:val="21"/>
                <w:highlight w:val="none"/>
                <w:vertAlign w:val="baseline"/>
                <w:lang w:val="en-US"/>
              </w:rPr>
            </w:pPr>
            <w:r>
              <w:rPr>
                <w:rFonts w:hint="eastAsia" w:ascii="宋体" w:hAnsi="宋体" w:eastAsia="宋体" w:cs="宋体"/>
                <w:snapToGrid w:val="0"/>
                <w:color w:val="auto"/>
                <w:kern w:val="0"/>
                <w:sz w:val="21"/>
                <w:szCs w:val="21"/>
                <w:highlight w:val="none"/>
                <w:vertAlign w:val="baseline"/>
                <w:lang w:val="en-US" w:eastAsia="zh-CN" w:bidi="ar"/>
              </w:rPr>
              <w:t>一档（</w:t>
            </w:r>
            <w:r>
              <w:rPr>
                <w:rFonts w:hint="eastAsia" w:ascii="宋体" w:hAnsi="宋体" w:eastAsia="宋体" w:cs="宋体"/>
                <w:color w:val="auto"/>
                <w:kern w:val="0"/>
                <w:sz w:val="21"/>
                <w:szCs w:val="21"/>
                <w:highlight w:val="none"/>
                <w:vertAlign w:val="baseline"/>
                <w:lang w:val="en-US" w:eastAsia="zh-CN" w:bidi="ar"/>
              </w:rPr>
              <w:t>13</w:t>
            </w:r>
            <w:r>
              <w:rPr>
                <w:rFonts w:hint="eastAsia" w:ascii="宋体" w:hAnsi="宋体" w:eastAsia="宋体" w:cs="宋体"/>
                <w:snapToGrid w:val="0"/>
                <w:color w:val="auto"/>
                <w:kern w:val="0"/>
                <w:sz w:val="21"/>
                <w:szCs w:val="21"/>
                <w:highlight w:val="none"/>
                <w:vertAlign w:val="baseline"/>
                <w:lang w:val="en-US" w:eastAsia="zh-CN" w:bidi="ar"/>
              </w:rPr>
              <w:t>分）：供应商对项目概况、项目服务目标和范围、项目服务的重点与难点分析内容简单，提出了基本的工作方案，技术思路及技术方法论述不完整，质量管控措施有一定保障，没有安全应急措施，实施方案不完全满足项目需求。</w:t>
            </w:r>
          </w:p>
          <w:p w14:paraId="412D08AB">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firstLine="420" w:firstLineChars="200"/>
              <w:jc w:val="left"/>
              <w:textAlignment w:val="baseline"/>
              <w:rPr>
                <w:rFonts w:hint="eastAsia" w:ascii="宋体" w:hAnsi="宋体" w:eastAsia="宋体" w:cs="宋体"/>
                <w:color w:val="auto"/>
                <w:kern w:val="0"/>
                <w:szCs w:val="21"/>
                <w:highlight w:val="none"/>
                <w:vertAlign w:val="baseline"/>
                <w:lang w:val="en-US"/>
              </w:rPr>
            </w:pPr>
            <w:r>
              <w:rPr>
                <w:rFonts w:hint="eastAsia" w:ascii="宋体" w:hAnsi="宋体" w:eastAsia="宋体" w:cs="宋体"/>
                <w:snapToGrid w:val="0"/>
                <w:color w:val="auto"/>
                <w:kern w:val="0"/>
                <w:sz w:val="21"/>
                <w:szCs w:val="21"/>
                <w:highlight w:val="none"/>
                <w:vertAlign w:val="baseline"/>
                <w:lang w:val="en-US" w:eastAsia="zh-CN" w:bidi="ar"/>
              </w:rPr>
              <w:t>二档（</w:t>
            </w:r>
            <w:r>
              <w:rPr>
                <w:rFonts w:hint="eastAsia" w:ascii="宋体" w:hAnsi="宋体" w:eastAsia="宋体" w:cs="宋体"/>
                <w:color w:val="auto"/>
                <w:kern w:val="0"/>
                <w:sz w:val="21"/>
                <w:szCs w:val="21"/>
                <w:highlight w:val="none"/>
                <w:vertAlign w:val="baseline"/>
                <w:lang w:val="en-US" w:eastAsia="zh-CN" w:bidi="ar"/>
              </w:rPr>
              <w:t>24</w:t>
            </w:r>
            <w:r>
              <w:rPr>
                <w:rFonts w:hint="eastAsia" w:ascii="宋体" w:hAnsi="宋体" w:eastAsia="宋体" w:cs="宋体"/>
                <w:snapToGrid w:val="0"/>
                <w:color w:val="auto"/>
                <w:kern w:val="0"/>
                <w:sz w:val="21"/>
                <w:szCs w:val="21"/>
                <w:highlight w:val="none"/>
                <w:vertAlign w:val="baseline"/>
                <w:lang w:val="en-US" w:eastAsia="zh-CN" w:bidi="ar"/>
              </w:rPr>
              <w:t>分）：供应商有对项目概况、项目服务目标和范围、项目服务的重点与难点分析内容，提出了工作方案，有满足采购需求的技术思路及技术方法论述，质量管控措施有保障，有安全应急措施，实施方案能满足项目需求。</w:t>
            </w:r>
          </w:p>
          <w:p w14:paraId="21E10513">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firstLine="420" w:firstLineChars="200"/>
              <w:jc w:val="left"/>
              <w:textAlignment w:val="baseline"/>
              <w:rPr>
                <w:rFonts w:hint="eastAsia" w:ascii="宋体" w:hAnsi="宋体" w:eastAsia="宋体" w:cs="宋体"/>
                <w:color w:val="auto"/>
                <w:kern w:val="0"/>
                <w:szCs w:val="21"/>
                <w:highlight w:val="none"/>
                <w:vertAlign w:val="baseline"/>
                <w:lang w:val="en-US"/>
              </w:rPr>
            </w:pPr>
            <w:r>
              <w:rPr>
                <w:rFonts w:hint="eastAsia" w:ascii="宋体" w:hAnsi="宋体" w:eastAsia="宋体" w:cs="宋体"/>
                <w:snapToGrid w:val="0"/>
                <w:color w:val="auto"/>
                <w:kern w:val="0"/>
                <w:sz w:val="21"/>
                <w:szCs w:val="21"/>
                <w:highlight w:val="none"/>
                <w:vertAlign w:val="baseline"/>
                <w:lang w:val="en-US" w:eastAsia="zh-CN" w:bidi="ar"/>
              </w:rPr>
              <w:t>三档（</w:t>
            </w:r>
            <w:r>
              <w:rPr>
                <w:rFonts w:hint="eastAsia" w:ascii="宋体" w:hAnsi="宋体" w:eastAsia="宋体" w:cs="宋体"/>
                <w:color w:val="auto"/>
                <w:kern w:val="0"/>
                <w:sz w:val="21"/>
                <w:szCs w:val="21"/>
                <w:highlight w:val="none"/>
                <w:vertAlign w:val="baseline"/>
                <w:lang w:val="en-US" w:eastAsia="zh-CN" w:bidi="ar"/>
              </w:rPr>
              <w:t>40</w:t>
            </w:r>
            <w:r>
              <w:rPr>
                <w:rFonts w:hint="eastAsia" w:ascii="宋体" w:hAnsi="宋体" w:eastAsia="宋体" w:cs="宋体"/>
                <w:snapToGrid w:val="0"/>
                <w:color w:val="auto"/>
                <w:kern w:val="0"/>
                <w:sz w:val="21"/>
                <w:szCs w:val="21"/>
                <w:highlight w:val="none"/>
                <w:vertAlign w:val="baseline"/>
                <w:lang w:val="en-US" w:eastAsia="zh-CN" w:bidi="ar"/>
              </w:rPr>
              <w:t>分）：供应商对项目概况、项目服务目标和范围、项目服务的重点与难点分析内容详细完善，操作性强，具有一定可操作性，提出了详细完善的工作方案，技术思路及技术方法论述详细完善，质量管控措施保障有力，有详细完善的加强廉政工作纪律措施、完成审计任务的措施、安全应急措施，实施方案贴合项目实际需求。</w:t>
            </w:r>
          </w:p>
          <w:p w14:paraId="1D076CBB">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firstLine="420" w:firstLineChars="200"/>
              <w:jc w:val="left"/>
              <w:textAlignment w:val="baseline"/>
              <w:rPr>
                <w:rFonts w:hint="eastAsia" w:ascii="宋体" w:hAnsi="宋体" w:eastAsia="宋体" w:cs="宋体"/>
                <w:color w:val="auto"/>
                <w:kern w:val="0"/>
                <w:szCs w:val="21"/>
                <w:highlight w:val="none"/>
                <w:vertAlign w:val="baseline"/>
                <w:lang w:val="en-US"/>
              </w:rPr>
            </w:pPr>
            <w:r>
              <w:rPr>
                <w:rFonts w:hint="eastAsia" w:ascii="宋体" w:hAnsi="宋体" w:eastAsia="宋体" w:cs="宋体"/>
                <w:snapToGrid w:val="0"/>
                <w:color w:val="auto"/>
                <w:kern w:val="0"/>
                <w:sz w:val="21"/>
                <w:szCs w:val="21"/>
                <w:highlight w:val="none"/>
                <w:vertAlign w:val="baseline"/>
                <w:lang w:val="en-US" w:eastAsia="zh-CN" w:bidi="ar"/>
              </w:rPr>
              <w:t>注：未提供方案或方案不满足一档要求的，得</w:t>
            </w:r>
            <w:r>
              <w:rPr>
                <w:rFonts w:hint="eastAsia" w:ascii="宋体" w:hAnsi="宋体" w:eastAsia="宋体" w:cs="宋体"/>
                <w:color w:val="auto"/>
                <w:kern w:val="0"/>
                <w:sz w:val="21"/>
                <w:szCs w:val="21"/>
                <w:highlight w:val="none"/>
                <w:vertAlign w:val="baseline"/>
                <w:lang w:val="en-US" w:eastAsia="zh-CN" w:bidi="ar"/>
              </w:rPr>
              <w:t>0</w:t>
            </w:r>
            <w:r>
              <w:rPr>
                <w:rFonts w:hint="eastAsia" w:ascii="宋体" w:hAnsi="宋体" w:eastAsia="宋体" w:cs="宋体"/>
                <w:snapToGrid w:val="0"/>
                <w:color w:val="auto"/>
                <w:kern w:val="0"/>
                <w:sz w:val="21"/>
                <w:szCs w:val="21"/>
                <w:highlight w:val="none"/>
                <w:vertAlign w:val="baseline"/>
                <w:lang w:val="en-US" w:eastAsia="zh-CN" w:bidi="ar"/>
              </w:rPr>
              <w:t>分。</w:t>
            </w:r>
          </w:p>
        </w:tc>
        <w:tc>
          <w:tcPr>
            <w:tcW w:w="268" w:type="pct"/>
            <w:gridSpan w:val="2"/>
            <w:tcBorders>
              <w:top w:val="single" w:color="000000" w:sz="2" w:space="0"/>
              <w:left w:val="single" w:color="000000" w:sz="2" w:space="0"/>
              <w:bottom w:val="single" w:color="000000" w:sz="2" w:space="0"/>
              <w:right w:val="single" w:color="000000" w:sz="2" w:space="0"/>
            </w:tcBorders>
            <w:shd w:val="clear" w:color="auto" w:fill="auto"/>
            <w:vAlign w:val="center"/>
          </w:tcPr>
          <w:p w14:paraId="6D8A483B">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jc w:val="center"/>
              <w:textAlignment w:val="baseline"/>
              <w:rPr>
                <w:rFonts w:hint="eastAsia" w:ascii="宋体" w:hAnsi="宋体" w:eastAsia="宋体" w:cs="宋体"/>
                <w:color w:val="auto"/>
                <w:kern w:val="0"/>
                <w:szCs w:val="21"/>
                <w:highlight w:val="none"/>
                <w:vertAlign w:val="baseline"/>
                <w:lang w:val="en-US"/>
              </w:rPr>
            </w:pPr>
            <w:r>
              <w:rPr>
                <w:rFonts w:hint="eastAsia" w:ascii="宋体" w:hAnsi="宋体" w:eastAsia="宋体" w:cs="宋体"/>
                <w:snapToGrid w:val="0"/>
                <w:color w:val="auto"/>
                <w:kern w:val="0"/>
                <w:sz w:val="21"/>
                <w:szCs w:val="21"/>
                <w:highlight w:val="none"/>
                <w:vertAlign w:val="baseline"/>
                <w:lang w:val="en-US" w:eastAsia="zh-CN" w:bidi="ar"/>
              </w:rPr>
              <w:t>40分</w:t>
            </w:r>
          </w:p>
        </w:tc>
      </w:tr>
      <w:tr w14:paraId="355E59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90" w:hRule="atLeast"/>
          <w:jc w:val="center"/>
        </w:trPr>
        <w:tc>
          <w:tcPr>
            <w:tcW w:w="313" w:type="pct"/>
            <w:tcBorders>
              <w:top w:val="single" w:color="000000" w:sz="2" w:space="0"/>
              <w:left w:val="single" w:color="000000" w:sz="2" w:space="0"/>
              <w:bottom w:val="single" w:color="000000" w:sz="2" w:space="0"/>
              <w:right w:val="single" w:color="000000" w:sz="2" w:space="0"/>
            </w:tcBorders>
            <w:shd w:val="clear" w:color="auto" w:fill="auto"/>
            <w:vAlign w:val="center"/>
          </w:tcPr>
          <w:p w14:paraId="231BECB9">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jc w:val="center"/>
              <w:textAlignment w:val="baseline"/>
              <w:rPr>
                <w:rFonts w:hint="eastAsia" w:ascii="宋体" w:hAnsi="宋体" w:eastAsia="宋体" w:cs="宋体"/>
                <w:snapToGrid w:val="0"/>
                <w:color w:val="auto"/>
                <w:kern w:val="0"/>
                <w:szCs w:val="21"/>
                <w:highlight w:val="none"/>
                <w:vertAlign w:val="baseline"/>
                <w:lang w:val="en-US"/>
              </w:rPr>
            </w:pPr>
            <w:r>
              <w:rPr>
                <w:rFonts w:hint="eastAsia" w:ascii="宋体" w:hAnsi="宋体" w:eastAsia="宋体" w:cs="宋体"/>
                <w:snapToGrid w:val="0"/>
                <w:color w:val="auto"/>
                <w:kern w:val="0"/>
                <w:sz w:val="21"/>
                <w:szCs w:val="21"/>
                <w:highlight w:val="none"/>
                <w:vertAlign w:val="baseline"/>
                <w:lang w:val="en-US" w:eastAsia="zh-CN" w:bidi="ar"/>
              </w:rPr>
              <w:t>2.2</w:t>
            </w:r>
          </w:p>
        </w:tc>
        <w:tc>
          <w:tcPr>
            <w:tcW w:w="689" w:type="pct"/>
            <w:tcBorders>
              <w:top w:val="single" w:color="000000" w:sz="2" w:space="0"/>
              <w:left w:val="single" w:color="000000" w:sz="2" w:space="0"/>
              <w:bottom w:val="single" w:color="000000" w:sz="2" w:space="0"/>
              <w:right w:val="single" w:color="000000" w:sz="2" w:space="0"/>
            </w:tcBorders>
            <w:shd w:val="clear" w:color="auto" w:fill="auto"/>
            <w:vAlign w:val="center"/>
          </w:tcPr>
          <w:p w14:paraId="34681E3A">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jc w:val="center"/>
              <w:textAlignment w:val="baseline"/>
              <w:rPr>
                <w:rFonts w:hint="eastAsia" w:ascii="宋体" w:hAnsi="宋体" w:eastAsia="宋体" w:cs="宋体"/>
                <w:color w:val="auto"/>
                <w:kern w:val="0"/>
                <w:szCs w:val="21"/>
                <w:highlight w:val="none"/>
                <w:vertAlign w:val="baseline"/>
                <w:lang w:val="en-US"/>
              </w:rPr>
            </w:pPr>
            <w:r>
              <w:rPr>
                <w:rFonts w:hint="eastAsia" w:ascii="宋体" w:hAnsi="宋体" w:eastAsia="宋体" w:cs="宋体"/>
                <w:snapToGrid w:val="0"/>
                <w:color w:val="auto"/>
                <w:kern w:val="0"/>
                <w:sz w:val="21"/>
                <w:szCs w:val="21"/>
                <w:highlight w:val="none"/>
                <w:vertAlign w:val="baseline"/>
                <w:lang w:val="en-US" w:eastAsia="zh-CN" w:bidi="ar"/>
              </w:rPr>
              <w:t>服务承诺分</w:t>
            </w:r>
          </w:p>
        </w:tc>
        <w:tc>
          <w:tcPr>
            <w:tcW w:w="3727" w:type="pct"/>
            <w:tcBorders>
              <w:top w:val="single" w:color="000000" w:sz="2" w:space="0"/>
              <w:left w:val="single" w:color="000000" w:sz="2" w:space="0"/>
              <w:bottom w:val="single" w:color="000000" w:sz="2" w:space="0"/>
              <w:right w:val="single" w:color="000000" w:sz="2" w:space="0"/>
            </w:tcBorders>
            <w:shd w:val="clear" w:color="auto" w:fill="auto"/>
            <w:vAlign w:val="center"/>
          </w:tcPr>
          <w:p w14:paraId="52F6DB7F">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firstLine="420" w:firstLineChars="200"/>
              <w:jc w:val="left"/>
              <w:textAlignment w:val="baseline"/>
              <w:rPr>
                <w:rFonts w:hint="eastAsia" w:ascii="宋体" w:hAnsi="宋体" w:eastAsia="宋体" w:cs="宋体"/>
                <w:color w:val="auto"/>
                <w:kern w:val="0"/>
                <w:szCs w:val="21"/>
                <w:highlight w:val="none"/>
                <w:vertAlign w:val="baseline"/>
                <w:lang w:val="en-US"/>
              </w:rPr>
            </w:pPr>
            <w:r>
              <w:rPr>
                <w:rFonts w:hint="eastAsia" w:ascii="宋体" w:hAnsi="宋体" w:eastAsia="宋体" w:cs="宋体"/>
                <w:snapToGrid w:val="0"/>
                <w:color w:val="auto"/>
                <w:kern w:val="0"/>
                <w:sz w:val="21"/>
                <w:szCs w:val="21"/>
                <w:highlight w:val="none"/>
                <w:vertAlign w:val="baseline"/>
                <w:lang w:val="en-US" w:eastAsia="zh-CN" w:bidi="ar"/>
              </w:rPr>
              <w:t>一档（</w:t>
            </w:r>
            <w:r>
              <w:rPr>
                <w:rFonts w:hint="eastAsia" w:ascii="宋体" w:hAnsi="宋体" w:eastAsia="宋体" w:cs="宋体"/>
                <w:color w:val="auto"/>
                <w:kern w:val="0"/>
                <w:sz w:val="21"/>
                <w:szCs w:val="21"/>
                <w:highlight w:val="none"/>
                <w:vertAlign w:val="baseline"/>
                <w:lang w:val="en-US" w:eastAsia="zh-CN" w:bidi="ar"/>
              </w:rPr>
              <w:t>8</w:t>
            </w:r>
            <w:r>
              <w:rPr>
                <w:rFonts w:hint="eastAsia" w:ascii="宋体" w:hAnsi="宋体" w:eastAsia="宋体" w:cs="宋体"/>
                <w:snapToGrid w:val="0"/>
                <w:color w:val="auto"/>
                <w:kern w:val="0"/>
                <w:sz w:val="21"/>
                <w:szCs w:val="21"/>
                <w:highlight w:val="none"/>
                <w:vertAlign w:val="baseline"/>
                <w:lang w:val="en-US" w:eastAsia="zh-CN" w:bidi="ar"/>
              </w:rPr>
              <w:t>分）：供应商提供的服务承诺、交付成果时间等方面，表述简单，服务承诺基本满足项目要求。</w:t>
            </w:r>
          </w:p>
          <w:p w14:paraId="64B56E0B">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firstLine="420" w:firstLineChars="200"/>
              <w:jc w:val="left"/>
              <w:textAlignment w:val="baseline"/>
              <w:rPr>
                <w:rFonts w:hint="eastAsia" w:ascii="宋体" w:hAnsi="宋体" w:eastAsia="宋体" w:cs="宋体"/>
                <w:color w:val="auto"/>
                <w:kern w:val="0"/>
                <w:szCs w:val="21"/>
                <w:highlight w:val="none"/>
                <w:vertAlign w:val="baseline"/>
                <w:lang w:val="en-US"/>
              </w:rPr>
            </w:pPr>
            <w:r>
              <w:rPr>
                <w:rFonts w:hint="eastAsia" w:ascii="宋体" w:hAnsi="宋体" w:eastAsia="宋体" w:cs="宋体"/>
                <w:snapToGrid w:val="0"/>
                <w:color w:val="auto"/>
                <w:kern w:val="0"/>
                <w:sz w:val="21"/>
                <w:szCs w:val="21"/>
                <w:highlight w:val="none"/>
                <w:vertAlign w:val="baseline"/>
                <w:lang w:val="en-US" w:eastAsia="zh-CN" w:bidi="ar"/>
              </w:rPr>
              <w:t>二档（</w:t>
            </w:r>
            <w:r>
              <w:rPr>
                <w:rFonts w:hint="eastAsia" w:ascii="宋体" w:hAnsi="宋体" w:eastAsia="宋体" w:cs="宋体"/>
                <w:color w:val="auto"/>
                <w:kern w:val="0"/>
                <w:sz w:val="21"/>
                <w:szCs w:val="21"/>
                <w:highlight w:val="none"/>
                <w:vertAlign w:val="baseline"/>
                <w:lang w:val="en-US" w:eastAsia="zh-CN" w:bidi="ar"/>
              </w:rPr>
              <w:t>16</w:t>
            </w:r>
            <w:r>
              <w:rPr>
                <w:rFonts w:hint="eastAsia" w:ascii="宋体" w:hAnsi="宋体" w:eastAsia="宋体" w:cs="宋体"/>
                <w:snapToGrid w:val="0"/>
                <w:color w:val="auto"/>
                <w:kern w:val="0"/>
                <w:sz w:val="21"/>
                <w:szCs w:val="21"/>
                <w:highlight w:val="none"/>
                <w:vertAlign w:val="baseline"/>
                <w:lang w:val="en-US" w:eastAsia="zh-CN" w:bidi="ar"/>
              </w:rPr>
              <w:t>分）：供应商提供的服务承诺、交付成果等方面，对本项目的服务有正确理解与认识，表述清晰、完整，服务承诺满足项目要求。</w:t>
            </w:r>
          </w:p>
          <w:p w14:paraId="6765F8DA">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firstLine="420" w:firstLineChars="200"/>
              <w:jc w:val="left"/>
              <w:textAlignment w:val="baseline"/>
              <w:rPr>
                <w:rFonts w:hint="eastAsia" w:ascii="宋体" w:hAnsi="宋体" w:eastAsia="宋体" w:cs="宋体"/>
                <w:color w:val="auto"/>
                <w:kern w:val="0"/>
                <w:szCs w:val="21"/>
                <w:highlight w:val="none"/>
                <w:vertAlign w:val="baseline"/>
                <w:lang w:val="en-US"/>
              </w:rPr>
            </w:pPr>
            <w:r>
              <w:rPr>
                <w:rFonts w:hint="eastAsia" w:ascii="宋体" w:hAnsi="宋体" w:eastAsia="宋体" w:cs="宋体"/>
                <w:snapToGrid w:val="0"/>
                <w:color w:val="auto"/>
                <w:kern w:val="0"/>
                <w:sz w:val="21"/>
                <w:szCs w:val="21"/>
                <w:highlight w:val="none"/>
                <w:vertAlign w:val="baseline"/>
                <w:lang w:val="en-US" w:eastAsia="zh-CN" w:bidi="ar"/>
              </w:rPr>
              <w:t>三档（</w:t>
            </w:r>
            <w:r>
              <w:rPr>
                <w:rFonts w:hint="eastAsia" w:ascii="宋体" w:hAnsi="宋体" w:eastAsia="宋体" w:cs="宋体"/>
                <w:color w:val="auto"/>
                <w:kern w:val="0"/>
                <w:sz w:val="21"/>
                <w:szCs w:val="21"/>
                <w:highlight w:val="none"/>
                <w:vertAlign w:val="baseline"/>
                <w:lang w:val="en-US" w:eastAsia="zh-CN" w:bidi="ar"/>
              </w:rPr>
              <w:t>25</w:t>
            </w:r>
            <w:r>
              <w:rPr>
                <w:rFonts w:hint="eastAsia" w:ascii="宋体" w:hAnsi="宋体" w:eastAsia="宋体" w:cs="宋体"/>
                <w:snapToGrid w:val="0"/>
                <w:color w:val="auto"/>
                <w:kern w:val="0"/>
                <w:sz w:val="21"/>
                <w:szCs w:val="21"/>
                <w:highlight w:val="none"/>
                <w:vertAlign w:val="baseline"/>
                <w:lang w:val="en-US" w:eastAsia="zh-CN" w:bidi="ar"/>
              </w:rPr>
              <w:t>分）：供应商提供的服务承诺、交付成果等方面，对本项目的服务有深刻理解与充分认识，表述清晰、完整、严谨，服务方案合理、有效、成熟，服务承诺贴合项目要求，并且有专门服务人员保障承诺。</w:t>
            </w:r>
          </w:p>
          <w:p w14:paraId="2DC68C16">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firstLine="420" w:firstLineChars="200"/>
              <w:jc w:val="left"/>
              <w:textAlignment w:val="baseline"/>
              <w:rPr>
                <w:rFonts w:hint="eastAsia" w:ascii="宋体" w:hAnsi="宋体" w:eastAsia="宋体" w:cs="宋体"/>
                <w:color w:val="auto"/>
                <w:kern w:val="0"/>
                <w:szCs w:val="21"/>
                <w:highlight w:val="none"/>
                <w:vertAlign w:val="baseline"/>
                <w:lang w:val="en-US"/>
              </w:rPr>
            </w:pPr>
            <w:r>
              <w:rPr>
                <w:rFonts w:hint="eastAsia" w:ascii="宋体" w:hAnsi="宋体" w:eastAsia="宋体" w:cs="宋体"/>
                <w:snapToGrid w:val="0"/>
                <w:color w:val="auto"/>
                <w:kern w:val="0"/>
                <w:sz w:val="21"/>
                <w:szCs w:val="21"/>
                <w:highlight w:val="none"/>
                <w:vertAlign w:val="baseline"/>
                <w:lang w:val="en-US" w:eastAsia="zh-CN" w:bidi="ar"/>
              </w:rPr>
              <w:t>注：未提供方案或方案不满足一档要求的，得</w:t>
            </w:r>
            <w:r>
              <w:rPr>
                <w:rFonts w:hint="eastAsia" w:ascii="宋体" w:hAnsi="宋体" w:eastAsia="宋体" w:cs="宋体"/>
                <w:color w:val="auto"/>
                <w:kern w:val="0"/>
                <w:sz w:val="21"/>
                <w:szCs w:val="21"/>
                <w:highlight w:val="none"/>
                <w:vertAlign w:val="baseline"/>
                <w:lang w:val="en-US" w:eastAsia="zh-CN" w:bidi="ar"/>
              </w:rPr>
              <w:t>0</w:t>
            </w:r>
            <w:r>
              <w:rPr>
                <w:rFonts w:hint="eastAsia" w:ascii="宋体" w:hAnsi="宋体" w:eastAsia="宋体" w:cs="宋体"/>
                <w:snapToGrid w:val="0"/>
                <w:color w:val="auto"/>
                <w:kern w:val="0"/>
                <w:sz w:val="21"/>
                <w:szCs w:val="21"/>
                <w:highlight w:val="none"/>
                <w:vertAlign w:val="baseline"/>
                <w:lang w:val="en-US" w:eastAsia="zh-CN" w:bidi="ar"/>
              </w:rPr>
              <w:t>分。</w:t>
            </w:r>
          </w:p>
        </w:tc>
        <w:tc>
          <w:tcPr>
            <w:tcW w:w="268" w:type="pct"/>
            <w:gridSpan w:val="2"/>
            <w:tcBorders>
              <w:top w:val="single" w:color="000000" w:sz="2" w:space="0"/>
              <w:left w:val="single" w:color="000000" w:sz="2" w:space="0"/>
              <w:bottom w:val="single" w:color="000000" w:sz="2" w:space="0"/>
              <w:right w:val="single" w:color="000000" w:sz="2" w:space="0"/>
            </w:tcBorders>
            <w:shd w:val="clear" w:color="auto" w:fill="auto"/>
            <w:vAlign w:val="center"/>
          </w:tcPr>
          <w:p w14:paraId="71B56ECB">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jc w:val="center"/>
              <w:textAlignment w:val="baseline"/>
              <w:rPr>
                <w:rFonts w:hint="eastAsia" w:ascii="宋体" w:hAnsi="宋体" w:eastAsia="宋体" w:cs="宋体"/>
                <w:color w:val="auto"/>
                <w:kern w:val="0"/>
                <w:szCs w:val="21"/>
                <w:highlight w:val="none"/>
                <w:vertAlign w:val="baseline"/>
                <w:lang w:val="en-US"/>
              </w:rPr>
            </w:pPr>
            <w:r>
              <w:rPr>
                <w:rFonts w:hint="eastAsia" w:ascii="宋体" w:hAnsi="宋体" w:eastAsia="宋体" w:cs="宋体"/>
                <w:snapToGrid w:val="0"/>
                <w:color w:val="auto"/>
                <w:kern w:val="0"/>
                <w:sz w:val="21"/>
                <w:szCs w:val="21"/>
                <w:highlight w:val="none"/>
                <w:vertAlign w:val="baseline"/>
                <w:lang w:val="en-US" w:eastAsia="zh-CN" w:bidi="ar"/>
              </w:rPr>
              <w:t>25分</w:t>
            </w:r>
          </w:p>
        </w:tc>
      </w:tr>
      <w:tr w14:paraId="3B9195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313" w:type="pct"/>
            <w:tcBorders>
              <w:top w:val="single" w:color="000000" w:sz="2" w:space="0"/>
              <w:left w:val="single" w:color="000000" w:sz="2" w:space="0"/>
              <w:bottom w:val="single" w:color="000000" w:sz="2" w:space="0"/>
              <w:right w:val="single" w:color="000000" w:sz="2" w:space="0"/>
            </w:tcBorders>
            <w:shd w:val="clear" w:color="auto" w:fill="auto"/>
            <w:vAlign w:val="center"/>
          </w:tcPr>
          <w:p w14:paraId="2D26BD7D">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jc w:val="center"/>
              <w:textAlignment w:val="baseline"/>
              <w:rPr>
                <w:rFonts w:hint="eastAsia" w:ascii="宋体" w:hAnsi="宋体" w:eastAsia="宋体" w:cs="宋体"/>
                <w:b/>
                <w:bCs/>
                <w:snapToGrid w:val="0"/>
                <w:color w:val="auto"/>
                <w:kern w:val="0"/>
                <w:szCs w:val="21"/>
                <w:highlight w:val="none"/>
                <w:vertAlign w:val="baseline"/>
                <w:lang w:val="en-US"/>
              </w:rPr>
            </w:pPr>
            <w:r>
              <w:rPr>
                <w:rFonts w:hint="eastAsia" w:ascii="宋体" w:hAnsi="宋体" w:eastAsia="宋体" w:cs="宋体"/>
                <w:b/>
                <w:bCs/>
                <w:snapToGrid w:val="0"/>
                <w:color w:val="auto"/>
                <w:kern w:val="0"/>
                <w:sz w:val="21"/>
                <w:szCs w:val="21"/>
                <w:highlight w:val="none"/>
                <w:vertAlign w:val="baseline"/>
                <w:lang w:val="en-US" w:eastAsia="zh-CN" w:bidi="ar"/>
              </w:rPr>
              <w:t>3</w:t>
            </w:r>
          </w:p>
        </w:tc>
        <w:tc>
          <w:tcPr>
            <w:tcW w:w="689" w:type="pct"/>
            <w:tcBorders>
              <w:top w:val="single" w:color="000000" w:sz="2" w:space="0"/>
              <w:left w:val="single" w:color="000000" w:sz="2" w:space="0"/>
              <w:bottom w:val="single" w:color="000000" w:sz="2" w:space="0"/>
              <w:right w:val="single" w:color="000000" w:sz="2" w:space="0"/>
            </w:tcBorders>
            <w:shd w:val="clear" w:color="auto" w:fill="auto"/>
            <w:vAlign w:val="center"/>
          </w:tcPr>
          <w:p w14:paraId="74C9A18E">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jc w:val="center"/>
              <w:textAlignment w:val="baseline"/>
              <w:rPr>
                <w:rFonts w:hint="eastAsia" w:ascii="宋体" w:hAnsi="宋体" w:eastAsia="宋体" w:cs="宋体"/>
                <w:b/>
                <w:bCs/>
                <w:color w:val="auto"/>
                <w:kern w:val="0"/>
                <w:szCs w:val="21"/>
                <w:highlight w:val="none"/>
                <w:vertAlign w:val="baseline"/>
                <w:lang w:val="en-US"/>
              </w:rPr>
            </w:pPr>
            <w:r>
              <w:rPr>
                <w:rFonts w:hint="eastAsia" w:ascii="宋体" w:hAnsi="宋体" w:eastAsia="宋体" w:cs="宋体"/>
                <w:b/>
                <w:bCs/>
                <w:snapToGrid w:val="0"/>
                <w:color w:val="auto"/>
                <w:kern w:val="0"/>
                <w:sz w:val="21"/>
                <w:szCs w:val="21"/>
                <w:highlight w:val="none"/>
                <w:vertAlign w:val="baseline"/>
                <w:lang w:val="en-US" w:eastAsia="zh-CN" w:bidi="ar"/>
              </w:rPr>
              <w:t>商务资信</w:t>
            </w:r>
          </w:p>
        </w:tc>
        <w:tc>
          <w:tcPr>
            <w:tcW w:w="3727" w:type="pct"/>
            <w:tcBorders>
              <w:top w:val="single" w:color="000000" w:sz="2" w:space="0"/>
              <w:left w:val="single" w:color="000000" w:sz="2" w:space="0"/>
              <w:bottom w:val="single" w:color="000000" w:sz="2" w:space="0"/>
              <w:right w:val="single" w:color="000000" w:sz="2" w:space="0"/>
            </w:tcBorders>
            <w:shd w:val="clear" w:color="auto" w:fill="auto"/>
            <w:vAlign w:val="center"/>
          </w:tcPr>
          <w:p w14:paraId="2F62B83C">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jc w:val="center"/>
              <w:textAlignment w:val="baseline"/>
              <w:rPr>
                <w:rFonts w:hint="eastAsia" w:ascii="宋体" w:hAnsi="宋体" w:eastAsia="宋体" w:cs="宋体"/>
                <w:b/>
                <w:bCs/>
                <w:color w:val="auto"/>
                <w:kern w:val="0"/>
                <w:szCs w:val="21"/>
                <w:highlight w:val="none"/>
                <w:vertAlign w:val="baseline"/>
                <w:lang w:val="en-US"/>
              </w:rPr>
            </w:pPr>
            <w:r>
              <w:rPr>
                <w:rFonts w:hint="eastAsia" w:ascii="宋体" w:hAnsi="宋体" w:eastAsia="宋体" w:cs="宋体"/>
                <w:b/>
                <w:bCs/>
                <w:snapToGrid w:val="0"/>
                <w:color w:val="auto"/>
                <w:kern w:val="0"/>
                <w:sz w:val="21"/>
                <w:szCs w:val="21"/>
                <w:highlight w:val="none"/>
                <w:vertAlign w:val="baseline"/>
                <w:lang w:val="en-US" w:eastAsia="zh-CN" w:bidi="ar"/>
              </w:rPr>
              <w:t>评审因素</w:t>
            </w:r>
          </w:p>
        </w:tc>
        <w:tc>
          <w:tcPr>
            <w:tcW w:w="268" w:type="pct"/>
            <w:gridSpan w:val="2"/>
            <w:tcBorders>
              <w:top w:val="single" w:color="000000" w:sz="2" w:space="0"/>
              <w:left w:val="single" w:color="000000" w:sz="2" w:space="0"/>
              <w:bottom w:val="single" w:color="000000" w:sz="2" w:space="0"/>
              <w:right w:val="single" w:color="000000" w:sz="2" w:space="0"/>
            </w:tcBorders>
            <w:shd w:val="clear" w:color="auto" w:fill="auto"/>
            <w:vAlign w:val="center"/>
          </w:tcPr>
          <w:p w14:paraId="4DF3904C">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jc w:val="center"/>
              <w:textAlignment w:val="baseline"/>
              <w:rPr>
                <w:rFonts w:hint="eastAsia" w:ascii="宋体" w:hAnsi="宋体" w:eastAsia="宋体" w:cs="宋体"/>
                <w:b/>
                <w:bCs/>
                <w:color w:val="auto"/>
                <w:kern w:val="0"/>
                <w:szCs w:val="21"/>
                <w:highlight w:val="none"/>
                <w:vertAlign w:val="baseline"/>
                <w:lang w:val="en-US"/>
              </w:rPr>
            </w:pPr>
            <w:r>
              <w:rPr>
                <w:rFonts w:hint="eastAsia" w:ascii="宋体" w:hAnsi="宋体" w:eastAsia="宋体" w:cs="宋体"/>
                <w:b/>
                <w:bCs/>
                <w:snapToGrid w:val="0"/>
                <w:color w:val="auto"/>
                <w:kern w:val="0"/>
                <w:sz w:val="21"/>
                <w:szCs w:val="21"/>
                <w:highlight w:val="none"/>
                <w:vertAlign w:val="baseline"/>
                <w:lang w:val="en-US" w:eastAsia="zh-CN" w:bidi="ar"/>
              </w:rPr>
              <w:t>满分</w:t>
            </w:r>
            <w:r>
              <w:rPr>
                <w:rFonts w:hint="eastAsia" w:ascii="宋体" w:hAnsi="宋体" w:eastAsia="宋体" w:cs="宋体"/>
                <w:b/>
                <w:bCs/>
                <w:color w:val="auto"/>
                <w:kern w:val="0"/>
                <w:sz w:val="21"/>
                <w:szCs w:val="21"/>
                <w:highlight w:val="none"/>
                <w:vertAlign w:val="baseline"/>
                <w:lang w:val="en-US" w:eastAsia="zh-CN" w:bidi="ar"/>
              </w:rPr>
              <w:t>25</w:t>
            </w:r>
            <w:r>
              <w:rPr>
                <w:rFonts w:hint="eastAsia" w:ascii="宋体" w:hAnsi="宋体" w:eastAsia="宋体" w:cs="宋体"/>
                <w:b/>
                <w:bCs/>
                <w:snapToGrid w:val="0"/>
                <w:color w:val="auto"/>
                <w:kern w:val="0"/>
                <w:sz w:val="21"/>
                <w:szCs w:val="21"/>
                <w:highlight w:val="none"/>
                <w:vertAlign w:val="baseline"/>
                <w:lang w:val="en-US" w:eastAsia="zh-CN" w:bidi="ar"/>
              </w:rPr>
              <w:t>分</w:t>
            </w:r>
          </w:p>
        </w:tc>
      </w:tr>
      <w:tr w14:paraId="3B7B3A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jc w:val="center"/>
        </w:trPr>
        <w:tc>
          <w:tcPr>
            <w:tcW w:w="313" w:type="pct"/>
            <w:tcBorders>
              <w:top w:val="single" w:color="000000" w:sz="2" w:space="0"/>
              <w:left w:val="single" w:color="000000" w:sz="2" w:space="0"/>
              <w:bottom w:val="single" w:color="000000" w:sz="2" w:space="0"/>
              <w:right w:val="single" w:color="000000" w:sz="2" w:space="0"/>
            </w:tcBorders>
            <w:shd w:val="clear" w:color="auto" w:fill="auto"/>
            <w:vAlign w:val="center"/>
          </w:tcPr>
          <w:p w14:paraId="198F24E5">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jc w:val="center"/>
              <w:textAlignment w:val="baseline"/>
              <w:rPr>
                <w:rFonts w:hint="eastAsia" w:ascii="宋体" w:hAnsi="宋体" w:eastAsia="宋体" w:cs="宋体"/>
                <w:snapToGrid w:val="0"/>
                <w:color w:val="auto"/>
                <w:kern w:val="0"/>
                <w:szCs w:val="21"/>
                <w:highlight w:val="none"/>
                <w:vertAlign w:val="baseline"/>
                <w:lang w:val="en-US"/>
              </w:rPr>
            </w:pPr>
            <w:r>
              <w:rPr>
                <w:rFonts w:hint="eastAsia" w:ascii="宋体" w:hAnsi="宋体" w:eastAsia="宋体" w:cs="宋体"/>
                <w:snapToGrid w:val="0"/>
                <w:color w:val="auto"/>
                <w:kern w:val="0"/>
                <w:sz w:val="21"/>
                <w:szCs w:val="21"/>
                <w:highlight w:val="none"/>
                <w:vertAlign w:val="baseline"/>
                <w:lang w:val="en-US" w:eastAsia="zh-CN" w:bidi="ar"/>
              </w:rPr>
              <w:t>3.1</w:t>
            </w:r>
          </w:p>
        </w:tc>
        <w:tc>
          <w:tcPr>
            <w:tcW w:w="689" w:type="pct"/>
            <w:tcBorders>
              <w:top w:val="single" w:color="000000" w:sz="2" w:space="0"/>
              <w:left w:val="single" w:color="000000" w:sz="2" w:space="0"/>
              <w:bottom w:val="single" w:color="000000" w:sz="2" w:space="0"/>
              <w:right w:val="single" w:color="000000" w:sz="2" w:space="0"/>
            </w:tcBorders>
            <w:shd w:val="clear" w:color="auto" w:fill="auto"/>
            <w:vAlign w:val="center"/>
          </w:tcPr>
          <w:p w14:paraId="21BEDB31">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jc w:val="center"/>
              <w:textAlignment w:val="baseline"/>
              <w:rPr>
                <w:rFonts w:hint="eastAsia" w:ascii="宋体" w:hAnsi="宋体" w:eastAsia="宋体" w:cs="宋体"/>
                <w:color w:val="auto"/>
                <w:kern w:val="0"/>
                <w:szCs w:val="21"/>
                <w:highlight w:val="none"/>
                <w:vertAlign w:val="baseline"/>
                <w:lang w:val="en-US"/>
              </w:rPr>
            </w:pPr>
            <w:r>
              <w:rPr>
                <w:rFonts w:hint="eastAsia" w:ascii="宋体" w:hAnsi="宋体" w:eastAsia="宋体" w:cs="宋体"/>
                <w:snapToGrid w:val="0"/>
                <w:color w:val="auto"/>
                <w:kern w:val="0"/>
                <w:sz w:val="21"/>
                <w:szCs w:val="21"/>
                <w:highlight w:val="none"/>
                <w:vertAlign w:val="baseline"/>
                <w:lang w:val="en-US" w:eastAsia="zh-CN" w:bidi="ar"/>
              </w:rPr>
              <w:t>拟投入人员分</w:t>
            </w:r>
          </w:p>
        </w:tc>
        <w:tc>
          <w:tcPr>
            <w:tcW w:w="3727" w:type="pct"/>
            <w:tcBorders>
              <w:top w:val="single" w:color="000000" w:sz="2" w:space="0"/>
              <w:left w:val="single" w:color="000000" w:sz="2" w:space="0"/>
              <w:bottom w:val="single" w:color="000000" w:sz="2" w:space="0"/>
              <w:right w:val="single" w:color="000000" w:sz="2" w:space="0"/>
            </w:tcBorders>
            <w:shd w:val="clear" w:color="auto" w:fill="auto"/>
            <w:vAlign w:val="center"/>
          </w:tcPr>
          <w:p w14:paraId="151BBD88">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firstLine="420" w:firstLineChars="200"/>
              <w:jc w:val="left"/>
              <w:textAlignment w:val="baseline"/>
              <w:rPr>
                <w:rFonts w:hint="eastAsia" w:ascii="宋体" w:hAnsi="宋体" w:eastAsia="宋体" w:cs="宋体"/>
                <w:color w:val="auto"/>
                <w:kern w:val="0"/>
                <w:szCs w:val="21"/>
                <w:highlight w:val="none"/>
                <w:vertAlign w:val="baseline"/>
                <w:lang w:val="en-US"/>
              </w:rPr>
            </w:pPr>
            <w:r>
              <w:rPr>
                <w:rFonts w:hint="eastAsia" w:ascii="宋体" w:hAnsi="宋体" w:eastAsia="宋体" w:cs="宋体"/>
                <w:snapToGrid w:val="0"/>
                <w:color w:val="auto"/>
                <w:kern w:val="0"/>
                <w:sz w:val="21"/>
                <w:szCs w:val="21"/>
                <w:highlight w:val="none"/>
                <w:vertAlign w:val="baseline"/>
                <w:lang w:val="en-US" w:eastAsia="zh-CN" w:bidi="ar"/>
              </w:rPr>
              <w:t>（</w:t>
            </w:r>
            <w:r>
              <w:rPr>
                <w:rFonts w:hint="eastAsia" w:ascii="宋体" w:hAnsi="宋体" w:eastAsia="宋体" w:cs="宋体"/>
                <w:color w:val="auto"/>
                <w:kern w:val="0"/>
                <w:sz w:val="21"/>
                <w:szCs w:val="21"/>
                <w:highlight w:val="none"/>
                <w:vertAlign w:val="baseline"/>
                <w:lang w:val="en-US" w:eastAsia="zh-CN" w:bidi="ar"/>
              </w:rPr>
              <w:t>1</w:t>
            </w:r>
            <w:r>
              <w:rPr>
                <w:rFonts w:hint="eastAsia" w:ascii="宋体" w:hAnsi="宋体" w:eastAsia="宋体" w:cs="宋体"/>
                <w:snapToGrid w:val="0"/>
                <w:color w:val="auto"/>
                <w:kern w:val="0"/>
                <w:sz w:val="21"/>
                <w:szCs w:val="21"/>
                <w:highlight w:val="none"/>
                <w:vertAlign w:val="baseline"/>
                <w:lang w:val="en-US" w:eastAsia="zh-CN" w:bidi="ar"/>
              </w:rPr>
              <w:t>）拟投入本项目的注册会计师 至少</w:t>
            </w:r>
            <w:r>
              <w:rPr>
                <w:rFonts w:hint="eastAsia" w:ascii="宋体" w:hAnsi="宋体" w:eastAsia="宋体" w:cs="宋体"/>
                <w:color w:val="auto"/>
                <w:kern w:val="0"/>
                <w:sz w:val="21"/>
                <w:szCs w:val="21"/>
                <w:highlight w:val="none"/>
                <w:vertAlign w:val="baseline"/>
                <w:lang w:val="en-US" w:eastAsia="zh-CN" w:bidi="ar"/>
              </w:rPr>
              <w:t>2</w:t>
            </w:r>
            <w:r>
              <w:rPr>
                <w:rFonts w:hint="eastAsia" w:ascii="宋体" w:hAnsi="宋体" w:eastAsia="宋体" w:cs="宋体"/>
                <w:snapToGrid w:val="0"/>
                <w:color w:val="auto"/>
                <w:kern w:val="0"/>
                <w:sz w:val="21"/>
                <w:szCs w:val="21"/>
                <w:highlight w:val="none"/>
                <w:vertAlign w:val="baseline"/>
                <w:lang w:val="en-US" w:eastAsia="zh-CN" w:bidi="ar"/>
              </w:rPr>
              <w:t>人，每增加一人得</w:t>
            </w:r>
            <w:r>
              <w:rPr>
                <w:rFonts w:hint="eastAsia" w:ascii="宋体" w:hAnsi="宋体" w:eastAsia="宋体" w:cs="宋体"/>
                <w:color w:val="auto"/>
                <w:kern w:val="0"/>
                <w:sz w:val="21"/>
                <w:szCs w:val="21"/>
                <w:highlight w:val="none"/>
                <w:vertAlign w:val="baseline"/>
                <w:lang w:val="en-US" w:eastAsia="zh-CN" w:bidi="ar"/>
              </w:rPr>
              <w:t>2</w:t>
            </w:r>
            <w:r>
              <w:rPr>
                <w:rFonts w:hint="eastAsia" w:ascii="宋体" w:hAnsi="宋体" w:eastAsia="宋体" w:cs="宋体"/>
                <w:snapToGrid w:val="0"/>
                <w:color w:val="auto"/>
                <w:kern w:val="0"/>
                <w:sz w:val="21"/>
                <w:szCs w:val="21"/>
                <w:highlight w:val="none"/>
                <w:vertAlign w:val="baseline"/>
                <w:lang w:val="en-US" w:eastAsia="zh-CN" w:bidi="ar"/>
              </w:rPr>
              <w:t>分，最高不超过</w:t>
            </w:r>
            <w:r>
              <w:rPr>
                <w:rFonts w:hint="eastAsia" w:ascii="宋体" w:hAnsi="宋体" w:eastAsia="宋体" w:cs="宋体"/>
                <w:color w:val="auto"/>
                <w:kern w:val="0"/>
                <w:sz w:val="21"/>
                <w:szCs w:val="21"/>
                <w:highlight w:val="none"/>
                <w:vertAlign w:val="baseline"/>
                <w:lang w:val="en-US" w:eastAsia="zh-CN" w:bidi="ar"/>
              </w:rPr>
              <w:t>8</w:t>
            </w:r>
            <w:r>
              <w:rPr>
                <w:rFonts w:hint="eastAsia" w:ascii="宋体" w:hAnsi="宋体" w:eastAsia="宋体" w:cs="宋体"/>
                <w:snapToGrid w:val="0"/>
                <w:color w:val="auto"/>
                <w:kern w:val="0"/>
                <w:sz w:val="21"/>
                <w:szCs w:val="21"/>
                <w:highlight w:val="none"/>
                <w:vertAlign w:val="baseline"/>
                <w:lang w:val="en-US" w:eastAsia="zh-CN" w:bidi="ar"/>
              </w:rPr>
              <w:t>分。（提供执业证书复印件并加盖供应商电子公章）</w:t>
            </w:r>
          </w:p>
          <w:p w14:paraId="73C20858">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firstLine="420" w:firstLineChars="200"/>
              <w:jc w:val="left"/>
              <w:textAlignment w:val="baseline"/>
              <w:rPr>
                <w:rFonts w:hint="eastAsia" w:ascii="宋体" w:hAnsi="宋体" w:eastAsia="宋体" w:cs="宋体"/>
                <w:color w:val="auto"/>
                <w:kern w:val="0"/>
                <w:szCs w:val="21"/>
                <w:highlight w:val="none"/>
                <w:vertAlign w:val="baseline"/>
                <w:lang w:val="en-US"/>
              </w:rPr>
            </w:pPr>
            <w:r>
              <w:rPr>
                <w:rFonts w:hint="eastAsia" w:ascii="宋体" w:hAnsi="宋体" w:eastAsia="宋体" w:cs="宋体"/>
                <w:snapToGrid w:val="0"/>
                <w:color w:val="auto"/>
                <w:kern w:val="0"/>
                <w:sz w:val="21"/>
                <w:szCs w:val="21"/>
                <w:highlight w:val="none"/>
                <w:vertAlign w:val="baseline"/>
                <w:lang w:val="en-US" w:eastAsia="zh-CN" w:bidi="ar"/>
              </w:rPr>
              <w:t>（</w:t>
            </w:r>
            <w:r>
              <w:rPr>
                <w:rFonts w:hint="eastAsia" w:ascii="宋体" w:hAnsi="宋体" w:eastAsia="宋体" w:cs="宋体"/>
                <w:color w:val="auto"/>
                <w:kern w:val="0"/>
                <w:sz w:val="21"/>
                <w:szCs w:val="21"/>
                <w:highlight w:val="none"/>
                <w:vertAlign w:val="baseline"/>
                <w:lang w:val="en-US" w:eastAsia="zh-CN" w:bidi="ar"/>
              </w:rPr>
              <w:t>2</w:t>
            </w:r>
            <w:r>
              <w:rPr>
                <w:rFonts w:hint="eastAsia" w:ascii="宋体" w:hAnsi="宋体" w:eastAsia="宋体" w:cs="宋体"/>
                <w:snapToGrid w:val="0"/>
                <w:color w:val="auto"/>
                <w:kern w:val="0"/>
                <w:sz w:val="21"/>
                <w:szCs w:val="21"/>
                <w:highlight w:val="none"/>
                <w:vertAlign w:val="baseline"/>
                <w:lang w:val="en-US" w:eastAsia="zh-CN" w:bidi="ar"/>
              </w:rPr>
              <w:t>）拟投入人员中（项目负责人除外），具有中级以上（含中级）审计或会计职称，每人得</w:t>
            </w:r>
            <w:r>
              <w:rPr>
                <w:rFonts w:hint="eastAsia" w:ascii="宋体" w:hAnsi="宋体" w:eastAsia="宋体" w:cs="宋体"/>
                <w:color w:val="auto"/>
                <w:kern w:val="0"/>
                <w:sz w:val="21"/>
                <w:szCs w:val="21"/>
                <w:highlight w:val="none"/>
                <w:vertAlign w:val="baseline"/>
                <w:lang w:val="en-US" w:eastAsia="zh-CN" w:bidi="ar"/>
              </w:rPr>
              <w:t>1</w:t>
            </w:r>
            <w:r>
              <w:rPr>
                <w:rFonts w:hint="eastAsia" w:ascii="宋体" w:hAnsi="宋体" w:eastAsia="宋体" w:cs="宋体"/>
                <w:snapToGrid w:val="0"/>
                <w:color w:val="auto"/>
                <w:kern w:val="0"/>
                <w:sz w:val="21"/>
                <w:szCs w:val="21"/>
                <w:highlight w:val="none"/>
                <w:vertAlign w:val="baseline"/>
                <w:lang w:val="en-US" w:eastAsia="zh-CN" w:bidi="ar"/>
              </w:rPr>
              <w:t>分，满分</w:t>
            </w:r>
            <w:r>
              <w:rPr>
                <w:rFonts w:hint="eastAsia" w:ascii="宋体" w:hAnsi="宋体" w:eastAsia="宋体" w:cs="宋体"/>
                <w:color w:val="auto"/>
                <w:kern w:val="0"/>
                <w:sz w:val="21"/>
                <w:szCs w:val="21"/>
                <w:highlight w:val="none"/>
                <w:vertAlign w:val="baseline"/>
                <w:lang w:val="en-US" w:eastAsia="zh-CN" w:bidi="ar"/>
              </w:rPr>
              <w:t>8</w:t>
            </w:r>
            <w:r>
              <w:rPr>
                <w:rFonts w:hint="eastAsia" w:ascii="宋体" w:hAnsi="宋体" w:eastAsia="宋体" w:cs="宋体"/>
                <w:snapToGrid w:val="0"/>
                <w:color w:val="auto"/>
                <w:kern w:val="0"/>
                <w:sz w:val="21"/>
                <w:szCs w:val="21"/>
                <w:highlight w:val="none"/>
                <w:vertAlign w:val="baseline"/>
                <w:lang w:val="en-US" w:eastAsia="zh-CN" w:bidi="ar"/>
              </w:rPr>
              <w:t>分。</w:t>
            </w:r>
          </w:p>
          <w:p w14:paraId="21677A5F">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firstLine="420" w:firstLineChars="200"/>
              <w:jc w:val="left"/>
              <w:textAlignment w:val="baseline"/>
              <w:rPr>
                <w:rFonts w:hint="eastAsia" w:ascii="宋体" w:hAnsi="宋体" w:eastAsia="宋体" w:cs="宋体"/>
                <w:color w:val="auto"/>
                <w:kern w:val="0"/>
                <w:szCs w:val="21"/>
                <w:highlight w:val="none"/>
                <w:vertAlign w:val="baseline"/>
                <w:lang w:val="en-US"/>
              </w:rPr>
            </w:pPr>
            <w:r>
              <w:rPr>
                <w:rFonts w:hint="eastAsia" w:ascii="宋体" w:hAnsi="宋体" w:eastAsia="宋体" w:cs="宋体"/>
                <w:snapToGrid w:val="0"/>
                <w:color w:val="auto"/>
                <w:kern w:val="0"/>
                <w:sz w:val="21"/>
                <w:szCs w:val="21"/>
                <w:highlight w:val="none"/>
                <w:vertAlign w:val="baseline"/>
                <w:lang w:val="en-US" w:eastAsia="zh-CN" w:bidi="ar"/>
              </w:rPr>
              <w:t>说明：以上人员必须是供应商在职人员，附供应商</w:t>
            </w:r>
            <w:r>
              <w:rPr>
                <w:rFonts w:hint="eastAsia" w:ascii="宋体" w:hAnsi="宋体" w:eastAsia="宋体" w:cs="宋体"/>
                <w:color w:val="auto"/>
                <w:kern w:val="0"/>
                <w:sz w:val="21"/>
                <w:szCs w:val="21"/>
                <w:highlight w:val="none"/>
                <w:vertAlign w:val="baseline"/>
                <w:lang w:val="en-US" w:eastAsia="zh-CN" w:bidi="ar"/>
              </w:rPr>
              <w:t>2024</w:t>
            </w:r>
            <w:r>
              <w:rPr>
                <w:rFonts w:hint="eastAsia" w:ascii="宋体" w:hAnsi="宋体" w:eastAsia="宋体" w:cs="宋体"/>
                <w:snapToGrid w:val="0"/>
                <w:color w:val="auto"/>
                <w:kern w:val="0"/>
                <w:sz w:val="21"/>
                <w:szCs w:val="21"/>
                <w:highlight w:val="none"/>
                <w:vertAlign w:val="baseline"/>
                <w:lang w:val="en-US" w:eastAsia="zh-CN" w:bidi="ar"/>
              </w:rPr>
              <w:t>年</w:t>
            </w:r>
            <w:r>
              <w:rPr>
                <w:rFonts w:hint="eastAsia" w:ascii="宋体" w:hAnsi="宋体" w:eastAsia="宋体" w:cs="宋体"/>
                <w:color w:val="auto"/>
                <w:kern w:val="0"/>
                <w:sz w:val="21"/>
                <w:szCs w:val="21"/>
                <w:highlight w:val="none"/>
                <w:vertAlign w:val="baseline"/>
                <w:lang w:val="en-US" w:eastAsia="zh-CN" w:bidi="ar"/>
              </w:rPr>
              <w:t>1</w:t>
            </w:r>
            <w:r>
              <w:rPr>
                <w:rFonts w:hint="eastAsia" w:ascii="宋体" w:hAnsi="宋体" w:cs="宋体"/>
                <w:color w:val="auto"/>
                <w:kern w:val="0"/>
                <w:sz w:val="21"/>
                <w:szCs w:val="21"/>
                <w:highlight w:val="none"/>
                <w:vertAlign w:val="baseline"/>
                <w:lang w:val="en-US" w:eastAsia="zh-CN" w:bidi="ar"/>
              </w:rPr>
              <w:t>2</w:t>
            </w:r>
            <w:r>
              <w:rPr>
                <w:rFonts w:hint="eastAsia" w:ascii="宋体" w:hAnsi="宋体" w:eastAsia="宋体" w:cs="宋体"/>
                <w:snapToGrid w:val="0"/>
                <w:color w:val="auto"/>
                <w:kern w:val="0"/>
                <w:sz w:val="21"/>
                <w:szCs w:val="21"/>
                <w:highlight w:val="none"/>
                <w:vertAlign w:val="baseline"/>
                <w:lang w:val="en-US" w:eastAsia="zh-CN" w:bidi="ar"/>
              </w:rPr>
              <w:t>月份</w:t>
            </w:r>
            <w:r>
              <w:rPr>
                <w:rFonts w:hint="eastAsia" w:ascii="宋体" w:hAnsi="宋体" w:cs="宋体"/>
                <w:snapToGrid w:val="0"/>
                <w:color w:val="auto"/>
                <w:kern w:val="0"/>
                <w:sz w:val="21"/>
                <w:szCs w:val="21"/>
                <w:highlight w:val="none"/>
                <w:vertAlign w:val="baseline"/>
                <w:lang w:val="en-US" w:eastAsia="zh-CN" w:bidi="ar"/>
              </w:rPr>
              <w:t>至响应截止时间前</w:t>
            </w:r>
            <w:r>
              <w:rPr>
                <w:rFonts w:hint="eastAsia" w:ascii="宋体" w:hAnsi="宋体" w:eastAsia="宋体" w:cs="宋体"/>
                <w:snapToGrid w:val="0"/>
                <w:color w:val="auto"/>
                <w:kern w:val="0"/>
                <w:sz w:val="21"/>
                <w:szCs w:val="21"/>
                <w:highlight w:val="none"/>
                <w:vertAlign w:val="baseline"/>
                <w:lang w:val="en-US" w:eastAsia="zh-CN" w:bidi="ar"/>
              </w:rPr>
              <w:t>任意一个月供应商为其缴纳的社会保险证明材料等相关材料复印件并加盖供应商电子公章。</w:t>
            </w:r>
          </w:p>
        </w:tc>
        <w:tc>
          <w:tcPr>
            <w:tcW w:w="268" w:type="pct"/>
            <w:gridSpan w:val="2"/>
            <w:tcBorders>
              <w:top w:val="single" w:color="000000" w:sz="2" w:space="0"/>
              <w:left w:val="single" w:color="000000" w:sz="2" w:space="0"/>
              <w:bottom w:val="single" w:color="000000" w:sz="2" w:space="0"/>
              <w:right w:val="single" w:color="000000" w:sz="2" w:space="0"/>
            </w:tcBorders>
            <w:shd w:val="clear" w:color="auto" w:fill="auto"/>
            <w:vAlign w:val="center"/>
          </w:tcPr>
          <w:p w14:paraId="2BA14BD2">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jc w:val="center"/>
              <w:textAlignment w:val="baseline"/>
              <w:rPr>
                <w:rFonts w:hint="eastAsia" w:ascii="宋体" w:hAnsi="宋体" w:eastAsia="宋体" w:cs="宋体"/>
                <w:color w:val="auto"/>
                <w:kern w:val="0"/>
                <w:szCs w:val="21"/>
                <w:highlight w:val="none"/>
                <w:vertAlign w:val="baseline"/>
                <w:lang w:val="en-US"/>
              </w:rPr>
            </w:pPr>
            <w:r>
              <w:rPr>
                <w:rFonts w:hint="eastAsia" w:ascii="宋体" w:hAnsi="宋体" w:eastAsia="宋体" w:cs="宋体"/>
                <w:snapToGrid w:val="0"/>
                <w:color w:val="auto"/>
                <w:kern w:val="0"/>
                <w:sz w:val="21"/>
                <w:szCs w:val="21"/>
                <w:highlight w:val="none"/>
                <w:vertAlign w:val="baseline"/>
                <w:lang w:val="en-US" w:eastAsia="zh-CN" w:bidi="ar"/>
              </w:rPr>
              <w:t>16分</w:t>
            </w:r>
          </w:p>
        </w:tc>
      </w:tr>
      <w:tr w14:paraId="2CE5A3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8" w:hRule="atLeast"/>
          <w:jc w:val="center"/>
        </w:trPr>
        <w:tc>
          <w:tcPr>
            <w:tcW w:w="313" w:type="pct"/>
            <w:tcBorders>
              <w:top w:val="single" w:color="000000" w:sz="2" w:space="0"/>
              <w:left w:val="single" w:color="000000" w:sz="2" w:space="0"/>
              <w:bottom w:val="single" w:color="000000" w:sz="2" w:space="0"/>
              <w:right w:val="single" w:color="000000" w:sz="2" w:space="0"/>
            </w:tcBorders>
            <w:shd w:val="clear" w:color="auto" w:fill="auto"/>
            <w:vAlign w:val="center"/>
          </w:tcPr>
          <w:p w14:paraId="2545C4E5">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jc w:val="center"/>
              <w:textAlignment w:val="baseline"/>
              <w:rPr>
                <w:rFonts w:hint="eastAsia" w:ascii="宋体" w:hAnsi="宋体" w:eastAsia="宋体" w:cs="宋体"/>
                <w:snapToGrid w:val="0"/>
                <w:color w:val="auto"/>
                <w:kern w:val="0"/>
                <w:szCs w:val="21"/>
                <w:highlight w:val="none"/>
                <w:vertAlign w:val="baseline"/>
                <w:lang w:val="en-US"/>
              </w:rPr>
            </w:pPr>
            <w:r>
              <w:rPr>
                <w:rFonts w:hint="eastAsia" w:ascii="宋体" w:hAnsi="宋体" w:eastAsia="宋体" w:cs="宋体"/>
                <w:snapToGrid w:val="0"/>
                <w:color w:val="auto"/>
                <w:kern w:val="0"/>
                <w:sz w:val="21"/>
                <w:szCs w:val="21"/>
                <w:highlight w:val="none"/>
                <w:vertAlign w:val="baseline"/>
                <w:lang w:val="en-US" w:eastAsia="zh-CN" w:bidi="ar"/>
              </w:rPr>
              <w:t>3.2</w:t>
            </w:r>
          </w:p>
        </w:tc>
        <w:tc>
          <w:tcPr>
            <w:tcW w:w="689" w:type="pct"/>
            <w:tcBorders>
              <w:top w:val="single" w:color="000000" w:sz="2" w:space="0"/>
              <w:left w:val="single" w:color="000000" w:sz="2" w:space="0"/>
              <w:bottom w:val="single" w:color="000000" w:sz="2" w:space="0"/>
              <w:right w:val="single" w:color="000000" w:sz="2" w:space="0"/>
            </w:tcBorders>
            <w:shd w:val="clear" w:color="auto" w:fill="auto"/>
            <w:vAlign w:val="center"/>
          </w:tcPr>
          <w:p w14:paraId="4C18D3DC">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jc w:val="center"/>
              <w:textAlignment w:val="baseline"/>
              <w:rPr>
                <w:rFonts w:hint="eastAsia" w:ascii="宋体" w:hAnsi="宋体" w:eastAsia="宋体" w:cs="宋体"/>
                <w:color w:val="auto"/>
                <w:kern w:val="0"/>
                <w:szCs w:val="21"/>
                <w:highlight w:val="none"/>
                <w:vertAlign w:val="baseline"/>
                <w:lang w:val="en-US"/>
              </w:rPr>
            </w:pPr>
            <w:r>
              <w:rPr>
                <w:rFonts w:hint="eastAsia" w:ascii="宋体" w:hAnsi="宋体" w:eastAsia="宋体" w:cs="宋体"/>
                <w:snapToGrid w:val="0"/>
                <w:color w:val="auto"/>
                <w:kern w:val="0"/>
                <w:sz w:val="21"/>
                <w:szCs w:val="21"/>
                <w:highlight w:val="none"/>
                <w:vertAlign w:val="baseline"/>
                <w:lang w:val="en-US" w:eastAsia="zh-CN" w:bidi="ar"/>
              </w:rPr>
              <w:t>信誉业绩分</w:t>
            </w:r>
          </w:p>
        </w:tc>
        <w:tc>
          <w:tcPr>
            <w:tcW w:w="3727" w:type="pct"/>
            <w:tcBorders>
              <w:top w:val="single" w:color="000000" w:sz="2" w:space="0"/>
              <w:left w:val="single" w:color="000000" w:sz="2" w:space="0"/>
              <w:bottom w:val="single" w:color="000000" w:sz="2" w:space="0"/>
              <w:right w:val="single" w:color="000000" w:sz="2" w:space="0"/>
            </w:tcBorders>
            <w:shd w:val="clear" w:color="auto" w:fill="auto"/>
            <w:vAlign w:val="center"/>
          </w:tcPr>
          <w:p w14:paraId="383830B2">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firstLine="420" w:firstLineChars="200"/>
              <w:jc w:val="left"/>
              <w:textAlignment w:val="baseline"/>
              <w:rPr>
                <w:rFonts w:hint="eastAsia" w:ascii="宋体" w:hAnsi="宋体" w:eastAsia="宋体" w:cs="宋体"/>
                <w:color w:val="auto"/>
                <w:kern w:val="0"/>
                <w:szCs w:val="21"/>
                <w:highlight w:val="none"/>
                <w:vertAlign w:val="baseline"/>
                <w:lang w:val="en-US"/>
              </w:rPr>
            </w:pPr>
            <w:r>
              <w:rPr>
                <w:rFonts w:hint="eastAsia" w:ascii="宋体" w:hAnsi="宋体" w:eastAsia="宋体" w:cs="宋体"/>
                <w:snapToGrid w:val="0"/>
                <w:color w:val="auto"/>
                <w:kern w:val="0"/>
                <w:sz w:val="21"/>
                <w:szCs w:val="21"/>
                <w:highlight w:val="none"/>
                <w:vertAlign w:val="baseline"/>
                <w:lang w:val="en-US" w:eastAsia="zh-CN" w:bidi="ar"/>
              </w:rPr>
              <w:t>（</w:t>
            </w:r>
            <w:r>
              <w:rPr>
                <w:rFonts w:hint="eastAsia" w:ascii="宋体" w:hAnsi="宋体" w:eastAsia="宋体" w:cs="宋体"/>
                <w:color w:val="auto"/>
                <w:kern w:val="0"/>
                <w:sz w:val="21"/>
                <w:szCs w:val="21"/>
                <w:highlight w:val="none"/>
                <w:vertAlign w:val="baseline"/>
                <w:lang w:val="en-US" w:eastAsia="zh-CN" w:bidi="ar"/>
              </w:rPr>
              <w:t>1</w:t>
            </w:r>
            <w:r>
              <w:rPr>
                <w:rFonts w:hint="eastAsia" w:ascii="宋体" w:hAnsi="宋体" w:eastAsia="宋体" w:cs="宋体"/>
                <w:snapToGrid w:val="0"/>
                <w:color w:val="auto"/>
                <w:kern w:val="0"/>
                <w:sz w:val="21"/>
                <w:szCs w:val="21"/>
                <w:highlight w:val="none"/>
                <w:vertAlign w:val="baseline"/>
                <w:lang w:val="en-US" w:eastAsia="zh-CN" w:bidi="ar"/>
              </w:rPr>
              <w:t>）供应商具有有效的</w:t>
            </w:r>
            <w:r>
              <w:rPr>
                <w:rFonts w:hint="eastAsia" w:ascii="宋体" w:hAnsi="宋体" w:eastAsia="宋体" w:cs="宋体"/>
                <w:color w:val="auto"/>
                <w:kern w:val="0"/>
                <w:sz w:val="21"/>
                <w:szCs w:val="21"/>
                <w:highlight w:val="none"/>
                <w:vertAlign w:val="baseline"/>
                <w:lang w:val="en-US" w:eastAsia="zh-CN" w:bidi="ar"/>
              </w:rPr>
              <w:t>ISO</w:t>
            </w:r>
            <w:r>
              <w:rPr>
                <w:rFonts w:hint="eastAsia" w:ascii="宋体" w:hAnsi="宋体" w:eastAsia="宋体" w:cs="宋体"/>
                <w:snapToGrid w:val="0"/>
                <w:color w:val="auto"/>
                <w:kern w:val="0"/>
                <w:sz w:val="21"/>
                <w:szCs w:val="21"/>
                <w:highlight w:val="none"/>
                <w:vertAlign w:val="baseline"/>
                <w:lang w:val="en-US" w:eastAsia="zh-CN" w:bidi="ar"/>
              </w:rPr>
              <w:t>质量体系认证的得</w:t>
            </w:r>
            <w:r>
              <w:rPr>
                <w:rFonts w:hint="eastAsia" w:ascii="宋体" w:hAnsi="宋体" w:eastAsia="宋体" w:cs="宋体"/>
                <w:color w:val="auto"/>
                <w:kern w:val="0"/>
                <w:sz w:val="21"/>
                <w:szCs w:val="21"/>
                <w:highlight w:val="none"/>
                <w:vertAlign w:val="baseline"/>
                <w:lang w:val="en-US" w:eastAsia="zh-CN" w:bidi="ar"/>
              </w:rPr>
              <w:t>1</w:t>
            </w:r>
            <w:r>
              <w:rPr>
                <w:rFonts w:hint="eastAsia" w:ascii="宋体" w:hAnsi="宋体" w:eastAsia="宋体" w:cs="宋体"/>
                <w:snapToGrid w:val="0"/>
                <w:color w:val="auto"/>
                <w:kern w:val="0"/>
                <w:sz w:val="21"/>
                <w:szCs w:val="21"/>
                <w:highlight w:val="none"/>
                <w:vertAlign w:val="baseline"/>
                <w:lang w:val="en-US" w:eastAsia="zh-CN" w:bidi="ar"/>
              </w:rPr>
              <w:t>分（提供证书复印件并加盖供应商电子公章）。</w:t>
            </w:r>
          </w:p>
          <w:p w14:paraId="6530F0E0">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firstLine="420" w:firstLineChars="200"/>
              <w:jc w:val="left"/>
              <w:textAlignment w:val="baseline"/>
              <w:rPr>
                <w:rFonts w:hint="eastAsia" w:ascii="宋体" w:hAnsi="宋体" w:eastAsia="宋体" w:cs="宋体"/>
                <w:color w:val="auto"/>
                <w:kern w:val="0"/>
                <w:szCs w:val="21"/>
                <w:highlight w:val="none"/>
                <w:vertAlign w:val="baseline"/>
                <w:lang w:val="en-US"/>
              </w:rPr>
            </w:pPr>
            <w:r>
              <w:rPr>
                <w:rFonts w:hint="eastAsia" w:ascii="宋体" w:hAnsi="宋体" w:eastAsia="宋体" w:cs="宋体"/>
                <w:snapToGrid w:val="0"/>
                <w:color w:val="auto"/>
                <w:kern w:val="0"/>
                <w:sz w:val="21"/>
                <w:szCs w:val="21"/>
                <w:highlight w:val="none"/>
                <w:vertAlign w:val="baseline"/>
                <w:lang w:val="en-US" w:eastAsia="zh-CN" w:bidi="ar"/>
              </w:rPr>
              <w:t>（</w:t>
            </w:r>
            <w:r>
              <w:rPr>
                <w:rFonts w:hint="eastAsia" w:ascii="宋体" w:hAnsi="宋体" w:eastAsia="宋体" w:cs="宋体"/>
                <w:color w:val="auto"/>
                <w:kern w:val="0"/>
                <w:sz w:val="21"/>
                <w:szCs w:val="21"/>
                <w:highlight w:val="none"/>
                <w:vertAlign w:val="baseline"/>
                <w:lang w:val="en-US" w:eastAsia="zh-CN" w:bidi="ar"/>
              </w:rPr>
              <w:t>2</w:t>
            </w:r>
            <w:r>
              <w:rPr>
                <w:rFonts w:hint="eastAsia" w:ascii="宋体" w:hAnsi="宋体" w:eastAsia="宋体" w:cs="宋体"/>
                <w:snapToGrid w:val="0"/>
                <w:color w:val="auto"/>
                <w:kern w:val="0"/>
                <w:sz w:val="21"/>
                <w:szCs w:val="21"/>
                <w:highlight w:val="none"/>
                <w:vertAlign w:val="baseline"/>
                <w:lang w:val="en-US" w:eastAsia="zh-CN" w:bidi="ar"/>
              </w:rPr>
              <w:t>）磋商供应商自</w:t>
            </w:r>
            <w:r>
              <w:rPr>
                <w:rFonts w:hint="eastAsia" w:ascii="宋体" w:hAnsi="宋体" w:eastAsia="宋体" w:cs="宋体"/>
                <w:color w:val="auto"/>
                <w:kern w:val="0"/>
                <w:sz w:val="21"/>
                <w:szCs w:val="21"/>
                <w:highlight w:val="none"/>
                <w:vertAlign w:val="baseline"/>
                <w:lang w:val="en-US" w:eastAsia="zh-CN" w:bidi="ar"/>
              </w:rPr>
              <w:t>2022</w:t>
            </w:r>
            <w:r>
              <w:rPr>
                <w:rFonts w:hint="eastAsia" w:ascii="宋体" w:hAnsi="宋体" w:eastAsia="宋体" w:cs="宋体"/>
                <w:snapToGrid w:val="0"/>
                <w:color w:val="auto"/>
                <w:kern w:val="0"/>
                <w:sz w:val="21"/>
                <w:szCs w:val="21"/>
                <w:highlight w:val="none"/>
                <w:vertAlign w:val="baseline"/>
                <w:lang w:val="en-US" w:eastAsia="zh-CN" w:bidi="ar"/>
              </w:rPr>
              <w:t>年</w:t>
            </w:r>
            <w:r>
              <w:rPr>
                <w:rFonts w:hint="eastAsia" w:ascii="宋体" w:hAnsi="宋体" w:eastAsia="宋体" w:cs="宋体"/>
                <w:color w:val="auto"/>
                <w:kern w:val="0"/>
                <w:sz w:val="21"/>
                <w:szCs w:val="21"/>
                <w:highlight w:val="none"/>
                <w:vertAlign w:val="baseline"/>
                <w:lang w:val="en-US" w:eastAsia="zh-CN" w:bidi="ar"/>
              </w:rPr>
              <w:t>1</w:t>
            </w:r>
            <w:r>
              <w:rPr>
                <w:rFonts w:hint="eastAsia" w:ascii="宋体" w:hAnsi="宋体" w:eastAsia="宋体" w:cs="宋体"/>
                <w:snapToGrid w:val="0"/>
                <w:color w:val="auto"/>
                <w:kern w:val="0"/>
                <w:sz w:val="21"/>
                <w:szCs w:val="21"/>
                <w:highlight w:val="none"/>
                <w:vertAlign w:val="baseline"/>
                <w:lang w:val="en-US" w:eastAsia="zh-CN" w:bidi="ar"/>
              </w:rPr>
              <w:t>月</w:t>
            </w:r>
            <w:r>
              <w:rPr>
                <w:rFonts w:hint="eastAsia" w:ascii="宋体" w:hAnsi="宋体" w:eastAsia="宋体" w:cs="宋体"/>
                <w:color w:val="auto"/>
                <w:kern w:val="0"/>
                <w:sz w:val="21"/>
                <w:szCs w:val="21"/>
                <w:highlight w:val="none"/>
                <w:vertAlign w:val="baseline"/>
                <w:lang w:val="en-US" w:eastAsia="zh-CN" w:bidi="ar"/>
              </w:rPr>
              <w:t>1</w:t>
            </w:r>
            <w:r>
              <w:rPr>
                <w:rFonts w:hint="eastAsia" w:ascii="宋体" w:hAnsi="宋体" w:eastAsia="宋体" w:cs="宋体"/>
                <w:snapToGrid w:val="0"/>
                <w:color w:val="auto"/>
                <w:kern w:val="0"/>
                <w:sz w:val="21"/>
                <w:szCs w:val="21"/>
                <w:highlight w:val="none"/>
                <w:vertAlign w:val="baseline"/>
                <w:lang w:val="en-US" w:eastAsia="zh-CN" w:bidi="ar"/>
              </w:rPr>
              <w:t>日以来完成过类似审计服务的每个项目得</w:t>
            </w:r>
            <w:r>
              <w:rPr>
                <w:rFonts w:hint="eastAsia" w:ascii="宋体" w:hAnsi="宋体" w:eastAsia="宋体" w:cs="宋体"/>
                <w:color w:val="auto"/>
                <w:kern w:val="0"/>
                <w:sz w:val="21"/>
                <w:szCs w:val="21"/>
                <w:highlight w:val="none"/>
                <w:vertAlign w:val="baseline"/>
                <w:lang w:val="en-US" w:eastAsia="zh-CN" w:bidi="ar"/>
              </w:rPr>
              <w:t>2</w:t>
            </w:r>
            <w:r>
              <w:rPr>
                <w:rFonts w:hint="eastAsia" w:ascii="宋体" w:hAnsi="宋体" w:eastAsia="宋体" w:cs="宋体"/>
                <w:snapToGrid w:val="0"/>
                <w:color w:val="auto"/>
                <w:kern w:val="0"/>
                <w:sz w:val="21"/>
                <w:szCs w:val="21"/>
                <w:highlight w:val="none"/>
                <w:vertAlign w:val="baseline"/>
                <w:lang w:val="en-US" w:eastAsia="zh-CN" w:bidi="ar"/>
              </w:rPr>
              <w:t>分，最高不超过</w:t>
            </w:r>
            <w:r>
              <w:rPr>
                <w:rFonts w:hint="eastAsia" w:ascii="宋体" w:hAnsi="宋体" w:eastAsia="宋体" w:cs="宋体"/>
                <w:color w:val="auto"/>
                <w:kern w:val="0"/>
                <w:sz w:val="21"/>
                <w:szCs w:val="21"/>
                <w:highlight w:val="none"/>
                <w:vertAlign w:val="baseline"/>
                <w:lang w:val="en-US" w:eastAsia="zh-CN" w:bidi="ar"/>
              </w:rPr>
              <w:t>8</w:t>
            </w:r>
            <w:r>
              <w:rPr>
                <w:rFonts w:hint="eastAsia" w:ascii="宋体" w:hAnsi="宋体" w:eastAsia="宋体" w:cs="宋体"/>
                <w:snapToGrid w:val="0"/>
                <w:color w:val="auto"/>
                <w:kern w:val="0"/>
                <w:sz w:val="21"/>
                <w:szCs w:val="21"/>
                <w:highlight w:val="none"/>
                <w:vertAlign w:val="baseline"/>
                <w:lang w:val="en-US" w:eastAsia="zh-CN" w:bidi="ar"/>
              </w:rPr>
              <w:t>分。（附合同复印件或中标通知书复印件并加盖供应商电子公章，否则该项不得分）。</w:t>
            </w:r>
          </w:p>
        </w:tc>
        <w:tc>
          <w:tcPr>
            <w:tcW w:w="268" w:type="pct"/>
            <w:gridSpan w:val="2"/>
            <w:tcBorders>
              <w:top w:val="single" w:color="000000" w:sz="2" w:space="0"/>
              <w:left w:val="single" w:color="000000" w:sz="2" w:space="0"/>
              <w:bottom w:val="single" w:color="000000" w:sz="2" w:space="0"/>
              <w:right w:val="single" w:color="000000" w:sz="2" w:space="0"/>
            </w:tcBorders>
            <w:shd w:val="clear" w:color="auto" w:fill="auto"/>
            <w:vAlign w:val="center"/>
          </w:tcPr>
          <w:p w14:paraId="6BD14F49">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jc w:val="center"/>
              <w:textAlignment w:val="baseline"/>
              <w:rPr>
                <w:rFonts w:hint="eastAsia" w:ascii="宋体" w:hAnsi="宋体" w:eastAsia="宋体" w:cs="宋体"/>
                <w:color w:val="auto"/>
                <w:kern w:val="0"/>
                <w:szCs w:val="21"/>
                <w:highlight w:val="none"/>
                <w:vertAlign w:val="baseline"/>
                <w:lang w:val="en-US"/>
              </w:rPr>
            </w:pPr>
            <w:r>
              <w:rPr>
                <w:rFonts w:hint="eastAsia" w:ascii="宋体" w:hAnsi="宋体" w:eastAsia="宋体" w:cs="宋体"/>
                <w:snapToGrid w:val="0"/>
                <w:color w:val="auto"/>
                <w:kern w:val="0"/>
                <w:sz w:val="21"/>
                <w:szCs w:val="21"/>
                <w:highlight w:val="none"/>
                <w:vertAlign w:val="baseline"/>
                <w:lang w:val="en-US" w:eastAsia="zh-CN" w:bidi="ar"/>
              </w:rPr>
              <w:t>9分</w:t>
            </w:r>
          </w:p>
        </w:tc>
      </w:tr>
      <w:tr w14:paraId="1B22E6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jc w:val="center"/>
        </w:trPr>
        <w:tc>
          <w:tcPr>
            <w:tcW w:w="313" w:type="pct"/>
            <w:tcBorders>
              <w:top w:val="single" w:color="000000" w:sz="2" w:space="0"/>
              <w:left w:val="single" w:color="000000" w:sz="2" w:space="0"/>
              <w:bottom w:val="single" w:color="000000" w:sz="2" w:space="0"/>
              <w:right w:val="single" w:color="000000" w:sz="2" w:space="0"/>
            </w:tcBorders>
            <w:shd w:val="clear" w:color="auto" w:fill="auto"/>
            <w:vAlign w:val="center"/>
          </w:tcPr>
          <w:p w14:paraId="717B4A7B">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jc w:val="center"/>
              <w:textAlignment w:val="baseline"/>
              <w:rPr>
                <w:rFonts w:hint="eastAsia" w:ascii="宋体" w:hAnsi="宋体" w:eastAsia="宋体" w:cs="宋体"/>
                <w:snapToGrid w:val="0"/>
                <w:color w:val="auto"/>
                <w:kern w:val="0"/>
                <w:szCs w:val="21"/>
                <w:highlight w:val="none"/>
                <w:vertAlign w:val="baseline"/>
                <w:lang w:val="en-US"/>
              </w:rPr>
            </w:pPr>
            <w:r>
              <w:rPr>
                <w:rFonts w:hint="eastAsia" w:ascii="宋体" w:hAnsi="宋体" w:eastAsia="宋体" w:cs="宋体"/>
                <w:snapToGrid w:val="0"/>
                <w:color w:val="auto"/>
                <w:kern w:val="0"/>
                <w:sz w:val="21"/>
                <w:szCs w:val="21"/>
                <w:highlight w:val="none"/>
                <w:vertAlign w:val="baseline"/>
                <w:lang w:val="en-US" w:eastAsia="zh-CN" w:bidi="ar"/>
              </w:rPr>
              <w:t>3.3</w:t>
            </w:r>
          </w:p>
        </w:tc>
        <w:tc>
          <w:tcPr>
            <w:tcW w:w="689" w:type="pct"/>
            <w:tcBorders>
              <w:top w:val="single" w:color="000000" w:sz="2" w:space="0"/>
              <w:left w:val="single" w:color="000000" w:sz="2" w:space="0"/>
              <w:bottom w:val="single" w:color="000000" w:sz="2" w:space="0"/>
              <w:right w:val="single" w:color="000000" w:sz="2" w:space="0"/>
            </w:tcBorders>
            <w:shd w:val="clear" w:color="auto" w:fill="auto"/>
            <w:vAlign w:val="center"/>
          </w:tcPr>
          <w:p w14:paraId="27F2AF10">
            <w:pPr>
              <w:keepNext w:val="0"/>
              <w:keepLines w:val="0"/>
              <w:widowControl w:val="0"/>
              <w:suppressLineNumbers w:val="0"/>
              <w:spacing w:before="0" w:beforeAutospacing="0" w:after="0" w:afterAutospacing="0" w:line="340" w:lineRule="exact"/>
              <w:ind w:left="0" w:right="0"/>
              <w:jc w:val="center"/>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诚信分</w:t>
            </w:r>
          </w:p>
        </w:tc>
        <w:tc>
          <w:tcPr>
            <w:tcW w:w="3731" w:type="pct"/>
            <w:gridSpan w:val="2"/>
            <w:tcBorders>
              <w:top w:val="single" w:color="000000" w:sz="2" w:space="0"/>
              <w:left w:val="single" w:color="000000" w:sz="2" w:space="0"/>
              <w:bottom w:val="single" w:color="000000" w:sz="2" w:space="0"/>
              <w:right w:val="single" w:color="000000" w:sz="2" w:space="0"/>
            </w:tcBorders>
            <w:shd w:val="clear" w:color="auto" w:fill="auto"/>
            <w:vAlign w:val="center"/>
          </w:tcPr>
          <w:p w14:paraId="25094828">
            <w:pPr>
              <w:keepNext w:val="0"/>
              <w:keepLines w:val="0"/>
              <w:widowControl w:val="0"/>
              <w:suppressLineNumbers w:val="0"/>
              <w:spacing w:before="0" w:beforeAutospacing="0" w:after="0" w:afterAutospacing="0" w:line="340" w:lineRule="exact"/>
              <w:ind w:left="0" w:right="0" w:firstLine="420" w:firstLineChars="200"/>
              <w:jc w:val="left"/>
              <w:rPr>
                <w:rFonts w:hint="eastAsia" w:ascii="宋体" w:hAnsi="宋体" w:eastAsia="宋体" w:cs="宋体"/>
                <w:snapToGrid w:val="0"/>
                <w:color w:val="auto"/>
                <w:kern w:val="0"/>
                <w:szCs w:val="21"/>
                <w:highlight w:val="none"/>
                <w:lang w:val="en-US"/>
              </w:rPr>
            </w:pPr>
            <w:r>
              <w:rPr>
                <w:rFonts w:hint="eastAsia" w:ascii="宋体" w:hAnsi="宋体" w:eastAsia="宋体" w:cs="宋体"/>
                <w:color w:val="auto"/>
                <w:kern w:val="0"/>
                <w:sz w:val="21"/>
                <w:szCs w:val="21"/>
                <w:highlight w:val="none"/>
                <w:lang w:val="en-US" w:eastAsia="zh-CN" w:bidi="ar"/>
              </w:rPr>
              <w:t>供应商在截标日前1年内在政府采购活动中存在违约违规情形的（以财政部门出具的书面材料为评分依据），每次扣除3分，最高扣分6分。</w:t>
            </w:r>
          </w:p>
        </w:tc>
        <w:tc>
          <w:tcPr>
            <w:tcW w:w="263" w:type="pct"/>
            <w:tcBorders>
              <w:top w:val="single" w:color="000000" w:sz="2" w:space="0"/>
              <w:left w:val="single" w:color="000000" w:sz="2" w:space="0"/>
              <w:bottom w:val="single" w:color="000000" w:sz="2" w:space="0"/>
              <w:right w:val="single" w:color="000000" w:sz="2" w:space="0"/>
            </w:tcBorders>
            <w:shd w:val="clear" w:color="auto" w:fill="auto"/>
            <w:vAlign w:val="center"/>
          </w:tcPr>
          <w:p w14:paraId="202D82C5">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jc w:val="center"/>
              <w:textAlignment w:val="baseline"/>
              <w:rPr>
                <w:rFonts w:hint="eastAsia" w:ascii="宋体" w:hAnsi="宋体" w:eastAsia="宋体" w:cs="宋体"/>
                <w:color w:val="auto"/>
                <w:kern w:val="0"/>
                <w:szCs w:val="21"/>
                <w:highlight w:val="none"/>
                <w:vertAlign w:val="baseline"/>
                <w:lang w:val="en-US"/>
              </w:rPr>
            </w:pPr>
            <w:r>
              <w:rPr>
                <w:rFonts w:hint="eastAsia" w:ascii="宋体" w:hAnsi="宋体" w:eastAsia="宋体" w:cs="宋体"/>
                <w:snapToGrid w:val="0"/>
                <w:color w:val="auto"/>
                <w:kern w:val="0"/>
                <w:sz w:val="21"/>
                <w:szCs w:val="21"/>
                <w:highlight w:val="none"/>
                <w:vertAlign w:val="baseline"/>
                <w:lang w:val="en-US" w:eastAsia="zh-CN" w:bidi="ar"/>
              </w:rPr>
              <w:t>-6分</w:t>
            </w:r>
          </w:p>
        </w:tc>
      </w:tr>
      <w:tr w14:paraId="127EFC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520" w:hRule="atLeast"/>
          <w:jc w:val="center"/>
        </w:trPr>
        <w:tc>
          <w:tcPr>
            <w:tcW w:w="5000" w:type="pct"/>
            <w:gridSpan w:val="5"/>
            <w:tcBorders>
              <w:top w:val="single" w:color="000000" w:sz="2" w:space="0"/>
              <w:left w:val="single" w:color="000000" w:sz="2" w:space="0"/>
              <w:bottom w:val="single" w:color="000000" w:sz="2" w:space="0"/>
              <w:right w:val="single" w:color="000000" w:sz="2" w:space="0"/>
            </w:tcBorders>
            <w:shd w:val="clear" w:color="auto" w:fill="auto"/>
            <w:vAlign w:val="center"/>
          </w:tcPr>
          <w:p w14:paraId="0021BB5D">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jc w:val="center"/>
              <w:textAlignment w:val="baseline"/>
              <w:rPr>
                <w:rFonts w:hint="eastAsia" w:ascii="宋体" w:hAnsi="宋体" w:eastAsia="宋体" w:cs="宋体"/>
                <w:snapToGrid w:val="0"/>
                <w:color w:val="auto"/>
                <w:kern w:val="0"/>
                <w:szCs w:val="21"/>
                <w:highlight w:val="none"/>
                <w:vertAlign w:val="baseline"/>
                <w:lang w:val="en-US"/>
              </w:rPr>
            </w:pPr>
            <w:r>
              <w:rPr>
                <w:rFonts w:hint="eastAsia" w:ascii="宋体" w:hAnsi="宋体" w:eastAsia="宋体" w:cs="宋体"/>
                <w:b/>
                <w:bCs/>
                <w:snapToGrid w:val="0"/>
                <w:color w:val="auto"/>
                <w:spacing w:val="10"/>
                <w:kern w:val="0"/>
                <w:sz w:val="21"/>
                <w:szCs w:val="21"/>
                <w:highlight w:val="none"/>
                <w:vertAlign w:val="baseline"/>
                <w:lang w:val="en-US" w:eastAsia="zh-CN" w:bidi="ar"/>
              </w:rPr>
              <w:t>总</w:t>
            </w:r>
            <w:r>
              <w:rPr>
                <w:rFonts w:hint="eastAsia" w:ascii="宋体" w:hAnsi="宋体" w:eastAsia="宋体" w:cs="宋体"/>
                <w:b/>
                <w:bCs/>
                <w:snapToGrid w:val="0"/>
                <w:color w:val="auto"/>
                <w:spacing w:val="6"/>
                <w:kern w:val="0"/>
                <w:sz w:val="21"/>
                <w:szCs w:val="21"/>
                <w:highlight w:val="none"/>
                <w:vertAlign w:val="baseline"/>
                <w:lang w:val="en-US" w:eastAsia="zh-CN" w:bidi="ar"/>
              </w:rPr>
              <w:t>得</w:t>
            </w:r>
            <w:r>
              <w:rPr>
                <w:rFonts w:hint="eastAsia" w:ascii="宋体" w:hAnsi="宋体" w:eastAsia="宋体" w:cs="宋体"/>
                <w:b/>
                <w:bCs/>
                <w:snapToGrid w:val="0"/>
                <w:color w:val="auto"/>
                <w:spacing w:val="5"/>
                <w:kern w:val="0"/>
                <w:sz w:val="21"/>
                <w:szCs w:val="21"/>
                <w:highlight w:val="none"/>
                <w:vertAlign w:val="baseline"/>
                <w:lang w:val="en-US" w:eastAsia="zh-CN" w:bidi="ar"/>
              </w:rPr>
              <w:t>分＝</w:t>
            </w:r>
            <w:r>
              <w:rPr>
                <w:rFonts w:hint="eastAsia" w:ascii="宋体" w:hAnsi="宋体" w:eastAsia="宋体" w:cs="宋体"/>
                <w:b/>
                <w:bCs/>
                <w:color w:val="auto"/>
                <w:spacing w:val="5"/>
                <w:kern w:val="0"/>
                <w:sz w:val="21"/>
                <w:szCs w:val="21"/>
                <w:highlight w:val="none"/>
                <w:vertAlign w:val="baseline"/>
                <w:lang w:val="en-US" w:eastAsia="zh-CN" w:bidi="ar"/>
              </w:rPr>
              <w:t>1</w:t>
            </w:r>
            <w:r>
              <w:rPr>
                <w:rFonts w:hint="eastAsia" w:ascii="宋体" w:hAnsi="宋体" w:eastAsia="宋体" w:cs="宋体"/>
                <w:b/>
                <w:bCs/>
                <w:snapToGrid w:val="0"/>
                <w:color w:val="auto"/>
                <w:spacing w:val="5"/>
                <w:kern w:val="0"/>
                <w:sz w:val="21"/>
                <w:szCs w:val="21"/>
                <w:highlight w:val="none"/>
                <w:vertAlign w:val="baseline"/>
                <w:lang w:val="en-US" w:eastAsia="zh-CN" w:bidi="ar"/>
              </w:rPr>
              <w:t>＋</w:t>
            </w:r>
            <w:r>
              <w:rPr>
                <w:rFonts w:hint="eastAsia" w:ascii="宋体" w:hAnsi="宋体" w:eastAsia="宋体" w:cs="宋体"/>
                <w:b/>
                <w:bCs/>
                <w:color w:val="auto"/>
                <w:spacing w:val="5"/>
                <w:kern w:val="0"/>
                <w:sz w:val="21"/>
                <w:szCs w:val="21"/>
                <w:highlight w:val="none"/>
                <w:vertAlign w:val="baseline"/>
                <w:lang w:val="en-US" w:eastAsia="zh-CN" w:bidi="ar"/>
              </w:rPr>
              <w:t>2+3</w:t>
            </w:r>
          </w:p>
        </w:tc>
      </w:tr>
    </w:tbl>
    <w:p w14:paraId="6D7DDF27">
      <w:pPr>
        <w:rPr>
          <w:rFonts w:hint="default"/>
          <w:color w:val="auto"/>
          <w:highlight w:val="none"/>
          <w:lang w:val="en-US" w:eastAsia="zh-CN"/>
        </w:rPr>
      </w:pPr>
    </w:p>
    <w:p w14:paraId="4F8D6C1F">
      <w:pPr>
        <w:widowControl/>
        <w:kinsoku w:val="0"/>
        <w:autoSpaceDE w:val="0"/>
        <w:autoSpaceDN w:val="0"/>
        <w:adjustRightInd w:val="0"/>
        <w:snapToGrid w:val="0"/>
        <w:spacing w:line="320" w:lineRule="exact"/>
        <w:jc w:val="center"/>
        <w:textAlignment w:val="baseline"/>
        <w:rPr>
          <w:rFonts w:hint="eastAsia" w:ascii="仿宋" w:hAnsi="仿宋" w:eastAsia="仿宋" w:cs="仿宋"/>
          <w:snapToGrid w:val="0"/>
          <w:color w:val="auto"/>
          <w:kern w:val="0"/>
          <w:szCs w:val="21"/>
          <w:highlight w:val="none"/>
        </w:rPr>
      </w:pPr>
    </w:p>
    <w:p w14:paraId="67F55A23">
      <w:pPr>
        <w:pStyle w:val="8"/>
        <w:rPr>
          <w:color w:val="auto"/>
          <w:highlight w:val="none"/>
        </w:rPr>
        <w:sectPr>
          <w:pgSz w:w="11911" w:h="16838"/>
          <w:pgMar w:top="1417" w:right="1417" w:bottom="1417" w:left="1417" w:header="720" w:footer="720" w:gutter="0"/>
          <w:cols w:space="0" w:num="1"/>
          <w:rtlGutter w:val="0"/>
          <w:docGrid w:linePitch="0" w:charSpace="0"/>
        </w:sectPr>
      </w:pPr>
    </w:p>
    <w:p w14:paraId="3EC91D12">
      <w:pPr>
        <w:rPr>
          <w:rFonts w:hint="eastAsia" w:ascii="宋体" w:hAnsi="宋体" w:cs="宋体"/>
          <w:b/>
          <w:color w:val="auto"/>
          <w:sz w:val="22"/>
          <w:szCs w:val="22"/>
          <w:highlight w:val="none"/>
        </w:rPr>
      </w:pPr>
      <w:bookmarkStart w:id="59" w:name="_Toc80205935"/>
      <w:bookmarkStart w:id="60" w:name="_Toc29129"/>
    </w:p>
    <w:p w14:paraId="6A836F4F">
      <w:pPr>
        <w:pStyle w:val="3"/>
        <w:spacing w:before="0" w:after="0" w:line="360" w:lineRule="auto"/>
        <w:ind w:firstLine="640" w:firstLineChars="200"/>
        <w:jc w:val="center"/>
        <w:rPr>
          <w:rFonts w:hint="eastAsia" w:ascii="宋体" w:hAnsi="宋体"/>
          <w:b w:val="0"/>
          <w:color w:val="auto"/>
          <w:highlight w:val="none"/>
        </w:rPr>
      </w:pPr>
      <w:r>
        <w:rPr>
          <w:rFonts w:hint="eastAsia" w:ascii="宋体" w:hAnsi="宋体"/>
          <w:b w:val="0"/>
          <w:color w:val="auto"/>
          <w:highlight w:val="none"/>
        </w:rPr>
        <w:t>第二节 评审报告</w:t>
      </w:r>
      <w:bookmarkEnd w:id="59"/>
      <w:bookmarkEnd w:id="60"/>
    </w:p>
    <w:p w14:paraId="4D7C0738">
      <w:pPr>
        <w:spacing w:line="360" w:lineRule="auto"/>
        <w:ind w:firstLine="480" w:firstLineChars="200"/>
        <w:rPr>
          <w:rFonts w:hint="eastAsia" w:ascii="黑体" w:hAnsi="黑体" w:eastAsia="黑体" w:cs="宋体"/>
          <w:color w:val="auto"/>
          <w:sz w:val="24"/>
          <w:szCs w:val="32"/>
          <w:highlight w:val="none"/>
        </w:rPr>
      </w:pPr>
      <w:r>
        <w:rPr>
          <w:rFonts w:hint="eastAsia" w:ascii="黑体" w:hAnsi="黑体" w:eastAsia="黑体" w:cs="宋体"/>
          <w:color w:val="auto"/>
          <w:sz w:val="24"/>
          <w:szCs w:val="32"/>
          <w:highlight w:val="none"/>
        </w:rPr>
        <w:t>1.成交标准</w:t>
      </w:r>
    </w:p>
    <w:p w14:paraId="44354405">
      <w:pPr>
        <w:spacing w:line="360" w:lineRule="auto"/>
        <w:ind w:firstLine="420" w:firstLineChars="200"/>
        <w:rPr>
          <w:rFonts w:hint="eastAsia" w:ascii="宋体" w:hAnsi="宋体" w:cs="宋体"/>
          <w:color w:val="auto"/>
          <w:sz w:val="24"/>
          <w:highlight w:val="none"/>
        </w:rPr>
      </w:pPr>
      <w:r>
        <w:rPr>
          <w:rFonts w:hint="eastAsia" w:ascii="宋体" w:hAnsi="宋体"/>
          <w:bCs/>
          <w:color w:val="auto"/>
          <w:szCs w:val="21"/>
          <w:highlight w:val="none"/>
        </w:rPr>
        <w:t>由磋商小组根据综合评分情况，按照评审得分由高到低顺序推荐3名以上成交候选供应商</w:t>
      </w:r>
      <w:r>
        <w:rPr>
          <w:rFonts w:hint="eastAsia" w:ascii="宋体" w:hAnsi="宋体" w:cs="宋体"/>
          <w:color w:val="auto"/>
          <w:highlight w:val="none"/>
        </w:rPr>
        <w:t>,并在线编写电子评审报告</w:t>
      </w:r>
      <w:r>
        <w:rPr>
          <w:rFonts w:hint="eastAsia" w:ascii="宋体" w:hAnsi="宋体"/>
          <w:bCs/>
          <w:color w:val="auto"/>
          <w:szCs w:val="21"/>
          <w:highlight w:val="none"/>
        </w:rPr>
        <w:t>。符合本章第一节第5.3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14:paraId="77B92826">
      <w:pPr>
        <w:spacing w:line="360" w:lineRule="auto"/>
        <w:ind w:firstLine="480" w:firstLineChars="200"/>
        <w:rPr>
          <w:rFonts w:hint="eastAsia" w:ascii="黑体" w:hAnsi="黑体" w:eastAsia="黑体" w:cs="宋体"/>
          <w:color w:val="auto"/>
          <w:sz w:val="24"/>
          <w:szCs w:val="32"/>
          <w:highlight w:val="none"/>
        </w:rPr>
      </w:pPr>
      <w:r>
        <w:rPr>
          <w:rFonts w:hint="eastAsia" w:ascii="黑体" w:hAnsi="黑体" w:eastAsia="黑体" w:cs="宋体"/>
          <w:color w:val="auto"/>
          <w:sz w:val="24"/>
          <w:szCs w:val="32"/>
          <w:highlight w:val="none"/>
        </w:rPr>
        <w:t>2.评标争议事项处理</w:t>
      </w:r>
    </w:p>
    <w:p w14:paraId="7621A5FD">
      <w:pPr>
        <w:ind w:firstLine="420"/>
        <w:rPr>
          <w:rFonts w:hint="eastAsia" w:ascii="宋体" w:hAnsi="宋体" w:cs="宋体"/>
          <w:color w:val="auto"/>
          <w:highlight w:val="none"/>
        </w:rPr>
      </w:pPr>
      <w:r>
        <w:rPr>
          <w:rFonts w:hint="eastAsia" w:ascii="宋体" w:hAnsi="宋体" w:cs="宋体"/>
          <w:color w:val="auto"/>
          <w:highlight w:val="none"/>
        </w:rPr>
        <w:t>磋商小组成员对需要共同认定的事项存在争议的，应当按照少数服从多数的原则作出结论。持不同意见的磋商小组成员应当在评标报告上签署不同意见及理由，否则视为同意评标报告。</w:t>
      </w:r>
    </w:p>
    <w:p w14:paraId="01E53593">
      <w:pPr>
        <w:pStyle w:val="3"/>
        <w:spacing w:before="0" w:after="0" w:line="360" w:lineRule="auto"/>
        <w:ind w:firstLine="640" w:firstLineChars="200"/>
        <w:jc w:val="center"/>
        <w:rPr>
          <w:rFonts w:hint="eastAsia" w:ascii="宋体" w:hAnsi="宋体" w:cs="宋体"/>
          <w:b w:val="0"/>
          <w:color w:val="auto"/>
          <w:highlight w:val="none"/>
        </w:rPr>
      </w:pPr>
      <w:bookmarkStart w:id="61" w:name="_Toc80205936"/>
      <w:bookmarkStart w:id="62" w:name="_Toc11092"/>
      <w:r>
        <w:rPr>
          <w:rFonts w:hint="eastAsia" w:ascii="宋体" w:hAnsi="宋体"/>
          <w:b w:val="0"/>
          <w:color w:val="auto"/>
          <w:highlight w:val="none"/>
        </w:rPr>
        <w:t>第三节 评审过程的保密与录像</w:t>
      </w:r>
      <w:bookmarkEnd w:id="61"/>
      <w:bookmarkEnd w:id="62"/>
    </w:p>
    <w:p w14:paraId="73DB3025">
      <w:pPr>
        <w:spacing w:line="360" w:lineRule="auto"/>
        <w:ind w:firstLine="480" w:firstLineChars="200"/>
        <w:rPr>
          <w:rFonts w:hint="eastAsia" w:ascii="黑体" w:hAnsi="黑体" w:eastAsia="黑体" w:cs="宋体"/>
          <w:color w:val="auto"/>
          <w:sz w:val="24"/>
          <w:szCs w:val="32"/>
          <w:highlight w:val="none"/>
        </w:rPr>
      </w:pPr>
      <w:r>
        <w:rPr>
          <w:rFonts w:hint="eastAsia" w:ascii="黑体" w:hAnsi="黑体" w:eastAsia="黑体" w:cs="宋体"/>
          <w:color w:val="auto"/>
          <w:sz w:val="24"/>
          <w:szCs w:val="32"/>
          <w:highlight w:val="none"/>
        </w:rPr>
        <w:t>1.保密。</w:t>
      </w:r>
    </w:p>
    <w:p w14:paraId="4C906C64">
      <w:pPr>
        <w:widowControl/>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6462CE44">
      <w:pPr>
        <w:widowControl/>
        <w:spacing w:line="360" w:lineRule="auto"/>
        <w:ind w:firstLine="480" w:firstLineChars="200"/>
        <w:rPr>
          <w:rFonts w:hint="eastAsia" w:ascii="黑体" w:hAnsi="黑体" w:eastAsia="黑体" w:cs="宋体"/>
          <w:color w:val="auto"/>
          <w:sz w:val="24"/>
          <w:szCs w:val="32"/>
          <w:highlight w:val="none"/>
        </w:rPr>
      </w:pPr>
      <w:r>
        <w:rPr>
          <w:rFonts w:hint="eastAsia" w:ascii="黑体" w:hAnsi="黑体" w:eastAsia="黑体" w:cs="宋体"/>
          <w:color w:val="auto"/>
          <w:sz w:val="24"/>
          <w:szCs w:val="32"/>
          <w:highlight w:val="none"/>
        </w:rPr>
        <w:t>2.录音录像。</w:t>
      </w:r>
    </w:p>
    <w:p w14:paraId="53BABDCB">
      <w:pPr>
        <w:spacing w:line="360" w:lineRule="auto"/>
        <w:ind w:firstLine="420" w:firstLineChars="200"/>
        <w:rPr>
          <w:rFonts w:cs="宋体"/>
          <w:color w:val="auto"/>
          <w:highlight w:val="none"/>
        </w:rPr>
      </w:pPr>
      <w:r>
        <w:rPr>
          <w:rFonts w:hint="eastAsia" w:ascii="宋体" w:hAnsi="宋体" w:cs="宋体"/>
          <w:color w:val="auto"/>
          <w:highlight w:val="none"/>
        </w:rPr>
        <w:t>采购代理机构对评审工作现场及操作屏幕进行全过程录音录像，录音录像资料作为采购项目文件随其他文件一并存档。</w:t>
      </w:r>
    </w:p>
    <w:p w14:paraId="7AC7D365">
      <w:pPr>
        <w:rPr>
          <w:color w:val="auto"/>
          <w:highlight w:val="none"/>
        </w:rPr>
      </w:pPr>
    </w:p>
    <w:p w14:paraId="5921574D">
      <w:pPr>
        <w:jc w:val="center"/>
        <w:rPr>
          <w:color w:val="auto"/>
          <w:highlight w:val="none"/>
        </w:rPr>
      </w:pPr>
    </w:p>
    <w:p w14:paraId="2843FEF5">
      <w:pPr>
        <w:jc w:val="center"/>
        <w:rPr>
          <w:color w:val="auto"/>
          <w:highlight w:val="none"/>
        </w:rPr>
      </w:pPr>
    </w:p>
    <w:p w14:paraId="7D4D45C1">
      <w:pPr>
        <w:jc w:val="center"/>
        <w:rPr>
          <w:color w:val="auto"/>
          <w:highlight w:val="none"/>
        </w:rPr>
      </w:pPr>
    </w:p>
    <w:p w14:paraId="16FEE28F">
      <w:pPr>
        <w:jc w:val="center"/>
        <w:rPr>
          <w:color w:val="auto"/>
          <w:highlight w:val="none"/>
        </w:rPr>
      </w:pPr>
      <w:r>
        <w:rPr>
          <w:color w:val="auto"/>
          <w:highlight w:val="none"/>
        </w:rPr>
        <w:br w:type="page"/>
      </w:r>
    </w:p>
    <w:p w14:paraId="469B0F0F">
      <w:pPr>
        <w:pStyle w:val="2"/>
        <w:jc w:val="center"/>
        <w:rPr>
          <w:color w:val="auto"/>
          <w:highlight w:val="none"/>
        </w:rPr>
      </w:pPr>
      <w:bookmarkStart w:id="63" w:name="_Toc18495"/>
      <w:r>
        <w:rPr>
          <w:rFonts w:hint="eastAsia"/>
          <w:color w:val="auto"/>
          <w:highlight w:val="none"/>
        </w:rPr>
        <w:t>第五章</w:t>
      </w:r>
      <w:r>
        <w:rPr>
          <w:color w:val="auto"/>
          <w:highlight w:val="none"/>
        </w:rPr>
        <w:t xml:space="preserve"> </w:t>
      </w:r>
      <w:r>
        <w:rPr>
          <w:rFonts w:hint="eastAsia"/>
          <w:color w:val="auto"/>
          <w:highlight w:val="none"/>
        </w:rPr>
        <w:t>响应文件格式</w:t>
      </w:r>
      <w:bookmarkEnd w:id="63"/>
    </w:p>
    <w:p w14:paraId="18970134">
      <w:pPr>
        <w:widowControl/>
        <w:spacing w:line="576" w:lineRule="auto"/>
        <w:jc w:val="left"/>
        <w:rPr>
          <w:b/>
          <w:bCs/>
          <w:color w:val="auto"/>
          <w:kern w:val="44"/>
          <w:sz w:val="44"/>
          <w:szCs w:val="44"/>
          <w:highlight w:val="none"/>
        </w:rPr>
        <w:sectPr>
          <w:pgSz w:w="11911" w:h="16838"/>
          <w:pgMar w:top="1417" w:right="1417" w:bottom="1417" w:left="1417" w:header="720" w:footer="720" w:gutter="0"/>
          <w:cols w:space="0" w:num="1"/>
          <w:rtlGutter w:val="0"/>
          <w:docGrid w:linePitch="0" w:charSpace="0"/>
        </w:sectPr>
      </w:pPr>
    </w:p>
    <w:p w14:paraId="2D89BCDE">
      <w:pPr>
        <w:pStyle w:val="3"/>
        <w:jc w:val="center"/>
        <w:rPr>
          <w:rFonts w:hint="eastAsia" w:ascii="宋体" w:hAnsi="宋体"/>
          <w:b w:val="0"/>
          <w:color w:val="auto"/>
          <w:highlight w:val="none"/>
        </w:rPr>
      </w:pPr>
      <w:bookmarkStart w:id="64" w:name="_Toc80205938"/>
      <w:bookmarkStart w:id="65" w:name="_Toc18956"/>
      <w:r>
        <w:rPr>
          <w:rFonts w:hint="eastAsia" w:ascii="宋体" w:hAnsi="宋体"/>
          <w:b w:val="0"/>
          <w:color w:val="auto"/>
          <w:highlight w:val="none"/>
        </w:rPr>
        <w:t>第一节 封面格式</w:t>
      </w:r>
      <w:bookmarkEnd w:id="64"/>
      <w:bookmarkEnd w:id="65"/>
    </w:p>
    <w:p w14:paraId="3110A9CC">
      <w:pPr>
        <w:snapToGrid w:val="0"/>
        <w:spacing w:before="120" w:beforeLines="50" w:after="50"/>
        <w:rPr>
          <w:rFonts w:hint="eastAsia" w:ascii="宋体" w:hAnsi="宋体"/>
          <w:color w:val="auto"/>
          <w:sz w:val="24"/>
          <w:szCs w:val="20"/>
          <w:highlight w:val="none"/>
        </w:rPr>
      </w:pPr>
    </w:p>
    <w:p w14:paraId="1B51B6A6">
      <w:pPr>
        <w:snapToGrid w:val="0"/>
        <w:spacing w:before="120" w:beforeLines="50" w:after="50"/>
        <w:jc w:val="center"/>
        <w:rPr>
          <w:rFonts w:hint="eastAsia" w:ascii="宋体" w:hAnsi="宋体"/>
          <w:bCs/>
          <w:color w:val="auto"/>
          <w:sz w:val="24"/>
          <w:szCs w:val="20"/>
          <w:highlight w:val="none"/>
        </w:rPr>
      </w:pPr>
    </w:p>
    <w:p w14:paraId="63E7642A">
      <w:pPr>
        <w:snapToGrid w:val="0"/>
        <w:spacing w:before="120"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响  应  文  件</w:t>
      </w:r>
    </w:p>
    <w:p w14:paraId="44A71F91">
      <w:pPr>
        <w:snapToGrid w:val="0"/>
        <w:spacing w:before="120" w:beforeLines="50" w:after="50"/>
        <w:rPr>
          <w:rFonts w:hint="eastAsia" w:ascii="宋体" w:hAnsi="宋体"/>
          <w:bCs/>
          <w:color w:val="auto"/>
          <w:sz w:val="24"/>
          <w:szCs w:val="20"/>
          <w:highlight w:val="none"/>
        </w:rPr>
      </w:pPr>
    </w:p>
    <w:p w14:paraId="4880B206">
      <w:pPr>
        <w:snapToGrid w:val="0"/>
        <w:spacing w:before="120" w:beforeLines="50" w:after="50"/>
        <w:rPr>
          <w:rFonts w:hint="eastAsia" w:ascii="宋体" w:hAnsi="宋体"/>
          <w:bCs/>
          <w:color w:val="auto"/>
          <w:sz w:val="24"/>
          <w:szCs w:val="20"/>
          <w:highlight w:val="none"/>
        </w:rPr>
      </w:pPr>
    </w:p>
    <w:p w14:paraId="30AB0FE2">
      <w:pPr>
        <w:snapToGrid w:val="0"/>
        <w:spacing w:before="120" w:beforeLines="50" w:after="50"/>
        <w:rPr>
          <w:rFonts w:hint="eastAsia" w:ascii="仿宋_GB2312" w:hAnsi="仿宋_GB2312" w:eastAsia="仿宋_GB2312" w:cs="仿宋_GB2312"/>
          <w:bCs/>
          <w:color w:val="auto"/>
          <w:sz w:val="32"/>
          <w:szCs w:val="32"/>
          <w:highlight w:val="none"/>
        </w:rPr>
      </w:pPr>
    </w:p>
    <w:p w14:paraId="3F45E933">
      <w:pPr>
        <w:snapToGrid w:val="0"/>
        <w:spacing w:before="120" w:beforeLines="50" w:after="50"/>
        <w:ind w:firstLine="640" w:firstLineChars="200"/>
        <w:rPr>
          <w:rFonts w:hint="eastAsia" w:ascii="宋体" w:hAnsi="宋体" w:eastAsia="宋体" w:cs="仿宋_GB2312"/>
          <w:bCs/>
          <w:color w:val="auto"/>
          <w:sz w:val="32"/>
          <w:szCs w:val="32"/>
          <w:highlight w:val="none"/>
          <w:lang w:eastAsia="zh-CN"/>
        </w:rPr>
      </w:pPr>
      <w:r>
        <w:rPr>
          <w:rFonts w:hint="eastAsia" w:ascii="宋体" w:hAnsi="宋体" w:cs="仿宋_GB2312"/>
          <w:bCs/>
          <w:color w:val="auto"/>
          <w:sz w:val="32"/>
          <w:szCs w:val="32"/>
          <w:highlight w:val="none"/>
        </w:rPr>
        <w:t>项目名称：</w:t>
      </w:r>
      <w:r>
        <w:rPr>
          <w:rFonts w:hint="eastAsia" w:ascii="宋体" w:hAnsi="宋体" w:cs="仿宋_GB2312"/>
          <w:bCs/>
          <w:color w:val="auto"/>
          <w:sz w:val="32"/>
          <w:szCs w:val="32"/>
          <w:highlight w:val="none"/>
          <w:lang w:eastAsia="zh-CN"/>
        </w:rPr>
        <w:t>第三方机构审计、核验2025年财政资金计划补助项目服务（3分标重）</w:t>
      </w:r>
    </w:p>
    <w:p w14:paraId="27B1D44A">
      <w:pPr>
        <w:snapToGrid w:val="0"/>
        <w:spacing w:before="120" w:beforeLines="50" w:after="50"/>
        <w:ind w:firstLine="480" w:firstLineChars="150"/>
        <w:rPr>
          <w:rFonts w:hint="eastAsia" w:ascii="宋体" w:hAnsi="宋体" w:cs="仿宋_GB2312"/>
          <w:bCs/>
          <w:color w:val="auto"/>
          <w:sz w:val="32"/>
          <w:szCs w:val="32"/>
          <w:highlight w:val="none"/>
        </w:rPr>
      </w:pPr>
    </w:p>
    <w:p w14:paraId="0F10670A">
      <w:pPr>
        <w:snapToGrid w:val="0"/>
        <w:spacing w:before="120"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6E091816">
      <w:pPr>
        <w:snapToGrid w:val="0"/>
        <w:spacing w:before="120" w:beforeLines="50" w:after="50"/>
        <w:ind w:firstLine="480" w:firstLineChars="150"/>
        <w:rPr>
          <w:rFonts w:hint="eastAsia" w:ascii="宋体" w:hAnsi="宋体" w:cs="仿宋_GB2312"/>
          <w:bCs/>
          <w:color w:val="auto"/>
          <w:sz w:val="32"/>
          <w:szCs w:val="32"/>
          <w:highlight w:val="none"/>
        </w:rPr>
      </w:pPr>
    </w:p>
    <w:p w14:paraId="4C49F011">
      <w:pPr>
        <w:snapToGrid w:val="0"/>
        <w:spacing w:before="120"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所竞标项（如有则填写，无标项时填写“无”或者留空）：</w:t>
      </w:r>
    </w:p>
    <w:p w14:paraId="284598E0">
      <w:pPr>
        <w:snapToGrid w:val="0"/>
        <w:spacing w:before="120" w:beforeLines="50" w:after="50"/>
        <w:rPr>
          <w:rFonts w:hint="eastAsia" w:ascii="宋体" w:hAnsi="宋体" w:cs="仿宋_GB2312"/>
          <w:bCs/>
          <w:color w:val="auto"/>
          <w:sz w:val="32"/>
          <w:szCs w:val="32"/>
          <w:highlight w:val="none"/>
        </w:rPr>
      </w:pPr>
    </w:p>
    <w:p w14:paraId="69BDFEC4">
      <w:pPr>
        <w:snapToGrid w:val="0"/>
        <w:spacing w:before="120"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46B3B6E1">
      <w:pPr>
        <w:snapToGrid w:val="0"/>
        <w:spacing w:before="120" w:beforeLines="50" w:after="50"/>
        <w:rPr>
          <w:rFonts w:hint="eastAsia" w:ascii="宋体" w:hAnsi="宋体" w:cs="仿宋_GB2312"/>
          <w:bCs/>
          <w:color w:val="auto"/>
          <w:sz w:val="32"/>
          <w:szCs w:val="32"/>
          <w:highlight w:val="none"/>
        </w:rPr>
      </w:pPr>
    </w:p>
    <w:p w14:paraId="20D654B6">
      <w:pPr>
        <w:snapToGrid w:val="0"/>
        <w:spacing w:before="120" w:beforeLines="50" w:after="50"/>
        <w:ind w:firstLine="480" w:firstLineChars="150"/>
        <w:jc w:val="center"/>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首次响应文件提交截止时间前不得解密</w:t>
      </w:r>
    </w:p>
    <w:p w14:paraId="27DF6333">
      <w:pPr>
        <w:snapToGrid w:val="0"/>
        <w:spacing w:before="120" w:beforeLines="50" w:after="50"/>
        <w:ind w:firstLine="5440" w:firstLineChars="1700"/>
        <w:jc w:val="center"/>
        <w:rPr>
          <w:rFonts w:hint="eastAsia" w:ascii="宋体" w:hAnsi="宋体" w:cs="仿宋_GB2312"/>
          <w:bCs/>
          <w:color w:val="auto"/>
          <w:sz w:val="32"/>
          <w:szCs w:val="32"/>
          <w:highlight w:val="none"/>
        </w:rPr>
      </w:pPr>
    </w:p>
    <w:p w14:paraId="1FE7FFEE">
      <w:pPr>
        <w:snapToGrid w:val="0"/>
        <w:spacing w:before="120" w:beforeLines="50" w:after="50"/>
        <w:ind w:firstLine="645"/>
        <w:jc w:val="center"/>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年    月    日</w:t>
      </w:r>
    </w:p>
    <w:p w14:paraId="55B9CE5B">
      <w:pPr>
        <w:widowControl/>
        <w:jc w:val="left"/>
        <w:rPr>
          <w:color w:val="auto"/>
          <w:highlight w:val="none"/>
        </w:rPr>
        <w:sectPr>
          <w:pgSz w:w="11911" w:h="16838"/>
          <w:pgMar w:top="1417" w:right="1417" w:bottom="1417" w:left="1417" w:header="720" w:footer="720" w:gutter="0"/>
          <w:cols w:space="0" w:num="1"/>
          <w:rtlGutter w:val="0"/>
          <w:docGrid w:linePitch="0" w:charSpace="0"/>
        </w:sectPr>
      </w:pPr>
    </w:p>
    <w:p w14:paraId="65169AE2">
      <w:pPr>
        <w:pStyle w:val="3"/>
        <w:jc w:val="center"/>
        <w:rPr>
          <w:rFonts w:hint="eastAsia" w:ascii="宋体" w:hAnsi="宋体" w:cs="宋体"/>
          <w:bCs w:val="0"/>
          <w:color w:val="auto"/>
          <w:highlight w:val="none"/>
        </w:rPr>
      </w:pPr>
      <w:bookmarkStart w:id="66" w:name="_Toc80205939"/>
      <w:bookmarkStart w:id="67" w:name="_Toc23404"/>
      <w:r>
        <w:rPr>
          <w:rFonts w:hint="eastAsia" w:ascii="宋体" w:hAnsi="宋体"/>
          <w:bCs w:val="0"/>
          <w:color w:val="auto"/>
          <w:highlight w:val="none"/>
        </w:rPr>
        <w:t>第二节 资格证明文件格式</w:t>
      </w:r>
      <w:bookmarkEnd w:id="66"/>
      <w:bookmarkEnd w:id="67"/>
    </w:p>
    <w:p w14:paraId="5794A747">
      <w:pPr>
        <w:snapToGrid w:val="0"/>
        <w:spacing w:before="120" w:beforeLines="50" w:after="50"/>
        <w:rPr>
          <w:rFonts w:hint="eastAsia" w:ascii="宋体" w:hAnsi="宋体"/>
          <w:bCs/>
          <w:color w:val="auto"/>
          <w:sz w:val="32"/>
          <w:szCs w:val="20"/>
          <w:highlight w:val="none"/>
        </w:rPr>
      </w:pPr>
      <w:r>
        <w:rPr>
          <w:rFonts w:hint="eastAsia" w:ascii="宋体" w:hAnsi="宋体"/>
          <w:color w:val="auto"/>
          <w:sz w:val="24"/>
          <w:highlight w:val="none"/>
        </w:rPr>
        <w:t xml:space="preserve">                                                    </w:t>
      </w:r>
      <w:r>
        <w:rPr>
          <w:rFonts w:hint="eastAsia" w:ascii="宋体" w:hAnsi="宋体"/>
          <w:bCs/>
          <w:color w:val="auto"/>
          <w:highlight w:val="none"/>
        </w:rPr>
        <w:t>全流程电子文件</w:t>
      </w:r>
    </w:p>
    <w:p w14:paraId="2FB2842D">
      <w:pPr>
        <w:snapToGrid w:val="0"/>
        <w:spacing w:before="120" w:beforeLines="50" w:after="50"/>
        <w:rPr>
          <w:rFonts w:hint="eastAsia" w:ascii="宋体" w:hAnsi="宋体"/>
          <w:color w:val="auto"/>
          <w:sz w:val="24"/>
          <w:szCs w:val="20"/>
          <w:highlight w:val="none"/>
        </w:rPr>
      </w:pPr>
    </w:p>
    <w:p w14:paraId="4961169A">
      <w:pPr>
        <w:snapToGrid w:val="0"/>
        <w:spacing w:before="120" w:beforeLines="50" w:after="50"/>
        <w:rPr>
          <w:rFonts w:hint="eastAsia" w:ascii="宋体" w:hAnsi="宋体"/>
          <w:color w:val="auto"/>
          <w:sz w:val="24"/>
          <w:szCs w:val="20"/>
          <w:highlight w:val="none"/>
        </w:rPr>
      </w:pPr>
    </w:p>
    <w:p w14:paraId="7C2B9992">
      <w:pPr>
        <w:snapToGrid w:val="0"/>
        <w:spacing w:before="120"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资  格  证  明  文  件（封面）</w:t>
      </w:r>
    </w:p>
    <w:p w14:paraId="25C30A1A">
      <w:pPr>
        <w:snapToGrid w:val="0"/>
        <w:spacing w:before="120" w:beforeLines="50" w:after="50"/>
        <w:rPr>
          <w:rFonts w:hint="eastAsia" w:ascii="宋体" w:hAnsi="宋体"/>
          <w:bCs/>
          <w:color w:val="auto"/>
          <w:sz w:val="24"/>
          <w:szCs w:val="20"/>
          <w:highlight w:val="none"/>
        </w:rPr>
      </w:pPr>
    </w:p>
    <w:p w14:paraId="5336ECD6">
      <w:pPr>
        <w:snapToGrid w:val="0"/>
        <w:spacing w:before="120" w:beforeLines="50" w:after="50"/>
        <w:rPr>
          <w:rFonts w:hint="eastAsia" w:ascii="宋体" w:hAnsi="宋体"/>
          <w:bCs/>
          <w:color w:val="auto"/>
          <w:sz w:val="24"/>
          <w:szCs w:val="20"/>
          <w:highlight w:val="none"/>
        </w:rPr>
      </w:pPr>
    </w:p>
    <w:p w14:paraId="0C2B92AF">
      <w:pPr>
        <w:snapToGrid w:val="0"/>
        <w:spacing w:before="120" w:beforeLines="50" w:after="50"/>
        <w:rPr>
          <w:rFonts w:hint="eastAsia" w:ascii="宋体" w:hAnsi="宋体"/>
          <w:bCs/>
          <w:color w:val="auto"/>
          <w:sz w:val="24"/>
          <w:szCs w:val="20"/>
          <w:highlight w:val="none"/>
        </w:rPr>
      </w:pPr>
    </w:p>
    <w:p w14:paraId="2B4F24AF">
      <w:pPr>
        <w:snapToGrid w:val="0"/>
        <w:spacing w:before="120" w:beforeLines="50" w:after="50"/>
        <w:rPr>
          <w:rFonts w:hint="eastAsia" w:ascii="宋体" w:hAnsi="宋体"/>
          <w:bCs/>
          <w:color w:val="auto"/>
          <w:sz w:val="24"/>
          <w:szCs w:val="20"/>
          <w:highlight w:val="none"/>
        </w:rPr>
      </w:pPr>
    </w:p>
    <w:p w14:paraId="5CE0AC2B">
      <w:pPr>
        <w:snapToGrid w:val="0"/>
        <w:spacing w:before="120" w:beforeLines="50" w:after="50"/>
        <w:rPr>
          <w:rFonts w:hint="eastAsia" w:ascii="宋体" w:hAnsi="宋体"/>
          <w:bCs/>
          <w:color w:val="auto"/>
          <w:sz w:val="24"/>
          <w:szCs w:val="20"/>
          <w:highlight w:val="none"/>
        </w:rPr>
      </w:pPr>
    </w:p>
    <w:p w14:paraId="21D08B18">
      <w:pPr>
        <w:snapToGrid w:val="0"/>
        <w:spacing w:before="120" w:beforeLines="50" w:after="50"/>
        <w:ind w:firstLine="640" w:firstLineChars="200"/>
        <w:rPr>
          <w:rFonts w:hint="eastAsia" w:ascii="宋体" w:hAnsi="宋体" w:eastAsia="宋体" w:cs="仿宋_GB2312"/>
          <w:bCs/>
          <w:color w:val="auto"/>
          <w:sz w:val="32"/>
          <w:szCs w:val="32"/>
          <w:highlight w:val="none"/>
          <w:lang w:eastAsia="zh-CN"/>
        </w:rPr>
      </w:pPr>
      <w:r>
        <w:rPr>
          <w:rFonts w:hint="eastAsia" w:ascii="宋体" w:hAnsi="宋体" w:cs="仿宋_GB2312"/>
          <w:bCs/>
          <w:color w:val="auto"/>
          <w:sz w:val="32"/>
          <w:szCs w:val="32"/>
          <w:highlight w:val="none"/>
        </w:rPr>
        <w:t>项目名称：</w:t>
      </w:r>
      <w:r>
        <w:rPr>
          <w:rFonts w:hint="eastAsia" w:ascii="宋体" w:hAnsi="宋体" w:cs="仿宋_GB2312"/>
          <w:bCs/>
          <w:color w:val="auto"/>
          <w:sz w:val="32"/>
          <w:szCs w:val="32"/>
          <w:highlight w:val="none"/>
          <w:lang w:eastAsia="zh-CN"/>
        </w:rPr>
        <w:t>第三方机构审计、核验2025年财政资金计划补助项目服务（3分标重）</w:t>
      </w:r>
    </w:p>
    <w:p w14:paraId="05655BB2">
      <w:pPr>
        <w:snapToGrid w:val="0"/>
        <w:spacing w:before="120" w:beforeLines="50" w:after="50"/>
        <w:ind w:firstLine="720" w:firstLineChars="225"/>
        <w:rPr>
          <w:rFonts w:hint="eastAsia" w:ascii="宋体" w:hAnsi="宋体" w:cs="仿宋_GB2312"/>
          <w:bCs/>
          <w:color w:val="auto"/>
          <w:sz w:val="32"/>
          <w:szCs w:val="32"/>
          <w:highlight w:val="none"/>
        </w:rPr>
      </w:pPr>
    </w:p>
    <w:p w14:paraId="1D41FAB7">
      <w:pPr>
        <w:snapToGrid w:val="0"/>
        <w:spacing w:before="120" w:beforeLines="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1B719173">
      <w:pPr>
        <w:snapToGrid w:val="0"/>
        <w:spacing w:before="120" w:beforeLines="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 </w:t>
      </w:r>
    </w:p>
    <w:p w14:paraId="6F9A809E">
      <w:pPr>
        <w:snapToGrid w:val="0"/>
        <w:spacing w:before="120" w:beforeLines="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所竞标项（如有则填写，无标项时填写“无”或者留空）：</w:t>
      </w:r>
    </w:p>
    <w:p w14:paraId="01F05B3F">
      <w:pPr>
        <w:snapToGrid w:val="0"/>
        <w:spacing w:before="120" w:beforeLines="50" w:after="50"/>
        <w:ind w:firstLine="720" w:firstLineChars="225"/>
        <w:rPr>
          <w:rFonts w:hint="eastAsia" w:ascii="宋体" w:hAnsi="宋体" w:cs="仿宋_GB2312"/>
          <w:bCs/>
          <w:color w:val="auto"/>
          <w:sz w:val="32"/>
          <w:szCs w:val="32"/>
          <w:highlight w:val="none"/>
        </w:rPr>
      </w:pPr>
    </w:p>
    <w:p w14:paraId="6F7E1FF8">
      <w:pPr>
        <w:pStyle w:val="6"/>
        <w:snapToGrid w:val="0"/>
        <w:spacing w:before="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720B6656">
      <w:pPr>
        <w:pStyle w:val="6"/>
        <w:snapToGrid w:val="0"/>
        <w:spacing w:before="50" w:after="50"/>
        <w:ind w:firstLine="720" w:firstLineChars="225"/>
        <w:rPr>
          <w:rFonts w:hint="eastAsia" w:ascii="宋体" w:hAnsi="宋体" w:cs="仿宋_GB2312"/>
          <w:bCs/>
          <w:color w:val="auto"/>
          <w:sz w:val="32"/>
          <w:szCs w:val="32"/>
          <w:highlight w:val="none"/>
        </w:rPr>
      </w:pPr>
    </w:p>
    <w:p w14:paraId="1BFFCA15">
      <w:pPr>
        <w:pStyle w:val="6"/>
        <w:snapToGrid w:val="0"/>
        <w:spacing w:before="50" w:after="50"/>
        <w:ind w:firstLine="720" w:firstLineChars="225"/>
        <w:rPr>
          <w:rFonts w:hint="eastAsia" w:ascii="宋体" w:hAnsi="宋体" w:cs="仿宋_GB2312"/>
          <w:bCs/>
          <w:color w:val="auto"/>
          <w:sz w:val="32"/>
          <w:szCs w:val="32"/>
          <w:highlight w:val="none"/>
        </w:rPr>
      </w:pPr>
    </w:p>
    <w:p w14:paraId="6BBB57E5">
      <w:pPr>
        <w:pStyle w:val="6"/>
        <w:snapToGrid w:val="0"/>
        <w:spacing w:before="50" w:after="50"/>
        <w:ind w:firstLine="720" w:firstLineChars="225"/>
        <w:rPr>
          <w:rFonts w:hint="eastAsia" w:ascii="宋体" w:hAnsi="宋体" w:cs="仿宋_GB2312"/>
          <w:bCs/>
          <w:color w:val="auto"/>
          <w:sz w:val="32"/>
          <w:szCs w:val="32"/>
          <w:highlight w:val="none"/>
        </w:rPr>
      </w:pPr>
    </w:p>
    <w:p w14:paraId="44B1E5D1">
      <w:pPr>
        <w:pStyle w:val="6"/>
        <w:snapToGrid w:val="0"/>
        <w:spacing w:before="50" w:after="50"/>
        <w:ind w:firstLine="1280" w:firstLineChars="400"/>
        <w:rPr>
          <w:rFonts w:hint="eastAsia" w:ascii="宋体" w:hAnsi="宋体" w:cs="仿宋_GB2312"/>
          <w:bCs/>
          <w:color w:val="auto"/>
          <w:sz w:val="32"/>
          <w:szCs w:val="32"/>
          <w:highlight w:val="none"/>
        </w:rPr>
      </w:pPr>
    </w:p>
    <w:p w14:paraId="6A022CEB">
      <w:pPr>
        <w:snapToGrid w:val="0"/>
        <w:spacing w:before="120" w:beforeLines="50" w:after="50"/>
        <w:jc w:val="center"/>
        <w:rPr>
          <w:rFonts w:hint="eastAsia"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6EC3184A">
      <w:pPr>
        <w:snapToGrid w:val="0"/>
        <w:spacing w:before="120" w:beforeLines="50" w:after="50" w:line="360" w:lineRule="auto"/>
        <w:jc w:val="left"/>
        <w:rPr>
          <w:rFonts w:hint="eastAsia" w:ascii="宋体" w:hAnsi="宋体"/>
          <w:b/>
          <w:bCs/>
          <w:color w:val="auto"/>
          <w:sz w:val="32"/>
          <w:szCs w:val="32"/>
          <w:highlight w:val="none"/>
        </w:rPr>
      </w:pPr>
      <w:r>
        <w:rPr>
          <w:rFonts w:hint="eastAsia" w:ascii="宋体" w:hAnsi="宋体"/>
          <w:color w:val="auto"/>
          <w:sz w:val="24"/>
          <w:highlight w:val="none"/>
        </w:rPr>
        <w:br w:type="page"/>
      </w:r>
      <w:r>
        <w:rPr>
          <w:rFonts w:hint="eastAsia" w:ascii="宋体" w:hAnsi="宋体"/>
          <w:b/>
          <w:bCs/>
          <w:color w:val="auto"/>
          <w:sz w:val="32"/>
          <w:szCs w:val="32"/>
          <w:highlight w:val="none"/>
        </w:rPr>
        <w:t xml:space="preserve"> </w:t>
      </w:r>
    </w:p>
    <w:p w14:paraId="61194679">
      <w:pPr>
        <w:jc w:val="center"/>
        <w:rPr>
          <w:rFonts w:hint="eastAsia"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资格证明文件目录</w:t>
      </w:r>
    </w:p>
    <w:p w14:paraId="3AF05F55">
      <w:pPr>
        <w:snapToGrid w:val="0"/>
        <w:spacing w:line="360" w:lineRule="auto"/>
        <w:rPr>
          <w:rFonts w:hint="eastAsia" w:ascii="仿宋_GB2312" w:hAnsi="仿宋" w:eastAsia="仿宋_GB2312" w:cs="仿宋_GB2312"/>
          <w:color w:val="auto"/>
          <w:kern w:val="0"/>
          <w:sz w:val="24"/>
          <w:highlight w:val="none"/>
        </w:rPr>
      </w:pPr>
    </w:p>
    <w:p w14:paraId="625E1187">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一、</w:t>
      </w:r>
      <w:r>
        <w:rPr>
          <w:rFonts w:hint="eastAsia" w:ascii="仿宋_GB2312" w:hAnsi="仿宋" w:eastAsia="仿宋_GB2312"/>
          <w:color w:val="auto"/>
          <w:sz w:val="24"/>
          <w:highlight w:val="none"/>
        </w:rPr>
        <w:t>营业执照(或事业法人登记证或其他工商等登记证明材料)复印件（供应商为自然人的，须提供</w:t>
      </w:r>
      <w:r>
        <w:rPr>
          <w:rFonts w:hint="eastAsia" w:ascii="仿宋_GB2312" w:hAnsi="仿宋" w:eastAsia="仿宋_GB2312" w:cs="Helvetica"/>
          <w:color w:val="auto"/>
          <w:kern w:val="0"/>
          <w:sz w:val="24"/>
          <w:highlight w:val="none"/>
        </w:rPr>
        <w:t>自然人的身份证明</w:t>
      </w:r>
      <w:r>
        <w:rPr>
          <w:rFonts w:hint="eastAsia" w:ascii="仿宋_GB2312" w:hAnsi="仿宋" w:eastAsia="仿宋_GB2312"/>
          <w:color w:val="auto"/>
          <w:sz w:val="24"/>
          <w:highlight w:val="none"/>
        </w:rPr>
        <w:t>）</w:t>
      </w:r>
      <w:r>
        <w:rPr>
          <w:rFonts w:hint="eastAsia" w:ascii="仿宋_GB2312" w:hAnsi="仿宋" w:eastAsia="仿宋_GB2312" w:cs="仿宋_GB2312"/>
          <w:color w:val="auto"/>
          <w:kern w:val="0"/>
          <w:sz w:val="24"/>
          <w:highlight w:val="none"/>
        </w:rPr>
        <w:t>…………………………………………（页码）</w:t>
      </w:r>
    </w:p>
    <w:p w14:paraId="16986C9D">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二、符合参与政府采购活动的资格条件依法缴纳税收、社会保障资金等方面的材料…………………………………………………………………………………（页码）</w:t>
      </w:r>
    </w:p>
    <w:p w14:paraId="20206FDE">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三、财务状况报告方面的材料…………………………………………………（页码）</w:t>
      </w:r>
    </w:p>
    <w:p w14:paraId="0E7CA76F">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四、供应商直接控股股东信息</w:t>
      </w:r>
      <w:r>
        <w:rPr>
          <w:rFonts w:hint="eastAsia" w:ascii="仿宋_GB2312" w:hAnsi="仿宋" w:eastAsia="仿宋_GB2312" w:cs="仿宋_GB2312"/>
          <w:color w:val="auto"/>
          <w:kern w:val="0"/>
          <w:sz w:val="24"/>
          <w:highlight w:val="none"/>
        </w:rPr>
        <w:t>…………………………………………………（页码）</w:t>
      </w:r>
    </w:p>
    <w:p w14:paraId="7786506F">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五、供应商直接关联关系信息表</w:t>
      </w:r>
      <w:r>
        <w:rPr>
          <w:rFonts w:hint="eastAsia" w:ascii="仿宋_GB2312" w:hAnsi="仿宋" w:eastAsia="仿宋_GB2312" w:cs="仿宋_GB2312"/>
          <w:color w:val="auto"/>
          <w:kern w:val="0"/>
          <w:sz w:val="24"/>
          <w:highlight w:val="none"/>
        </w:rPr>
        <w:t>………………………………………………（页码）</w:t>
      </w:r>
    </w:p>
    <w:p w14:paraId="75B27128">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六、资格声明函…………………………………………………………………（页码）</w:t>
      </w:r>
    </w:p>
    <w:p w14:paraId="4AFC2FB0">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七、联合体协议书（</w:t>
      </w:r>
      <w:r>
        <w:rPr>
          <w:rFonts w:hint="eastAsia" w:ascii="仿宋_GB2312" w:hAnsi="仿宋" w:eastAsia="仿宋_GB2312" w:cs="仿宋_GB2312"/>
          <w:color w:val="auto"/>
          <w:sz w:val="24"/>
          <w:highlight w:val="none"/>
        </w:rPr>
        <w:t>以联合体形式响应的，提供联合体协议；本项目不接受联合体响应或者供应商不以联合体形式响应的，则不需要提供</w:t>
      </w:r>
      <w:r>
        <w:rPr>
          <w:rFonts w:hint="eastAsia" w:ascii="仿宋_GB2312" w:hAnsi="仿宋" w:eastAsia="仿宋_GB2312" w:cs="仿宋_GB2312"/>
          <w:color w:val="auto"/>
          <w:kern w:val="0"/>
          <w:sz w:val="24"/>
          <w:highlight w:val="none"/>
        </w:rPr>
        <w:t>）…………………（页码）</w:t>
      </w:r>
    </w:p>
    <w:p w14:paraId="4770DA44">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八、中小企业声明函……………………………………………………………（页码）</w:t>
      </w:r>
    </w:p>
    <w:p w14:paraId="06EA5A8F">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九、符合特定资格条件（如有）的有关证明材料（复印件）</w:t>
      </w:r>
      <w:r>
        <w:rPr>
          <w:rFonts w:hint="eastAsia" w:ascii="仿宋_GB2312" w:hAnsi="仿宋" w:eastAsia="仿宋_GB2312" w:cs="仿宋_GB2312"/>
          <w:color w:val="auto"/>
          <w:kern w:val="0"/>
          <w:sz w:val="24"/>
          <w:highlight w:val="none"/>
        </w:rPr>
        <w:t>………………（页码）</w:t>
      </w:r>
    </w:p>
    <w:p w14:paraId="4CB2BE2A">
      <w:pPr>
        <w:spacing w:line="360" w:lineRule="auto"/>
        <w:rPr>
          <w:rFonts w:hint="eastAsia" w:ascii="仿宋_GB2312" w:hAnsi="仿宋_GB2312" w:eastAsia="仿宋_GB2312" w:cs="仿宋_GB2312"/>
          <w:b/>
          <w:bCs/>
          <w:color w:val="auto"/>
          <w:sz w:val="24"/>
          <w:highlight w:val="none"/>
        </w:rPr>
      </w:pPr>
    </w:p>
    <w:p w14:paraId="4FDAB3E2">
      <w:pPr>
        <w:spacing w:line="360" w:lineRule="auto"/>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注：以上目录是编制供应商响应文件的基本格式要求，各供应商可根据自身情况进一步细化。</w:t>
      </w:r>
    </w:p>
    <w:p w14:paraId="2D8F18C9">
      <w:pPr>
        <w:snapToGrid w:val="0"/>
        <w:spacing w:before="120" w:beforeLines="50" w:after="50" w:line="360" w:lineRule="auto"/>
        <w:ind w:left="142" w:firstLine="420" w:firstLineChars="200"/>
        <w:jc w:val="left"/>
        <w:rPr>
          <w:rFonts w:hint="eastAsia" w:ascii="宋体" w:hAnsi="宋体"/>
          <w:color w:val="auto"/>
          <w:szCs w:val="21"/>
          <w:highlight w:val="none"/>
        </w:rPr>
      </w:pPr>
    </w:p>
    <w:p w14:paraId="2A791819">
      <w:pPr>
        <w:spacing w:line="300" w:lineRule="auto"/>
        <w:rPr>
          <w:rFonts w:hint="eastAsia" w:ascii="宋体" w:hAnsi="宋体"/>
          <w:color w:val="auto"/>
          <w:szCs w:val="21"/>
          <w:highlight w:val="none"/>
        </w:rPr>
      </w:pPr>
    </w:p>
    <w:p w14:paraId="28B6A831">
      <w:pPr>
        <w:spacing w:line="300" w:lineRule="auto"/>
        <w:rPr>
          <w:rFonts w:hint="eastAsia" w:ascii="宋体" w:hAnsi="宋体"/>
          <w:color w:val="auto"/>
          <w:szCs w:val="21"/>
          <w:highlight w:val="none"/>
        </w:rPr>
      </w:pPr>
    </w:p>
    <w:p w14:paraId="17287DA4">
      <w:pPr>
        <w:spacing w:line="300" w:lineRule="auto"/>
        <w:rPr>
          <w:rFonts w:hint="eastAsia" w:ascii="宋体" w:hAnsi="宋体"/>
          <w:color w:val="auto"/>
          <w:szCs w:val="21"/>
          <w:highlight w:val="none"/>
        </w:rPr>
      </w:pPr>
    </w:p>
    <w:p w14:paraId="38712EE8">
      <w:pPr>
        <w:spacing w:line="300" w:lineRule="auto"/>
        <w:rPr>
          <w:rFonts w:hint="eastAsia" w:ascii="宋体" w:hAnsi="宋体"/>
          <w:color w:val="auto"/>
          <w:szCs w:val="21"/>
          <w:highlight w:val="none"/>
        </w:rPr>
      </w:pPr>
    </w:p>
    <w:p w14:paraId="573FC3B7">
      <w:pPr>
        <w:spacing w:line="300" w:lineRule="auto"/>
        <w:rPr>
          <w:rFonts w:hint="eastAsia" w:ascii="宋体" w:hAnsi="宋体"/>
          <w:color w:val="auto"/>
          <w:szCs w:val="21"/>
          <w:highlight w:val="none"/>
        </w:rPr>
      </w:pPr>
    </w:p>
    <w:p w14:paraId="746EB62B">
      <w:pPr>
        <w:spacing w:line="300" w:lineRule="auto"/>
        <w:rPr>
          <w:rFonts w:hint="eastAsia" w:ascii="宋体" w:hAnsi="宋体"/>
          <w:color w:val="auto"/>
          <w:szCs w:val="21"/>
          <w:highlight w:val="none"/>
        </w:rPr>
      </w:pPr>
    </w:p>
    <w:p w14:paraId="7063B6DB">
      <w:pPr>
        <w:spacing w:line="300" w:lineRule="auto"/>
        <w:rPr>
          <w:rFonts w:hint="eastAsia" w:ascii="宋体" w:hAnsi="宋体"/>
          <w:color w:val="auto"/>
          <w:szCs w:val="21"/>
          <w:highlight w:val="none"/>
        </w:rPr>
      </w:pPr>
    </w:p>
    <w:p w14:paraId="4BC6659E">
      <w:pPr>
        <w:spacing w:line="300" w:lineRule="auto"/>
        <w:rPr>
          <w:rFonts w:hint="eastAsia" w:ascii="宋体" w:hAnsi="宋体"/>
          <w:color w:val="auto"/>
          <w:szCs w:val="21"/>
          <w:highlight w:val="none"/>
        </w:rPr>
      </w:pPr>
    </w:p>
    <w:p w14:paraId="23F2873D">
      <w:pPr>
        <w:spacing w:line="300" w:lineRule="auto"/>
        <w:rPr>
          <w:rFonts w:hint="eastAsia" w:ascii="宋体" w:hAnsi="宋体"/>
          <w:color w:val="auto"/>
          <w:szCs w:val="21"/>
          <w:highlight w:val="none"/>
        </w:rPr>
      </w:pPr>
    </w:p>
    <w:p w14:paraId="14F835C7">
      <w:pPr>
        <w:spacing w:line="300" w:lineRule="auto"/>
        <w:rPr>
          <w:rFonts w:hint="eastAsia" w:ascii="宋体" w:hAnsi="宋体"/>
          <w:color w:val="auto"/>
          <w:szCs w:val="21"/>
          <w:highlight w:val="none"/>
        </w:rPr>
      </w:pPr>
    </w:p>
    <w:p w14:paraId="7DA842FA">
      <w:pPr>
        <w:spacing w:line="300" w:lineRule="auto"/>
        <w:rPr>
          <w:rFonts w:hint="eastAsia" w:ascii="宋体" w:hAnsi="宋体"/>
          <w:color w:val="auto"/>
          <w:szCs w:val="21"/>
          <w:highlight w:val="none"/>
        </w:rPr>
      </w:pPr>
    </w:p>
    <w:p w14:paraId="3F3FFDF8">
      <w:pPr>
        <w:spacing w:line="300" w:lineRule="auto"/>
        <w:rPr>
          <w:rFonts w:hint="eastAsia" w:ascii="宋体" w:hAnsi="宋体"/>
          <w:color w:val="auto"/>
          <w:szCs w:val="21"/>
          <w:highlight w:val="none"/>
        </w:rPr>
      </w:pPr>
    </w:p>
    <w:p w14:paraId="79CB133F">
      <w:pPr>
        <w:spacing w:line="300" w:lineRule="auto"/>
        <w:rPr>
          <w:rFonts w:hint="eastAsia" w:ascii="宋体" w:hAnsi="宋体"/>
          <w:color w:val="auto"/>
          <w:szCs w:val="21"/>
          <w:highlight w:val="none"/>
        </w:rPr>
      </w:pPr>
    </w:p>
    <w:p w14:paraId="782C7869">
      <w:pPr>
        <w:pStyle w:val="11"/>
        <w:spacing w:line="360" w:lineRule="auto"/>
        <w:ind w:left="0" w:leftChars="0" w:firstLine="602" w:firstLineChars="200"/>
        <w:rPr>
          <w:rFonts w:hint="eastAsia" w:ascii="仿宋" w:hAnsi="仿宋" w:eastAsia="仿宋" w:cs="仿宋_GB2312"/>
          <w:b/>
          <w:color w:val="auto"/>
          <w:sz w:val="30"/>
          <w:szCs w:val="30"/>
          <w:highlight w:val="none"/>
        </w:rPr>
      </w:pPr>
      <w:r>
        <w:rPr>
          <w:rFonts w:hint="eastAsia" w:ascii="仿宋" w:hAnsi="仿宋" w:eastAsia="仿宋" w:cs="仿宋_GB2312"/>
          <w:b/>
          <w:color w:val="auto"/>
          <w:sz w:val="30"/>
          <w:szCs w:val="30"/>
          <w:highlight w:val="none"/>
        </w:rPr>
        <w:t>一、营业执照(或事业法人登记证或其他工商等登记证明材料)复印件（供应商为自然人的，提供自然人的身份证明）</w:t>
      </w:r>
    </w:p>
    <w:p w14:paraId="698B411D">
      <w:pPr>
        <w:pStyle w:val="11"/>
        <w:spacing w:line="360" w:lineRule="auto"/>
        <w:ind w:firstLine="602" w:firstLineChars="200"/>
        <w:rPr>
          <w:rFonts w:hint="eastAsia" w:ascii="仿宋" w:hAnsi="仿宋" w:eastAsia="仿宋" w:cs="仿宋_GB2312"/>
          <w:b/>
          <w:color w:val="auto"/>
          <w:sz w:val="30"/>
          <w:szCs w:val="30"/>
          <w:highlight w:val="none"/>
        </w:rPr>
      </w:pPr>
    </w:p>
    <w:p w14:paraId="16CDC110">
      <w:pPr>
        <w:autoSpaceDE w:val="0"/>
        <w:autoSpaceDN w:val="0"/>
        <w:spacing w:line="360" w:lineRule="auto"/>
        <w:ind w:left="4365" w:leftChars="1850" w:hanging="480" w:hangingChars="2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07D3491F">
      <w:pPr>
        <w:autoSpaceDE w:val="0"/>
        <w:autoSpaceDN w:val="0"/>
        <w:spacing w:line="360" w:lineRule="auto"/>
        <w:ind w:firstLine="6120" w:firstLineChars="2550"/>
        <w:rPr>
          <w:rFonts w:hint="eastAsia" w:ascii="仿宋_GB2312" w:hAnsi="仿宋" w:eastAsia="仿宋_GB2312" w:cs="仿宋_GB2312"/>
          <w:b/>
          <w:bCs/>
          <w:color w:val="auto"/>
          <w:sz w:val="24"/>
          <w:highlight w:val="none"/>
        </w:rPr>
      </w:pPr>
      <w:r>
        <w:rPr>
          <w:rFonts w:hint="eastAsia" w:ascii="仿宋_GB2312" w:hAnsi="仿宋" w:eastAsia="仿宋_GB2312" w:cs="仿宋_GB2312"/>
          <w:color w:val="auto"/>
          <w:kern w:val="0"/>
          <w:sz w:val="24"/>
          <w:highlight w:val="none"/>
          <w:lang w:val="zh-CN"/>
        </w:rPr>
        <w:t>日期：  年  月   日</w:t>
      </w:r>
    </w:p>
    <w:p w14:paraId="4D185EF5">
      <w:pPr>
        <w:snapToGrid w:val="0"/>
        <w:spacing w:before="120" w:beforeLines="50" w:after="50"/>
        <w:rPr>
          <w:rFonts w:hint="eastAsia" w:ascii="宋体" w:hAnsi="宋体"/>
          <w:color w:val="auto"/>
          <w:sz w:val="24"/>
          <w:szCs w:val="20"/>
          <w:highlight w:val="none"/>
        </w:rPr>
      </w:pPr>
    </w:p>
    <w:p w14:paraId="28DEB605">
      <w:pPr>
        <w:pStyle w:val="11"/>
        <w:spacing w:line="360" w:lineRule="auto"/>
        <w:ind w:left="0" w:leftChars="0" w:firstLine="602" w:firstLineChars="200"/>
        <w:rPr>
          <w:rFonts w:hint="eastAsia" w:ascii="仿宋" w:hAnsi="仿宋" w:eastAsia="仿宋" w:cs="仿宋_GB2312"/>
          <w:b/>
          <w:color w:val="auto"/>
          <w:sz w:val="30"/>
          <w:szCs w:val="30"/>
          <w:highlight w:val="none"/>
        </w:rPr>
      </w:pPr>
      <w:r>
        <w:rPr>
          <w:rFonts w:hint="eastAsia" w:ascii="仿宋" w:hAnsi="仿宋" w:eastAsia="仿宋" w:cs="仿宋_GB2312"/>
          <w:b/>
          <w:color w:val="auto"/>
          <w:sz w:val="30"/>
          <w:szCs w:val="30"/>
          <w:highlight w:val="none"/>
        </w:rPr>
        <w:t>二、符合参与政府采购活动的资格条件依法缴纳税收、社会保障资金等方面的材料</w:t>
      </w:r>
    </w:p>
    <w:p w14:paraId="776A8A54">
      <w:pPr>
        <w:spacing w:line="300" w:lineRule="auto"/>
        <w:rPr>
          <w:rFonts w:hint="eastAsia" w:ascii="宋体" w:hAnsi="宋体"/>
          <w:color w:val="auto"/>
          <w:szCs w:val="21"/>
          <w:highlight w:val="none"/>
        </w:rPr>
      </w:pPr>
    </w:p>
    <w:p w14:paraId="28B30021">
      <w:pPr>
        <w:autoSpaceDE w:val="0"/>
        <w:autoSpaceDN w:val="0"/>
        <w:spacing w:line="360" w:lineRule="auto"/>
        <w:ind w:left="4365" w:leftChars="1850" w:hanging="480" w:hangingChars="2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42DA8CFD">
      <w:pPr>
        <w:autoSpaceDE w:val="0"/>
        <w:autoSpaceDN w:val="0"/>
        <w:spacing w:line="360" w:lineRule="auto"/>
        <w:ind w:firstLine="6120" w:firstLineChars="2550"/>
        <w:rPr>
          <w:rFonts w:hint="eastAsia" w:ascii="仿宋_GB2312" w:hAnsi="仿宋" w:eastAsia="仿宋_GB2312" w:cs="仿宋_GB2312"/>
          <w:b/>
          <w:bCs/>
          <w:color w:val="auto"/>
          <w:sz w:val="24"/>
          <w:highlight w:val="none"/>
        </w:rPr>
      </w:pPr>
      <w:r>
        <w:rPr>
          <w:rFonts w:hint="eastAsia" w:ascii="仿宋_GB2312" w:hAnsi="仿宋" w:eastAsia="仿宋_GB2312" w:cs="仿宋_GB2312"/>
          <w:color w:val="auto"/>
          <w:kern w:val="0"/>
          <w:sz w:val="24"/>
          <w:highlight w:val="none"/>
          <w:lang w:val="zh-CN"/>
        </w:rPr>
        <w:t>日期：  年  月   日</w:t>
      </w:r>
    </w:p>
    <w:p w14:paraId="5C81FD43">
      <w:pPr>
        <w:spacing w:line="300" w:lineRule="auto"/>
        <w:rPr>
          <w:rFonts w:hint="eastAsia" w:ascii="宋体" w:hAnsi="宋体"/>
          <w:color w:val="auto"/>
          <w:szCs w:val="21"/>
          <w:highlight w:val="none"/>
        </w:rPr>
      </w:pPr>
    </w:p>
    <w:p w14:paraId="481019F1">
      <w:pPr>
        <w:spacing w:line="300" w:lineRule="auto"/>
        <w:ind w:firstLine="596" w:firstLineChars="198"/>
        <w:rPr>
          <w:rFonts w:hint="eastAsia" w:ascii="仿宋" w:hAnsi="仿宋" w:eastAsia="仿宋" w:cs="仿宋_GB2312"/>
          <w:b/>
          <w:color w:val="auto"/>
          <w:kern w:val="0"/>
          <w:sz w:val="30"/>
          <w:szCs w:val="30"/>
          <w:highlight w:val="none"/>
        </w:rPr>
      </w:pPr>
      <w:r>
        <w:rPr>
          <w:rFonts w:hint="eastAsia" w:ascii="仿宋" w:hAnsi="仿宋" w:eastAsia="仿宋" w:cs="仿宋_GB2312"/>
          <w:b/>
          <w:color w:val="auto"/>
          <w:kern w:val="0"/>
          <w:sz w:val="30"/>
          <w:szCs w:val="30"/>
          <w:highlight w:val="none"/>
        </w:rPr>
        <w:t>三、财务状况报告方面的材料</w:t>
      </w:r>
    </w:p>
    <w:p w14:paraId="2B624599">
      <w:pPr>
        <w:spacing w:line="300" w:lineRule="auto"/>
        <w:rPr>
          <w:rFonts w:hint="eastAsia" w:ascii="宋体" w:hAnsi="宋体"/>
          <w:color w:val="auto"/>
          <w:szCs w:val="21"/>
          <w:highlight w:val="none"/>
        </w:rPr>
      </w:pPr>
    </w:p>
    <w:p w14:paraId="6EB705DE">
      <w:pPr>
        <w:autoSpaceDE w:val="0"/>
        <w:autoSpaceDN w:val="0"/>
        <w:spacing w:line="360" w:lineRule="auto"/>
        <w:ind w:left="4365" w:leftChars="1850" w:hanging="480" w:hangingChars="2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324C7ABC">
      <w:pPr>
        <w:autoSpaceDE w:val="0"/>
        <w:autoSpaceDN w:val="0"/>
        <w:spacing w:line="360" w:lineRule="auto"/>
        <w:ind w:firstLine="6120" w:firstLineChars="2550"/>
        <w:rPr>
          <w:rFonts w:hint="eastAsia" w:ascii="仿宋_GB2312" w:hAnsi="仿宋" w:eastAsia="仿宋_GB2312" w:cs="仿宋_GB2312"/>
          <w:b/>
          <w:bCs/>
          <w:color w:val="auto"/>
          <w:sz w:val="24"/>
          <w:highlight w:val="none"/>
        </w:rPr>
      </w:pPr>
      <w:r>
        <w:rPr>
          <w:rFonts w:hint="eastAsia" w:ascii="仿宋_GB2312" w:hAnsi="仿宋" w:eastAsia="仿宋_GB2312" w:cs="仿宋_GB2312"/>
          <w:color w:val="auto"/>
          <w:kern w:val="0"/>
          <w:sz w:val="24"/>
          <w:highlight w:val="none"/>
          <w:lang w:val="zh-CN"/>
        </w:rPr>
        <w:t>日期：  年  月   日</w:t>
      </w:r>
    </w:p>
    <w:p w14:paraId="64634BE5">
      <w:pPr>
        <w:spacing w:line="320" w:lineRule="exact"/>
        <w:jc w:val="left"/>
        <w:rPr>
          <w:rFonts w:hint="eastAsia" w:ascii="宋体" w:hAnsi="宋体"/>
          <w:color w:val="auto"/>
          <w:szCs w:val="21"/>
          <w:highlight w:val="none"/>
        </w:rPr>
      </w:pPr>
      <w:r>
        <w:rPr>
          <w:rFonts w:hint="eastAsia" w:ascii="宋体" w:hAnsi="宋体"/>
          <w:color w:val="auto"/>
          <w:szCs w:val="21"/>
          <w:highlight w:val="none"/>
        </w:rPr>
        <w:t xml:space="preserve"> </w:t>
      </w:r>
    </w:p>
    <w:p w14:paraId="00348291">
      <w:pPr>
        <w:snapToGrid w:val="0"/>
        <w:spacing w:before="120" w:beforeLines="50" w:after="50" w:line="360" w:lineRule="auto"/>
        <w:jc w:val="center"/>
        <w:rPr>
          <w:rFonts w:hint="eastAsia" w:ascii="宋体" w:hAnsi="宋体"/>
          <w:b/>
          <w:color w:val="auto"/>
          <w:sz w:val="24"/>
          <w:highlight w:val="none"/>
        </w:rPr>
      </w:pPr>
    </w:p>
    <w:p w14:paraId="493F3AAB">
      <w:pPr>
        <w:spacing w:line="360" w:lineRule="auto"/>
        <w:ind w:firstLine="596" w:firstLineChars="198"/>
        <w:rPr>
          <w:rFonts w:hint="eastAsia" w:ascii="仿宋" w:hAnsi="仿宋" w:eastAsia="仿宋" w:cs="仿宋_GB2312"/>
          <w:b/>
          <w:color w:val="auto"/>
          <w:kern w:val="0"/>
          <w:sz w:val="30"/>
          <w:szCs w:val="30"/>
          <w:highlight w:val="none"/>
        </w:rPr>
      </w:pPr>
      <w:r>
        <w:rPr>
          <w:rFonts w:hint="eastAsia" w:ascii="仿宋" w:hAnsi="仿宋" w:eastAsia="仿宋" w:cs="仿宋_GB2312"/>
          <w:b/>
          <w:color w:val="auto"/>
          <w:kern w:val="0"/>
          <w:sz w:val="30"/>
          <w:szCs w:val="30"/>
          <w:highlight w:val="none"/>
        </w:rPr>
        <w:t>四、供应商直接控股股东信息</w:t>
      </w:r>
    </w:p>
    <w:p w14:paraId="16EE14F4">
      <w:pPr>
        <w:spacing w:line="360" w:lineRule="auto"/>
        <w:jc w:val="center"/>
        <w:rPr>
          <w:rFonts w:hint="eastAsia" w:ascii="宋体" w:hAnsi="宋体"/>
          <w:b/>
          <w:color w:val="auto"/>
          <w:sz w:val="24"/>
          <w:highlight w:val="none"/>
        </w:rPr>
      </w:pPr>
    </w:p>
    <w:tbl>
      <w:tblPr>
        <w:tblStyle w:val="22"/>
        <w:tblW w:w="4999" w:type="pct"/>
        <w:jc w:val="center"/>
        <w:shd w:val="clear" w:color="auto" w:fill="FBFBFB"/>
        <w:tblLayout w:type="autofit"/>
        <w:tblCellMar>
          <w:top w:w="0" w:type="dxa"/>
          <w:left w:w="0" w:type="dxa"/>
          <w:bottom w:w="0" w:type="dxa"/>
          <w:right w:w="0" w:type="dxa"/>
        </w:tblCellMar>
      </w:tblPr>
      <w:tblGrid>
        <w:gridCol w:w="807"/>
        <w:gridCol w:w="2438"/>
        <w:gridCol w:w="1336"/>
        <w:gridCol w:w="3936"/>
        <w:gridCol w:w="798"/>
      </w:tblGrid>
      <w:tr w14:paraId="20A3F1D7">
        <w:tblPrEx>
          <w:shd w:val="clear" w:color="auto" w:fill="FBFBFB"/>
          <w:tblCellMar>
            <w:top w:w="0" w:type="dxa"/>
            <w:left w:w="0" w:type="dxa"/>
            <w:bottom w:w="0" w:type="dxa"/>
            <w:right w:w="0" w:type="dxa"/>
          </w:tblCellMar>
        </w:tblPrEx>
        <w:trPr>
          <w:tblHeader/>
          <w:jc w:val="center"/>
        </w:trPr>
        <w:tc>
          <w:tcPr>
            <w:tcW w:w="433"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C168ECF">
            <w:pPr>
              <w:keepNext w:val="0"/>
              <w:keepLines w:val="0"/>
              <w:widowControl/>
              <w:suppressLineNumbers w:val="0"/>
              <w:spacing w:before="0" w:beforeAutospacing="0" w:after="0" w:afterAutospacing="0" w:line="360" w:lineRule="auto"/>
              <w:ind w:left="0" w:right="0"/>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1308"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E0D3AB9">
            <w:pPr>
              <w:keepNext w:val="0"/>
              <w:keepLines w:val="0"/>
              <w:widowControl/>
              <w:suppressLineNumbers w:val="0"/>
              <w:spacing w:before="0" w:beforeAutospacing="0" w:after="0" w:afterAutospacing="0" w:line="360" w:lineRule="auto"/>
              <w:ind w:left="0" w:right="0"/>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717"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DD54294">
            <w:pPr>
              <w:keepNext w:val="0"/>
              <w:keepLines w:val="0"/>
              <w:widowControl/>
              <w:suppressLineNumbers w:val="0"/>
              <w:spacing w:before="0" w:beforeAutospacing="0" w:after="0" w:afterAutospacing="0" w:line="360" w:lineRule="auto"/>
              <w:ind w:left="0" w:right="0"/>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2112"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CD3E23F">
            <w:pPr>
              <w:keepNext w:val="0"/>
              <w:keepLines w:val="0"/>
              <w:widowControl/>
              <w:suppressLineNumbers w:val="0"/>
              <w:spacing w:before="0" w:beforeAutospacing="0" w:after="0" w:afterAutospacing="0" w:line="360" w:lineRule="auto"/>
              <w:ind w:left="0" w:right="0"/>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428"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B7F1318">
            <w:pPr>
              <w:keepNext w:val="0"/>
              <w:keepLines w:val="0"/>
              <w:widowControl/>
              <w:suppressLineNumbers w:val="0"/>
              <w:spacing w:before="0" w:beforeAutospacing="0" w:after="0" w:afterAutospacing="0" w:line="360" w:lineRule="auto"/>
              <w:ind w:left="0" w:right="0"/>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74614303">
        <w:tblPrEx>
          <w:tblCellMar>
            <w:top w:w="0" w:type="dxa"/>
            <w:left w:w="0" w:type="dxa"/>
            <w:bottom w:w="0" w:type="dxa"/>
            <w:right w:w="0" w:type="dxa"/>
          </w:tblCellMar>
        </w:tblPrEx>
        <w:trPr>
          <w:jc w:val="center"/>
        </w:trPr>
        <w:tc>
          <w:tcPr>
            <w:tcW w:w="433"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F2B6FD5">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1308"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8C2F184">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c>
          <w:tcPr>
            <w:tcW w:w="717"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AA5FF85">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c>
          <w:tcPr>
            <w:tcW w:w="2112"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9EED560">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c>
          <w:tcPr>
            <w:tcW w:w="428"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A76C2CE">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r>
      <w:tr w14:paraId="73049A0D">
        <w:tblPrEx>
          <w:tblCellMar>
            <w:top w:w="0" w:type="dxa"/>
            <w:left w:w="0" w:type="dxa"/>
            <w:bottom w:w="0" w:type="dxa"/>
            <w:right w:w="0" w:type="dxa"/>
          </w:tblCellMar>
        </w:tblPrEx>
        <w:trPr>
          <w:jc w:val="center"/>
        </w:trPr>
        <w:tc>
          <w:tcPr>
            <w:tcW w:w="433"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A4319B7">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1308"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7147E03">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c>
          <w:tcPr>
            <w:tcW w:w="717"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8C5C930">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c>
          <w:tcPr>
            <w:tcW w:w="2112"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D03778D">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c>
          <w:tcPr>
            <w:tcW w:w="428"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22ECC9F">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r>
      <w:tr w14:paraId="59544FC1">
        <w:tblPrEx>
          <w:shd w:val="clear" w:color="auto" w:fill="FBFBFB"/>
          <w:tblCellMar>
            <w:top w:w="0" w:type="dxa"/>
            <w:left w:w="0" w:type="dxa"/>
            <w:bottom w:w="0" w:type="dxa"/>
            <w:right w:w="0" w:type="dxa"/>
          </w:tblCellMar>
        </w:tblPrEx>
        <w:trPr>
          <w:jc w:val="center"/>
        </w:trPr>
        <w:tc>
          <w:tcPr>
            <w:tcW w:w="433"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EAEBAC9">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1308"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E884F16">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c>
          <w:tcPr>
            <w:tcW w:w="717"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D06D57A">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c>
          <w:tcPr>
            <w:tcW w:w="2112"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691E6B9">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c>
          <w:tcPr>
            <w:tcW w:w="428"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2AFEBEA">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r>
      <w:tr w14:paraId="591166A4">
        <w:tblPrEx>
          <w:tblCellMar>
            <w:top w:w="0" w:type="dxa"/>
            <w:left w:w="0" w:type="dxa"/>
            <w:bottom w:w="0" w:type="dxa"/>
            <w:right w:w="0" w:type="dxa"/>
          </w:tblCellMar>
        </w:tblPrEx>
        <w:trPr>
          <w:jc w:val="center"/>
        </w:trPr>
        <w:tc>
          <w:tcPr>
            <w:tcW w:w="433"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0CB936E">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1308"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3346DDC">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c>
          <w:tcPr>
            <w:tcW w:w="717"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AA82DF2">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c>
          <w:tcPr>
            <w:tcW w:w="2112"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77790AB">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c>
          <w:tcPr>
            <w:tcW w:w="428"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459638A">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r>
    </w:tbl>
    <w:p w14:paraId="2DE249F7">
      <w:pPr>
        <w:spacing w:line="360" w:lineRule="auto"/>
        <w:jc w:val="left"/>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注：</w:t>
      </w:r>
    </w:p>
    <w:p w14:paraId="03AEF541">
      <w:pPr>
        <w:spacing w:line="360" w:lineRule="auto"/>
        <w:ind w:firstLine="480" w:firstLineChars="200"/>
        <w:jc w:val="left"/>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1B1B9F18">
      <w:pPr>
        <w:spacing w:line="360" w:lineRule="auto"/>
        <w:ind w:firstLine="480" w:firstLineChars="200"/>
        <w:jc w:val="left"/>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2.本表所指的控股关系仅限于直接控股关系，不包括间接的控股关系。公司实际控制人与公司之间的关系不属于本表所指的直接控股关系。</w:t>
      </w:r>
    </w:p>
    <w:p w14:paraId="29736D3F">
      <w:pPr>
        <w:spacing w:line="360" w:lineRule="auto"/>
        <w:ind w:firstLine="480" w:firstLineChars="200"/>
        <w:jc w:val="left"/>
        <w:rPr>
          <w:rFonts w:hint="eastAsia" w:ascii="宋体" w:hAnsi="宋体" w:cs="宋体"/>
          <w:color w:val="auto"/>
          <w:sz w:val="24"/>
          <w:highlight w:val="none"/>
        </w:rPr>
      </w:pPr>
      <w:r>
        <w:rPr>
          <w:rFonts w:hint="eastAsia" w:ascii="仿宋_GB2312" w:hAnsi="仿宋" w:eastAsia="仿宋_GB2312" w:cs="仿宋_GB2312"/>
          <w:color w:val="auto"/>
          <w:kern w:val="0"/>
          <w:sz w:val="24"/>
          <w:highlight w:val="none"/>
        </w:rPr>
        <w:t>3.供应商不存在直接控股股东的，则填“无”。</w:t>
      </w:r>
    </w:p>
    <w:p w14:paraId="34E60299">
      <w:pPr>
        <w:autoSpaceDE w:val="0"/>
        <w:autoSpaceDN w:val="0"/>
        <w:spacing w:line="360" w:lineRule="auto"/>
        <w:ind w:left="4365" w:leftChars="1850" w:hanging="480" w:hangingChars="2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7DDF7BCE">
      <w:pPr>
        <w:autoSpaceDE w:val="0"/>
        <w:autoSpaceDN w:val="0"/>
        <w:spacing w:line="360" w:lineRule="auto"/>
        <w:ind w:firstLine="6120" w:firstLineChars="2550"/>
        <w:rPr>
          <w:rFonts w:hint="eastAsia" w:ascii="仿宋_GB2312" w:hAnsi="仿宋" w:eastAsia="仿宋_GB2312" w:cs="仿宋_GB2312"/>
          <w:b/>
          <w:bCs/>
          <w:color w:val="auto"/>
          <w:sz w:val="24"/>
          <w:highlight w:val="none"/>
        </w:rPr>
      </w:pPr>
      <w:r>
        <w:rPr>
          <w:rFonts w:hint="eastAsia" w:ascii="仿宋_GB2312" w:hAnsi="仿宋" w:eastAsia="仿宋_GB2312" w:cs="仿宋_GB2312"/>
          <w:color w:val="auto"/>
          <w:kern w:val="0"/>
          <w:sz w:val="24"/>
          <w:highlight w:val="none"/>
          <w:lang w:val="zh-CN"/>
        </w:rPr>
        <w:t>日期：  年  月   日</w:t>
      </w:r>
    </w:p>
    <w:p w14:paraId="23C2D1B4">
      <w:pPr>
        <w:snapToGrid w:val="0"/>
        <w:rPr>
          <w:rFonts w:hint="eastAsia" w:ascii="仿宋" w:hAnsi="仿宋" w:eastAsia="仿宋" w:cs="仿宋_GB2312"/>
          <w:b/>
          <w:color w:val="auto"/>
          <w:kern w:val="0"/>
          <w:sz w:val="30"/>
          <w:szCs w:val="30"/>
          <w:highlight w:val="none"/>
        </w:rPr>
      </w:pPr>
    </w:p>
    <w:p w14:paraId="16DF1F0F">
      <w:pPr>
        <w:snapToGrid w:val="0"/>
        <w:rPr>
          <w:rFonts w:hint="eastAsia" w:ascii="仿宋" w:hAnsi="仿宋" w:eastAsia="仿宋" w:cs="仿宋_GB2312"/>
          <w:b/>
          <w:color w:val="auto"/>
          <w:kern w:val="0"/>
          <w:sz w:val="30"/>
          <w:szCs w:val="30"/>
          <w:highlight w:val="none"/>
        </w:rPr>
      </w:pPr>
    </w:p>
    <w:p w14:paraId="1E49471E">
      <w:pPr>
        <w:snapToGrid w:val="0"/>
        <w:ind w:firstLine="596" w:firstLineChars="198"/>
        <w:rPr>
          <w:rFonts w:hint="eastAsia" w:ascii="仿宋" w:hAnsi="仿宋" w:eastAsia="仿宋" w:cs="仿宋_GB2312"/>
          <w:b/>
          <w:color w:val="auto"/>
          <w:kern w:val="0"/>
          <w:sz w:val="30"/>
          <w:szCs w:val="30"/>
          <w:highlight w:val="none"/>
        </w:rPr>
      </w:pPr>
      <w:r>
        <w:rPr>
          <w:rFonts w:hint="eastAsia" w:ascii="仿宋" w:hAnsi="仿宋" w:eastAsia="仿宋" w:cs="仿宋_GB2312"/>
          <w:b/>
          <w:color w:val="auto"/>
          <w:kern w:val="0"/>
          <w:sz w:val="30"/>
          <w:szCs w:val="30"/>
          <w:highlight w:val="none"/>
        </w:rPr>
        <w:t>五、供应商直接管理关系信息表</w:t>
      </w:r>
    </w:p>
    <w:p w14:paraId="6921DEA3">
      <w:pPr>
        <w:snapToGrid w:val="0"/>
        <w:spacing w:line="360" w:lineRule="auto"/>
        <w:jc w:val="center"/>
        <w:rPr>
          <w:rFonts w:hint="eastAsia" w:ascii="宋体" w:hAnsi="宋体"/>
          <w:b/>
          <w:color w:val="auto"/>
          <w:sz w:val="24"/>
          <w:highlight w:val="none"/>
        </w:rPr>
      </w:pPr>
    </w:p>
    <w:tbl>
      <w:tblPr>
        <w:tblStyle w:val="22"/>
        <w:tblW w:w="4998" w:type="pct"/>
        <w:jc w:val="center"/>
        <w:shd w:val="clear" w:color="auto" w:fill="FBFBFB"/>
        <w:tblLayout w:type="autofit"/>
        <w:tblCellMar>
          <w:top w:w="0" w:type="dxa"/>
          <w:left w:w="0" w:type="dxa"/>
          <w:bottom w:w="0" w:type="dxa"/>
          <w:right w:w="0" w:type="dxa"/>
        </w:tblCellMar>
      </w:tblPr>
      <w:tblGrid>
        <w:gridCol w:w="779"/>
        <w:gridCol w:w="3473"/>
        <w:gridCol w:w="3431"/>
        <w:gridCol w:w="1630"/>
      </w:tblGrid>
      <w:tr w14:paraId="5F991AA3">
        <w:tblPrEx>
          <w:shd w:val="clear" w:color="auto" w:fill="FBFBFB"/>
          <w:tblCellMar>
            <w:top w:w="0" w:type="dxa"/>
            <w:left w:w="0" w:type="dxa"/>
            <w:bottom w:w="0" w:type="dxa"/>
            <w:right w:w="0" w:type="dxa"/>
          </w:tblCellMar>
        </w:tblPrEx>
        <w:trPr>
          <w:trHeight w:val="899" w:hRule="atLeast"/>
          <w:tblHeader/>
          <w:jc w:val="center"/>
        </w:trPr>
        <w:tc>
          <w:tcPr>
            <w:tcW w:w="418"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8A6806C">
            <w:pPr>
              <w:keepNext w:val="0"/>
              <w:keepLines w:val="0"/>
              <w:widowControl/>
              <w:suppressLineNumbers w:val="0"/>
              <w:spacing w:before="0" w:beforeAutospacing="0" w:after="0" w:afterAutospacing="0" w:line="360" w:lineRule="auto"/>
              <w:ind w:left="0" w:right="0"/>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1864"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1C3877E">
            <w:pPr>
              <w:keepNext w:val="0"/>
              <w:keepLines w:val="0"/>
              <w:widowControl/>
              <w:suppressLineNumbers w:val="0"/>
              <w:spacing w:before="0" w:beforeAutospacing="0" w:after="0" w:afterAutospacing="0" w:line="360" w:lineRule="auto"/>
              <w:ind w:left="0" w:right="0"/>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1841"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FDCC938">
            <w:pPr>
              <w:keepNext w:val="0"/>
              <w:keepLines w:val="0"/>
              <w:widowControl/>
              <w:suppressLineNumbers w:val="0"/>
              <w:spacing w:before="0" w:beforeAutospacing="0" w:after="0" w:afterAutospacing="0" w:line="360" w:lineRule="auto"/>
              <w:ind w:left="0" w:right="0"/>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875"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5AE46E9">
            <w:pPr>
              <w:keepNext w:val="0"/>
              <w:keepLines w:val="0"/>
              <w:widowControl/>
              <w:suppressLineNumbers w:val="0"/>
              <w:spacing w:before="0" w:beforeAutospacing="0" w:after="0" w:afterAutospacing="0" w:line="360" w:lineRule="auto"/>
              <w:ind w:left="0" w:right="0"/>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0AA2AF91">
        <w:tblPrEx>
          <w:shd w:val="clear" w:color="auto" w:fill="FBFBFB"/>
          <w:tblCellMar>
            <w:top w:w="0" w:type="dxa"/>
            <w:left w:w="0" w:type="dxa"/>
            <w:bottom w:w="0" w:type="dxa"/>
            <w:right w:w="0" w:type="dxa"/>
          </w:tblCellMar>
        </w:tblPrEx>
        <w:trPr>
          <w:jc w:val="center"/>
        </w:trPr>
        <w:tc>
          <w:tcPr>
            <w:tcW w:w="418"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6942FAB">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1864"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BB23FF8">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c>
          <w:tcPr>
            <w:tcW w:w="1841"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363B065">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c>
          <w:tcPr>
            <w:tcW w:w="875"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193582A">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r>
      <w:tr w14:paraId="7E32A889">
        <w:tblPrEx>
          <w:shd w:val="clear" w:color="auto" w:fill="FBFBFB"/>
          <w:tblCellMar>
            <w:top w:w="0" w:type="dxa"/>
            <w:left w:w="0" w:type="dxa"/>
            <w:bottom w:w="0" w:type="dxa"/>
            <w:right w:w="0" w:type="dxa"/>
          </w:tblCellMar>
        </w:tblPrEx>
        <w:trPr>
          <w:jc w:val="center"/>
        </w:trPr>
        <w:tc>
          <w:tcPr>
            <w:tcW w:w="418"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87F123E">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1864"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A0CECDE">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c>
          <w:tcPr>
            <w:tcW w:w="1841"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1F28747">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c>
          <w:tcPr>
            <w:tcW w:w="875"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B2A75A9">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r>
      <w:tr w14:paraId="6200FA14">
        <w:tblPrEx>
          <w:shd w:val="clear" w:color="auto" w:fill="FBFBFB"/>
          <w:tblCellMar>
            <w:top w:w="0" w:type="dxa"/>
            <w:left w:w="0" w:type="dxa"/>
            <w:bottom w:w="0" w:type="dxa"/>
            <w:right w:w="0" w:type="dxa"/>
          </w:tblCellMar>
        </w:tblPrEx>
        <w:trPr>
          <w:jc w:val="center"/>
        </w:trPr>
        <w:tc>
          <w:tcPr>
            <w:tcW w:w="418"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B7FF025">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1864"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B8137D5">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c>
          <w:tcPr>
            <w:tcW w:w="1841"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A8DB317">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c>
          <w:tcPr>
            <w:tcW w:w="875"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6C88DD6">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r>
      <w:tr w14:paraId="050D1FCC">
        <w:tblPrEx>
          <w:shd w:val="clear" w:color="auto" w:fill="FBFBFB"/>
          <w:tblCellMar>
            <w:top w:w="0" w:type="dxa"/>
            <w:left w:w="0" w:type="dxa"/>
            <w:bottom w:w="0" w:type="dxa"/>
            <w:right w:w="0" w:type="dxa"/>
          </w:tblCellMar>
        </w:tblPrEx>
        <w:trPr>
          <w:jc w:val="center"/>
        </w:trPr>
        <w:tc>
          <w:tcPr>
            <w:tcW w:w="418"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E36DDAB">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1864"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11D8461">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c>
          <w:tcPr>
            <w:tcW w:w="1841"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A876ACF">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c>
          <w:tcPr>
            <w:tcW w:w="875"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3FBDDA7">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r>
    </w:tbl>
    <w:p w14:paraId="0FD780C5">
      <w:pPr>
        <w:spacing w:line="360" w:lineRule="auto"/>
        <w:ind w:firstLine="480" w:firstLineChars="200"/>
        <w:jc w:val="left"/>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注：</w:t>
      </w:r>
    </w:p>
    <w:p w14:paraId="7BE7A862">
      <w:pPr>
        <w:spacing w:line="360" w:lineRule="auto"/>
        <w:ind w:firstLine="480" w:firstLineChars="200"/>
        <w:jc w:val="left"/>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1.管理关系：是指不具有出资持股关系的其他单位之间存在的管理与被管理关系，如一些上下级关系的事业单位和团体组织。</w:t>
      </w:r>
    </w:p>
    <w:p w14:paraId="6CE12AB9">
      <w:pPr>
        <w:spacing w:line="360" w:lineRule="auto"/>
        <w:ind w:firstLine="480" w:firstLineChars="200"/>
        <w:jc w:val="left"/>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2.本表所指的管理关系仅限于直接管理关系，不包括间接的管理关系。</w:t>
      </w:r>
    </w:p>
    <w:p w14:paraId="4588EFC9">
      <w:pPr>
        <w:spacing w:line="360" w:lineRule="auto"/>
        <w:ind w:firstLine="480" w:firstLineChars="200"/>
        <w:jc w:val="left"/>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3.供应商不存在直接管理关系的，则填“无”。</w:t>
      </w:r>
    </w:p>
    <w:p w14:paraId="7634DE71">
      <w:pPr>
        <w:spacing w:line="360" w:lineRule="auto"/>
        <w:jc w:val="left"/>
        <w:rPr>
          <w:color w:val="auto"/>
          <w:sz w:val="24"/>
          <w:highlight w:val="none"/>
        </w:rPr>
      </w:pPr>
    </w:p>
    <w:p w14:paraId="7DEA1932">
      <w:pPr>
        <w:autoSpaceDE w:val="0"/>
        <w:autoSpaceDN w:val="0"/>
        <w:spacing w:line="360" w:lineRule="auto"/>
        <w:ind w:left="4365" w:leftChars="1850" w:hanging="480" w:hangingChars="2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12B81B40">
      <w:pPr>
        <w:autoSpaceDE w:val="0"/>
        <w:autoSpaceDN w:val="0"/>
        <w:spacing w:line="360" w:lineRule="auto"/>
        <w:ind w:firstLine="6120" w:firstLineChars="2550"/>
        <w:rPr>
          <w:rFonts w:hint="eastAsia" w:ascii="仿宋_GB2312" w:hAnsi="仿宋" w:eastAsia="仿宋_GB2312" w:cs="仿宋_GB2312"/>
          <w:b/>
          <w:bCs/>
          <w:color w:val="auto"/>
          <w:sz w:val="24"/>
          <w:highlight w:val="none"/>
        </w:rPr>
      </w:pPr>
      <w:r>
        <w:rPr>
          <w:rFonts w:hint="eastAsia" w:ascii="仿宋_GB2312" w:hAnsi="仿宋" w:eastAsia="仿宋_GB2312" w:cs="仿宋_GB2312"/>
          <w:color w:val="auto"/>
          <w:kern w:val="0"/>
          <w:sz w:val="24"/>
          <w:highlight w:val="none"/>
          <w:lang w:val="zh-CN"/>
        </w:rPr>
        <w:t>日期：  年  月   日</w:t>
      </w:r>
    </w:p>
    <w:p w14:paraId="47B76452">
      <w:pPr>
        <w:spacing w:line="360" w:lineRule="auto"/>
        <w:ind w:right="480" w:firstLine="301" w:firstLineChars="100"/>
        <w:contextualSpacing/>
        <w:rPr>
          <w:rFonts w:hint="eastAsia" w:ascii="仿宋" w:hAnsi="仿宋" w:eastAsia="仿宋" w:cs="仿宋_GB2312"/>
          <w:b/>
          <w:color w:val="auto"/>
          <w:kern w:val="0"/>
          <w:sz w:val="30"/>
          <w:szCs w:val="30"/>
          <w:highlight w:val="none"/>
        </w:rPr>
      </w:pPr>
    </w:p>
    <w:p w14:paraId="7514CBF5">
      <w:pPr>
        <w:spacing w:line="360" w:lineRule="auto"/>
        <w:ind w:right="480" w:firstLine="301" w:firstLineChars="100"/>
        <w:contextualSpacing/>
        <w:rPr>
          <w:rFonts w:hint="eastAsia" w:ascii="宋体" w:hAnsi="宋体"/>
          <w:color w:val="auto"/>
          <w:sz w:val="28"/>
          <w:szCs w:val="28"/>
          <w:highlight w:val="none"/>
        </w:rPr>
      </w:pPr>
      <w:r>
        <w:rPr>
          <w:rFonts w:hint="eastAsia" w:ascii="仿宋" w:hAnsi="仿宋" w:eastAsia="仿宋" w:cs="仿宋_GB2312"/>
          <w:b/>
          <w:color w:val="auto"/>
          <w:kern w:val="0"/>
          <w:sz w:val="30"/>
          <w:szCs w:val="30"/>
          <w:highlight w:val="none"/>
        </w:rPr>
        <w:t>六、资格声明函</w:t>
      </w:r>
    </w:p>
    <w:p w14:paraId="6B7FF7B4">
      <w:pPr>
        <w:spacing w:line="320" w:lineRule="exact"/>
        <w:jc w:val="center"/>
        <w:rPr>
          <w:rFonts w:hint="eastAsia" w:ascii="宋体" w:hAnsi="宋体"/>
          <w:b/>
          <w:color w:val="auto"/>
          <w:sz w:val="32"/>
          <w:szCs w:val="32"/>
          <w:highlight w:val="none"/>
        </w:rPr>
      </w:pPr>
    </w:p>
    <w:p w14:paraId="69A7B714">
      <w:pPr>
        <w:spacing w:line="32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资格声明函</w:t>
      </w:r>
    </w:p>
    <w:p w14:paraId="0959A576">
      <w:pPr>
        <w:spacing w:line="320" w:lineRule="exact"/>
        <w:jc w:val="center"/>
        <w:rPr>
          <w:rFonts w:hint="eastAsia" w:ascii="宋体" w:hAnsi="宋体"/>
          <w:color w:val="auto"/>
          <w:sz w:val="24"/>
          <w:szCs w:val="20"/>
          <w:highlight w:val="none"/>
        </w:rPr>
      </w:pPr>
    </w:p>
    <w:p w14:paraId="554075A2">
      <w:pPr>
        <w:spacing w:line="360" w:lineRule="auto"/>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致：</w:t>
      </w:r>
      <w:r>
        <w:rPr>
          <w:rFonts w:hint="eastAsia" w:ascii="仿宋_GB2312" w:hAnsi="宋体" w:eastAsia="仿宋_GB2312" w:cs="宋体"/>
          <w:color w:val="auto"/>
          <w:sz w:val="24"/>
          <w:highlight w:val="none"/>
          <w:u w:val="single"/>
        </w:rPr>
        <w:t>广西机电设备招标有限公司</w:t>
      </w:r>
      <w:r>
        <w:rPr>
          <w:rFonts w:hint="eastAsia" w:ascii="仿宋_GB2312" w:hAnsi="宋体" w:eastAsia="仿宋_GB2312" w:cs="宋体"/>
          <w:color w:val="auto"/>
          <w:sz w:val="24"/>
          <w:highlight w:val="none"/>
        </w:rPr>
        <w:t>：</w:t>
      </w:r>
    </w:p>
    <w:p w14:paraId="3C2D75E3">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u w:val="single"/>
        </w:rPr>
        <w:t>（供应商名称）</w:t>
      </w:r>
      <w:r>
        <w:rPr>
          <w:rFonts w:hint="eastAsia" w:ascii="仿宋_GB2312" w:hAnsi="宋体" w:eastAsia="仿宋_GB2312" w:cs="宋体"/>
          <w:color w:val="auto"/>
          <w:sz w:val="24"/>
          <w:highlight w:val="none"/>
        </w:rPr>
        <w:t>系中华人民共和国合法供应商，经营地址</w:t>
      </w:r>
      <w:r>
        <w:rPr>
          <w:rFonts w:hint="eastAsia" w:ascii="仿宋_GB2312" w:hAnsi="宋体" w:eastAsia="仿宋_GB2312" w:cs="宋体"/>
          <w:color w:val="auto"/>
          <w:sz w:val="24"/>
          <w:highlight w:val="none"/>
          <w:u w:val="single"/>
        </w:rPr>
        <w:t xml:space="preserve">                              </w:t>
      </w:r>
      <w:r>
        <w:rPr>
          <w:rFonts w:hint="eastAsia" w:ascii="仿宋_GB2312" w:hAnsi="宋体" w:eastAsia="仿宋_GB2312" w:cs="宋体"/>
          <w:color w:val="auto"/>
          <w:sz w:val="24"/>
          <w:highlight w:val="none"/>
        </w:rPr>
        <w:t>。</w:t>
      </w:r>
    </w:p>
    <w:p w14:paraId="5584AB65">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我方愿意参加贵方组织的</w:t>
      </w:r>
      <w:r>
        <w:rPr>
          <w:rFonts w:hint="eastAsia" w:ascii="仿宋_GB2312" w:hAnsi="宋体" w:eastAsia="仿宋_GB2312" w:cs="宋体"/>
          <w:color w:val="auto"/>
          <w:sz w:val="24"/>
          <w:highlight w:val="none"/>
          <w:u w:val="single"/>
          <w:lang w:eastAsia="zh-CN"/>
        </w:rPr>
        <w:t>第三方机构审计、核验2025年财政资金计划补助项目服务（3分标重）</w:t>
      </w:r>
      <w:r>
        <w:rPr>
          <w:rFonts w:hint="eastAsia" w:ascii="仿宋_GB2312" w:hAnsi="宋体" w:eastAsia="仿宋_GB2312" w:cs="宋体"/>
          <w:color w:val="auto"/>
          <w:sz w:val="24"/>
          <w:highlight w:val="none"/>
        </w:rPr>
        <w:t>标项</w:t>
      </w:r>
      <w:r>
        <w:rPr>
          <w:rFonts w:hint="eastAsia" w:ascii="仿宋_GB2312" w:hAnsi="宋体" w:eastAsia="仿宋_GB2312" w:cs="宋体"/>
          <w:color w:val="auto"/>
          <w:sz w:val="24"/>
          <w:highlight w:val="none"/>
          <w:u w:val="single"/>
        </w:rPr>
        <w:t>_</w:t>
      </w:r>
      <w:r>
        <w:rPr>
          <w:rFonts w:ascii="仿宋_GB2312" w:hAnsi="宋体" w:eastAsia="仿宋_GB2312" w:cs="宋体"/>
          <w:color w:val="auto"/>
          <w:sz w:val="24"/>
          <w:highlight w:val="none"/>
          <w:u w:val="single"/>
        </w:rPr>
        <w:t>_____</w:t>
      </w:r>
      <w:r>
        <w:rPr>
          <w:rFonts w:hint="eastAsia" w:ascii="仿宋_GB2312" w:hAnsi="宋体" w:eastAsia="仿宋_GB2312" w:cs="宋体"/>
          <w:color w:val="auto"/>
          <w:sz w:val="24"/>
          <w:highlight w:val="none"/>
        </w:rPr>
        <w:t>的竞标，为便于贵方公正、择优地确定成交供应商及其竞标产品和服务，我方就本次竞标有关事项郑重声明如下：</w:t>
      </w:r>
    </w:p>
    <w:p w14:paraId="1194324A">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1.我方向贵方提交的所有响应文件、资料都是准确的和真实的。</w:t>
      </w:r>
    </w:p>
    <w:p w14:paraId="2B62090E">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32577E74">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3.在此，我方宣布同意如下：</w:t>
      </w:r>
    </w:p>
    <w:p w14:paraId="5B431AA4">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（1）将按磋商文件的约定履行合同责任和义务；</w:t>
      </w:r>
    </w:p>
    <w:p w14:paraId="2B9DED76">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（2）已详细审查全部磋商文件，包括澄清或者更正公告（如有）；</w:t>
      </w:r>
    </w:p>
    <w:p w14:paraId="1E2ED138">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（3）同意提供按照贵方可能要求的与谈判有关的一切数据或者资料；</w:t>
      </w:r>
    </w:p>
    <w:p w14:paraId="38638565">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（4）响应磋商文件规定的竞标有效期。</w:t>
      </w:r>
    </w:p>
    <w:p w14:paraId="380353EF">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4.我方承诺已经具备《中华人民共和国政府采购法》第二十二条中规定的参加政府采购活动的供应商应当具备的条件并按本项目响应文件“第三章”“第二节供应商须知前附表”中“资格证明文件组成”完整提供证明材料。</w:t>
      </w:r>
    </w:p>
    <w:p w14:paraId="588E689A">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3E8D9B9D">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0FDEE61A">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□我方本次响应文件</w:t>
      </w:r>
      <w:r>
        <w:rPr>
          <w:rFonts w:hint="eastAsia" w:ascii="仿宋_GB2312" w:hAnsi="宋体" w:eastAsia="仿宋_GB2312" w:cs="宋体"/>
          <w:color w:val="auto"/>
          <w:kern w:val="0"/>
          <w:sz w:val="24"/>
          <w:highlight w:val="none"/>
        </w:rPr>
        <w:t>内容中</w:t>
      </w:r>
      <w:r>
        <w:rPr>
          <w:rFonts w:hint="eastAsia" w:ascii="仿宋_GB2312" w:hAnsi="宋体" w:eastAsia="仿宋_GB2312" w:cs="宋体"/>
          <w:color w:val="auto"/>
          <w:sz w:val="24"/>
          <w:highlight w:val="none"/>
        </w:rPr>
        <w:t>未</w:t>
      </w:r>
      <w:r>
        <w:rPr>
          <w:rFonts w:hint="eastAsia" w:ascii="仿宋_GB2312" w:hAnsi="宋体" w:eastAsia="仿宋_GB2312" w:cs="宋体"/>
          <w:color w:val="auto"/>
          <w:kern w:val="0"/>
          <w:sz w:val="24"/>
          <w:highlight w:val="none"/>
        </w:rPr>
        <w:t>涉及商业秘密；</w:t>
      </w:r>
    </w:p>
    <w:p w14:paraId="2CBB4359">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□我方本次响应文件</w:t>
      </w:r>
      <w:r>
        <w:rPr>
          <w:rFonts w:hint="eastAsia" w:ascii="仿宋_GB2312" w:hAnsi="宋体" w:eastAsia="仿宋_GB2312" w:cs="宋体"/>
          <w:color w:val="auto"/>
          <w:kern w:val="0"/>
          <w:sz w:val="24"/>
          <w:highlight w:val="none"/>
        </w:rPr>
        <w:t>涉及商业秘密的内容有：</w:t>
      </w:r>
      <w:r>
        <w:rPr>
          <w:rFonts w:hint="eastAsia" w:ascii="仿宋_GB2312" w:hAnsi="宋体" w:eastAsia="仿宋_GB2312" w:cs="宋体"/>
          <w:color w:val="auto"/>
          <w:kern w:val="0"/>
          <w:sz w:val="24"/>
          <w:highlight w:val="none"/>
          <w:u w:val="single"/>
        </w:rPr>
        <w:t xml:space="preserve">                         </w:t>
      </w:r>
      <w:r>
        <w:rPr>
          <w:rFonts w:hint="eastAsia" w:ascii="仿宋_GB2312" w:hAnsi="宋体" w:eastAsia="仿宋_GB2312" w:cs="宋体"/>
          <w:color w:val="auto"/>
          <w:kern w:val="0"/>
          <w:sz w:val="24"/>
          <w:highlight w:val="none"/>
        </w:rPr>
        <w:t>；</w:t>
      </w:r>
    </w:p>
    <w:p w14:paraId="368BF695">
      <w:pPr>
        <w:pStyle w:val="11"/>
        <w:spacing w:line="360" w:lineRule="auto"/>
        <w:ind w:left="0" w:leftChars="0" w:firstLine="480" w:firstLineChars="200"/>
        <w:rPr>
          <w:rFonts w:hint="eastAsia" w:ascii="仿宋_GB2312" w:hAnsi="宋体" w:eastAsia="仿宋_GB2312" w:cs="宋体"/>
          <w:color w:val="auto"/>
          <w:sz w:val="24"/>
          <w:highlight w:val="none"/>
          <w:u w:val="single"/>
        </w:rPr>
      </w:pPr>
      <w:r>
        <w:rPr>
          <w:rFonts w:hint="eastAsia" w:ascii="仿宋_GB2312" w:hAnsi="宋体" w:eastAsia="仿宋_GB2312" w:cs="宋体"/>
          <w:color w:val="auto"/>
          <w:sz w:val="24"/>
          <w:highlight w:val="none"/>
        </w:rPr>
        <w:t>7.与本磋商有关的一切正式往来信函请寄：</w:t>
      </w:r>
      <w:r>
        <w:rPr>
          <w:rFonts w:hint="eastAsia" w:ascii="仿宋_GB2312" w:hAnsi="宋体" w:eastAsia="仿宋_GB2312" w:cs="宋体"/>
          <w:color w:val="auto"/>
          <w:sz w:val="24"/>
          <w:highlight w:val="none"/>
          <w:u w:val="single"/>
        </w:rPr>
        <w:t xml:space="preserve">                  </w:t>
      </w:r>
      <w:r>
        <w:rPr>
          <w:rFonts w:hint="eastAsia" w:ascii="仿宋_GB2312" w:hAnsi="宋体" w:eastAsia="仿宋_GB2312" w:cs="宋体"/>
          <w:color w:val="auto"/>
          <w:sz w:val="24"/>
          <w:highlight w:val="none"/>
        </w:rPr>
        <w:t>邮政编号：</w:t>
      </w:r>
      <w:r>
        <w:rPr>
          <w:rFonts w:hint="eastAsia" w:ascii="仿宋_GB2312" w:hAnsi="宋体" w:eastAsia="仿宋_GB2312" w:cs="宋体"/>
          <w:color w:val="auto"/>
          <w:sz w:val="24"/>
          <w:highlight w:val="none"/>
          <w:u w:val="single"/>
        </w:rPr>
        <w:t xml:space="preserve">        </w:t>
      </w:r>
    </w:p>
    <w:p w14:paraId="1767AB53">
      <w:pPr>
        <w:pStyle w:val="11"/>
        <w:spacing w:line="360" w:lineRule="auto"/>
        <w:ind w:left="0" w:leftChars="0"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电话/传真：</w:t>
      </w:r>
      <w:r>
        <w:rPr>
          <w:rFonts w:hint="eastAsia" w:ascii="仿宋_GB2312" w:hAnsi="宋体" w:eastAsia="仿宋_GB2312" w:cs="宋体"/>
          <w:color w:val="auto"/>
          <w:sz w:val="24"/>
          <w:highlight w:val="none"/>
          <w:u w:val="single"/>
        </w:rPr>
        <w:t xml:space="preserve">                        </w:t>
      </w:r>
      <w:r>
        <w:rPr>
          <w:rFonts w:hint="eastAsia" w:ascii="仿宋_GB2312" w:hAnsi="宋体" w:eastAsia="仿宋_GB2312" w:cs="宋体"/>
          <w:color w:val="auto"/>
          <w:sz w:val="24"/>
          <w:highlight w:val="none"/>
        </w:rPr>
        <w:t xml:space="preserve"> 电子函件：</w:t>
      </w:r>
      <w:r>
        <w:rPr>
          <w:rFonts w:hint="eastAsia" w:ascii="仿宋_GB2312" w:hAnsi="宋体" w:eastAsia="仿宋_GB2312" w:cs="宋体"/>
          <w:color w:val="auto"/>
          <w:sz w:val="24"/>
          <w:highlight w:val="none"/>
          <w:u w:val="single"/>
        </w:rPr>
        <w:t xml:space="preserve">                            </w:t>
      </w:r>
      <w:r>
        <w:rPr>
          <w:rFonts w:hint="eastAsia" w:ascii="仿宋_GB2312" w:hAnsi="宋体" w:eastAsia="仿宋_GB2312" w:cs="宋体"/>
          <w:color w:val="auto"/>
          <w:sz w:val="24"/>
          <w:highlight w:val="none"/>
        </w:rPr>
        <w:t xml:space="preserve">    </w:t>
      </w:r>
    </w:p>
    <w:p w14:paraId="6BCB8E4A">
      <w:pPr>
        <w:tabs>
          <w:tab w:val="left" w:pos="939"/>
        </w:tabs>
        <w:spacing w:line="360" w:lineRule="auto"/>
        <w:ind w:left="141" w:leftChars="67" w:firstLine="360" w:firstLineChars="15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开户银行：</w:t>
      </w:r>
      <w:r>
        <w:rPr>
          <w:rFonts w:hint="eastAsia" w:ascii="仿宋_GB2312" w:hAnsi="宋体" w:eastAsia="仿宋_GB2312" w:cs="宋体"/>
          <w:color w:val="auto"/>
          <w:sz w:val="24"/>
          <w:highlight w:val="none"/>
          <w:u w:val="single"/>
        </w:rPr>
        <w:t xml:space="preserve">                         </w:t>
      </w:r>
      <w:r>
        <w:rPr>
          <w:rFonts w:hint="eastAsia" w:ascii="仿宋_GB2312" w:hAnsi="宋体" w:eastAsia="仿宋_GB2312" w:cs="宋体"/>
          <w:color w:val="auto"/>
          <w:sz w:val="24"/>
          <w:highlight w:val="none"/>
        </w:rPr>
        <w:t xml:space="preserve">  帐号：</w:t>
      </w:r>
      <w:r>
        <w:rPr>
          <w:rFonts w:hint="eastAsia" w:ascii="仿宋_GB2312" w:hAnsi="宋体" w:eastAsia="仿宋_GB2312" w:cs="宋体"/>
          <w:color w:val="auto"/>
          <w:sz w:val="24"/>
          <w:highlight w:val="none"/>
          <w:u w:val="single"/>
        </w:rPr>
        <w:t xml:space="preserve">                               </w:t>
      </w:r>
    </w:p>
    <w:p w14:paraId="084222CE">
      <w:pPr>
        <w:tabs>
          <w:tab w:val="left" w:pos="939"/>
        </w:tabs>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8.以上事项如有虚假或者隐瞒，我方愿意承担一切后果，并不再寻求任何旨在减轻或者免除法律责任的辩解。</w:t>
      </w:r>
    </w:p>
    <w:p w14:paraId="4AD8AF77">
      <w:pPr>
        <w:tabs>
          <w:tab w:val="left" w:pos="939"/>
        </w:tabs>
        <w:spacing w:line="360" w:lineRule="auto"/>
        <w:ind w:left="141" w:leftChars="67" w:firstLine="360" w:firstLineChars="15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特此承诺。</w:t>
      </w:r>
    </w:p>
    <w:p w14:paraId="3B7D2D5B">
      <w:pPr>
        <w:tabs>
          <w:tab w:val="left" w:pos="939"/>
        </w:tabs>
        <w:spacing w:line="360" w:lineRule="auto"/>
        <w:ind w:firstLine="480" w:firstLineChars="200"/>
        <w:rPr>
          <w:rFonts w:hint="eastAsia" w:ascii="宋体" w:hAnsi="宋体" w:cs="宋体"/>
          <w:color w:val="auto"/>
          <w:sz w:val="24"/>
          <w:highlight w:val="none"/>
        </w:rPr>
      </w:pPr>
      <w:r>
        <w:rPr>
          <w:rFonts w:hint="eastAsia" w:ascii="仿宋_GB2312" w:hAnsi="宋体" w:eastAsia="仿宋_GB2312" w:cs="宋体"/>
          <w:color w:val="auto"/>
          <w:sz w:val="24"/>
          <w:highlight w:val="none"/>
        </w:rPr>
        <w:t>注：如为联合体竞标，盖章处须加盖联合体各方公章并由联合体各方法定代表人签署，否则其响应文件按无效响应处理。</w:t>
      </w:r>
    </w:p>
    <w:p w14:paraId="108CDF01">
      <w:pPr>
        <w:tabs>
          <w:tab w:val="left" w:pos="939"/>
        </w:tabs>
        <w:spacing w:line="360" w:lineRule="auto"/>
        <w:ind w:firstLine="480" w:firstLineChars="200"/>
        <w:rPr>
          <w:rFonts w:hint="eastAsia" w:ascii="宋体" w:hAnsi="宋体" w:cs="宋体"/>
          <w:color w:val="auto"/>
          <w:sz w:val="24"/>
          <w:highlight w:val="none"/>
        </w:rPr>
      </w:pPr>
    </w:p>
    <w:p w14:paraId="37092C2F">
      <w:pPr>
        <w:autoSpaceDE w:val="0"/>
        <w:autoSpaceDN w:val="0"/>
        <w:spacing w:line="360" w:lineRule="auto"/>
        <w:ind w:left="4365" w:leftChars="1850" w:hanging="480" w:hangingChars="2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64AC87B6">
      <w:pPr>
        <w:autoSpaceDE w:val="0"/>
        <w:autoSpaceDN w:val="0"/>
        <w:spacing w:line="360" w:lineRule="auto"/>
        <w:ind w:firstLine="6120" w:firstLineChars="25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  年  月   日</w:t>
      </w:r>
    </w:p>
    <w:p w14:paraId="294BC7CB">
      <w:pPr>
        <w:widowControl/>
        <w:spacing w:line="360" w:lineRule="auto"/>
        <w:jc w:val="left"/>
        <w:rPr>
          <w:rFonts w:hint="eastAsia" w:ascii="仿宋_GB2312" w:hAnsi="仿宋" w:eastAsia="仿宋_GB2312" w:cs="仿宋_GB2312"/>
          <w:color w:val="auto"/>
          <w:kern w:val="0"/>
          <w:sz w:val="24"/>
          <w:highlight w:val="none"/>
          <w:lang w:val="zh-CN"/>
        </w:rPr>
        <w:sectPr>
          <w:pgSz w:w="11911" w:h="16838"/>
          <w:pgMar w:top="1417" w:right="1417" w:bottom="1417" w:left="1417" w:header="720" w:footer="720" w:gutter="0"/>
          <w:cols w:space="0" w:num="1"/>
          <w:rtlGutter w:val="0"/>
          <w:docGrid w:linePitch="0" w:charSpace="0"/>
        </w:sectPr>
      </w:pPr>
    </w:p>
    <w:p w14:paraId="6869B44D">
      <w:pPr>
        <w:pStyle w:val="6"/>
        <w:overflowPunct w:val="0"/>
        <w:spacing w:line="520" w:lineRule="exact"/>
        <w:ind w:firstLine="0"/>
        <w:rPr>
          <w:rFonts w:hint="eastAsia" w:ascii="宋体" w:hAnsi="宋体"/>
          <w:b/>
          <w:bCs/>
          <w:color w:val="auto"/>
          <w:sz w:val="32"/>
          <w:szCs w:val="32"/>
          <w:highlight w:val="none"/>
        </w:rPr>
      </w:pPr>
      <w:r>
        <w:rPr>
          <w:rFonts w:hint="eastAsia" w:ascii="仿宋" w:hAnsi="仿宋" w:eastAsia="仿宋" w:cs="仿宋_GB2312"/>
          <w:b/>
          <w:color w:val="auto"/>
          <w:kern w:val="0"/>
          <w:sz w:val="30"/>
          <w:szCs w:val="30"/>
          <w:highlight w:val="none"/>
        </w:rPr>
        <w:t>七、联合体协议书（如有）</w:t>
      </w:r>
    </w:p>
    <w:p w14:paraId="1CEFD1D9">
      <w:pPr>
        <w:pStyle w:val="11"/>
        <w:spacing w:line="600" w:lineRule="exact"/>
        <w:jc w:val="center"/>
        <w:rPr>
          <w:rFonts w:hint="eastAsia" w:ascii="方正小标宋简体" w:hAnsi="方正小标宋简体" w:eastAsia="方正小标宋简体" w:cs="方正小标宋简体"/>
          <w:color w:val="auto"/>
          <w:sz w:val="44"/>
          <w:szCs w:val="44"/>
          <w:highlight w:val="none"/>
        </w:rPr>
      </w:pPr>
    </w:p>
    <w:p w14:paraId="7A62B890">
      <w:pPr>
        <w:pStyle w:val="11"/>
        <w:spacing w:line="60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联合体竞标协议书（格式）</w:t>
      </w:r>
    </w:p>
    <w:p w14:paraId="5B0F0316">
      <w:pPr>
        <w:autoSpaceDE w:val="0"/>
        <w:autoSpaceDN w:val="0"/>
        <w:adjustRightInd w:val="0"/>
        <w:spacing w:line="360" w:lineRule="auto"/>
        <w:jc w:val="left"/>
        <w:rPr>
          <w:rFonts w:ascii="宋体" w:cs="宋体"/>
          <w:color w:val="auto"/>
          <w:kern w:val="0"/>
          <w:szCs w:val="21"/>
          <w:highlight w:val="none"/>
          <w:u w:val="single"/>
        </w:rPr>
      </w:pPr>
    </w:p>
    <w:p w14:paraId="7997B4EE">
      <w:pPr>
        <w:autoSpaceDE w:val="0"/>
        <w:autoSpaceDN w:val="0"/>
        <w:adjustRightInd w:val="0"/>
        <w:spacing w:line="360" w:lineRule="auto"/>
        <w:jc w:val="left"/>
        <w:rPr>
          <w:rFonts w:hint="eastAsia" w:ascii="仿宋_GB2312" w:hAnsi="仿宋_GB2312" w:eastAsia="仿宋_GB2312" w:cs="宋体"/>
          <w:color w:val="auto"/>
          <w:kern w:val="0"/>
          <w:sz w:val="24"/>
          <w:highlight w:val="none"/>
        </w:rPr>
      </w:pPr>
      <w:r>
        <w:rPr>
          <w:rFonts w:hint="eastAsia" w:ascii="仿宋_GB2312" w:hAnsi="仿宋_GB2312" w:eastAsia="仿宋_GB2312" w:cs="宋体"/>
          <w:color w:val="auto"/>
          <w:kern w:val="0"/>
          <w:sz w:val="24"/>
          <w:highlight w:val="none"/>
          <w:u w:val="single"/>
        </w:rPr>
        <w:t xml:space="preserve">                                                  </w:t>
      </w:r>
      <w:r>
        <w:rPr>
          <w:rFonts w:hint="eastAsia" w:ascii="仿宋_GB2312" w:hAnsi="仿宋_GB2312" w:eastAsia="仿宋_GB2312" w:cs="宋体"/>
          <w:color w:val="auto"/>
          <w:kern w:val="0"/>
          <w:sz w:val="24"/>
          <w:highlight w:val="none"/>
        </w:rPr>
        <w:t>（所有成员单位名称）自愿组成联合体，共同参加</w:t>
      </w:r>
      <w:r>
        <w:rPr>
          <w:rFonts w:hint="eastAsia" w:ascii="仿宋_GB2312" w:hAnsi="仿宋_GB2312" w:eastAsia="仿宋_GB2312" w:cs="宋体"/>
          <w:color w:val="auto"/>
          <w:kern w:val="0"/>
          <w:sz w:val="24"/>
          <w:highlight w:val="none"/>
          <w:u w:val="single"/>
        </w:rPr>
        <w:t xml:space="preserve">    广西机电设备招标有限公司   </w:t>
      </w:r>
      <w:r>
        <w:rPr>
          <w:rFonts w:hint="eastAsia" w:ascii="仿宋_GB2312" w:hAnsi="仿宋_GB2312" w:eastAsia="仿宋_GB2312" w:cs="宋体"/>
          <w:color w:val="auto"/>
          <w:kern w:val="0"/>
          <w:sz w:val="24"/>
          <w:highlight w:val="none"/>
        </w:rPr>
        <w:t>组织的</w:t>
      </w:r>
      <w:r>
        <w:rPr>
          <w:rFonts w:hint="eastAsia" w:ascii="仿宋_GB2312" w:hAnsi="仿宋_GB2312" w:eastAsia="仿宋_GB2312" w:cs="宋体"/>
          <w:color w:val="auto"/>
          <w:kern w:val="0"/>
          <w:sz w:val="24"/>
          <w:highlight w:val="none"/>
          <w:u w:val="single"/>
        </w:rPr>
        <w:t xml:space="preserve">       </w:t>
      </w:r>
      <w:r>
        <w:rPr>
          <w:rFonts w:hint="eastAsia" w:ascii="仿宋_GB2312" w:hAnsi="仿宋_GB2312" w:eastAsia="仿宋_GB2312" w:cs="宋体"/>
          <w:color w:val="auto"/>
          <w:kern w:val="0"/>
          <w:sz w:val="24"/>
          <w:highlight w:val="none"/>
          <w:u w:val="single"/>
          <w:lang w:eastAsia="zh-CN"/>
        </w:rPr>
        <w:t>第三方机构审计、核验2025年财政资金计划补助项目服务（3分标重）</w:t>
      </w:r>
      <w:r>
        <w:rPr>
          <w:rFonts w:hint="eastAsia" w:ascii="仿宋_GB2312" w:hAnsi="仿宋_GB2312" w:eastAsia="仿宋_GB2312" w:cs="宋体"/>
          <w:color w:val="auto"/>
          <w:kern w:val="0"/>
          <w:sz w:val="24"/>
          <w:highlight w:val="none"/>
          <w:u w:val="single"/>
        </w:rPr>
        <w:t xml:space="preserve">  </w:t>
      </w:r>
      <w:r>
        <w:rPr>
          <w:rFonts w:hint="eastAsia" w:ascii="仿宋_GB2312" w:hAnsi="仿宋_GB2312" w:eastAsia="仿宋_GB2312" w:cs="宋体"/>
          <w:color w:val="auto"/>
          <w:kern w:val="0"/>
          <w:sz w:val="24"/>
          <w:highlight w:val="none"/>
        </w:rPr>
        <w:t>（项目编号：</w:t>
      </w:r>
      <w:r>
        <w:rPr>
          <w:rFonts w:hint="eastAsia" w:ascii="仿宋_GB2312" w:hAnsi="仿宋_GB2312" w:eastAsia="仿宋_GB2312" w:cs="宋体"/>
          <w:color w:val="auto"/>
          <w:kern w:val="0"/>
          <w:sz w:val="24"/>
          <w:highlight w:val="none"/>
          <w:u w:val="single"/>
        </w:rPr>
        <w:t xml:space="preserve">   </w:t>
      </w:r>
      <w:r>
        <w:rPr>
          <w:rFonts w:hint="eastAsia" w:ascii="仿宋_GB2312" w:hAnsi="仿宋_GB2312" w:eastAsia="仿宋_GB2312" w:cs="宋体"/>
          <w:color w:val="auto"/>
          <w:kern w:val="0"/>
          <w:sz w:val="24"/>
          <w:highlight w:val="none"/>
        </w:rPr>
        <w:t>）竞争性磋商采购。现就联合体竞标事宜订立如下协议：</w:t>
      </w:r>
    </w:p>
    <w:p w14:paraId="2FCC2460">
      <w:pPr>
        <w:autoSpaceDE w:val="0"/>
        <w:autoSpaceDN w:val="0"/>
        <w:adjustRightInd w:val="0"/>
        <w:spacing w:line="360" w:lineRule="auto"/>
        <w:ind w:firstLine="420"/>
        <w:jc w:val="left"/>
        <w:rPr>
          <w:rFonts w:hint="eastAsia" w:ascii="仿宋_GB2312" w:hAnsi="宋体" w:eastAsia="仿宋_GB2312" w:cs="宋体"/>
          <w:color w:val="auto"/>
          <w:kern w:val="0"/>
          <w:sz w:val="24"/>
          <w:highlight w:val="none"/>
        </w:rPr>
      </w:pPr>
      <w:r>
        <w:rPr>
          <w:rFonts w:hint="eastAsia" w:ascii="仿宋_GB2312" w:hAnsi="宋体" w:eastAsia="仿宋_GB2312" w:cs="TimesNewRomanPSMT"/>
          <w:color w:val="auto"/>
          <w:kern w:val="0"/>
          <w:sz w:val="24"/>
          <w:highlight w:val="none"/>
        </w:rPr>
        <w:t>1</w:t>
      </w:r>
      <w:r>
        <w:rPr>
          <w:rFonts w:hint="eastAsia" w:ascii="仿宋_GB2312" w:hAnsi="宋体" w:eastAsia="仿宋_GB2312" w:cs="宋体"/>
          <w:color w:val="auto"/>
          <w:kern w:val="0"/>
          <w:sz w:val="24"/>
          <w:highlight w:val="none"/>
        </w:rPr>
        <w:t>、</w:t>
      </w:r>
      <w:r>
        <w:rPr>
          <w:rFonts w:hint="eastAsia" w:ascii="仿宋_GB2312" w:hAnsi="仿宋_GB2312" w:eastAsia="仿宋_GB2312"/>
          <w:color w:val="auto"/>
          <w:sz w:val="24"/>
          <w:highlight w:val="none"/>
        </w:rPr>
        <w:t>________________________</w:t>
      </w:r>
      <w:r>
        <w:rPr>
          <w:rFonts w:hint="eastAsia" w:ascii="仿宋_GB2312" w:hAnsi="宋体" w:eastAsia="仿宋_GB2312" w:cs="宋体"/>
          <w:color w:val="auto"/>
          <w:kern w:val="0"/>
          <w:sz w:val="24"/>
          <w:highlight w:val="none"/>
        </w:rPr>
        <w:t>（某成员单位名称）为联合体名称牵头人。</w:t>
      </w:r>
    </w:p>
    <w:p w14:paraId="2A62939E">
      <w:pPr>
        <w:autoSpaceDE w:val="0"/>
        <w:autoSpaceDN w:val="0"/>
        <w:adjustRightInd w:val="0"/>
        <w:spacing w:line="360" w:lineRule="auto"/>
        <w:ind w:firstLine="420"/>
        <w:jc w:val="left"/>
        <w:rPr>
          <w:rFonts w:hint="eastAsia" w:ascii="仿宋_GB2312" w:hAnsi="宋体" w:eastAsia="仿宋_GB2312" w:cs="宋体"/>
          <w:color w:val="auto"/>
          <w:kern w:val="0"/>
          <w:sz w:val="24"/>
          <w:highlight w:val="none"/>
        </w:rPr>
      </w:pPr>
      <w:r>
        <w:rPr>
          <w:rFonts w:hint="eastAsia" w:ascii="仿宋_GB2312" w:hAnsi="宋体" w:eastAsia="仿宋_GB2312" w:cs="TimesNewRomanPSMT"/>
          <w:color w:val="auto"/>
          <w:kern w:val="0"/>
          <w:sz w:val="24"/>
          <w:highlight w:val="none"/>
        </w:rPr>
        <w:t>2</w:t>
      </w:r>
      <w:r>
        <w:rPr>
          <w:rFonts w:hint="eastAsia" w:ascii="仿宋_GB2312" w:hAnsi="宋体" w:eastAsia="仿宋_GB2312" w:cs="宋体"/>
          <w:color w:val="auto"/>
          <w:kern w:val="0"/>
          <w:sz w:val="24"/>
          <w:highlight w:val="none"/>
        </w:rPr>
        <w:t>、联合体牵头人合法代表联合体各成员负责本磋商项目响应文件编制和合同谈判活动，并代表联合体提交和接收相关的资料、信息及指示，并处理与之有关的一切事务，负责合同实施阶段的主办、组织和协调工作。</w:t>
      </w:r>
    </w:p>
    <w:p w14:paraId="2AB149DD">
      <w:pPr>
        <w:autoSpaceDE w:val="0"/>
        <w:autoSpaceDN w:val="0"/>
        <w:adjustRightInd w:val="0"/>
        <w:spacing w:line="360" w:lineRule="auto"/>
        <w:ind w:firstLine="420"/>
        <w:jc w:val="left"/>
        <w:rPr>
          <w:rFonts w:hint="eastAsia"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3、联合体牵头人在本项目中签署和盖章的一切文件和处理的一切事宜，联合体各成员均予以承认。 联合体各成员将严格按照磋商文件、响应文件和合同的要求全面履行义务，并向采购人承担连带责任。</w:t>
      </w:r>
    </w:p>
    <w:p w14:paraId="2CAEF697">
      <w:pPr>
        <w:autoSpaceDE w:val="0"/>
        <w:autoSpaceDN w:val="0"/>
        <w:adjustRightInd w:val="0"/>
        <w:spacing w:line="360" w:lineRule="auto"/>
        <w:ind w:firstLine="420"/>
        <w:jc w:val="left"/>
        <w:rPr>
          <w:rFonts w:hint="eastAsia" w:ascii="仿宋_GB2312" w:hAnsi="宋体" w:eastAsia="仿宋_GB2312" w:cs="宋体"/>
          <w:color w:val="auto"/>
          <w:kern w:val="0"/>
          <w:sz w:val="24"/>
          <w:highlight w:val="none"/>
        </w:rPr>
      </w:pPr>
      <w:r>
        <w:rPr>
          <w:rFonts w:hint="eastAsia" w:ascii="仿宋_GB2312" w:hAnsi="宋体" w:eastAsia="仿宋_GB2312" w:cs="TimesNewRomanPSMT"/>
          <w:color w:val="auto"/>
          <w:kern w:val="0"/>
          <w:sz w:val="24"/>
          <w:highlight w:val="none"/>
        </w:rPr>
        <w:t>4</w:t>
      </w:r>
      <w:r>
        <w:rPr>
          <w:rFonts w:hint="eastAsia" w:ascii="仿宋_GB2312" w:hAnsi="宋体" w:eastAsia="仿宋_GB2312" w:cs="宋体"/>
          <w:color w:val="auto"/>
          <w:kern w:val="0"/>
          <w:sz w:val="24"/>
          <w:highlight w:val="none"/>
        </w:rPr>
        <w:t>、联合体各成员单位内部的职责分工如下</w:t>
      </w:r>
      <w:r>
        <w:rPr>
          <w:rFonts w:hint="eastAsia" w:ascii="仿宋_GB2312" w:hAnsi="宋体" w:eastAsia="仿宋_GB2312" w:cs="宋体"/>
          <w:color w:val="auto"/>
          <w:kern w:val="0"/>
          <w:sz w:val="24"/>
          <w:highlight w:val="none"/>
          <w:u w:val="single"/>
        </w:rPr>
        <w:t>：</w:t>
      </w:r>
      <w:r>
        <w:rPr>
          <w:rFonts w:hint="eastAsia" w:ascii="仿宋_GB2312" w:hAnsi="仿宋_GB2312" w:eastAsia="仿宋_GB2312"/>
          <w:color w:val="auto"/>
          <w:sz w:val="24"/>
          <w:highlight w:val="none"/>
          <w:u w:val="single"/>
        </w:rPr>
        <w:t>________________________________________________</w:t>
      </w:r>
      <w:r>
        <w:rPr>
          <w:rFonts w:hint="eastAsia" w:ascii="仿宋_GB2312" w:hAnsi="宋体" w:eastAsia="仿宋_GB2312" w:cs="宋体"/>
          <w:color w:val="auto"/>
          <w:kern w:val="0"/>
          <w:sz w:val="24"/>
          <w:highlight w:val="none"/>
        </w:rPr>
        <w:t>。</w:t>
      </w:r>
    </w:p>
    <w:p w14:paraId="568E85E5">
      <w:pPr>
        <w:pStyle w:val="11"/>
        <w:spacing w:line="360" w:lineRule="auto"/>
        <w:ind w:left="0" w:leftChars="0" w:firstLine="480" w:firstLineChars="200"/>
        <w:rPr>
          <w:rFonts w:ascii="仿宋_GB2312" w:eastAsia="仿宋_GB2312"/>
          <w:color w:val="auto"/>
          <w:sz w:val="24"/>
          <w:highlight w:val="none"/>
        </w:rPr>
      </w:pPr>
      <w:r>
        <w:rPr>
          <w:rFonts w:hint="eastAsia" w:ascii="仿宋_GB2312" w:hAnsi="宋体" w:eastAsia="仿宋_GB2312" w:cs="宋体"/>
          <w:color w:val="auto"/>
          <w:sz w:val="24"/>
          <w:highlight w:val="none"/>
        </w:rPr>
        <w:t>5、本联合体中</w:t>
      </w:r>
      <w:r>
        <w:rPr>
          <w:rFonts w:hint="eastAsia" w:ascii="仿宋_GB2312" w:hAnsi="宋体" w:eastAsia="仿宋_GB2312" w:cs="宋体"/>
          <w:color w:val="auto"/>
          <w:sz w:val="24"/>
          <w:highlight w:val="none"/>
          <w:u w:val="single"/>
        </w:rPr>
        <w:t>，</w:t>
      </w:r>
      <w:r>
        <w:rPr>
          <w:rFonts w:hint="eastAsia" w:ascii="仿宋_GB2312" w:hAnsi="仿宋_GB2312" w:eastAsia="仿宋_GB2312"/>
          <w:color w:val="auto"/>
          <w:sz w:val="24"/>
          <w:highlight w:val="none"/>
          <w:u w:val="single"/>
        </w:rPr>
        <w:t>________________________</w:t>
      </w:r>
      <w:r>
        <w:rPr>
          <w:rFonts w:hint="eastAsia" w:ascii="仿宋_GB2312" w:hAnsi="宋体" w:eastAsia="仿宋_GB2312" w:cs="宋体"/>
          <w:color w:val="auto"/>
          <w:sz w:val="24"/>
          <w:highlight w:val="none"/>
          <w:u w:val="single"/>
        </w:rPr>
        <w:t>（某成员单位名称）为</w:t>
      </w:r>
      <w:r>
        <w:rPr>
          <w:rFonts w:hint="eastAsia" w:ascii="仿宋_GB2312" w:hAnsi="仿宋_GB2312" w:eastAsia="仿宋_GB2312"/>
          <w:color w:val="auto"/>
          <w:sz w:val="24"/>
          <w:highlight w:val="none"/>
          <w:u w:val="single"/>
        </w:rPr>
        <w:t>______</w:t>
      </w:r>
      <w:r>
        <w:rPr>
          <w:rFonts w:hint="eastAsia" w:ascii="仿宋_GB2312" w:hAnsi="仿宋_GB2312" w:eastAsia="仿宋_GB2312"/>
          <w:color w:val="auto"/>
          <w:sz w:val="24"/>
          <w:highlight w:val="none"/>
        </w:rPr>
        <w:t>（请填写：中型、小型、微型）企业，其协议合同金额占联合体协议合同总金额的</w:t>
      </w:r>
      <w:r>
        <w:rPr>
          <w:rFonts w:hint="eastAsia" w:ascii="仿宋_GB2312" w:hAnsi="仿宋_GB2312" w:eastAsia="仿宋_GB2312"/>
          <w:color w:val="auto"/>
          <w:sz w:val="24"/>
          <w:highlight w:val="none"/>
          <w:u w:val="single"/>
        </w:rPr>
        <w:t>______</w:t>
      </w:r>
      <w:r>
        <w:rPr>
          <w:rFonts w:hint="eastAsia" w:ascii="仿宋_GB2312" w:hAnsi="仿宋_GB2312" w:eastAsia="仿宋_GB2312"/>
          <w:color w:val="auto"/>
          <w:sz w:val="24"/>
          <w:highlight w:val="none"/>
        </w:rPr>
        <w:t>%。【如联合体成员中有小型、微型企业的，请填写此条，否则无需填写；如联合体成员中有多个小型、微型企业的，请逐一列出。】</w:t>
      </w:r>
    </w:p>
    <w:p w14:paraId="27385181">
      <w:pPr>
        <w:autoSpaceDE w:val="0"/>
        <w:autoSpaceDN w:val="0"/>
        <w:adjustRightInd w:val="0"/>
        <w:spacing w:line="360" w:lineRule="auto"/>
        <w:ind w:firstLine="420"/>
        <w:jc w:val="left"/>
        <w:rPr>
          <w:rFonts w:hint="eastAsia" w:ascii="仿宋_GB2312" w:hAnsi="宋体" w:eastAsia="仿宋_GB2312" w:cs="宋体"/>
          <w:color w:val="auto"/>
          <w:kern w:val="0"/>
          <w:sz w:val="24"/>
          <w:highlight w:val="none"/>
        </w:rPr>
      </w:pPr>
      <w:r>
        <w:rPr>
          <w:rFonts w:hint="eastAsia" w:ascii="仿宋_GB2312" w:hAnsi="宋体" w:eastAsia="仿宋_GB2312" w:cs="TimesNewRomanPSMT"/>
          <w:color w:val="auto"/>
          <w:kern w:val="0"/>
          <w:sz w:val="24"/>
          <w:highlight w:val="none"/>
        </w:rPr>
        <w:t>6</w:t>
      </w:r>
      <w:r>
        <w:rPr>
          <w:rFonts w:hint="eastAsia" w:ascii="仿宋_GB2312" w:hAnsi="宋体" w:eastAsia="仿宋_GB2312" w:cs="宋体"/>
          <w:color w:val="auto"/>
          <w:kern w:val="0"/>
          <w:sz w:val="24"/>
          <w:highlight w:val="none"/>
        </w:rPr>
        <w:t>、本协议书自签署之日起生效，合同履行完毕后自动失效。</w:t>
      </w:r>
    </w:p>
    <w:p w14:paraId="4C5CF157">
      <w:pPr>
        <w:autoSpaceDE w:val="0"/>
        <w:autoSpaceDN w:val="0"/>
        <w:adjustRightInd w:val="0"/>
        <w:spacing w:line="360" w:lineRule="auto"/>
        <w:ind w:firstLine="420"/>
        <w:jc w:val="left"/>
        <w:rPr>
          <w:rFonts w:hint="eastAsia" w:ascii="仿宋_GB2312" w:hAnsi="宋体" w:eastAsia="仿宋_GB2312" w:cs="宋体"/>
          <w:color w:val="auto"/>
          <w:kern w:val="0"/>
          <w:sz w:val="24"/>
          <w:highlight w:val="none"/>
        </w:rPr>
      </w:pPr>
      <w:r>
        <w:rPr>
          <w:rFonts w:hint="eastAsia" w:ascii="仿宋_GB2312" w:hAnsi="宋体" w:eastAsia="仿宋_GB2312" w:cs="TimesNewRomanPSMT"/>
          <w:color w:val="auto"/>
          <w:kern w:val="0"/>
          <w:sz w:val="24"/>
          <w:highlight w:val="none"/>
        </w:rPr>
        <w:t>7</w:t>
      </w:r>
      <w:r>
        <w:rPr>
          <w:rFonts w:hint="eastAsia" w:ascii="仿宋_GB2312" w:hAnsi="宋体" w:eastAsia="仿宋_GB2312" w:cs="宋体"/>
          <w:color w:val="auto"/>
          <w:kern w:val="0"/>
          <w:sz w:val="24"/>
          <w:highlight w:val="none"/>
        </w:rPr>
        <w:t>、本协议书一式</w:t>
      </w:r>
      <w:r>
        <w:rPr>
          <w:rFonts w:hint="eastAsia" w:ascii="仿宋_GB2312" w:hAnsi="宋体" w:eastAsia="仿宋_GB2312" w:cs="宋体"/>
          <w:color w:val="auto"/>
          <w:kern w:val="0"/>
          <w:sz w:val="24"/>
          <w:highlight w:val="none"/>
          <w:u w:val="single"/>
        </w:rPr>
        <w:t xml:space="preserve">    </w:t>
      </w:r>
      <w:r>
        <w:rPr>
          <w:rFonts w:hint="eastAsia" w:ascii="仿宋_GB2312" w:hAnsi="宋体" w:eastAsia="仿宋_GB2312" w:cs="宋体"/>
          <w:color w:val="auto"/>
          <w:kern w:val="0"/>
          <w:sz w:val="24"/>
          <w:highlight w:val="none"/>
        </w:rPr>
        <w:t>份，联合体成员和采购代理机构各执一份。</w:t>
      </w:r>
    </w:p>
    <w:p w14:paraId="560B46A1">
      <w:pPr>
        <w:autoSpaceDE w:val="0"/>
        <w:autoSpaceDN w:val="0"/>
        <w:adjustRightInd w:val="0"/>
        <w:spacing w:line="360" w:lineRule="auto"/>
        <w:ind w:firstLine="420"/>
        <w:jc w:val="left"/>
        <w:rPr>
          <w:rFonts w:hint="eastAsia" w:ascii="仿宋_GB2312" w:hAnsi="仿宋_GB2312" w:eastAsia="仿宋_GB2312" w:cs="宋体"/>
          <w:color w:val="auto"/>
          <w:kern w:val="0"/>
          <w:sz w:val="24"/>
          <w:highlight w:val="none"/>
        </w:rPr>
      </w:pPr>
      <w:r>
        <w:rPr>
          <w:rFonts w:hint="eastAsia" w:ascii="仿宋_GB2312" w:hAnsi="仿宋_GB2312" w:eastAsia="仿宋_GB2312" w:cs="宋体"/>
          <w:color w:val="auto"/>
          <w:kern w:val="0"/>
          <w:sz w:val="24"/>
          <w:highlight w:val="none"/>
        </w:rPr>
        <w:t>注：本协议书由法定代表人签字的，应附法定代表人身份证明；本协议书由委托代理人签字的，应附法定代表人授权委托书。</w:t>
      </w:r>
    </w:p>
    <w:p w14:paraId="7479902F">
      <w:pPr>
        <w:autoSpaceDE w:val="0"/>
        <w:autoSpaceDN w:val="0"/>
        <w:adjustRightInd w:val="0"/>
        <w:spacing w:line="360" w:lineRule="auto"/>
        <w:jc w:val="left"/>
        <w:rPr>
          <w:rFonts w:hint="eastAsia" w:ascii="仿宋_GB2312" w:hAnsi="仿宋_GB2312" w:eastAsia="仿宋_GB2312" w:cs="宋体"/>
          <w:color w:val="auto"/>
          <w:kern w:val="0"/>
          <w:sz w:val="24"/>
          <w:highlight w:val="none"/>
        </w:rPr>
      </w:pPr>
      <w:r>
        <w:rPr>
          <w:rFonts w:hint="eastAsia" w:ascii="仿宋_GB2312" w:hAnsi="仿宋_GB2312" w:eastAsia="仿宋_GB2312" w:cs="宋体"/>
          <w:color w:val="auto"/>
          <w:kern w:val="0"/>
          <w:sz w:val="24"/>
          <w:highlight w:val="none"/>
        </w:rPr>
        <w:t>牵头人名称：</w:t>
      </w:r>
      <w:r>
        <w:rPr>
          <w:rFonts w:hint="eastAsia" w:ascii="仿宋_GB2312" w:hAnsi="仿宋_GB2312" w:eastAsia="仿宋_GB2312" w:cs="宋体"/>
          <w:color w:val="auto"/>
          <w:kern w:val="0"/>
          <w:sz w:val="24"/>
          <w:highlight w:val="none"/>
          <w:u w:val="single"/>
        </w:rPr>
        <w:t xml:space="preserve">                                       </w:t>
      </w:r>
      <w:r>
        <w:rPr>
          <w:rFonts w:hint="eastAsia" w:ascii="仿宋_GB2312" w:hAnsi="仿宋_GB2312" w:eastAsia="仿宋_GB2312" w:cs="宋体"/>
          <w:color w:val="auto"/>
          <w:kern w:val="0"/>
          <w:sz w:val="24"/>
          <w:highlight w:val="none"/>
        </w:rPr>
        <w:t>（盖单位公章）</w:t>
      </w:r>
    </w:p>
    <w:p w14:paraId="3E89300D">
      <w:pPr>
        <w:autoSpaceDE w:val="0"/>
        <w:autoSpaceDN w:val="0"/>
        <w:adjustRightInd w:val="0"/>
        <w:spacing w:line="360" w:lineRule="auto"/>
        <w:jc w:val="left"/>
        <w:rPr>
          <w:rFonts w:hint="eastAsia" w:ascii="仿宋_GB2312" w:hAnsi="仿宋_GB2312" w:eastAsia="仿宋_GB2312" w:cs="宋体"/>
          <w:color w:val="auto"/>
          <w:kern w:val="0"/>
          <w:sz w:val="24"/>
          <w:highlight w:val="none"/>
        </w:rPr>
      </w:pPr>
      <w:r>
        <w:rPr>
          <w:rFonts w:hint="eastAsia" w:ascii="仿宋_GB2312" w:hAnsi="仿宋_GB2312" w:eastAsia="仿宋_GB2312" w:cs="宋体"/>
          <w:color w:val="auto"/>
          <w:kern w:val="0"/>
          <w:sz w:val="24"/>
          <w:highlight w:val="none"/>
        </w:rPr>
        <w:t>法定代表人或其委托代理人：</w:t>
      </w:r>
      <w:r>
        <w:rPr>
          <w:rFonts w:hint="eastAsia" w:ascii="仿宋_GB2312" w:hAnsi="仿宋_GB2312" w:eastAsia="仿宋_GB2312" w:cs="宋体"/>
          <w:color w:val="auto"/>
          <w:kern w:val="0"/>
          <w:sz w:val="24"/>
          <w:highlight w:val="none"/>
          <w:u w:val="single"/>
        </w:rPr>
        <w:t xml:space="preserve">                         </w:t>
      </w:r>
      <w:r>
        <w:rPr>
          <w:rFonts w:hint="eastAsia" w:ascii="仿宋_GB2312" w:hAnsi="仿宋_GB2312" w:eastAsia="仿宋_GB2312" w:cs="宋体"/>
          <w:color w:val="auto"/>
          <w:kern w:val="0"/>
          <w:sz w:val="24"/>
          <w:highlight w:val="none"/>
        </w:rPr>
        <w:t>（签字或盖章）</w:t>
      </w:r>
    </w:p>
    <w:p w14:paraId="42723AC3">
      <w:pPr>
        <w:autoSpaceDE w:val="0"/>
        <w:autoSpaceDN w:val="0"/>
        <w:adjustRightInd w:val="0"/>
        <w:spacing w:line="360" w:lineRule="auto"/>
        <w:jc w:val="left"/>
        <w:rPr>
          <w:rFonts w:hint="eastAsia" w:ascii="仿宋_GB2312" w:hAnsi="仿宋_GB2312" w:eastAsia="仿宋_GB2312" w:cs="宋体"/>
          <w:color w:val="auto"/>
          <w:kern w:val="0"/>
          <w:sz w:val="24"/>
          <w:highlight w:val="none"/>
        </w:rPr>
      </w:pPr>
    </w:p>
    <w:p w14:paraId="0876D5BB">
      <w:pPr>
        <w:autoSpaceDE w:val="0"/>
        <w:autoSpaceDN w:val="0"/>
        <w:adjustRightInd w:val="0"/>
        <w:spacing w:line="360" w:lineRule="auto"/>
        <w:jc w:val="left"/>
        <w:rPr>
          <w:rFonts w:hint="eastAsia" w:ascii="仿宋_GB2312" w:hAnsi="仿宋_GB2312" w:eastAsia="仿宋_GB2312" w:cs="宋体"/>
          <w:color w:val="auto"/>
          <w:kern w:val="0"/>
          <w:sz w:val="24"/>
          <w:highlight w:val="none"/>
        </w:rPr>
      </w:pPr>
      <w:r>
        <w:rPr>
          <w:rFonts w:hint="eastAsia" w:ascii="仿宋_GB2312" w:hAnsi="仿宋_GB2312" w:eastAsia="仿宋_GB2312" w:cs="宋体"/>
          <w:color w:val="auto"/>
          <w:kern w:val="0"/>
          <w:sz w:val="24"/>
          <w:highlight w:val="none"/>
        </w:rPr>
        <w:t>成员一名称：</w:t>
      </w:r>
      <w:r>
        <w:rPr>
          <w:rFonts w:hint="eastAsia" w:ascii="仿宋_GB2312" w:hAnsi="仿宋_GB2312" w:eastAsia="仿宋_GB2312" w:cs="宋体"/>
          <w:color w:val="auto"/>
          <w:kern w:val="0"/>
          <w:sz w:val="24"/>
          <w:highlight w:val="none"/>
          <w:u w:val="single"/>
        </w:rPr>
        <w:t xml:space="preserve">                                       </w:t>
      </w:r>
      <w:r>
        <w:rPr>
          <w:rFonts w:hint="eastAsia" w:ascii="仿宋_GB2312" w:hAnsi="仿宋_GB2312" w:eastAsia="仿宋_GB2312" w:cs="宋体"/>
          <w:color w:val="auto"/>
          <w:kern w:val="0"/>
          <w:sz w:val="24"/>
          <w:highlight w:val="none"/>
        </w:rPr>
        <w:t>（盖单位公章）</w:t>
      </w:r>
    </w:p>
    <w:p w14:paraId="58190924">
      <w:pPr>
        <w:autoSpaceDE w:val="0"/>
        <w:autoSpaceDN w:val="0"/>
        <w:adjustRightInd w:val="0"/>
        <w:spacing w:line="360" w:lineRule="auto"/>
        <w:jc w:val="left"/>
        <w:rPr>
          <w:rFonts w:hint="eastAsia" w:ascii="仿宋_GB2312" w:hAnsi="仿宋_GB2312" w:eastAsia="仿宋_GB2312" w:cs="宋体"/>
          <w:color w:val="auto"/>
          <w:kern w:val="0"/>
          <w:sz w:val="24"/>
          <w:highlight w:val="none"/>
        </w:rPr>
      </w:pPr>
      <w:r>
        <w:rPr>
          <w:rFonts w:hint="eastAsia" w:ascii="仿宋_GB2312" w:hAnsi="仿宋_GB2312" w:eastAsia="仿宋_GB2312" w:cs="宋体"/>
          <w:color w:val="auto"/>
          <w:kern w:val="0"/>
          <w:sz w:val="24"/>
          <w:highlight w:val="none"/>
        </w:rPr>
        <w:t>法定代表人或其委托代理人：</w:t>
      </w:r>
      <w:r>
        <w:rPr>
          <w:rFonts w:hint="eastAsia" w:ascii="仿宋_GB2312" w:hAnsi="仿宋_GB2312" w:eastAsia="仿宋_GB2312" w:cs="宋体"/>
          <w:color w:val="auto"/>
          <w:kern w:val="0"/>
          <w:sz w:val="24"/>
          <w:highlight w:val="none"/>
          <w:u w:val="single"/>
        </w:rPr>
        <w:t xml:space="preserve">                         </w:t>
      </w:r>
      <w:r>
        <w:rPr>
          <w:rFonts w:hint="eastAsia" w:ascii="仿宋_GB2312" w:hAnsi="仿宋_GB2312" w:eastAsia="仿宋_GB2312" w:cs="宋体"/>
          <w:color w:val="auto"/>
          <w:kern w:val="0"/>
          <w:sz w:val="24"/>
          <w:highlight w:val="none"/>
        </w:rPr>
        <w:t>（签字或盖章）</w:t>
      </w:r>
    </w:p>
    <w:p w14:paraId="19F63990">
      <w:pPr>
        <w:autoSpaceDE w:val="0"/>
        <w:autoSpaceDN w:val="0"/>
        <w:adjustRightInd w:val="0"/>
        <w:spacing w:line="360" w:lineRule="auto"/>
        <w:jc w:val="left"/>
        <w:rPr>
          <w:rFonts w:ascii="宋体" w:cs="宋体"/>
          <w:color w:val="auto"/>
          <w:kern w:val="0"/>
          <w:szCs w:val="21"/>
          <w:highlight w:val="none"/>
        </w:rPr>
      </w:pPr>
    </w:p>
    <w:p w14:paraId="55CEC166">
      <w:pPr>
        <w:autoSpaceDE w:val="0"/>
        <w:autoSpaceDN w:val="0"/>
        <w:adjustRightInd w:val="0"/>
        <w:spacing w:line="360" w:lineRule="auto"/>
        <w:jc w:val="left"/>
        <w:rPr>
          <w:rFonts w:hint="eastAsia" w:ascii="仿宋_GB2312" w:hAnsi="仿宋_GB2312" w:eastAsia="仿宋_GB2312" w:cs="宋体"/>
          <w:color w:val="auto"/>
          <w:kern w:val="0"/>
          <w:sz w:val="24"/>
          <w:highlight w:val="none"/>
        </w:rPr>
      </w:pPr>
      <w:r>
        <w:rPr>
          <w:rFonts w:hint="eastAsia" w:ascii="仿宋_GB2312" w:hAnsi="仿宋_GB2312" w:eastAsia="仿宋_GB2312" w:cs="宋体"/>
          <w:color w:val="auto"/>
          <w:kern w:val="0"/>
          <w:sz w:val="24"/>
          <w:highlight w:val="none"/>
        </w:rPr>
        <w:t>成员二名称：</w:t>
      </w:r>
      <w:r>
        <w:rPr>
          <w:rFonts w:hint="eastAsia" w:ascii="仿宋_GB2312" w:hAnsi="仿宋_GB2312" w:eastAsia="仿宋_GB2312" w:cs="宋体"/>
          <w:color w:val="auto"/>
          <w:kern w:val="0"/>
          <w:sz w:val="24"/>
          <w:highlight w:val="none"/>
          <w:u w:val="single"/>
        </w:rPr>
        <w:t xml:space="preserve">                                       </w:t>
      </w:r>
      <w:r>
        <w:rPr>
          <w:rFonts w:hint="eastAsia" w:ascii="仿宋_GB2312" w:hAnsi="仿宋_GB2312" w:eastAsia="仿宋_GB2312" w:cs="宋体"/>
          <w:color w:val="auto"/>
          <w:kern w:val="0"/>
          <w:sz w:val="24"/>
          <w:highlight w:val="none"/>
        </w:rPr>
        <w:t>（盖单位公章）</w:t>
      </w:r>
    </w:p>
    <w:p w14:paraId="557B8EE2">
      <w:pPr>
        <w:autoSpaceDE w:val="0"/>
        <w:autoSpaceDN w:val="0"/>
        <w:adjustRightInd w:val="0"/>
        <w:spacing w:line="360" w:lineRule="auto"/>
        <w:jc w:val="left"/>
        <w:rPr>
          <w:rFonts w:hint="eastAsia" w:ascii="仿宋_GB2312" w:hAnsi="仿宋_GB2312" w:eastAsia="仿宋_GB2312" w:cs="宋体"/>
          <w:color w:val="auto"/>
          <w:kern w:val="0"/>
          <w:sz w:val="24"/>
          <w:highlight w:val="none"/>
        </w:rPr>
      </w:pPr>
      <w:r>
        <w:rPr>
          <w:rFonts w:hint="eastAsia" w:ascii="仿宋_GB2312" w:hAnsi="仿宋_GB2312" w:eastAsia="仿宋_GB2312" w:cs="宋体"/>
          <w:color w:val="auto"/>
          <w:kern w:val="0"/>
          <w:sz w:val="24"/>
          <w:highlight w:val="none"/>
        </w:rPr>
        <w:t>法定代表人或其委托代理人：                         （签字或盖章）</w:t>
      </w:r>
    </w:p>
    <w:p w14:paraId="24CC844B">
      <w:pPr>
        <w:autoSpaceDE w:val="0"/>
        <w:autoSpaceDN w:val="0"/>
        <w:adjustRightInd w:val="0"/>
        <w:spacing w:line="360" w:lineRule="auto"/>
        <w:jc w:val="left"/>
        <w:rPr>
          <w:rFonts w:hint="eastAsia" w:ascii="仿宋_GB2312" w:hAnsi="仿宋_GB2312" w:eastAsia="仿宋_GB2312" w:cs="宋体"/>
          <w:color w:val="auto"/>
          <w:kern w:val="0"/>
          <w:sz w:val="24"/>
          <w:highlight w:val="none"/>
        </w:rPr>
      </w:pPr>
    </w:p>
    <w:p w14:paraId="056AF60B">
      <w:pPr>
        <w:autoSpaceDE w:val="0"/>
        <w:autoSpaceDN w:val="0"/>
        <w:adjustRightInd w:val="0"/>
        <w:spacing w:line="360" w:lineRule="auto"/>
        <w:jc w:val="left"/>
        <w:rPr>
          <w:rFonts w:hint="eastAsia" w:ascii="仿宋_GB2312" w:hAnsi="仿宋_GB2312" w:eastAsia="仿宋_GB2312" w:cs="宋体"/>
          <w:color w:val="auto"/>
          <w:kern w:val="0"/>
          <w:sz w:val="24"/>
          <w:highlight w:val="none"/>
        </w:rPr>
      </w:pPr>
    </w:p>
    <w:p w14:paraId="3727EE34">
      <w:pPr>
        <w:autoSpaceDE w:val="0"/>
        <w:autoSpaceDN w:val="0"/>
        <w:spacing w:line="360" w:lineRule="auto"/>
        <w:ind w:left="4365" w:leftChars="1850" w:hanging="480" w:hangingChars="2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07A56C02">
      <w:pPr>
        <w:autoSpaceDE w:val="0"/>
        <w:autoSpaceDN w:val="0"/>
        <w:spacing w:line="360" w:lineRule="auto"/>
        <w:ind w:firstLine="6120" w:firstLineChars="25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  年  月   日</w:t>
      </w:r>
    </w:p>
    <w:p w14:paraId="6CB5A6A9">
      <w:pPr>
        <w:autoSpaceDE w:val="0"/>
        <w:autoSpaceDN w:val="0"/>
        <w:spacing w:line="360" w:lineRule="auto"/>
        <w:ind w:firstLine="6120" w:firstLineChars="2550"/>
        <w:rPr>
          <w:rFonts w:hint="eastAsia" w:ascii="仿宋_GB2312" w:hAnsi="仿宋" w:eastAsia="仿宋_GB2312" w:cs="仿宋_GB2312"/>
          <w:color w:val="auto"/>
          <w:kern w:val="0"/>
          <w:sz w:val="24"/>
          <w:highlight w:val="none"/>
          <w:lang w:val="zh-CN"/>
        </w:rPr>
      </w:pPr>
    </w:p>
    <w:p w14:paraId="68D55194">
      <w:pPr>
        <w:autoSpaceDE w:val="0"/>
        <w:autoSpaceDN w:val="0"/>
        <w:spacing w:line="360" w:lineRule="auto"/>
        <w:ind w:firstLine="6120" w:firstLineChars="2550"/>
        <w:rPr>
          <w:rFonts w:hint="eastAsia" w:ascii="仿宋_GB2312" w:hAnsi="仿宋" w:eastAsia="仿宋_GB2312" w:cs="仿宋_GB2312"/>
          <w:color w:val="auto"/>
          <w:kern w:val="0"/>
          <w:sz w:val="24"/>
          <w:highlight w:val="none"/>
          <w:lang w:val="zh-CN"/>
        </w:rPr>
      </w:pPr>
    </w:p>
    <w:p w14:paraId="77FF38B7">
      <w:pPr>
        <w:autoSpaceDE w:val="0"/>
        <w:autoSpaceDN w:val="0"/>
        <w:spacing w:line="360" w:lineRule="auto"/>
        <w:ind w:firstLine="6120" w:firstLineChars="2550"/>
        <w:rPr>
          <w:rFonts w:hint="eastAsia" w:ascii="仿宋_GB2312" w:hAnsi="仿宋" w:eastAsia="仿宋_GB2312" w:cs="仿宋_GB2312"/>
          <w:color w:val="auto"/>
          <w:kern w:val="0"/>
          <w:sz w:val="24"/>
          <w:highlight w:val="none"/>
          <w:lang w:val="zh-CN"/>
        </w:rPr>
      </w:pPr>
    </w:p>
    <w:p w14:paraId="328574AC">
      <w:pPr>
        <w:pStyle w:val="12"/>
        <w:jc w:val="center"/>
        <w:rPr>
          <w:rFonts w:hint="default" w:ascii="Times New Roman" w:hAnsi="Times New Roman"/>
          <w:b/>
          <w:color w:val="auto"/>
          <w:sz w:val="30"/>
          <w:szCs w:val="30"/>
          <w:highlight w:val="none"/>
        </w:rPr>
      </w:pPr>
      <w:r>
        <w:rPr>
          <w:rFonts w:ascii="仿宋_GB2312" w:hAnsi="仿宋" w:eastAsia="仿宋_GB2312" w:cs="仿宋_GB2312"/>
          <w:color w:val="auto"/>
          <w:highlight w:val="none"/>
          <w:lang w:val="zh-CN"/>
        </w:rPr>
        <w:br w:type="page"/>
      </w:r>
      <w:r>
        <w:rPr>
          <w:rFonts w:ascii="Times New Roman" w:hAnsi="Times New Roman"/>
          <w:b/>
          <w:color w:val="auto"/>
          <w:sz w:val="30"/>
          <w:szCs w:val="30"/>
          <w:highlight w:val="none"/>
        </w:rPr>
        <w:t>八、中小企业声明函</w:t>
      </w:r>
    </w:p>
    <w:p w14:paraId="3FA0016D">
      <w:pPr>
        <w:spacing w:line="300" w:lineRule="auto"/>
        <w:ind w:firstLine="2200" w:firstLineChars="500"/>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中小企业声明函（服务）</w:t>
      </w:r>
    </w:p>
    <w:p w14:paraId="7C24D904">
      <w:pPr>
        <w:spacing w:line="360" w:lineRule="auto"/>
        <w:ind w:firstLine="42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lang w:bidi="ar"/>
        </w:rPr>
        <w:t>本公司（联合体）郑重声明，根据《政府采购促进中小企业发展管理办法》（财库﹝2020﹞46 号）的规定，本公司（联合体）参加</w:t>
      </w:r>
      <w:r>
        <w:rPr>
          <w:rFonts w:hint="eastAsia" w:ascii="仿宋" w:hAnsi="仿宋" w:eastAsia="仿宋" w:cs="仿宋"/>
          <w:bCs/>
          <w:color w:val="auto"/>
          <w:szCs w:val="21"/>
          <w:highlight w:val="none"/>
          <w:u w:val="single"/>
          <w:lang w:bidi="ar"/>
        </w:rPr>
        <w:t>（单位名称）</w:t>
      </w:r>
      <w:r>
        <w:rPr>
          <w:rFonts w:hint="eastAsia" w:ascii="仿宋" w:hAnsi="仿宋" w:eastAsia="仿宋" w:cs="仿宋"/>
          <w:bCs/>
          <w:color w:val="auto"/>
          <w:szCs w:val="21"/>
          <w:highlight w:val="none"/>
          <w:lang w:bidi="ar"/>
        </w:rPr>
        <w:t>的</w:t>
      </w:r>
      <w:r>
        <w:rPr>
          <w:rFonts w:hint="eastAsia" w:ascii="仿宋" w:hAnsi="仿宋" w:eastAsia="仿宋" w:cs="仿宋"/>
          <w:bCs/>
          <w:color w:val="auto"/>
          <w:szCs w:val="21"/>
          <w:highlight w:val="none"/>
          <w:u w:val="single"/>
          <w:lang w:bidi="ar"/>
        </w:rPr>
        <w:t>（项目名称）</w:t>
      </w:r>
      <w:r>
        <w:rPr>
          <w:rFonts w:hint="eastAsia" w:ascii="仿宋" w:hAnsi="仿宋" w:eastAsia="仿宋" w:cs="仿宋"/>
          <w:bCs/>
          <w:color w:val="auto"/>
          <w:szCs w:val="21"/>
          <w:highlight w:val="none"/>
          <w:lang w:bidi="ar"/>
        </w:rPr>
        <w:t>采购活动，服务全部由符合政策要求的中小企业承接。相关企业（含联合体中的中小企业、签订分包意向协议的中小企业） 的具体情况如下：</w:t>
      </w:r>
    </w:p>
    <w:p w14:paraId="1C2A4F6E">
      <w:pPr>
        <w:spacing w:line="360" w:lineRule="auto"/>
        <w:ind w:firstLine="42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lang w:bidi="ar"/>
        </w:rPr>
        <w:t>1.</w:t>
      </w:r>
      <w:r>
        <w:rPr>
          <w:rFonts w:hint="eastAsia" w:ascii="仿宋" w:hAnsi="仿宋" w:eastAsia="仿宋" w:cs="仿宋"/>
          <w:bCs/>
          <w:color w:val="auto"/>
          <w:szCs w:val="21"/>
          <w:highlight w:val="none"/>
          <w:u w:val="single"/>
          <w:lang w:bidi="ar"/>
        </w:rPr>
        <w:t>（标的名称）</w:t>
      </w:r>
      <w:r>
        <w:rPr>
          <w:rFonts w:hint="eastAsia" w:ascii="仿宋" w:hAnsi="仿宋" w:eastAsia="仿宋" w:cs="仿宋"/>
          <w:bCs/>
          <w:color w:val="auto"/>
          <w:szCs w:val="21"/>
          <w:highlight w:val="none"/>
          <w:lang w:bidi="ar"/>
        </w:rPr>
        <w:t>，属于</w:t>
      </w:r>
      <w:r>
        <w:rPr>
          <w:rFonts w:hint="eastAsia" w:ascii="仿宋" w:hAnsi="仿宋" w:eastAsia="仿宋" w:cs="仿宋"/>
          <w:bCs/>
          <w:color w:val="auto"/>
          <w:szCs w:val="21"/>
          <w:highlight w:val="none"/>
          <w:u w:val="single"/>
          <w:lang w:bidi="ar"/>
        </w:rPr>
        <w:t>（采购文件中明确的所属行业）</w:t>
      </w:r>
      <w:r>
        <w:rPr>
          <w:rFonts w:hint="eastAsia" w:ascii="仿宋" w:hAnsi="仿宋" w:eastAsia="仿宋" w:cs="仿宋"/>
          <w:bCs/>
          <w:color w:val="auto"/>
          <w:szCs w:val="21"/>
          <w:highlight w:val="none"/>
          <w:lang w:bidi="ar"/>
        </w:rPr>
        <w:t>行业；承接企业为</w:t>
      </w:r>
      <w:r>
        <w:rPr>
          <w:rFonts w:hint="eastAsia" w:ascii="仿宋" w:hAnsi="仿宋" w:eastAsia="仿宋" w:cs="仿宋"/>
          <w:bCs/>
          <w:color w:val="auto"/>
          <w:szCs w:val="21"/>
          <w:highlight w:val="none"/>
          <w:u w:val="single"/>
          <w:lang w:bidi="ar"/>
        </w:rPr>
        <w:t>（企业名称）</w:t>
      </w:r>
      <w:r>
        <w:rPr>
          <w:rFonts w:hint="eastAsia" w:ascii="仿宋" w:hAnsi="仿宋" w:eastAsia="仿宋" w:cs="仿宋"/>
          <w:bCs/>
          <w:color w:val="auto"/>
          <w:szCs w:val="21"/>
          <w:highlight w:val="none"/>
          <w:lang w:bidi="ar"/>
        </w:rPr>
        <w:t>，从业人员</w:t>
      </w:r>
      <w:r>
        <w:rPr>
          <w:rFonts w:hint="eastAsia" w:ascii="仿宋" w:hAnsi="仿宋" w:eastAsia="仿宋" w:cs="仿宋"/>
          <w:bCs/>
          <w:color w:val="auto"/>
          <w:szCs w:val="21"/>
          <w:highlight w:val="none"/>
          <w:u w:val="single"/>
          <w:lang w:bidi="ar"/>
        </w:rPr>
        <w:t xml:space="preserve">    </w:t>
      </w:r>
      <w:r>
        <w:rPr>
          <w:rFonts w:hint="eastAsia" w:ascii="仿宋" w:hAnsi="仿宋" w:eastAsia="仿宋" w:cs="仿宋"/>
          <w:bCs/>
          <w:color w:val="auto"/>
          <w:szCs w:val="21"/>
          <w:highlight w:val="none"/>
          <w:lang w:bidi="ar"/>
        </w:rPr>
        <w:t>人，营业收入为</w:t>
      </w:r>
      <w:r>
        <w:rPr>
          <w:rFonts w:hint="eastAsia" w:ascii="仿宋" w:hAnsi="仿宋" w:eastAsia="仿宋" w:cs="仿宋"/>
          <w:bCs/>
          <w:color w:val="auto"/>
          <w:szCs w:val="21"/>
          <w:highlight w:val="none"/>
          <w:u w:val="single"/>
          <w:lang w:bidi="ar"/>
        </w:rPr>
        <w:t xml:space="preserve">    </w:t>
      </w:r>
      <w:r>
        <w:rPr>
          <w:rFonts w:hint="eastAsia" w:ascii="仿宋" w:hAnsi="仿宋" w:eastAsia="仿宋" w:cs="仿宋"/>
          <w:bCs/>
          <w:color w:val="auto"/>
          <w:szCs w:val="21"/>
          <w:highlight w:val="none"/>
          <w:lang w:bidi="ar"/>
        </w:rPr>
        <w:t>万元，资产总额为</w:t>
      </w:r>
      <w:r>
        <w:rPr>
          <w:rFonts w:hint="eastAsia" w:ascii="仿宋" w:hAnsi="仿宋" w:eastAsia="仿宋" w:cs="仿宋"/>
          <w:bCs/>
          <w:color w:val="auto"/>
          <w:szCs w:val="21"/>
          <w:highlight w:val="none"/>
          <w:u w:val="single"/>
          <w:lang w:bidi="ar"/>
        </w:rPr>
        <w:t xml:space="preserve">    </w:t>
      </w:r>
      <w:r>
        <w:rPr>
          <w:rFonts w:hint="eastAsia" w:ascii="仿宋" w:hAnsi="仿宋" w:eastAsia="仿宋" w:cs="仿宋"/>
          <w:bCs/>
          <w:color w:val="auto"/>
          <w:szCs w:val="21"/>
          <w:highlight w:val="none"/>
          <w:lang w:bidi="ar"/>
        </w:rPr>
        <w:t>万元，属于</w:t>
      </w:r>
      <w:r>
        <w:rPr>
          <w:rFonts w:hint="eastAsia" w:ascii="仿宋" w:hAnsi="仿宋" w:eastAsia="仿宋" w:cs="仿宋"/>
          <w:bCs/>
          <w:color w:val="auto"/>
          <w:szCs w:val="21"/>
          <w:highlight w:val="none"/>
          <w:u w:val="single"/>
          <w:lang w:bidi="ar"/>
        </w:rPr>
        <w:t>（中型企业、小型企业、微型企业）</w:t>
      </w:r>
      <w:r>
        <w:rPr>
          <w:rFonts w:hint="eastAsia" w:ascii="仿宋" w:hAnsi="仿宋" w:eastAsia="仿宋" w:cs="仿宋"/>
          <w:bCs/>
          <w:color w:val="auto"/>
          <w:szCs w:val="21"/>
          <w:highlight w:val="none"/>
          <w:lang w:bidi="ar"/>
        </w:rPr>
        <w:t>；</w:t>
      </w:r>
    </w:p>
    <w:p w14:paraId="478AA06A">
      <w:pPr>
        <w:spacing w:line="360" w:lineRule="auto"/>
        <w:ind w:firstLine="42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lang w:bidi="ar"/>
        </w:rPr>
        <w:t>2.</w:t>
      </w:r>
      <w:r>
        <w:rPr>
          <w:rFonts w:hint="eastAsia" w:ascii="仿宋" w:hAnsi="仿宋" w:eastAsia="仿宋" w:cs="仿宋"/>
          <w:bCs/>
          <w:color w:val="auto"/>
          <w:szCs w:val="21"/>
          <w:highlight w:val="none"/>
          <w:u w:val="single"/>
          <w:lang w:bidi="ar"/>
        </w:rPr>
        <w:t>（标的名称）</w:t>
      </w:r>
      <w:r>
        <w:rPr>
          <w:rFonts w:hint="eastAsia" w:ascii="仿宋" w:hAnsi="仿宋" w:eastAsia="仿宋" w:cs="仿宋"/>
          <w:bCs/>
          <w:color w:val="auto"/>
          <w:szCs w:val="21"/>
          <w:highlight w:val="none"/>
          <w:lang w:bidi="ar"/>
        </w:rPr>
        <w:t>，属于</w:t>
      </w:r>
      <w:r>
        <w:rPr>
          <w:rFonts w:hint="eastAsia" w:ascii="仿宋" w:hAnsi="仿宋" w:eastAsia="仿宋" w:cs="仿宋"/>
          <w:bCs/>
          <w:color w:val="auto"/>
          <w:szCs w:val="21"/>
          <w:highlight w:val="none"/>
          <w:u w:val="single"/>
          <w:lang w:bidi="ar"/>
        </w:rPr>
        <w:t>（采购文件中明确的所属行业）</w:t>
      </w:r>
      <w:r>
        <w:rPr>
          <w:rFonts w:hint="eastAsia" w:ascii="仿宋" w:hAnsi="仿宋" w:eastAsia="仿宋" w:cs="仿宋"/>
          <w:bCs/>
          <w:color w:val="auto"/>
          <w:szCs w:val="21"/>
          <w:highlight w:val="none"/>
          <w:lang w:bidi="ar"/>
        </w:rPr>
        <w:t>行业；承接企业为</w:t>
      </w:r>
      <w:r>
        <w:rPr>
          <w:rFonts w:hint="eastAsia" w:ascii="仿宋" w:hAnsi="仿宋" w:eastAsia="仿宋" w:cs="仿宋"/>
          <w:bCs/>
          <w:color w:val="auto"/>
          <w:szCs w:val="21"/>
          <w:highlight w:val="none"/>
          <w:u w:val="single"/>
          <w:lang w:bidi="ar"/>
        </w:rPr>
        <w:t>（企业名称）</w:t>
      </w:r>
      <w:r>
        <w:rPr>
          <w:rFonts w:hint="eastAsia" w:ascii="仿宋" w:hAnsi="仿宋" w:eastAsia="仿宋" w:cs="仿宋"/>
          <w:bCs/>
          <w:color w:val="auto"/>
          <w:szCs w:val="21"/>
          <w:highlight w:val="none"/>
          <w:lang w:bidi="ar"/>
        </w:rPr>
        <w:t>，从业人员</w:t>
      </w:r>
      <w:r>
        <w:rPr>
          <w:rFonts w:hint="eastAsia" w:ascii="仿宋" w:hAnsi="仿宋" w:eastAsia="仿宋" w:cs="仿宋"/>
          <w:bCs/>
          <w:color w:val="auto"/>
          <w:szCs w:val="21"/>
          <w:highlight w:val="none"/>
          <w:u w:val="single"/>
          <w:lang w:bidi="ar"/>
        </w:rPr>
        <w:t xml:space="preserve">       </w:t>
      </w:r>
      <w:r>
        <w:rPr>
          <w:rFonts w:hint="eastAsia" w:ascii="仿宋" w:hAnsi="仿宋" w:eastAsia="仿宋" w:cs="仿宋"/>
          <w:bCs/>
          <w:color w:val="auto"/>
          <w:szCs w:val="21"/>
          <w:highlight w:val="none"/>
          <w:lang w:bidi="ar"/>
        </w:rPr>
        <w:t>人，营业收入为</w:t>
      </w:r>
      <w:r>
        <w:rPr>
          <w:rFonts w:hint="eastAsia" w:ascii="仿宋" w:hAnsi="仿宋" w:eastAsia="仿宋" w:cs="仿宋"/>
          <w:bCs/>
          <w:color w:val="auto"/>
          <w:szCs w:val="21"/>
          <w:highlight w:val="none"/>
          <w:u w:val="single"/>
          <w:lang w:bidi="ar"/>
        </w:rPr>
        <w:t xml:space="preserve">     </w:t>
      </w:r>
      <w:r>
        <w:rPr>
          <w:rFonts w:hint="eastAsia" w:ascii="仿宋" w:hAnsi="仿宋" w:eastAsia="仿宋" w:cs="仿宋"/>
          <w:bCs/>
          <w:color w:val="auto"/>
          <w:szCs w:val="21"/>
          <w:highlight w:val="none"/>
          <w:lang w:bidi="ar"/>
        </w:rPr>
        <w:t>万元，资产总额为</w:t>
      </w:r>
      <w:r>
        <w:rPr>
          <w:rFonts w:hint="eastAsia" w:ascii="仿宋" w:hAnsi="仿宋" w:eastAsia="仿宋" w:cs="仿宋"/>
          <w:bCs/>
          <w:color w:val="auto"/>
          <w:szCs w:val="21"/>
          <w:highlight w:val="none"/>
          <w:u w:val="single"/>
          <w:lang w:bidi="ar"/>
        </w:rPr>
        <w:t xml:space="preserve">       </w:t>
      </w:r>
      <w:r>
        <w:rPr>
          <w:rFonts w:hint="eastAsia" w:ascii="仿宋" w:hAnsi="仿宋" w:eastAsia="仿宋" w:cs="仿宋"/>
          <w:bCs/>
          <w:color w:val="auto"/>
          <w:szCs w:val="21"/>
          <w:highlight w:val="none"/>
          <w:lang w:bidi="ar"/>
        </w:rPr>
        <w:t>万元，属于</w:t>
      </w:r>
      <w:r>
        <w:rPr>
          <w:rFonts w:hint="eastAsia" w:ascii="仿宋" w:hAnsi="仿宋" w:eastAsia="仿宋" w:cs="仿宋"/>
          <w:bCs/>
          <w:color w:val="auto"/>
          <w:szCs w:val="21"/>
          <w:highlight w:val="none"/>
          <w:u w:val="single"/>
          <w:lang w:bidi="ar"/>
        </w:rPr>
        <w:t>（中型企业、小型企业、微型企业）</w:t>
      </w:r>
      <w:r>
        <w:rPr>
          <w:rFonts w:hint="eastAsia" w:ascii="仿宋" w:hAnsi="仿宋" w:eastAsia="仿宋" w:cs="仿宋"/>
          <w:bCs/>
          <w:color w:val="auto"/>
          <w:szCs w:val="21"/>
          <w:highlight w:val="none"/>
          <w:lang w:bidi="ar"/>
        </w:rPr>
        <w:t>；</w:t>
      </w:r>
    </w:p>
    <w:p w14:paraId="126F7FFD">
      <w:pPr>
        <w:spacing w:line="360" w:lineRule="auto"/>
        <w:ind w:firstLine="42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lang w:bidi="ar"/>
        </w:rPr>
        <w:t>……</w:t>
      </w:r>
    </w:p>
    <w:p w14:paraId="42008124">
      <w:pPr>
        <w:spacing w:line="360" w:lineRule="auto"/>
        <w:ind w:firstLine="42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lang w:bidi="ar"/>
        </w:rPr>
        <w:t>以上企业，不属于大企业的分支机构，不存在控股股东为大企业的情形，也不存在与大企业的负责人为同一人的情形。</w:t>
      </w:r>
    </w:p>
    <w:p w14:paraId="7BA2D33F">
      <w:pPr>
        <w:widowControl/>
        <w:jc w:val="left"/>
        <w:rPr>
          <w:rFonts w:hint="eastAsia" w:ascii="仿宋" w:hAnsi="仿宋" w:eastAsia="仿宋" w:cs="仿宋"/>
          <w:color w:val="auto"/>
          <w:sz w:val="24"/>
          <w:highlight w:val="none"/>
        </w:rPr>
      </w:pPr>
      <w:r>
        <w:rPr>
          <w:rFonts w:hint="eastAsia" w:ascii="仿宋" w:hAnsi="仿宋" w:eastAsia="仿宋" w:cs="仿宋"/>
          <w:bCs/>
          <w:color w:val="auto"/>
          <w:szCs w:val="21"/>
          <w:highlight w:val="none"/>
          <w:lang w:bidi="ar"/>
        </w:rPr>
        <w:t>本企业对上述声明内容的真实性负责。如有虚假，将依法承担相应责任</w:t>
      </w:r>
      <w:r>
        <w:rPr>
          <w:rFonts w:hint="eastAsia" w:ascii="仿宋" w:hAnsi="仿宋" w:eastAsia="仿宋" w:cs="仿宋"/>
          <w:color w:val="auto"/>
          <w:sz w:val="24"/>
          <w:highlight w:val="none"/>
        </w:rPr>
        <w:t>。</w:t>
      </w:r>
    </w:p>
    <w:p w14:paraId="3A2DF0D0">
      <w:pPr>
        <w:pStyle w:val="8"/>
        <w:spacing w:after="0" w:line="380" w:lineRule="exact"/>
        <w:ind w:left="3960" w:right="1808"/>
        <w:contextualSpacing/>
        <w:rPr>
          <w:rFonts w:hint="eastAsia" w:ascii="仿宋" w:hAnsi="仿宋" w:eastAsia="仿宋" w:cs="仿宋"/>
          <w:color w:val="auto"/>
          <w:sz w:val="24"/>
          <w:highlight w:val="none"/>
        </w:rPr>
      </w:pPr>
    </w:p>
    <w:p w14:paraId="43C1B1C7">
      <w:pPr>
        <w:autoSpaceDE w:val="0"/>
        <w:autoSpaceDN w:val="0"/>
        <w:spacing w:line="380" w:lineRule="exact"/>
        <w:ind w:left="4335" w:leftChars="1950" w:hanging="240" w:hanging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14:paraId="3306AFAE">
      <w:pPr>
        <w:autoSpaceDE w:val="0"/>
        <w:autoSpaceDN w:val="0"/>
        <w:spacing w:line="380" w:lineRule="exact"/>
        <w:jc w:val="right"/>
        <w:rPr>
          <w:rFonts w:hint="eastAsia" w:ascii="宋体" w:hAnsi="宋体" w:cs="宋体"/>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41CBE2D3">
      <w:pPr>
        <w:pStyle w:val="8"/>
        <w:spacing w:after="0" w:line="380" w:lineRule="exact"/>
        <w:ind w:left="3960" w:right="1808"/>
        <w:contextualSpacing/>
        <w:rPr>
          <w:color w:val="auto"/>
          <w:highlight w:val="none"/>
        </w:rPr>
      </w:pPr>
    </w:p>
    <w:p w14:paraId="5D1AE74A">
      <w:pPr>
        <w:spacing w:line="380" w:lineRule="exact"/>
        <w:jc w:val="left"/>
        <w:rPr>
          <w:rFonts w:hint="eastAsia" w:ascii="仿宋_GB2312" w:hAnsi="仿宋" w:eastAsia="仿宋_GB2312" w:cs="仿宋_GB2312"/>
          <w:color w:val="auto"/>
          <w:kern w:val="0"/>
          <w:sz w:val="24"/>
          <w:highlight w:val="none"/>
        </w:rPr>
      </w:pPr>
      <w:r>
        <w:rPr>
          <w:rFonts w:hint="eastAsia" w:ascii="宋体" w:hAnsi="宋体" w:cs="仿宋_GB2312"/>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05C191A8">
      <w:pPr>
        <w:widowControl/>
        <w:spacing w:line="360" w:lineRule="auto"/>
        <w:jc w:val="left"/>
        <w:rPr>
          <w:color w:val="auto"/>
          <w:sz w:val="20"/>
          <w:highlight w:val="none"/>
        </w:rPr>
        <w:sectPr>
          <w:pgSz w:w="11911" w:h="16838"/>
          <w:pgMar w:top="1417" w:right="1417" w:bottom="1417" w:left="1417" w:header="720" w:footer="720" w:gutter="0"/>
          <w:cols w:space="0" w:num="1"/>
          <w:rtlGutter w:val="0"/>
          <w:docGrid w:linePitch="331" w:charSpace="0"/>
        </w:sectPr>
      </w:pPr>
    </w:p>
    <w:p w14:paraId="45D2A5CA">
      <w:pPr>
        <w:pStyle w:val="12"/>
        <w:spacing w:line="360" w:lineRule="auto"/>
        <w:jc w:val="center"/>
        <w:rPr>
          <w:rFonts w:hint="default"/>
          <w:b/>
          <w:color w:val="auto"/>
          <w:sz w:val="30"/>
          <w:szCs w:val="30"/>
          <w:highlight w:val="none"/>
        </w:rPr>
      </w:pPr>
      <w:r>
        <w:rPr>
          <w:b/>
          <w:color w:val="auto"/>
          <w:sz w:val="30"/>
          <w:szCs w:val="30"/>
          <w:highlight w:val="none"/>
        </w:rPr>
        <w:t>残疾人福利性单位声明函（格式）</w:t>
      </w:r>
    </w:p>
    <w:p w14:paraId="75D59B6D">
      <w:pPr>
        <w:pStyle w:val="12"/>
        <w:spacing w:line="360" w:lineRule="auto"/>
        <w:jc w:val="center"/>
        <w:rPr>
          <w:rFonts w:hint="default"/>
          <w:b/>
          <w:color w:val="auto"/>
          <w:sz w:val="30"/>
          <w:szCs w:val="30"/>
          <w:highlight w:val="none"/>
        </w:rPr>
      </w:pPr>
    </w:p>
    <w:p w14:paraId="3845E5D4">
      <w:pPr>
        <w:spacing w:line="360" w:lineRule="auto"/>
        <w:ind w:firstLine="600" w:firstLineChars="200"/>
        <w:rPr>
          <w:rFonts w:hint="eastAsia" w:ascii="仿宋_GB2312" w:hAnsi="宋体" w:eastAsia="仿宋_GB2312" w:cs="仿宋_GB2312"/>
          <w:color w:val="auto"/>
          <w:sz w:val="24"/>
          <w:highlight w:val="none"/>
        </w:rPr>
      </w:pPr>
      <w:r>
        <w:rPr>
          <w:rFonts w:hint="eastAsia"/>
          <w:color w:val="auto"/>
          <w:sz w:val="30"/>
          <w:szCs w:val="30"/>
          <w:highlight w:val="none"/>
        </w:rPr>
        <w:t xml:space="preserve">   </w:t>
      </w:r>
      <w:r>
        <w:rPr>
          <w:rFonts w:hint="eastAsia" w:ascii="仿宋_GB2312" w:hAnsi="宋体" w:eastAsia="仿宋_GB2312" w:cs="仿宋_GB2312"/>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仿宋_GB2312" w:hAnsi="宋体" w:eastAsia="仿宋_GB2312" w:cs="仿宋_GB2312"/>
          <w:color w:val="auto"/>
          <w:sz w:val="24"/>
          <w:highlight w:val="none"/>
          <w:u w:val="single"/>
        </w:rPr>
        <w:t xml:space="preserve"> 南宁市工业和信息化局</w:t>
      </w:r>
      <w:r>
        <w:rPr>
          <w:rFonts w:hint="eastAsia" w:ascii="仿宋_GB2312" w:hAnsi="宋体" w:eastAsia="仿宋_GB2312" w:cs="仿宋_GB2312"/>
          <w:color w:val="auto"/>
          <w:sz w:val="24"/>
          <w:highlight w:val="none"/>
        </w:rPr>
        <w:t>单位的</w:t>
      </w:r>
      <w:r>
        <w:rPr>
          <w:rFonts w:hint="eastAsia" w:ascii="仿宋_GB2312" w:hAnsi="宋体" w:eastAsia="仿宋_GB2312" w:cs="仿宋_GB2312"/>
          <w:color w:val="auto"/>
          <w:sz w:val="24"/>
          <w:highlight w:val="none"/>
          <w:u w:val="single"/>
        </w:rPr>
        <w:t xml:space="preserve"> </w:t>
      </w:r>
      <w:r>
        <w:rPr>
          <w:rFonts w:hint="eastAsia" w:ascii="仿宋_GB2312" w:hAnsi="宋体" w:eastAsia="仿宋_GB2312" w:cs="仿宋_GB2312"/>
          <w:color w:val="auto"/>
          <w:sz w:val="24"/>
          <w:highlight w:val="none"/>
          <w:u w:val="single"/>
          <w:lang w:eastAsia="zh-CN"/>
        </w:rPr>
        <w:t>第三方机构审计、核验2025年财政资金计划补助项目服务（3分标重）（</w:t>
      </w:r>
      <w:r>
        <w:rPr>
          <w:rFonts w:hint="eastAsia" w:ascii="仿宋_GB2312" w:hAnsi="宋体" w:eastAsia="仿宋_GB2312" w:cs="仿宋_GB2312"/>
          <w:color w:val="auto"/>
          <w:sz w:val="24"/>
          <w:highlight w:val="none"/>
          <w:u w:val="single"/>
          <w:lang w:val="en-US" w:eastAsia="zh-CN"/>
        </w:rPr>
        <w:t xml:space="preserve">   分标</w:t>
      </w:r>
      <w:r>
        <w:rPr>
          <w:rFonts w:hint="eastAsia" w:ascii="仿宋_GB2312" w:hAnsi="宋体" w:eastAsia="仿宋_GB2312" w:cs="仿宋_GB2312"/>
          <w:color w:val="auto"/>
          <w:sz w:val="24"/>
          <w:highlight w:val="none"/>
          <w:u w:val="single"/>
          <w:lang w:eastAsia="zh-CN"/>
        </w:rPr>
        <w:t>）</w:t>
      </w:r>
      <w:r>
        <w:rPr>
          <w:rFonts w:hint="eastAsia" w:ascii="仿宋_GB2312" w:hAnsi="宋体" w:eastAsia="仿宋_GB2312" w:cs="仿宋_GB2312"/>
          <w:color w:val="auto"/>
          <w:sz w:val="24"/>
          <w:highlight w:val="none"/>
        </w:rPr>
        <w:t>采购活动由本单位提供服务。</w:t>
      </w:r>
    </w:p>
    <w:p w14:paraId="7CFAE6F2">
      <w:pPr>
        <w:spacing w:line="360" w:lineRule="auto"/>
        <w:ind w:firstLine="480" w:firstLineChars="200"/>
        <w:rPr>
          <w:rFonts w:hint="eastAsia" w:ascii="仿宋_GB2312" w:hAnsi="宋体" w:eastAsia="仿宋_GB2312" w:cs="仿宋_GB2312"/>
          <w:color w:val="auto"/>
          <w:sz w:val="24"/>
          <w:highlight w:val="none"/>
        </w:rPr>
      </w:pPr>
      <w:r>
        <w:rPr>
          <w:rFonts w:hint="eastAsia" w:ascii="仿宋_GB2312" w:hAnsi="宋体" w:eastAsia="仿宋_GB2312" w:cs="仿宋_GB2312"/>
          <w:color w:val="auto"/>
          <w:sz w:val="24"/>
          <w:highlight w:val="none"/>
        </w:rPr>
        <w:t>本单位对上述声明的真实性负责。如有虚假，将依法承担相应责任。</w:t>
      </w:r>
    </w:p>
    <w:p w14:paraId="31D46F40">
      <w:pPr>
        <w:pStyle w:val="12"/>
        <w:spacing w:line="360" w:lineRule="auto"/>
        <w:rPr>
          <w:rFonts w:hint="default"/>
          <w:b/>
          <w:color w:val="auto"/>
          <w:sz w:val="21"/>
          <w:szCs w:val="21"/>
          <w:highlight w:val="none"/>
        </w:rPr>
      </w:pPr>
    </w:p>
    <w:p w14:paraId="6734F4A3">
      <w:pPr>
        <w:pStyle w:val="12"/>
        <w:spacing w:line="360" w:lineRule="auto"/>
        <w:rPr>
          <w:rFonts w:hint="default"/>
          <w:b/>
          <w:color w:val="auto"/>
          <w:szCs w:val="21"/>
          <w:highlight w:val="none"/>
        </w:rPr>
      </w:pPr>
    </w:p>
    <w:p w14:paraId="0600F59F">
      <w:pPr>
        <w:snapToGrid w:val="0"/>
        <w:spacing w:line="360" w:lineRule="auto"/>
        <w:ind w:left="5137" w:leftChars="1736" w:hanging="1491" w:hangingChars="825"/>
        <w:rPr>
          <w:rFonts w:hint="eastAsia" w:ascii="仿宋_GB2312" w:hAnsi="仿宋" w:eastAsia="仿宋_GB2312" w:cs="仿宋_GB2312"/>
          <w:color w:val="auto"/>
          <w:kern w:val="0"/>
          <w:sz w:val="24"/>
          <w:highlight w:val="none"/>
        </w:rPr>
      </w:pPr>
      <w:r>
        <w:rPr>
          <w:b/>
          <w:color w:val="auto"/>
          <w:sz w:val="18"/>
          <w:szCs w:val="18"/>
          <w:highlight w:val="none"/>
        </w:rPr>
        <w:t xml:space="preserve">                                                                    </w:t>
      </w:r>
      <w:r>
        <w:rPr>
          <w:rFonts w:hint="eastAsia" w:ascii="仿宋_GB2312" w:hAnsi="仿宋" w:eastAsia="仿宋_GB2312" w:cs="仿宋_GB2312"/>
          <w:color w:val="auto"/>
          <w:kern w:val="0"/>
          <w:sz w:val="24"/>
          <w:highlight w:val="none"/>
          <w:lang w:val="zh-CN"/>
        </w:rPr>
        <w:t>投标人名称(电子签章)：</w:t>
      </w:r>
    </w:p>
    <w:p w14:paraId="3AFDFF29">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5D5FBC36">
      <w:pPr>
        <w:pStyle w:val="12"/>
        <w:spacing w:line="360" w:lineRule="auto"/>
        <w:ind w:left="5132" w:leftChars="1979" w:hanging="976" w:hangingChars="488"/>
        <w:rPr>
          <w:rFonts w:hint="default"/>
          <w:color w:val="auto"/>
          <w:kern w:val="2"/>
          <w:sz w:val="20"/>
          <w:highlight w:val="none"/>
        </w:rPr>
      </w:pPr>
    </w:p>
    <w:p w14:paraId="3D41F9B4">
      <w:pPr>
        <w:autoSpaceDE w:val="0"/>
        <w:autoSpaceDN w:val="0"/>
        <w:adjustRightInd w:val="0"/>
        <w:spacing w:line="360" w:lineRule="auto"/>
        <w:jc w:val="left"/>
        <w:rPr>
          <w:rFonts w:hint="eastAsia" w:hAnsi="宋体"/>
          <w:color w:val="auto"/>
          <w:szCs w:val="21"/>
          <w:highlight w:val="none"/>
        </w:rPr>
      </w:pPr>
      <w:r>
        <w:rPr>
          <w:rFonts w:hint="eastAsia" w:ascii="仿宋_GB2312" w:hAnsi="仿宋" w:eastAsia="仿宋_GB2312" w:cs="仿宋_GB2312"/>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14:paraId="2175E637">
      <w:pPr>
        <w:widowControl/>
        <w:spacing w:line="360" w:lineRule="auto"/>
        <w:jc w:val="left"/>
        <w:rPr>
          <w:rFonts w:hint="eastAsia" w:hAnsi="宋体"/>
          <w:color w:val="auto"/>
          <w:szCs w:val="21"/>
          <w:highlight w:val="none"/>
        </w:rPr>
      </w:pPr>
    </w:p>
    <w:p w14:paraId="3613088C">
      <w:pPr>
        <w:widowControl/>
        <w:spacing w:line="360" w:lineRule="auto"/>
        <w:jc w:val="left"/>
        <w:rPr>
          <w:rFonts w:hint="eastAsia" w:hAnsi="宋体"/>
          <w:color w:val="auto"/>
          <w:szCs w:val="21"/>
          <w:highlight w:val="none"/>
        </w:rPr>
      </w:pPr>
    </w:p>
    <w:p w14:paraId="46B61329">
      <w:pPr>
        <w:widowControl/>
        <w:spacing w:line="360" w:lineRule="auto"/>
        <w:jc w:val="left"/>
        <w:rPr>
          <w:rFonts w:hint="eastAsia" w:hAnsi="宋体"/>
          <w:b/>
          <w:color w:val="auto"/>
          <w:szCs w:val="21"/>
          <w:highlight w:val="none"/>
        </w:rPr>
      </w:pPr>
      <w:r>
        <w:rPr>
          <w:rFonts w:hint="eastAsia" w:hAnsi="宋体"/>
          <w:b/>
          <w:color w:val="auto"/>
          <w:szCs w:val="21"/>
          <w:highlight w:val="none"/>
        </w:rPr>
        <w:t>注：供应商提供的中小企业声明函内容不实的，属于提供虚假材料谋取中标、成交，</w:t>
      </w:r>
    </w:p>
    <w:p w14:paraId="73C088BD">
      <w:pPr>
        <w:autoSpaceDE w:val="0"/>
        <w:autoSpaceDN w:val="0"/>
        <w:spacing w:line="360" w:lineRule="auto"/>
        <w:rPr>
          <w:rFonts w:hint="eastAsia" w:ascii="仿宋_GB2312" w:hAnsi="仿宋" w:eastAsia="仿宋_GB2312" w:cs="仿宋_GB2312"/>
          <w:color w:val="auto"/>
          <w:kern w:val="0"/>
          <w:sz w:val="24"/>
          <w:highlight w:val="none"/>
          <w:lang w:val="zh-CN"/>
        </w:rPr>
      </w:pPr>
      <w:r>
        <w:rPr>
          <w:rFonts w:hint="eastAsia" w:hAnsi="宋体"/>
          <w:b/>
          <w:color w:val="auto"/>
          <w:szCs w:val="21"/>
          <w:highlight w:val="none"/>
        </w:rPr>
        <w:t>依照《中华人民共和国政府采购法》等国家有关规定追究相应责任。</w:t>
      </w:r>
      <w:r>
        <w:rPr>
          <w:rFonts w:ascii="仿宋_GB2312" w:hAnsi="仿宋" w:eastAsia="仿宋_GB2312" w:cs="仿宋_GB2312"/>
          <w:color w:val="auto"/>
          <w:kern w:val="0"/>
          <w:sz w:val="24"/>
          <w:highlight w:val="none"/>
          <w:lang w:val="zh-CN"/>
        </w:rPr>
        <w:br w:type="page"/>
      </w:r>
    </w:p>
    <w:p w14:paraId="4EE0D06E">
      <w:pPr>
        <w:snapToGrid w:val="0"/>
        <w:spacing w:line="360" w:lineRule="auto"/>
        <w:ind w:firstLine="602" w:firstLineChars="200"/>
        <w:rPr>
          <w:rFonts w:hint="eastAsia" w:ascii="仿宋" w:hAnsi="仿宋" w:eastAsia="仿宋" w:cs="仿宋_GB2312"/>
          <w:b/>
          <w:color w:val="auto"/>
          <w:sz w:val="30"/>
          <w:szCs w:val="30"/>
          <w:highlight w:val="none"/>
        </w:rPr>
      </w:pPr>
      <w:r>
        <w:rPr>
          <w:rFonts w:hint="eastAsia" w:ascii="仿宋" w:hAnsi="仿宋" w:eastAsia="仿宋" w:cs="仿宋_GB2312"/>
          <w:b/>
          <w:color w:val="auto"/>
          <w:sz w:val="30"/>
          <w:szCs w:val="30"/>
          <w:highlight w:val="none"/>
        </w:rPr>
        <w:t>九、符合特定资格条件（如果项目要求）的有关证明材料（复印件）</w:t>
      </w:r>
    </w:p>
    <w:p w14:paraId="06C7514B">
      <w:pPr>
        <w:snapToGrid w:val="0"/>
        <w:spacing w:line="360" w:lineRule="auto"/>
        <w:ind w:firstLine="602" w:firstLineChars="200"/>
        <w:rPr>
          <w:rFonts w:hint="eastAsia" w:ascii="仿宋" w:hAnsi="仿宋" w:eastAsia="仿宋" w:cs="仿宋_GB2312"/>
          <w:b/>
          <w:color w:val="auto"/>
          <w:sz w:val="30"/>
          <w:szCs w:val="30"/>
          <w:highlight w:val="none"/>
        </w:rPr>
      </w:pPr>
    </w:p>
    <w:p w14:paraId="65613F47">
      <w:pPr>
        <w:autoSpaceDE w:val="0"/>
        <w:autoSpaceDN w:val="0"/>
        <w:spacing w:line="360" w:lineRule="auto"/>
        <w:ind w:left="4335" w:leftChars="1950" w:hanging="240" w:hangingChars="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68C85DEA">
      <w:pPr>
        <w:autoSpaceDE w:val="0"/>
        <w:autoSpaceDN w:val="0"/>
        <w:spacing w:line="360" w:lineRule="auto"/>
        <w:jc w:val="right"/>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  年  月   日</w:t>
      </w:r>
    </w:p>
    <w:p w14:paraId="333960DF">
      <w:pPr>
        <w:widowControl/>
        <w:spacing w:line="360" w:lineRule="auto"/>
        <w:jc w:val="left"/>
        <w:rPr>
          <w:rFonts w:hint="eastAsia" w:ascii="仿宋_GB2312" w:hAnsi="仿宋" w:eastAsia="仿宋_GB2312" w:cs="仿宋_GB2312"/>
          <w:color w:val="auto"/>
          <w:kern w:val="0"/>
          <w:sz w:val="24"/>
          <w:highlight w:val="none"/>
          <w:lang w:val="zh-CN"/>
        </w:rPr>
        <w:sectPr>
          <w:pgSz w:w="11911" w:h="16838"/>
          <w:pgMar w:top="1417" w:right="1417" w:bottom="1417" w:left="1417" w:header="720" w:footer="720" w:gutter="0"/>
          <w:cols w:space="0" w:num="1"/>
          <w:rtlGutter w:val="0"/>
          <w:docGrid w:linePitch="0" w:charSpace="0"/>
        </w:sectPr>
      </w:pPr>
    </w:p>
    <w:p w14:paraId="3FC03AEF">
      <w:pPr>
        <w:pStyle w:val="3"/>
        <w:jc w:val="center"/>
        <w:rPr>
          <w:rFonts w:hint="eastAsia" w:ascii="宋体" w:hAnsi="宋体" w:cs="宋体"/>
          <w:b w:val="0"/>
          <w:color w:val="auto"/>
          <w:highlight w:val="none"/>
        </w:rPr>
      </w:pPr>
      <w:bookmarkStart w:id="68" w:name="_Toc80205940"/>
      <w:bookmarkStart w:id="69" w:name="_Toc16804"/>
      <w:r>
        <w:rPr>
          <w:rFonts w:hint="eastAsia" w:ascii="宋体" w:hAnsi="宋体"/>
          <w:b w:val="0"/>
          <w:bCs w:val="0"/>
          <w:color w:val="auto"/>
          <w:highlight w:val="none"/>
        </w:rPr>
        <w:t xml:space="preserve">第三节 </w:t>
      </w:r>
      <w:r>
        <w:rPr>
          <w:rFonts w:hint="eastAsia" w:ascii="宋体" w:hAnsi="宋体"/>
          <w:b w:val="0"/>
          <w:color w:val="auto"/>
          <w:highlight w:val="none"/>
        </w:rPr>
        <w:t>商务技术文件格式</w:t>
      </w:r>
      <w:bookmarkEnd w:id="68"/>
      <w:bookmarkEnd w:id="69"/>
    </w:p>
    <w:p w14:paraId="2024136D">
      <w:pPr>
        <w:snapToGrid w:val="0"/>
        <w:spacing w:before="120" w:beforeLines="50" w:after="50"/>
        <w:rPr>
          <w:rFonts w:hint="eastAsia" w:ascii="宋体" w:hAnsi="宋体"/>
          <w:bCs/>
          <w:color w:val="auto"/>
          <w:sz w:val="32"/>
          <w:szCs w:val="20"/>
          <w:highlight w:val="none"/>
        </w:rPr>
      </w:pPr>
      <w:r>
        <w:rPr>
          <w:rFonts w:hint="eastAsia" w:ascii="宋体" w:hAnsi="宋体"/>
          <w:color w:val="auto"/>
          <w:sz w:val="24"/>
          <w:highlight w:val="none"/>
        </w:rPr>
        <w:t xml:space="preserve">                                                    </w:t>
      </w:r>
      <w:r>
        <w:rPr>
          <w:rFonts w:hint="eastAsia" w:ascii="宋体" w:hAnsi="宋体"/>
          <w:bCs/>
          <w:color w:val="auto"/>
          <w:highlight w:val="none"/>
        </w:rPr>
        <w:t>全流程电子文件</w:t>
      </w:r>
    </w:p>
    <w:p w14:paraId="38E79D0D">
      <w:pPr>
        <w:snapToGrid w:val="0"/>
        <w:spacing w:before="120" w:beforeLines="50" w:after="50"/>
        <w:rPr>
          <w:rFonts w:hint="eastAsia" w:ascii="宋体" w:hAnsi="宋体"/>
          <w:color w:val="auto"/>
          <w:sz w:val="24"/>
          <w:szCs w:val="20"/>
          <w:highlight w:val="none"/>
        </w:rPr>
      </w:pPr>
    </w:p>
    <w:p w14:paraId="006C7F2B">
      <w:pPr>
        <w:snapToGrid w:val="0"/>
        <w:spacing w:before="120" w:beforeLines="50" w:after="50"/>
        <w:rPr>
          <w:rFonts w:hint="eastAsia" w:ascii="宋体" w:hAnsi="宋体"/>
          <w:color w:val="auto"/>
          <w:sz w:val="24"/>
          <w:szCs w:val="20"/>
          <w:highlight w:val="none"/>
        </w:rPr>
      </w:pPr>
    </w:p>
    <w:p w14:paraId="453B7342">
      <w:pPr>
        <w:snapToGrid w:val="0"/>
        <w:spacing w:before="120" w:beforeLines="50" w:after="50"/>
        <w:rPr>
          <w:rFonts w:hint="eastAsia" w:ascii="宋体" w:hAnsi="宋体"/>
          <w:color w:val="auto"/>
          <w:sz w:val="24"/>
          <w:szCs w:val="20"/>
          <w:highlight w:val="none"/>
        </w:rPr>
      </w:pPr>
    </w:p>
    <w:p w14:paraId="7C491C94">
      <w:pPr>
        <w:snapToGrid w:val="0"/>
        <w:spacing w:before="120"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商  务  技  术  文  件（封面）</w:t>
      </w:r>
    </w:p>
    <w:p w14:paraId="443940C1">
      <w:pPr>
        <w:snapToGrid w:val="0"/>
        <w:spacing w:before="120" w:beforeLines="50" w:after="50"/>
        <w:rPr>
          <w:rFonts w:hint="eastAsia" w:ascii="宋体" w:hAnsi="宋体"/>
          <w:bCs/>
          <w:color w:val="auto"/>
          <w:sz w:val="24"/>
          <w:szCs w:val="20"/>
          <w:highlight w:val="none"/>
        </w:rPr>
      </w:pPr>
    </w:p>
    <w:p w14:paraId="1B09DBC5">
      <w:pPr>
        <w:snapToGrid w:val="0"/>
        <w:spacing w:before="120" w:beforeLines="50" w:after="50"/>
        <w:rPr>
          <w:rFonts w:hint="eastAsia" w:ascii="宋体" w:hAnsi="宋体"/>
          <w:bCs/>
          <w:color w:val="auto"/>
          <w:sz w:val="24"/>
          <w:szCs w:val="20"/>
          <w:highlight w:val="none"/>
        </w:rPr>
      </w:pPr>
    </w:p>
    <w:p w14:paraId="4DAE0CAC">
      <w:pPr>
        <w:snapToGrid w:val="0"/>
        <w:spacing w:before="120" w:beforeLines="50" w:after="50"/>
        <w:rPr>
          <w:rFonts w:hint="eastAsia" w:ascii="宋体" w:hAnsi="宋体"/>
          <w:bCs/>
          <w:color w:val="auto"/>
          <w:sz w:val="24"/>
          <w:szCs w:val="20"/>
          <w:highlight w:val="none"/>
        </w:rPr>
      </w:pPr>
    </w:p>
    <w:p w14:paraId="245DF3F0">
      <w:pPr>
        <w:snapToGrid w:val="0"/>
        <w:spacing w:before="120" w:beforeLines="50" w:after="50"/>
        <w:rPr>
          <w:rFonts w:hint="eastAsia" w:ascii="宋体" w:hAnsi="宋体"/>
          <w:bCs/>
          <w:color w:val="auto"/>
          <w:sz w:val="24"/>
          <w:szCs w:val="20"/>
          <w:highlight w:val="none"/>
        </w:rPr>
      </w:pPr>
    </w:p>
    <w:p w14:paraId="191CDD0B">
      <w:pPr>
        <w:snapToGrid w:val="0"/>
        <w:spacing w:before="120" w:beforeLines="50" w:after="50"/>
        <w:rPr>
          <w:rFonts w:hint="eastAsia" w:ascii="宋体" w:hAnsi="宋体"/>
          <w:bCs/>
          <w:color w:val="auto"/>
          <w:sz w:val="24"/>
          <w:szCs w:val="20"/>
          <w:highlight w:val="none"/>
        </w:rPr>
      </w:pPr>
    </w:p>
    <w:p w14:paraId="3A8EA14D">
      <w:pPr>
        <w:snapToGrid w:val="0"/>
        <w:spacing w:before="120" w:beforeLines="50" w:after="50"/>
        <w:ind w:firstLine="640" w:firstLineChars="200"/>
        <w:rPr>
          <w:rFonts w:hint="eastAsia" w:ascii="宋体" w:hAnsi="宋体" w:eastAsia="宋体" w:cs="仿宋_GB2312"/>
          <w:bCs/>
          <w:color w:val="auto"/>
          <w:sz w:val="32"/>
          <w:szCs w:val="32"/>
          <w:highlight w:val="none"/>
          <w:lang w:eastAsia="zh-CN"/>
        </w:rPr>
      </w:pPr>
      <w:r>
        <w:rPr>
          <w:rFonts w:hint="eastAsia" w:ascii="宋体" w:hAnsi="宋体" w:cs="仿宋_GB2312"/>
          <w:bCs/>
          <w:color w:val="auto"/>
          <w:sz w:val="32"/>
          <w:szCs w:val="32"/>
          <w:highlight w:val="none"/>
        </w:rPr>
        <w:t>项目名称：</w:t>
      </w:r>
      <w:r>
        <w:rPr>
          <w:rFonts w:hint="eastAsia" w:ascii="宋体" w:hAnsi="宋体" w:cs="仿宋_GB2312"/>
          <w:bCs/>
          <w:color w:val="auto"/>
          <w:sz w:val="32"/>
          <w:szCs w:val="32"/>
          <w:highlight w:val="none"/>
          <w:lang w:eastAsia="zh-CN"/>
        </w:rPr>
        <w:t>第三方机构审计、核验2025年财政资金计划补助项目服务（3分标重）</w:t>
      </w:r>
    </w:p>
    <w:p w14:paraId="0A4A4A07">
      <w:pPr>
        <w:snapToGrid w:val="0"/>
        <w:spacing w:before="120" w:beforeLines="50" w:after="50"/>
        <w:ind w:firstLine="720" w:firstLineChars="225"/>
        <w:rPr>
          <w:rFonts w:hint="eastAsia" w:ascii="宋体" w:hAnsi="宋体" w:cs="仿宋_GB2312"/>
          <w:bCs/>
          <w:color w:val="auto"/>
          <w:sz w:val="32"/>
          <w:szCs w:val="32"/>
          <w:highlight w:val="none"/>
        </w:rPr>
      </w:pPr>
    </w:p>
    <w:p w14:paraId="2D921F01">
      <w:pPr>
        <w:snapToGrid w:val="0"/>
        <w:spacing w:before="120"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6A24E017">
      <w:pPr>
        <w:snapToGrid w:val="0"/>
        <w:spacing w:before="120" w:beforeLines="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 </w:t>
      </w:r>
    </w:p>
    <w:p w14:paraId="54456BFB">
      <w:pPr>
        <w:snapToGrid w:val="0"/>
        <w:spacing w:before="120"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所竞标项（如有则填写，无标项时填写“无”或者留空）：</w:t>
      </w:r>
    </w:p>
    <w:p w14:paraId="1A1BF0AE">
      <w:pPr>
        <w:snapToGrid w:val="0"/>
        <w:spacing w:before="120" w:beforeLines="50" w:after="50"/>
        <w:ind w:firstLine="720" w:firstLineChars="225"/>
        <w:rPr>
          <w:rFonts w:hint="eastAsia" w:ascii="宋体" w:hAnsi="宋体" w:cs="仿宋_GB2312"/>
          <w:bCs/>
          <w:color w:val="auto"/>
          <w:sz w:val="32"/>
          <w:szCs w:val="32"/>
          <w:highlight w:val="none"/>
        </w:rPr>
      </w:pPr>
    </w:p>
    <w:p w14:paraId="377AF5CF">
      <w:pPr>
        <w:pStyle w:val="6"/>
        <w:snapToGrid w:val="0"/>
        <w:spacing w:before="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33CCBB98">
      <w:pPr>
        <w:pStyle w:val="6"/>
        <w:snapToGrid w:val="0"/>
        <w:spacing w:before="50" w:after="50"/>
        <w:ind w:firstLine="720" w:firstLineChars="225"/>
        <w:rPr>
          <w:rFonts w:hint="eastAsia" w:ascii="宋体" w:hAnsi="宋体" w:cs="仿宋_GB2312"/>
          <w:bCs/>
          <w:color w:val="auto"/>
          <w:sz w:val="32"/>
          <w:szCs w:val="32"/>
          <w:highlight w:val="none"/>
        </w:rPr>
      </w:pPr>
    </w:p>
    <w:p w14:paraId="09498583">
      <w:pPr>
        <w:pStyle w:val="6"/>
        <w:snapToGrid w:val="0"/>
        <w:spacing w:before="50" w:after="50"/>
        <w:ind w:firstLine="720" w:firstLineChars="225"/>
        <w:rPr>
          <w:rFonts w:hint="eastAsia" w:ascii="宋体" w:hAnsi="宋体" w:cs="仿宋_GB2312"/>
          <w:bCs/>
          <w:color w:val="auto"/>
          <w:sz w:val="32"/>
          <w:szCs w:val="32"/>
          <w:highlight w:val="none"/>
        </w:rPr>
      </w:pPr>
    </w:p>
    <w:p w14:paraId="43CD01BD">
      <w:pPr>
        <w:pStyle w:val="6"/>
        <w:snapToGrid w:val="0"/>
        <w:spacing w:before="50" w:after="50"/>
        <w:ind w:firstLine="1280" w:firstLineChars="400"/>
        <w:rPr>
          <w:rFonts w:hint="eastAsia" w:ascii="宋体" w:hAnsi="宋体" w:cs="仿宋_GB2312"/>
          <w:bCs/>
          <w:color w:val="auto"/>
          <w:sz w:val="32"/>
          <w:szCs w:val="32"/>
          <w:highlight w:val="none"/>
        </w:rPr>
      </w:pPr>
    </w:p>
    <w:p w14:paraId="0E6C8EC2">
      <w:pPr>
        <w:snapToGrid w:val="0"/>
        <w:spacing w:before="120" w:beforeLines="50" w:after="50"/>
        <w:jc w:val="center"/>
        <w:rPr>
          <w:rFonts w:hint="eastAsia"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35FE9015">
      <w:pPr>
        <w:widowControl/>
        <w:spacing w:line="360" w:lineRule="auto"/>
        <w:jc w:val="left"/>
        <w:rPr>
          <w:rFonts w:hint="eastAsia" w:ascii="宋体" w:hAnsi="宋体"/>
          <w:b/>
          <w:bCs/>
          <w:color w:val="auto"/>
          <w:sz w:val="32"/>
          <w:szCs w:val="32"/>
          <w:highlight w:val="none"/>
        </w:rPr>
        <w:sectPr>
          <w:pgSz w:w="11911" w:h="16838"/>
          <w:pgMar w:top="1417" w:right="1417" w:bottom="1417" w:left="1417" w:header="720" w:footer="720" w:gutter="0"/>
          <w:cols w:space="0" w:num="1"/>
          <w:rtlGutter w:val="0"/>
          <w:docGrid w:linePitch="0" w:charSpace="0"/>
        </w:sectPr>
      </w:pPr>
    </w:p>
    <w:p w14:paraId="5E469CAB">
      <w:pPr>
        <w:jc w:val="center"/>
        <w:rPr>
          <w:rFonts w:hint="eastAsia" w:ascii="仿宋_GB2312" w:hAnsi="仿宋" w:eastAsia="仿宋_GB2312" w:cs="仿宋_GB2312"/>
          <w:b/>
          <w:color w:val="auto"/>
          <w:kern w:val="0"/>
          <w:sz w:val="28"/>
          <w:szCs w:val="28"/>
          <w:highlight w:val="none"/>
        </w:rPr>
      </w:pPr>
      <w:r>
        <w:rPr>
          <w:rFonts w:hint="eastAsia" w:ascii="仿宋_GB2312" w:hAnsi="仿宋" w:eastAsia="仿宋_GB2312" w:cs="仿宋_GB2312"/>
          <w:b/>
          <w:color w:val="auto"/>
          <w:kern w:val="0"/>
          <w:sz w:val="28"/>
          <w:szCs w:val="28"/>
          <w:highlight w:val="none"/>
        </w:rPr>
        <w:t>商务技术文件目录</w:t>
      </w:r>
    </w:p>
    <w:p w14:paraId="15F51484">
      <w:pPr>
        <w:jc w:val="center"/>
        <w:rPr>
          <w:rFonts w:hint="eastAsia" w:ascii="仿宋_GB2312" w:hAnsi="仿宋" w:eastAsia="仿宋_GB2312" w:cs="仿宋_GB2312"/>
          <w:b/>
          <w:color w:val="auto"/>
          <w:kern w:val="0"/>
          <w:sz w:val="28"/>
          <w:szCs w:val="28"/>
          <w:highlight w:val="none"/>
        </w:rPr>
      </w:pPr>
    </w:p>
    <w:p w14:paraId="117F63DE">
      <w:pPr>
        <w:pStyle w:val="38"/>
        <w:spacing w:line="360" w:lineRule="auto"/>
        <w:rPr>
          <w:rFonts w:cs="仿宋_GB2312"/>
          <w:color w:val="auto"/>
          <w:highlight w:val="none"/>
        </w:rPr>
      </w:pPr>
      <w:r>
        <w:rPr>
          <w:rFonts w:hint="eastAsia" w:cs="仿宋_GB2312"/>
          <w:color w:val="auto"/>
          <w:highlight w:val="none"/>
        </w:rPr>
        <w:t>一、无串标行为承诺函………………………………………………………（页码）</w:t>
      </w:r>
    </w:p>
    <w:p w14:paraId="4971021E">
      <w:pPr>
        <w:pStyle w:val="38"/>
        <w:spacing w:line="360" w:lineRule="auto"/>
        <w:rPr>
          <w:rFonts w:cs="仿宋_GB2312"/>
          <w:color w:val="auto"/>
          <w:highlight w:val="none"/>
        </w:rPr>
      </w:pPr>
      <w:r>
        <w:rPr>
          <w:rFonts w:hint="eastAsia" w:cs="仿宋_GB2312"/>
          <w:color w:val="auto"/>
          <w:highlight w:val="none"/>
        </w:rPr>
        <w:t>二、法定代表人身份证明及法定代表人有效身份证正反面复印件………（页码）</w:t>
      </w:r>
    </w:p>
    <w:p w14:paraId="3948565D">
      <w:pPr>
        <w:pStyle w:val="38"/>
        <w:spacing w:line="360" w:lineRule="auto"/>
        <w:rPr>
          <w:rFonts w:cs="仿宋_GB2312"/>
          <w:color w:val="auto"/>
          <w:highlight w:val="none"/>
        </w:rPr>
      </w:pPr>
      <w:r>
        <w:rPr>
          <w:rFonts w:hint="eastAsia" w:cs="仿宋_GB2312"/>
          <w:color w:val="auto"/>
          <w:highlight w:val="none"/>
        </w:rPr>
        <w:t>三、法定代表人授权委托书（如有委托时）………………………………（页码）</w:t>
      </w:r>
    </w:p>
    <w:p w14:paraId="1839F297">
      <w:pPr>
        <w:pStyle w:val="38"/>
        <w:spacing w:line="360" w:lineRule="auto"/>
        <w:rPr>
          <w:rFonts w:cs="仿宋_GB2312"/>
          <w:color w:val="auto"/>
          <w:highlight w:val="none"/>
        </w:rPr>
      </w:pPr>
      <w:r>
        <w:rPr>
          <w:rFonts w:hint="eastAsia" w:cs="仿宋_GB2312"/>
          <w:color w:val="auto"/>
          <w:highlight w:val="none"/>
        </w:rPr>
        <w:t>四、</w:t>
      </w:r>
      <w:r>
        <w:rPr>
          <w:rFonts w:hint="eastAsia" w:cs="仿宋_GB2312"/>
          <w:color w:val="auto"/>
          <w:highlight w:val="none"/>
          <w:lang w:val="zh-CN"/>
        </w:rPr>
        <w:t>商务条款偏离表………………………………</w:t>
      </w:r>
      <w:r>
        <w:rPr>
          <w:rFonts w:hint="eastAsia" w:cs="仿宋_GB2312"/>
          <w:color w:val="auto"/>
          <w:highlight w:val="none"/>
        </w:rPr>
        <w:t>…………………………（页码）</w:t>
      </w:r>
    </w:p>
    <w:p w14:paraId="5B2FE51C">
      <w:pPr>
        <w:pStyle w:val="38"/>
        <w:spacing w:line="360" w:lineRule="auto"/>
        <w:rPr>
          <w:rFonts w:cs="仿宋_GB2312"/>
          <w:color w:val="auto"/>
          <w:highlight w:val="none"/>
        </w:rPr>
      </w:pPr>
      <w:bookmarkStart w:id="70" w:name="OLE_LINK6"/>
      <w:bookmarkStart w:id="71" w:name="OLE_LINK7"/>
      <w:bookmarkStart w:id="72" w:name="OLE_LINK5"/>
      <w:r>
        <w:rPr>
          <w:rFonts w:hint="eastAsia" w:cs="仿宋_GB2312"/>
          <w:color w:val="auto"/>
          <w:highlight w:val="none"/>
        </w:rPr>
        <w:t>五、竞标人情况介绍</w:t>
      </w:r>
      <w:r>
        <w:rPr>
          <w:rFonts w:hint="eastAsia" w:cs="仿宋_GB2312"/>
          <w:color w:val="auto"/>
          <w:highlight w:val="none"/>
          <w:lang w:val="zh-CN"/>
        </w:rPr>
        <w:t>………………………………</w:t>
      </w:r>
      <w:r>
        <w:rPr>
          <w:rFonts w:hint="eastAsia" w:cs="仿宋_GB2312"/>
          <w:color w:val="auto"/>
          <w:highlight w:val="none"/>
        </w:rPr>
        <w:t>…………………………（页码）</w:t>
      </w:r>
    </w:p>
    <w:p w14:paraId="4C9EFF76">
      <w:pPr>
        <w:pStyle w:val="38"/>
        <w:spacing w:line="360" w:lineRule="auto"/>
        <w:rPr>
          <w:rFonts w:cs="仿宋_GB2312"/>
          <w:color w:val="auto"/>
          <w:highlight w:val="none"/>
        </w:rPr>
      </w:pPr>
      <w:r>
        <w:rPr>
          <w:rFonts w:hint="eastAsia" w:cs="仿宋_GB2312"/>
          <w:color w:val="auto"/>
          <w:highlight w:val="none"/>
        </w:rPr>
        <w:t>六、供应商类似业绩的证明文件（如有要求）</w:t>
      </w:r>
      <w:r>
        <w:rPr>
          <w:rFonts w:hint="eastAsia" w:cs="仿宋_GB2312"/>
          <w:color w:val="auto"/>
          <w:highlight w:val="none"/>
          <w:lang w:val="zh-CN"/>
        </w:rPr>
        <w:t>……………………………</w:t>
      </w:r>
      <w:r>
        <w:rPr>
          <w:rFonts w:hint="eastAsia" w:cs="仿宋_GB2312"/>
          <w:color w:val="auto"/>
          <w:highlight w:val="none"/>
        </w:rPr>
        <w:t>（页码）</w:t>
      </w:r>
      <w:bookmarkEnd w:id="70"/>
      <w:bookmarkEnd w:id="71"/>
    </w:p>
    <w:bookmarkEnd w:id="72"/>
    <w:p w14:paraId="6D11C891">
      <w:pPr>
        <w:pStyle w:val="38"/>
        <w:spacing w:line="360" w:lineRule="auto"/>
        <w:rPr>
          <w:rFonts w:cs="仿宋_GB2312"/>
          <w:color w:val="auto"/>
          <w:highlight w:val="none"/>
        </w:rPr>
      </w:pPr>
      <w:r>
        <w:rPr>
          <w:rFonts w:hint="eastAsia" w:cs="仿宋_GB2312"/>
          <w:color w:val="auto"/>
          <w:highlight w:val="none"/>
        </w:rPr>
        <w:t>七、服务需求偏离表…………………………………………………………（页码）</w:t>
      </w:r>
    </w:p>
    <w:p w14:paraId="292EC386">
      <w:pPr>
        <w:pStyle w:val="38"/>
        <w:spacing w:line="360" w:lineRule="auto"/>
        <w:rPr>
          <w:rFonts w:cs="仿宋_GB2312"/>
          <w:color w:val="auto"/>
          <w:highlight w:val="none"/>
        </w:rPr>
      </w:pPr>
      <w:r>
        <w:rPr>
          <w:rFonts w:hint="eastAsia" w:cs="仿宋_GB2312"/>
          <w:color w:val="auto"/>
          <w:highlight w:val="none"/>
        </w:rPr>
        <w:t>八、组织服务方案……………………………………………………………（页码）</w:t>
      </w:r>
    </w:p>
    <w:p w14:paraId="34C69C10">
      <w:pPr>
        <w:pStyle w:val="38"/>
        <w:spacing w:line="360" w:lineRule="auto"/>
        <w:rPr>
          <w:rFonts w:cs="仿宋_GB2312"/>
          <w:color w:val="auto"/>
          <w:highlight w:val="none"/>
        </w:rPr>
      </w:pPr>
      <w:r>
        <w:rPr>
          <w:rFonts w:hint="eastAsia" w:cs="仿宋_GB2312"/>
          <w:color w:val="auto"/>
          <w:highlight w:val="none"/>
        </w:rPr>
        <w:t>九、售后服务方案………………………………</w:t>
      </w:r>
      <w:r>
        <w:rPr>
          <w:rFonts w:hint="eastAsia" w:cs="仿宋_GB2312"/>
          <w:color w:val="auto"/>
          <w:highlight w:val="none"/>
          <w:lang w:val="zh-CN"/>
        </w:rPr>
        <w:t>………</w:t>
      </w:r>
      <w:r>
        <w:rPr>
          <w:rFonts w:hint="eastAsia" w:cs="仿宋_GB2312"/>
          <w:color w:val="auto"/>
          <w:highlight w:val="none"/>
        </w:rPr>
        <w:t>……………………（页码）</w:t>
      </w:r>
    </w:p>
    <w:p w14:paraId="4CBBB15C">
      <w:pPr>
        <w:pStyle w:val="38"/>
        <w:spacing w:line="360" w:lineRule="auto"/>
        <w:rPr>
          <w:rFonts w:cs="仿宋_GB2312"/>
          <w:color w:val="auto"/>
          <w:highlight w:val="none"/>
        </w:rPr>
      </w:pPr>
      <w:r>
        <w:rPr>
          <w:rFonts w:hint="eastAsia" w:cs="仿宋_GB2312"/>
          <w:color w:val="auto"/>
          <w:highlight w:val="none"/>
        </w:rPr>
        <w:t>十、</w:t>
      </w:r>
      <w:bookmarkStart w:id="73" w:name="OLE_LINK1"/>
      <w:bookmarkStart w:id="74" w:name="OLE_LINK2"/>
      <w:r>
        <w:rPr>
          <w:rFonts w:hint="eastAsia" w:cs="仿宋_GB2312"/>
          <w:color w:val="auto"/>
          <w:highlight w:val="none"/>
          <w:lang w:val="zh-CN"/>
        </w:rPr>
        <w:t>项目实施人员一览表</w:t>
      </w:r>
      <w:bookmarkEnd w:id="73"/>
      <w:bookmarkEnd w:id="74"/>
      <w:r>
        <w:rPr>
          <w:rFonts w:hint="eastAsia" w:cs="仿宋_GB2312"/>
          <w:color w:val="auto"/>
          <w:highlight w:val="none"/>
          <w:lang w:val="zh-CN"/>
        </w:rPr>
        <w:t>………………………………</w:t>
      </w:r>
      <w:r>
        <w:rPr>
          <w:rFonts w:hint="eastAsia" w:cs="仿宋_GB2312"/>
          <w:color w:val="auto"/>
          <w:highlight w:val="none"/>
        </w:rPr>
        <w:t>……………………（页码）</w:t>
      </w:r>
    </w:p>
    <w:p w14:paraId="114DF028">
      <w:pPr>
        <w:pStyle w:val="38"/>
        <w:spacing w:line="360" w:lineRule="auto"/>
        <w:rPr>
          <w:rFonts w:cs="仿宋_GB2312"/>
          <w:color w:val="auto"/>
          <w:highlight w:val="none"/>
        </w:rPr>
      </w:pPr>
      <w:r>
        <w:rPr>
          <w:rFonts w:hint="eastAsia" w:cs="仿宋_GB2312"/>
          <w:color w:val="auto"/>
          <w:highlight w:val="none"/>
        </w:rPr>
        <w:t>十一、服务需求、商务条款要求提供的其他材料</w:t>
      </w:r>
      <w:r>
        <w:rPr>
          <w:rFonts w:hint="eastAsia" w:cs="仿宋_GB2312"/>
          <w:color w:val="auto"/>
          <w:highlight w:val="none"/>
          <w:lang w:val="zh-CN"/>
        </w:rPr>
        <w:t>…………………</w:t>
      </w:r>
      <w:r>
        <w:rPr>
          <w:rFonts w:hint="eastAsia" w:cs="仿宋_GB2312"/>
          <w:color w:val="auto"/>
          <w:highlight w:val="none"/>
        </w:rPr>
        <w:t>………（页码）</w:t>
      </w:r>
    </w:p>
    <w:p w14:paraId="767ED6EE">
      <w:pPr>
        <w:spacing w:line="360" w:lineRule="auto"/>
        <w:rPr>
          <w:rFonts w:hint="eastAsia" w:ascii="仿宋_GB2312" w:hAnsi="仿宋" w:eastAsia="仿宋_GB2312" w:cs="仿宋_GB2312"/>
          <w:b/>
          <w:bCs/>
          <w:color w:val="auto"/>
          <w:sz w:val="24"/>
          <w:highlight w:val="none"/>
        </w:rPr>
      </w:pPr>
      <w:r>
        <w:rPr>
          <w:rFonts w:hint="eastAsia" w:ascii="仿宋_GB2312" w:hAnsi="仿宋" w:eastAsia="仿宋_GB2312" w:cs="仿宋_GB2312"/>
          <w:b/>
          <w:bCs/>
          <w:color w:val="auto"/>
          <w:sz w:val="24"/>
          <w:highlight w:val="none"/>
        </w:rPr>
        <w:t>注：以上目录是基本格式要求，各供应商可根据自身情况进一步向下增加内容或细化。</w:t>
      </w:r>
    </w:p>
    <w:p w14:paraId="63FC8B55">
      <w:pPr>
        <w:spacing w:line="400" w:lineRule="exact"/>
        <w:rPr>
          <w:rFonts w:hint="eastAsia" w:ascii="仿宋_GB2312" w:hAnsi="仿宋_GB2312" w:eastAsia="仿宋_GB2312" w:cs="仿宋_GB2312"/>
          <w:color w:val="auto"/>
          <w:sz w:val="32"/>
          <w:szCs w:val="32"/>
          <w:highlight w:val="none"/>
        </w:rPr>
      </w:pPr>
    </w:p>
    <w:p w14:paraId="1F3732A1">
      <w:pPr>
        <w:spacing w:line="520" w:lineRule="exact"/>
        <w:ind w:firstLine="880" w:firstLineChars="200"/>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br w:type="page"/>
      </w:r>
      <w:r>
        <w:rPr>
          <w:rFonts w:hint="eastAsia" w:ascii="仿宋" w:hAnsi="仿宋" w:eastAsia="仿宋" w:cs="仿宋_GB2312"/>
          <w:b/>
          <w:color w:val="auto"/>
          <w:sz w:val="30"/>
          <w:szCs w:val="30"/>
          <w:highlight w:val="none"/>
        </w:rPr>
        <w:t>一、无串标行为承诺函</w:t>
      </w:r>
    </w:p>
    <w:p w14:paraId="1751A3EC">
      <w:pPr>
        <w:spacing w:line="520" w:lineRule="exact"/>
        <w:jc w:val="center"/>
        <w:rPr>
          <w:rFonts w:hint="eastAsia" w:ascii="方正小标宋简体" w:hAnsi="方正小标宋简体" w:eastAsia="方正小标宋简体" w:cs="方正小标宋简体"/>
          <w:color w:val="auto"/>
          <w:sz w:val="44"/>
          <w:szCs w:val="44"/>
          <w:highlight w:val="none"/>
        </w:rPr>
      </w:pPr>
    </w:p>
    <w:p w14:paraId="0E2A4ADD">
      <w:pPr>
        <w:spacing w:line="520" w:lineRule="exact"/>
        <w:jc w:val="center"/>
        <w:rPr>
          <w:rFonts w:hint="eastAsia"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color w:val="auto"/>
          <w:sz w:val="44"/>
          <w:szCs w:val="44"/>
          <w:highlight w:val="none"/>
        </w:rPr>
        <w:t>无串通竞标行为的承诺函</w:t>
      </w:r>
    </w:p>
    <w:p w14:paraId="7C93824E">
      <w:pPr>
        <w:spacing w:line="360" w:lineRule="auto"/>
        <w:ind w:firstLine="482" w:firstLineChars="200"/>
        <w:rPr>
          <w:rFonts w:hint="eastAsia" w:ascii="宋体" w:hAnsi="宋体" w:cs="仿宋_GB2312"/>
          <w:b/>
          <w:bCs/>
          <w:color w:val="auto"/>
          <w:sz w:val="24"/>
          <w:highlight w:val="none"/>
        </w:rPr>
      </w:pPr>
      <w:r>
        <w:rPr>
          <w:rFonts w:hint="eastAsia" w:ascii="宋体" w:hAnsi="宋体" w:cs="仿宋_GB2312"/>
          <w:b/>
          <w:bCs/>
          <w:color w:val="auto"/>
          <w:sz w:val="24"/>
          <w:highlight w:val="none"/>
        </w:rPr>
        <w:t>(一)我方承诺无下列相互串通竞标的情形：</w:t>
      </w:r>
    </w:p>
    <w:p w14:paraId="49E3A818">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1.不同供应商的响应文件由同一单位或者个人编制；</w:t>
      </w:r>
      <w:r>
        <w:rPr>
          <w:rFonts w:hint="eastAsia" w:ascii="宋体" w:hAnsi="宋体"/>
          <w:color w:val="auto"/>
          <w:sz w:val="24"/>
          <w:highlight w:val="none"/>
        </w:rPr>
        <w:t>或者不同供应商报名的IP地址一致的；或者编制响应文件硬件设备CPU编号、硬盘编号、网卡地址一致的情况。</w:t>
      </w:r>
      <w:r>
        <w:rPr>
          <w:rFonts w:hint="eastAsia" w:ascii="宋体" w:hAnsi="宋体" w:cs="仿宋_GB2312"/>
          <w:color w:val="auto"/>
          <w:sz w:val="24"/>
          <w:highlight w:val="none"/>
        </w:rPr>
        <w:t xml:space="preserve">  </w:t>
      </w:r>
    </w:p>
    <w:p w14:paraId="0A46A337">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2.不同供应商委托同一单位或者个人办理竞标事宜；</w:t>
      </w:r>
    </w:p>
    <w:p w14:paraId="3F805161">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3.不同供应商的响应文件载明的项目管理员为同一个人；</w:t>
      </w:r>
    </w:p>
    <w:p w14:paraId="49902861">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4.不</w:t>
      </w:r>
      <w:r>
        <w:rPr>
          <w:rFonts w:hint="eastAsia" w:ascii="宋体" w:hAnsi="宋体" w:cs="仿宋_GB2312"/>
          <w:color w:val="auto"/>
          <w:spacing w:val="-6"/>
          <w:sz w:val="24"/>
          <w:highlight w:val="none"/>
        </w:rPr>
        <w:t>同供应商的响应文件异常一致或者响应报价呈规律性差异；</w:t>
      </w:r>
    </w:p>
    <w:p w14:paraId="509F4456">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5.不同供应商的响应文件相互混装；</w:t>
      </w:r>
    </w:p>
    <w:p w14:paraId="13D60FF5">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6.不同供应商的磋商保证金从同一单位或者个人账户转出。</w:t>
      </w:r>
    </w:p>
    <w:p w14:paraId="753B413E">
      <w:pPr>
        <w:spacing w:line="360" w:lineRule="auto"/>
        <w:ind w:firstLine="482" w:firstLineChars="200"/>
        <w:rPr>
          <w:rFonts w:hint="eastAsia" w:ascii="宋体" w:hAnsi="宋体" w:cs="仿宋_GB2312"/>
          <w:b/>
          <w:bCs/>
          <w:color w:val="auto"/>
          <w:sz w:val="24"/>
          <w:highlight w:val="none"/>
        </w:rPr>
      </w:pPr>
      <w:r>
        <w:rPr>
          <w:rFonts w:hint="eastAsia" w:ascii="宋体" w:hAnsi="宋体" w:cs="仿宋_GB2312"/>
          <w:b/>
          <w:bCs/>
          <w:color w:val="auto"/>
          <w:sz w:val="24"/>
          <w:highlight w:val="none"/>
        </w:rPr>
        <w:t>(二)我方承诺无下列恶意串通的情形：</w:t>
      </w:r>
    </w:p>
    <w:p w14:paraId="2B51918F">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1.供应商直接或者间接从采购人或者采购代理机构处获得其他供应商的相关信息并修改其响应文件；</w:t>
      </w:r>
    </w:p>
    <w:p w14:paraId="0EAE687F">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2.供应商按照采购人或者采购代理机构的授意撤换、修改响应文件；</w:t>
      </w:r>
    </w:p>
    <w:p w14:paraId="0CAABDD6">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3.供</w:t>
      </w:r>
      <w:r>
        <w:rPr>
          <w:rFonts w:hint="eastAsia" w:ascii="宋体" w:hAnsi="宋体" w:cs="仿宋_GB2312"/>
          <w:color w:val="auto"/>
          <w:spacing w:val="-6"/>
          <w:sz w:val="24"/>
          <w:highlight w:val="none"/>
        </w:rPr>
        <w:t>应商之间协商报价、技术方案等响应文件的实质性内容；</w:t>
      </w:r>
    </w:p>
    <w:p w14:paraId="40D542D1">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4.属于同一集团、协会、商会等组织成员的供应商按照该组织要求协同参加政府采购活动；</w:t>
      </w:r>
    </w:p>
    <w:p w14:paraId="7EEC1B81">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5.供应商之间事先约定一致抬高或者压低响应报价，或者在竞争性磋商项目中事先约定轮流以高价位或者低价位成交，或者事先约定由某一特定供应商成交，然后再参加竞标；</w:t>
      </w:r>
    </w:p>
    <w:p w14:paraId="66F8A314">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6.供应商之间商定部分供应商放弃参加政府采购活动或者放弃成交；</w:t>
      </w:r>
    </w:p>
    <w:p w14:paraId="7381DB69">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7.供应商与采购人或者采购代理机构之间、供应商相互之间，为</w:t>
      </w:r>
      <w:r>
        <w:rPr>
          <w:rFonts w:hint="eastAsia" w:ascii="宋体" w:hAnsi="宋体" w:cs="仿宋_GB2312"/>
          <w:color w:val="auto"/>
          <w:spacing w:val="-6"/>
          <w:sz w:val="24"/>
          <w:highlight w:val="none"/>
        </w:rPr>
        <w:t>谋求特定供应商成交或者排斥其他供应商的其他串通行为。</w:t>
      </w:r>
    </w:p>
    <w:p w14:paraId="77AFA03D">
      <w:pPr>
        <w:spacing w:line="360" w:lineRule="auto"/>
        <w:ind w:firstLine="482" w:firstLineChars="200"/>
        <w:rPr>
          <w:rFonts w:hint="eastAsia" w:ascii="宋体" w:hAnsi="宋体" w:cs="仿宋_GB2312"/>
          <w:b/>
          <w:bCs/>
          <w:color w:val="auto"/>
          <w:sz w:val="24"/>
          <w:highlight w:val="none"/>
        </w:rPr>
      </w:pPr>
      <w:r>
        <w:rPr>
          <w:rFonts w:hint="eastAsia" w:ascii="宋体" w:hAnsi="宋体" w:cs="仿宋_GB2312"/>
          <w:b/>
          <w:bCs/>
          <w:color w:val="auto"/>
          <w:sz w:val="24"/>
          <w:highlight w:val="none"/>
        </w:rPr>
        <w:t>以上情形一经核查属实，接受政府采购监管部门对我方认定存在围标串标行为，我方愿意承担一切后果，并不再寻求任何旨在减轻或者免除法律责任的辩解。</w:t>
      </w:r>
    </w:p>
    <w:p w14:paraId="25BB04DC">
      <w:pPr>
        <w:autoSpaceDE w:val="0"/>
        <w:autoSpaceDN w:val="0"/>
        <w:spacing w:line="360" w:lineRule="auto"/>
        <w:ind w:left="4335" w:leftChars="1950" w:hanging="240" w:hangingChars="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525A7A82">
      <w:pPr>
        <w:spacing w:line="520" w:lineRule="exact"/>
        <w:ind w:left="239" w:leftChars="114"/>
        <w:jc w:val="right"/>
        <w:rPr>
          <w:rFonts w:hint="eastAsia" w:ascii="方正小标宋简体" w:hAnsi="方正小标宋简体" w:eastAsia="方正小标宋简体" w:cs="方正小标宋简体"/>
          <w:bCs/>
          <w:color w:val="auto"/>
          <w:sz w:val="44"/>
          <w:szCs w:val="44"/>
          <w:highlight w:val="none"/>
        </w:rPr>
      </w:pPr>
      <w:r>
        <w:rPr>
          <w:rFonts w:hint="eastAsia" w:ascii="仿宋_GB2312" w:hAnsi="仿宋" w:eastAsia="仿宋_GB2312" w:cs="仿宋_GB2312"/>
          <w:color w:val="auto"/>
          <w:kern w:val="0"/>
          <w:sz w:val="24"/>
          <w:highlight w:val="none"/>
          <w:lang w:val="zh-CN"/>
        </w:rPr>
        <w:t xml:space="preserve">日期：  年  月   日   </w:t>
      </w:r>
      <w:r>
        <w:rPr>
          <w:rFonts w:hint="eastAsia" w:ascii="宋体" w:hAnsi="宋体"/>
          <w:b/>
          <w:bCs/>
          <w:color w:val="auto"/>
          <w:sz w:val="32"/>
          <w:szCs w:val="32"/>
          <w:highlight w:val="none"/>
        </w:rPr>
        <w:br w:type="page"/>
      </w:r>
      <w:r>
        <w:rPr>
          <w:rFonts w:hint="eastAsia" w:ascii="仿宋" w:hAnsi="仿宋" w:eastAsia="仿宋" w:cs="仿宋_GB2312"/>
          <w:b/>
          <w:color w:val="auto"/>
          <w:sz w:val="30"/>
          <w:szCs w:val="30"/>
          <w:highlight w:val="none"/>
        </w:rPr>
        <w:t>二、法定代表人身份证明及法定代表人有效身份证正反面复印件</w:t>
      </w:r>
    </w:p>
    <w:p w14:paraId="4F697A8F">
      <w:pPr>
        <w:spacing w:line="520" w:lineRule="exact"/>
        <w:jc w:val="center"/>
        <w:rPr>
          <w:rFonts w:hint="eastAsia"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bCs/>
          <w:color w:val="auto"/>
          <w:sz w:val="44"/>
          <w:szCs w:val="44"/>
          <w:highlight w:val="none"/>
        </w:rPr>
        <w:t>法定代表人证明书</w:t>
      </w:r>
    </w:p>
    <w:p w14:paraId="16DCF514">
      <w:pPr>
        <w:spacing w:line="360" w:lineRule="auto"/>
        <w:ind w:left="540"/>
        <w:contextualSpacing/>
        <w:rPr>
          <w:rFonts w:hint="eastAsia" w:ascii="仿宋_GB2312" w:hAnsi="仿宋_GB2312" w:eastAsia="仿宋_GB2312" w:cs="仿宋_GB2312"/>
          <w:color w:val="auto"/>
          <w:sz w:val="32"/>
          <w:szCs w:val="32"/>
          <w:highlight w:val="none"/>
        </w:rPr>
      </w:pPr>
    </w:p>
    <w:p w14:paraId="281D7AAE">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供应商名称：</w:t>
      </w:r>
      <w:r>
        <w:rPr>
          <w:rFonts w:hint="eastAsia" w:ascii="宋体" w:hAnsi="宋体" w:cs="仿宋_GB2312"/>
          <w:color w:val="auto"/>
          <w:sz w:val="24"/>
          <w:highlight w:val="none"/>
          <w:u w:val="single"/>
        </w:rPr>
        <w:t xml:space="preserve">                                                        </w:t>
      </w:r>
    </w:p>
    <w:p w14:paraId="1362F7AC">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地    址：</w:t>
      </w:r>
      <w:r>
        <w:rPr>
          <w:rFonts w:hint="eastAsia" w:ascii="宋体" w:hAnsi="宋体" w:cs="仿宋_GB2312"/>
          <w:color w:val="auto"/>
          <w:sz w:val="24"/>
          <w:highlight w:val="none"/>
          <w:u w:val="single"/>
        </w:rPr>
        <w:t xml:space="preserve">                                                        </w:t>
      </w:r>
    </w:p>
    <w:p w14:paraId="63772456">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姓    名：</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性     别：</w:t>
      </w:r>
      <w:r>
        <w:rPr>
          <w:rFonts w:hint="eastAsia" w:ascii="宋体" w:hAnsi="宋体" w:cs="仿宋_GB2312"/>
          <w:color w:val="auto"/>
          <w:sz w:val="24"/>
          <w:highlight w:val="none"/>
          <w:u w:val="single"/>
        </w:rPr>
        <w:t xml:space="preserve">                </w:t>
      </w:r>
    </w:p>
    <w:p w14:paraId="6BC593E1">
      <w:pPr>
        <w:spacing w:line="360" w:lineRule="auto"/>
        <w:ind w:left="540"/>
        <w:contextualSpacing/>
        <w:rPr>
          <w:rFonts w:hint="eastAsia" w:ascii="宋体" w:hAnsi="宋体" w:cs="仿宋_GB2312"/>
          <w:color w:val="auto"/>
          <w:sz w:val="24"/>
          <w:highlight w:val="none"/>
          <w:u w:val="single"/>
        </w:rPr>
      </w:pPr>
      <w:r>
        <w:rPr>
          <w:rFonts w:hint="eastAsia" w:ascii="宋体" w:hAnsi="宋体" w:cs="仿宋_GB2312"/>
          <w:color w:val="auto"/>
          <w:sz w:val="24"/>
          <w:highlight w:val="none"/>
        </w:rPr>
        <w:t>年    龄：</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职     务：</w:t>
      </w:r>
      <w:r>
        <w:rPr>
          <w:rFonts w:hint="eastAsia" w:ascii="宋体" w:hAnsi="宋体" w:cs="仿宋_GB2312"/>
          <w:color w:val="auto"/>
          <w:sz w:val="24"/>
          <w:highlight w:val="none"/>
          <w:u w:val="single"/>
        </w:rPr>
        <w:t xml:space="preserve">                </w:t>
      </w:r>
    </w:p>
    <w:p w14:paraId="386A6AD5">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身份证号码：</w:t>
      </w:r>
      <w:r>
        <w:rPr>
          <w:rFonts w:hint="eastAsia" w:ascii="宋体" w:hAnsi="宋体" w:cs="仿宋_GB2312"/>
          <w:color w:val="auto"/>
          <w:sz w:val="24"/>
          <w:highlight w:val="none"/>
          <w:u w:val="single"/>
        </w:rPr>
        <w:t xml:space="preserve">                                        </w:t>
      </w:r>
    </w:p>
    <w:p w14:paraId="522C7FA0">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系</w:t>
      </w:r>
      <w:r>
        <w:rPr>
          <w:rFonts w:hint="eastAsia" w:ascii="宋体" w:hAnsi="宋体" w:cs="仿宋_GB2312"/>
          <w:color w:val="auto"/>
          <w:sz w:val="24"/>
          <w:highlight w:val="none"/>
          <w:u w:val="single"/>
        </w:rPr>
        <w:t>（供应商名称）</w:t>
      </w:r>
      <w:r>
        <w:rPr>
          <w:rFonts w:hint="eastAsia" w:ascii="宋体" w:hAnsi="宋体" w:cs="仿宋_GB2312"/>
          <w:color w:val="auto"/>
          <w:sz w:val="24"/>
          <w:highlight w:val="none"/>
        </w:rPr>
        <w:t>的法定代表人。</w:t>
      </w:r>
    </w:p>
    <w:p w14:paraId="5215628A">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特此证明。</w:t>
      </w:r>
    </w:p>
    <w:p w14:paraId="3A2D4E60">
      <w:pPr>
        <w:spacing w:line="360" w:lineRule="auto"/>
        <w:ind w:left="540"/>
        <w:contextualSpacing/>
        <w:rPr>
          <w:rFonts w:hint="eastAsia" w:ascii="宋体" w:hAnsi="宋体" w:cs="仿宋_GB2312"/>
          <w:color w:val="auto"/>
          <w:sz w:val="24"/>
          <w:highlight w:val="none"/>
        </w:rPr>
      </w:pPr>
    </w:p>
    <w:p w14:paraId="144EFD6B">
      <w:pPr>
        <w:spacing w:line="360" w:lineRule="auto"/>
        <w:ind w:left="540"/>
        <w:contextualSpacing/>
        <w:rPr>
          <w:rFonts w:hint="eastAsia" w:ascii="宋体" w:hAnsi="宋体" w:cs="仿宋_GB2312"/>
          <w:color w:val="auto"/>
          <w:sz w:val="24"/>
          <w:highlight w:val="none"/>
        </w:rPr>
      </w:pPr>
    </w:p>
    <w:p w14:paraId="5CDAA80C">
      <w:pPr>
        <w:spacing w:line="360" w:lineRule="auto"/>
        <w:ind w:left="540"/>
        <w:contextualSpacing/>
        <w:rPr>
          <w:rFonts w:hint="eastAsia" w:ascii="宋体" w:hAnsi="宋体" w:cs="仿宋_GB2312"/>
          <w:color w:val="auto"/>
          <w:sz w:val="24"/>
          <w:highlight w:val="none"/>
        </w:rPr>
      </w:pPr>
    </w:p>
    <w:p w14:paraId="2F4DC817">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附件：法定代表人有效身份证正反面复印件</w:t>
      </w:r>
    </w:p>
    <w:p w14:paraId="2E36E082">
      <w:pPr>
        <w:spacing w:line="360" w:lineRule="auto"/>
        <w:ind w:left="540"/>
        <w:contextualSpacing/>
        <w:rPr>
          <w:rFonts w:hint="eastAsia" w:ascii="宋体" w:hAnsi="宋体" w:cs="仿宋_GB2312"/>
          <w:color w:val="auto"/>
          <w:sz w:val="24"/>
          <w:highlight w:val="none"/>
        </w:rPr>
      </w:pPr>
    </w:p>
    <w:p w14:paraId="5928FB14">
      <w:pPr>
        <w:autoSpaceDE w:val="0"/>
        <w:autoSpaceDN w:val="0"/>
        <w:spacing w:line="360" w:lineRule="auto"/>
        <w:ind w:left="4335" w:leftChars="1950" w:hanging="240" w:hangingChars="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6162C6A5">
      <w:pPr>
        <w:spacing w:line="360" w:lineRule="auto"/>
        <w:jc w:val="center"/>
        <w:rPr>
          <w:rFonts w:hint="eastAsia" w:ascii="宋体" w:hAnsi="宋体" w:cs="仿宋_GB2312"/>
          <w:b/>
          <w:color w:val="auto"/>
          <w:sz w:val="24"/>
          <w:highlight w:val="none"/>
        </w:rPr>
      </w:pPr>
      <w:r>
        <w:rPr>
          <w:rFonts w:hint="eastAsia" w:ascii="仿宋_GB2312" w:hAnsi="仿宋" w:eastAsia="仿宋_GB2312" w:cs="仿宋_GB2312"/>
          <w:color w:val="auto"/>
          <w:kern w:val="0"/>
          <w:sz w:val="24"/>
          <w:highlight w:val="none"/>
          <w:lang w:val="zh-CN"/>
        </w:rPr>
        <w:t xml:space="preserve">                                                   日期：  年  月   日</w:t>
      </w:r>
    </w:p>
    <w:p w14:paraId="4F07D7B6">
      <w:pPr>
        <w:spacing w:line="360" w:lineRule="auto"/>
        <w:jc w:val="left"/>
        <w:rPr>
          <w:rFonts w:hint="eastAsia" w:ascii="宋体" w:hAnsi="宋体" w:cs="仿宋_GB2312"/>
          <w:color w:val="auto"/>
          <w:sz w:val="24"/>
          <w:highlight w:val="none"/>
        </w:rPr>
      </w:pPr>
    </w:p>
    <w:p w14:paraId="5C644E07">
      <w:pPr>
        <w:spacing w:line="360" w:lineRule="auto"/>
        <w:jc w:val="left"/>
        <w:rPr>
          <w:rFonts w:hint="eastAsia" w:ascii="宋体" w:hAnsi="宋体" w:cs="仿宋_GB2312"/>
          <w:color w:val="auto"/>
          <w:sz w:val="24"/>
          <w:highlight w:val="none"/>
        </w:rPr>
      </w:pPr>
      <w:r>
        <w:rPr>
          <w:rFonts w:hint="eastAsia" w:ascii="宋体" w:hAnsi="宋体" w:cs="仿宋_GB2312"/>
          <w:color w:val="auto"/>
          <w:sz w:val="24"/>
          <w:highlight w:val="none"/>
        </w:rPr>
        <w:t>注：1.自然人竞标的无需提供，联合体竞标的只需牵头人出具。</w:t>
      </w:r>
    </w:p>
    <w:p w14:paraId="6EDCA94B">
      <w:pPr>
        <w:spacing w:line="360" w:lineRule="auto"/>
        <w:ind w:firstLine="480" w:firstLineChars="200"/>
        <w:jc w:val="left"/>
        <w:rPr>
          <w:rFonts w:hint="eastAsia" w:ascii="宋体" w:hAnsi="宋体" w:cs="仿宋_GB2312"/>
          <w:color w:val="auto"/>
          <w:sz w:val="24"/>
          <w:highlight w:val="none"/>
        </w:rPr>
      </w:pPr>
      <w:r>
        <w:rPr>
          <w:rFonts w:hint="eastAsia" w:ascii="宋体" w:hAnsi="宋体" w:cs="仿宋_GB2312"/>
          <w:color w:val="auto"/>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48820C50">
      <w:pPr>
        <w:widowControl/>
        <w:spacing w:line="360" w:lineRule="auto"/>
        <w:jc w:val="left"/>
        <w:rPr>
          <w:rFonts w:hint="eastAsia" w:ascii="宋体" w:hAnsi="宋体" w:cs="仿宋_GB2312"/>
          <w:color w:val="auto"/>
          <w:sz w:val="24"/>
          <w:highlight w:val="none"/>
        </w:rPr>
        <w:sectPr>
          <w:pgSz w:w="11911" w:h="16838"/>
          <w:pgMar w:top="1417" w:right="1417" w:bottom="1417" w:left="1417" w:header="720" w:footer="720" w:gutter="0"/>
          <w:cols w:space="0" w:num="1"/>
          <w:rtlGutter w:val="0"/>
          <w:docGrid w:linePitch="0" w:charSpace="0"/>
        </w:sectPr>
      </w:pPr>
    </w:p>
    <w:tbl>
      <w:tblPr>
        <w:tblStyle w:val="22"/>
        <w:tblpPr w:leftFromText="180" w:rightFromText="180" w:vertAnchor="text" w:horzAnchor="margin" w:tblpXSpec="center" w:tblpY="116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251C5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jc w:val="center"/>
        </w:trPr>
        <w:tc>
          <w:tcPr>
            <w:tcW w:w="8460" w:type="dxa"/>
            <w:tcBorders>
              <w:top w:val="single" w:color="auto" w:sz="4" w:space="0"/>
              <w:left w:val="single" w:color="auto" w:sz="4" w:space="0"/>
              <w:bottom w:val="single" w:color="auto" w:sz="4" w:space="0"/>
              <w:right w:val="single" w:color="auto" w:sz="4" w:space="0"/>
            </w:tcBorders>
          </w:tcPr>
          <w:p w14:paraId="08956516">
            <w:pPr>
              <w:keepNext w:val="0"/>
              <w:keepLines w:val="0"/>
              <w:suppressLineNumbers w:val="0"/>
              <w:spacing w:before="0" w:beforeAutospacing="0" w:after="0" w:afterAutospacing="0" w:line="360" w:lineRule="auto"/>
              <w:ind w:left="0" w:right="0"/>
              <w:rPr>
                <w:rFonts w:hint="default" w:ascii="宋体"/>
                <w:b/>
                <w:color w:val="auto"/>
                <w:sz w:val="24"/>
                <w:highlight w:val="none"/>
              </w:rPr>
            </w:pPr>
          </w:p>
          <w:p w14:paraId="3046BC69">
            <w:pPr>
              <w:keepNext w:val="0"/>
              <w:keepLines w:val="0"/>
              <w:suppressLineNumbers w:val="0"/>
              <w:spacing w:before="0" w:beforeAutospacing="0" w:after="0" w:afterAutospacing="0" w:line="360" w:lineRule="auto"/>
              <w:ind w:left="0" w:right="0"/>
              <w:rPr>
                <w:rFonts w:hint="default" w:ascii="宋体"/>
                <w:b/>
                <w:color w:val="auto"/>
                <w:sz w:val="24"/>
                <w:highlight w:val="none"/>
              </w:rPr>
            </w:pPr>
            <w:r>
              <w:rPr>
                <w:rFonts w:hint="eastAsia" w:ascii="宋体"/>
                <w:b/>
                <w:color w:val="auto"/>
                <w:sz w:val="24"/>
                <w:highlight w:val="none"/>
              </w:rPr>
              <w:t>法定代表身份证复印件粘帖处（正、反面）</w:t>
            </w:r>
          </w:p>
        </w:tc>
      </w:tr>
    </w:tbl>
    <w:p w14:paraId="7285F9A4">
      <w:pPr>
        <w:spacing w:line="360" w:lineRule="auto"/>
        <w:ind w:firstLine="482" w:firstLineChars="200"/>
        <w:jc w:val="left"/>
        <w:rPr>
          <w:rFonts w:hint="eastAsia" w:ascii="仿宋_GB2312" w:hAnsi="仿宋_GB2312" w:eastAsia="仿宋_GB2312" w:cs="仿宋_GB2312"/>
          <w:b/>
          <w:color w:val="auto"/>
          <w:sz w:val="32"/>
          <w:szCs w:val="32"/>
          <w:highlight w:val="none"/>
        </w:rPr>
      </w:pPr>
      <w:r>
        <w:rPr>
          <w:rFonts w:hint="eastAsia" w:hAnsi="宋体"/>
          <w:b/>
          <w:color w:val="auto"/>
          <w:sz w:val="24"/>
          <w:highlight w:val="none"/>
        </w:rPr>
        <w:t>附件：</w:t>
      </w:r>
    </w:p>
    <w:p w14:paraId="0F9736C8">
      <w:pPr>
        <w:adjustRightInd w:val="0"/>
        <w:snapToGrid w:val="0"/>
        <w:spacing w:line="300" w:lineRule="auto"/>
        <w:jc w:val="left"/>
        <w:rPr>
          <w:rFonts w:hint="eastAsia" w:ascii="宋体" w:hAnsi="宋体"/>
          <w:b/>
          <w:color w:val="auto"/>
          <w:szCs w:val="21"/>
          <w:highlight w:val="none"/>
        </w:rPr>
      </w:pPr>
    </w:p>
    <w:p w14:paraId="3AD88836">
      <w:pPr>
        <w:spacing w:line="520" w:lineRule="exact"/>
        <w:ind w:firstLine="880"/>
        <w:jc w:val="left"/>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color w:val="auto"/>
          <w:sz w:val="44"/>
          <w:szCs w:val="44"/>
          <w:highlight w:val="none"/>
        </w:rPr>
        <w:br w:type="page"/>
      </w:r>
      <w:r>
        <w:rPr>
          <w:rFonts w:hint="eastAsia" w:ascii="仿宋" w:hAnsi="仿宋" w:eastAsia="仿宋" w:cs="仿宋_GB2312"/>
          <w:b/>
          <w:color w:val="auto"/>
          <w:sz w:val="30"/>
          <w:szCs w:val="30"/>
          <w:highlight w:val="none"/>
        </w:rPr>
        <w:t>三、法定代表人授权委托书</w:t>
      </w:r>
    </w:p>
    <w:p w14:paraId="5D4500A7">
      <w:pPr>
        <w:spacing w:line="500" w:lineRule="exact"/>
        <w:jc w:val="center"/>
        <w:rPr>
          <w:rFonts w:hint="eastAsia" w:ascii="方正小标宋简体" w:hAnsi="方正小标宋简体" w:eastAsia="方正小标宋简体" w:cs="方正小标宋简体"/>
          <w:color w:val="auto"/>
          <w:sz w:val="44"/>
          <w:szCs w:val="44"/>
          <w:highlight w:val="none"/>
        </w:rPr>
      </w:pPr>
    </w:p>
    <w:p w14:paraId="64771131">
      <w:pPr>
        <w:spacing w:line="52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授权委托书（非联合体竞标格式）</w:t>
      </w:r>
    </w:p>
    <w:p w14:paraId="63BF0EFD">
      <w:pPr>
        <w:spacing w:line="52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（如有委托时）</w:t>
      </w:r>
    </w:p>
    <w:p w14:paraId="630222FA">
      <w:pPr>
        <w:spacing w:line="520" w:lineRule="exact"/>
        <w:rPr>
          <w:rFonts w:hint="eastAsia" w:ascii="仿宋_GB2312" w:hAnsi="仿宋_GB2312" w:eastAsia="仿宋_GB2312" w:cs="仿宋_GB2312"/>
          <w:color w:val="auto"/>
          <w:sz w:val="32"/>
          <w:szCs w:val="32"/>
          <w:highlight w:val="none"/>
        </w:rPr>
      </w:pPr>
    </w:p>
    <w:p w14:paraId="148417ED">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致：</w:t>
      </w:r>
      <w:r>
        <w:rPr>
          <w:rFonts w:hint="eastAsia" w:ascii="宋体" w:hAnsi="宋体" w:cs="仿宋_GB2312"/>
          <w:color w:val="auto"/>
          <w:sz w:val="24"/>
          <w:highlight w:val="none"/>
          <w:u w:val="single"/>
        </w:rPr>
        <w:t>广西机电设备招标有限公司</w:t>
      </w:r>
      <w:r>
        <w:rPr>
          <w:rFonts w:hint="eastAsia" w:ascii="宋体" w:hAnsi="宋体" w:cs="仿宋_GB2312"/>
          <w:color w:val="auto"/>
          <w:sz w:val="24"/>
          <w:highlight w:val="none"/>
        </w:rPr>
        <w:t>：</w:t>
      </w:r>
    </w:p>
    <w:p w14:paraId="0C916ABD">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我</w:t>
      </w:r>
      <w:r>
        <w:rPr>
          <w:rFonts w:hint="eastAsia" w:ascii="宋体" w:hAnsi="宋体" w:cs="仿宋_GB2312"/>
          <w:color w:val="auto"/>
          <w:sz w:val="24"/>
          <w:highlight w:val="none"/>
          <w:u w:val="single"/>
        </w:rPr>
        <w:t xml:space="preserve">  （姓名）  </w:t>
      </w:r>
      <w:r>
        <w:rPr>
          <w:rFonts w:hint="eastAsia" w:ascii="宋体" w:hAnsi="宋体" w:cs="仿宋_GB2312"/>
          <w:color w:val="auto"/>
          <w:sz w:val="24"/>
          <w:highlight w:val="none"/>
        </w:rPr>
        <w:t>系</w:t>
      </w:r>
      <w:r>
        <w:rPr>
          <w:rFonts w:hint="eastAsia" w:ascii="宋体" w:hAnsi="宋体" w:cs="仿宋_GB2312"/>
          <w:color w:val="auto"/>
          <w:sz w:val="24"/>
          <w:highlight w:val="none"/>
          <w:u w:val="single"/>
        </w:rPr>
        <w:t xml:space="preserve">  （供应商名称）  </w:t>
      </w:r>
      <w:r>
        <w:rPr>
          <w:rFonts w:hint="eastAsia" w:ascii="宋体" w:hAnsi="宋体" w:cs="仿宋_GB2312"/>
          <w:color w:val="auto"/>
          <w:sz w:val="24"/>
          <w:highlight w:val="none"/>
        </w:rPr>
        <w:t>的（</w:t>
      </w:r>
      <w:r>
        <w:rPr>
          <w:rFonts w:hint="eastAsia" w:ascii="宋体" w:hAnsi="宋体" w:cs="仿宋_GB2312"/>
          <w:color w:val="auto"/>
          <w:sz w:val="24"/>
          <w:highlight w:val="none"/>
          <w:u w:val="single"/>
        </w:rPr>
        <w:t>□法定代表人/□负责人/□自然人本人</w:t>
      </w:r>
      <w:r>
        <w:rPr>
          <w:rFonts w:hint="eastAsia" w:ascii="宋体" w:hAnsi="宋体" w:cs="仿宋_GB2312"/>
          <w:color w:val="auto"/>
          <w:sz w:val="24"/>
          <w:highlight w:val="none"/>
        </w:rPr>
        <w:t>），现授权</w:t>
      </w:r>
      <w:r>
        <w:rPr>
          <w:rFonts w:hint="eastAsia" w:ascii="宋体" w:hAnsi="宋体" w:cs="仿宋_GB2312"/>
          <w:color w:val="auto"/>
          <w:sz w:val="24"/>
          <w:highlight w:val="none"/>
          <w:u w:val="single"/>
        </w:rPr>
        <w:t xml:space="preserve"> （姓名） </w:t>
      </w:r>
      <w:r>
        <w:rPr>
          <w:rFonts w:hint="eastAsia" w:ascii="宋体" w:hAnsi="宋体" w:cs="仿宋_GB2312"/>
          <w:color w:val="auto"/>
          <w:sz w:val="24"/>
          <w:highlight w:val="none"/>
        </w:rPr>
        <w:t>以我方的名义参加</w:t>
      </w:r>
      <w:r>
        <w:rPr>
          <w:rFonts w:hint="eastAsia" w:ascii="宋体" w:hAnsi="宋体" w:cs="仿宋_GB2312"/>
          <w:color w:val="auto"/>
          <w:sz w:val="24"/>
          <w:highlight w:val="none"/>
          <w:u w:val="single"/>
          <w:lang w:eastAsia="zh-CN"/>
        </w:rPr>
        <w:t>第三方机构审计、核验2025年财政资金计划补助项目服务（3分标重）</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项目的竞标活动，并代表我方全权办理针对上述项目的所有采购程序和环节的具体事务和签署相关文件。</w:t>
      </w:r>
    </w:p>
    <w:p w14:paraId="15DFA358">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    我方对委托代理人的签字事项负全部责任。</w:t>
      </w:r>
    </w:p>
    <w:p w14:paraId="0F7D0D32">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本授权书自签署之日起生效，在撤销授权的书面通知以前，本授权书一直有效。委托代理人在授权书有效期内签署的所有文件不因授权的撤销而失效。</w:t>
      </w:r>
    </w:p>
    <w:p w14:paraId="2891DFE9">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委托代理人无转委托权，特此委托。</w:t>
      </w:r>
    </w:p>
    <w:p w14:paraId="7D225067">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附：法定代表人身份证明书及委托代理人有效身份证正反面复印件</w:t>
      </w:r>
    </w:p>
    <w:p w14:paraId="42363E19">
      <w:pPr>
        <w:spacing w:line="360" w:lineRule="auto"/>
        <w:rPr>
          <w:rFonts w:hint="eastAsia" w:ascii="宋体" w:hAnsi="宋体" w:cs="仿宋_GB2312"/>
          <w:color w:val="auto"/>
          <w:sz w:val="24"/>
          <w:highlight w:val="none"/>
        </w:rPr>
      </w:pPr>
    </w:p>
    <w:p w14:paraId="331AC7FD">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委托代理人（签字）：         法定代表人（签字或盖章）：                    </w:t>
      </w:r>
    </w:p>
    <w:p w14:paraId="6350C577">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委托代理人身份证号码：                              </w:t>
      </w:r>
    </w:p>
    <w:p w14:paraId="27279B29">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                                </w:t>
      </w:r>
    </w:p>
    <w:p w14:paraId="6E77EB9C">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                         </w:t>
      </w:r>
      <w:r>
        <w:rPr>
          <w:rFonts w:hint="eastAsia" w:ascii="仿宋_GB2312" w:hAnsi="仿宋" w:eastAsia="仿宋_GB2312" w:cs="仿宋_GB2312"/>
          <w:color w:val="auto"/>
          <w:kern w:val="0"/>
          <w:sz w:val="24"/>
          <w:highlight w:val="none"/>
        </w:rPr>
        <w:t>供应商名称（电子签章）：</w:t>
      </w:r>
    </w:p>
    <w:p w14:paraId="63BC468F">
      <w:pPr>
        <w:spacing w:line="360" w:lineRule="auto"/>
        <w:jc w:val="center"/>
        <w:rPr>
          <w:rFonts w:hint="eastAsia" w:ascii="宋体" w:hAnsi="宋体" w:cs="仿宋_GB2312"/>
          <w:b/>
          <w:color w:val="auto"/>
          <w:sz w:val="24"/>
          <w:highlight w:val="none"/>
        </w:rPr>
      </w:pPr>
      <w:r>
        <w:rPr>
          <w:rFonts w:hint="eastAsia" w:ascii="仿宋_GB2312" w:hAnsi="仿宋" w:eastAsia="仿宋_GB2312" w:cs="仿宋_GB2312"/>
          <w:color w:val="auto"/>
          <w:kern w:val="0"/>
          <w:sz w:val="24"/>
          <w:highlight w:val="none"/>
          <w:lang w:val="zh-CN"/>
        </w:rPr>
        <w:t xml:space="preserve">                                                   日期：  年  月   日</w:t>
      </w:r>
    </w:p>
    <w:p w14:paraId="3C1808FF">
      <w:pPr>
        <w:spacing w:line="360" w:lineRule="auto"/>
        <w:rPr>
          <w:rFonts w:hint="eastAsia" w:ascii="宋体" w:hAnsi="宋体" w:cs="仿宋_GB2312"/>
          <w:color w:val="auto"/>
          <w:sz w:val="24"/>
          <w:highlight w:val="none"/>
        </w:rPr>
      </w:pPr>
    </w:p>
    <w:p w14:paraId="512C86AB">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注：1. 法定代表人必须在授权委托书上亲笔签字或盖章，委托代理人必须在授权委托书上亲笔签字，</w:t>
      </w:r>
      <w:r>
        <w:rPr>
          <w:rFonts w:hint="eastAsia" w:ascii="宋体" w:hAnsi="宋体" w:cs="仿宋_GB2312"/>
          <w:b/>
          <w:color w:val="auto"/>
          <w:sz w:val="24"/>
          <w:highlight w:val="none"/>
        </w:rPr>
        <w:t>否则其响应文件按无效响应处理。</w:t>
      </w:r>
    </w:p>
    <w:p w14:paraId="37048D1A">
      <w:pPr>
        <w:spacing w:line="360" w:lineRule="auto"/>
        <w:ind w:firstLine="480" w:firstLineChars="200"/>
        <w:jc w:val="left"/>
        <w:rPr>
          <w:rFonts w:hint="eastAsia" w:ascii="宋体" w:hAnsi="宋体" w:cs="仿宋_GB2312"/>
          <w:color w:val="auto"/>
          <w:sz w:val="24"/>
          <w:highlight w:val="none"/>
        </w:rPr>
      </w:pPr>
      <w:r>
        <w:rPr>
          <w:rFonts w:hint="eastAsia" w:ascii="宋体" w:hAnsi="宋体" w:cs="仿宋_GB2312"/>
          <w:color w:val="auto"/>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362C1188">
      <w:pPr>
        <w:spacing w:line="360" w:lineRule="auto"/>
        <w:ind w:firstLine="480" w:firstLineChars="200"/>
        <w:jc w:val="left"/>
        <w:rPr>
          <w:rFonts w:hint="eastAsia" w:ascii="仿宋_GB2312" w:hAnsi="仿宋_GB2312" w:eastAsia="仿宋_GB2312" w:cs="仿宋_GB2312"/>
          <w:color w:val="auto"/>
          <w:szCs w:val="21"/>
          <w:highlight w:val="none"/>
        </w:rPr>
      </w:pPr>
      <w:r>
        <w:rPr>
          <w:rFonts w:hint="eastAsia" w:ascii="宋体" w:hAnsi="宋体" w:cs="仿宋_GB2312"/>
          <w:color w:val="auto"/>
          <w:sz w:val="24"/>
          <w:highlight w:val="none"/>
        </w:rPr>
        <w:t>3. 法人、其他组织竞标时“我方”是指“我单位”，自然人竞标时“我方”是指“本人”。</w:t>
      </w:r>
    </w:p>
    <w:p w14:paraId="10F95A08">
      <w:pPr>
        <w:spacing w:line="500" w:lineRule="exact"/>
        <w:jc w:val="center"/>
        <w:rPr>
          <w:rFonts w:hint="eastAsia" w:ascii="方正小标宋简体" w:hAnsi="方正小标宋简体" w:eastAsia="方正小标宋简体" w:cs="方正小标宋简体"/>
          <w:color w:val="auto"/>
          <w:sz w:val="44"/>
          <w:szCs w:val="44"/>
          <w:highlight w:val="none"/>
        </w:rPr>
      </w:pPr>
      <w:r>
        <w:rPr>
          <w:rFonts w:hint="eastAsia" w:ascii="仿宋_GB2312" w:hAnsi="仿宋_GB2312" w:eastAsia="仿宋_GB2312" w:cs="仿宋_GB2312"/>
          <w:color w:val="auto"/>
          <w:szCs w:val="21"/>
          <w:highlight w:val="none"/>
        </w:rPr>
        <w:br w:type="page"/>
      </w:r>
      <w:r>
        <w:rPr>
          <w:rFonts w:hint="eastAsia" w:ascii="方正小标宋简体" w:hAnsi="方正小标宋简体" w:eastAsia="方正小标宋简体" w:cs="方正小标宋简体"/>
          <w:color w:val="auto"/>
          <w:sz w:val="44"/>
          <w:szCs w:val="44"/>
          <w:highlight w:val="none"/>
        </w:rPr>
        <w:t>授权委托书（联合体竞标格式）</w:t>
      </w:r>
    </w:p>
    <w:p w14:paraId="4A679BE7">
      <w:pPr>
        <w:spacing w:line="50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（如有委托时）</w:t>
      </w:r>
    </w:p>
    <w:p w14:paraId="21520045">
      <w:pPr>
        <w:spacing w:line="500" w:lineRule="exact"/>
        <w:jc w:val="center"/>
        <w:rPr>
          <w:rFonts w:hint="eastAsia" w:ascii="方正小标宋简体" w:hAnsi="方正小标宋简体" w:eastAsia="方正小标宋简体" w:cs="方正小标宋简体"/>
          <w:color w:val="auto"/>
          <w:sz w:val="44"/>
          <w:szCs w:val="44"/>
          <w:highlight w:val="none"/>
        </w:rPr>
      </w:pPr>
    </w:p>
    <w:p w14:paraId="3B27DDB3">
      <w:pPr>
        <w:spacing w:line="500" w:lineRule="exact"/>
        <w:jc w:val="center"/>
        <w:rPr>
          <w:rFonts w:hint="eastAsia" w:ascii="仿宋_GB2312" w:hAnsi="仿宋_GB2312" w:eastAsia="仿宋_GB2312" w:cs="仿宋_GB2312"/>
          <w:color w:val="auto"/>
          <w:sz w:val="32"/>
          <w:szCs w:val="32"/>
          <w:highlight w:val="none"/>
        </w:rPr>
      </w:pPr>
    </w:p>
    <w:p w14:paraId="54E781C8">
      <w:pPr>
        <w:spacing w:line="360" w:lineRule="auto"/>
        <w:ind w:firstLine="480" w:firstLineChars="200"/>
        <w:jc w:val="left"/>
        <w:rPr>
          <w:rFonts w:hint="eastAsia" w:ascii="宋体" w:hAnsi="宋体" w:cs="仿宋_GB2312"/>
          <w:color w:val="auto"/>
          <w:sz w:val="24"/>
          <w:highlight w:val="none"/>
        </w:rPr>
      </w:pPr>
      <w:r>
        <w:rPr>
          <w:rFonts w:hint="eastAsia" w:ascii="宋体" w:hAnsi="宋体" w:cs="仿宋_GB2312"/>
          <w:color w:val="auto"/>
          <w:sz w:val="24"/>
          <w:highlight w:val="none"/>
        </w:rPr>
        <w:t>本授权委托书声明：根据</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（牵头人名称）与</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（联合体其他成员名称）签订的《联合体竞标协议书》的内容，</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（牵头人名称）的法定代表人</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（姓名）现授权</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（姓名）为联合委托代理人，并代表我方全权办理针对上述项目的所有采购程序和环节的具体事务和签署相关文件。</w:t>
      </w:r>
    </w:p>
    <w:p w14:paraId="4EA5E57F">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我方对委托代理人的签字事项负全部责任。</w:t>
      </w:r>
    </w:p>
    <w:p w14:paraId="77DCFE54">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本授权书自签署之日起生效，在撤销授权的书面通知以前，本授权书一直有效。委托代理人在授权书有效期内签署的所有文件不因授权的撤销而失效。</w:t>
      </w:r>
    </w:p>
    <w:p w14:paraId="1A9118E8">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委托代理人无转委托权，特此委托。</w:t>
      </w:r>
    </w:p>
    <w:p w14:paraId="5D041E6D">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    </w:t>
      </w:r>
    </w:p>
    <w:p w14:paraId="37FC1FB5">
      <w:pPr>
        <w:spacing w:line="360" w:lineRule="auto"/>
        <w:ind w:firstLine="1560" w:firstLineChars="650"/>
        <w:rPr>
          <w:rFonts w:hint="eastAsia" w:ascii="宋体" w:hAnsi="宋体" w:cs="仿宋_GB2312"/>
          <w:color w:val="auto"/>
          <w:sz w:val="24"/>
          <w:highlight w:val="none"/>
        </w:rPr>
      </w:pPr>
      <w:r>
        <w:rPr>
          <w:rFonts w:hint="eastAsia" w:ascii="宋体" w:hAnsi="宋体" w:cs="仿宋_GB2312"/>
          <w:color w:val="auto"/>
          <w:sz w:val="24"/>
          <w:highlight w:val="none"/>
        </w:rPr>
        <w:t>牵头人法定代表人（签字或盖章）：</w:t>
      </w:r>
    </w:p>
    <w:p w14:paraId="712B8275">
      <w:pPr>
        <w:spacing w:line="360" w:lineRule="auto"/>
        <w:ind w:firstLine="3120" w:firstLineChars="1300"/>
        <w:rPr>
          <w:rFonts w:hint="eastAsia" w:ascii="宋体" w:hAnsi="宋体" w:cs="仿宋_GB2312"/>
          <w:color w:val="auto"/>
          <w:sz w:val="24"/>
          <w:highlight w:val="none"/>
        </w:rPr>
      </w:pPr>
      <w:r>
        <w:rPr>
          <w:rFonts w:hint="eastAsia" w:ascii="宋体" w:hAnsi="宋体" w:cs="仿宋_GB2312"/>
          <w:color w:val="auto"/>
          <w:sz w:val="24"/>
          <w:highlight w:val="none"/>
        </w:rPr>
        <w:t>牵头人（电子签章）：</w:t>
      </w:r>
    </w:p>
    <w:p w14:paraId="2024F9E2">
      <w:pPr>
        <w:spacing w:line="360" w:lineRule="auto"/>
        <w:ind w:firstLine="3840" w:firstLineChars="1600"/>
        <w:rPr>
          <w:rFonts w:hint="eastAsia" w:ascii="宋体" w:hAnsi="宋体" w:cs="仿宋_GB2312"/>
          <w:color w:val="auto"/>
          <w:sz w:val="24"/>
          <w:highlight w:val="none"/>
        </w:rPr>
      </w:pPr>
      <w:r>
        <w:rPr>
          <w:rFonts w:hint="eastAsia" w:ascii="宋体" w:hAnsi="宋体" w:cs="仿宋_GB2312"/>
          <w:color w:val="auto"/>
          <w:sz w:val="24"/>
          <w:highlight w:val="none"/>
        </w:rPr>
        <w:t>日期：    年   月   日</w:t>
      </w:r>
    </w:p>
    <w:p w14:paraId="68A71172">
      <w:pPr>
        <w:spacing w:line="360" w:lineRule="auto"/>
        <w:rPr>
          <w:rFonts w:hint="eastAsia" w:ascii="宋体" w:hAnsi="宋体" w:cs="仿宋_GB2312"/>
          <w:color w:val="auto"/>
          <w:sz w:val="24"/>
          <w:highlight w:val="none"/>
        </w:rPr>
      </w:pPr>
    </w:p>
    <w:p w14:paraId="78ACBC86">
      <w:pPr>
        <w:spacing w:line="360" w:lineRule="auto"/>
        <w:ind w:firstLine="3120" w:firstLineChars="1300"/>
        <w:rPr>
          <w:rFonts w:hint="eastAsia" w:ascii="宋体" w:hAnsi="宋体" w:cs="仿宋_GB2312"/>
          <w:color w:val="auto"/>
          <w:sz w:val="24"/>
          <w:highlight w:val="none"/>
        </w:rPr>
      </w:pPr>
      <w:r>
        <w:rPr>
          <w:rFonts w:hint="eastAsia" w:ascii="宋体" w:hAnsi="宋体" w:cs="仿宋_GB2312"/>
          <w:color w:val="auto"/>
          <w:sz w:val="24"/>
          <w:highlight w:val="none"/>
        </w:rPr>
        <w:t>被授权人（签字）：</w:t>
      </w:r>
    </w:p>
    <w:p w14:paraId="5B4AECD8">
      <w:pPr>
        <w:spacing w:line="360" w:lineRule="auto"/>
        <w:ind w:firstLine="3840" w:firstLineChars="1600"/>
        <w:rPr>
          <w:rFonts w:hint="eastAsia" w:ascii="宋体" w:hAnsi="宋体" w:cs="仿宋_GB2312"/>
          <w:color w:val="auto"/>
          <w:sz w:val="24"/>
          <w:highlight w:val="none"/>
        </w:rPr>
      </w:pPr>
      <w:r>
        <w:rPr>
          <w:rFonts w:hint="eastAsia" w:ascii="宋体" w:hAnsi="宋体" w:cs="仿宋_GB2312"/>
          <w:color w:val="auto"/>
          <w:sz w:val="24"/>
          <w:highlight w:val="none"/>
        </w:rPr>
        <w:t>日期：    年   月   日</w:t>
      </w:r>
    </w:p>
    <w:p w14:paraId="345D3F00">
      <w:pPr>
        <w:spacing w:line="360" w:lineRule="auto"/>
        <w:rPr>
          <w:rFonts w:hint="eastAsia" w:ascii="宋体" w:hAnsi="宋体" w:cs="仿宋_GB2312"/>
          <w:color w:val="auto"/>
          <w:sz w:val="24"/>
          <w:highlight w:val="none"/>
        </w:rPr>
      </w:pPr>
    </w:p>
    <w:p w14:paraId="2F06B644">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注：1. 法定代表人必须在授权委托书上亲笔签字或盖章，委托代理人必须在授权委托书上亲笔签字，</w:t>
      </w:r>
      <w:r>
        <w:rPr>
          <w:rFonts w:hint="eastAsia" w:ascii="宋体" w:hAnsi="宋体" w:cs="仿宋_GB2312"/>
          <w:b/>
          <w:color w:val="auto"/>
          <w:sz w:val="24"/>
          <w:highlight w:val="none"/>
        </w:rPr>
        <w:t>否则其响应文件按无效响应处理。</w:t>
      </w:r>
    </w:p>
    <w:p w14:paraId="14F09FC8">
      <w:pPr>
        <w:spacing w:line="360" w:lineRule="auto"/>
        <w:ind w:firstLine="480" w:firstLineChars="200"/>
        <w:jc w:val="left"/>
        <w:rPr>
          <w:rFonts w:hint="eastAsia" w:ascii="宋体" w:hAnsi="宋体" w:cs="仿宋_GB2312"/>
          <w:color w:val="auto"/>
          <w:sz w:val="24"/>
          <w:highlight w:val="none"/>
        </w:rPr>
      </w:pPr>
      <w:r>
        <w:rPr>
          <w:rFonts w:hint="eastAsia" w:ascii="宋体" w:hAnsi="宋体" w:cs="仿宋_GB2312"/>
          <w:color w:val="auto"/>
          <w:sz w:val="24"/>
          <w:highlight w:val="none"/>
        </w:rPr>
        <w:t>2.本授权委托书应由联合体牵头人的法定代表人按上述规定签署。</w:t>
      </w:r>
    </w:p>
    <w:p w14:paraId="2E1EAEF7">
      <w:pPr>
        <w:spacing w:line="360" w:lineRule="auto"/>
        <w:ind w:firstLine="480" w:firstLineChars="200"/>
        <w:jc w:val="left"/>
        <w:rPr>
          <w:rFonts w:hint="eastAsia" w:ascii="宋体" w:hAnsi="宋体" w:cs="仿宋_GB2312"/>
          <w:color w:val="auto"/>
          <w:sz w:val="24"/>
          <w:highlight w:val="none"/>
        </w:rPr>
      </w:pPr>
      <w:r>
        <w:rPr>
          <w:rFonts w:hint="eastAsia" w:ascii="宋体" w:hAnsi="宋体" w:cs="仿宋_GB2312"/>
          <w:color w:val="auto"/>
          <w:sz w:val="24"/>
          <w:highlight w:val="none"/>
        </w:rPr>
        <w:t>3.供应商为其他组织或者自然人时，本磋商文件规定的法定代表人指负责人或者自然人。本磋商文件所称负责人是指参加竞标的其他组织营业执照上的负责人，本磋商文件所称自然人指参与竞标的自然人本人。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7C1E929F">
      <w:pPr>
        <w:spacing w:line="360" w:lineRule="auto"/>
        <w:ind w:firstLine="480" w:firstLineChars="200"/>
        <w:jc w:val="left"/>
        <w:rPr>
          <w:rFonts w:hint="eastAsia" w:ascii="宋体" w:hAnsi="宋体" w:cs="仿宋_GB2312"/>
          <w:color w:val="auto"/>
          <w:sz w:val="24"/>
          <w:highlight w:val="none"/>
        </w:rPr>
      </w:pPr>
      <w:r>
        <w:rPr>
          <w:rFonts w:hint="eastAsia" w:ascii="宋体" w:hAnsi="宋体" w:cs="仿宋_GB2312"/>
          <w:color w:val="auto"/>
          <w:sz w:val="24"/>
          <w:highlight w:val="none"/>
        </w:rPr>
        <w:t>4.法人、其他组织竞标时“我方”是指“我单位”，自然人竞标时“我方”是指“本人”。</w:t>
      </w:r>
    </w:p>
    <w:p w14:paraId="7F7FB02A">
      <w:pPr>
        <w:spacing w:line="360" w:lineRule="auto"/>
        <w:ind w:firstLine="420" w:firstLineChars="200"/>
        <w:jc w:val="left"/>
        <w:rPr>
          <w:rFonts w:hint="eastAsia" w:ascii="仿宋_GB2312" w:hAnsi="仿宋_GB2312" w:eastAsia="仿宋_GB2312" w:cs="仿宋_GB2312"/>
          <w:color w:val="auto"/>
          <w:szCs w:val="21"/>
          <w:highlight w:val="none"/>
        </w:rPr>
      </w:pPr>
    </w:p>
    <w:p w14:paraId="3B8E1750">
      <w:pPr>
        <w:spacing w:line="520" w:lineRule="exact"/>
        <w:ind w:firstLine="602" w:firstLineChars="200"/>
        <w:jc w:val="left"/>
        <w:rPr>
          <w:rFonts w:hint="eastAsia" w:ascii="仿宋" w:hAnsi="仿宋" w:eastAsia="仿宋" w:cs="仿宋_GB2312"/>
          <w:b/>
          <w:color w:val="auto"/>
          <w:sz w:val="30"/>
          <w:szCs w:val="30"/>
          <w:highlight w:val="none"/>
        </w:rPr>
      </w:pPr>
      <w:r>
        <w:rPr>
          <w:rFonts w:hint="eastAsia" w:ascii="仿宋" w:hAnsi="仿宋" w:eastAsia="仿宋" w:cs="仿宋_GB2312"/>
          <w:b/>
          <w:color w:val="auto"/>
          <w:sz w:val="30"/>
          <w:szCs w:val="30"/>
          <w:highlight w:val="none"/>
        </w:rPr>
        <w:t>四、商务条款偏离表</w:t>
      </w:r>
    </w:p>
    <w:p w14:paraId="6E34C5D9">
      <w:pPr>
        <w:spacing w:line="500" w:lineRule="exact"/>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商务条款偏离表</w:t>
      </w:r>
    </w:p>
    <w:p w14:paraId="2AE7D7AA">
      <w:pPr>
        <w:spacing w:line="520" w:lineRule="exact"/>
        <w:rPr>
          <w:rFonts w:hint="eastAsia" w:ascii="仿宋_GB2312" w:hAnsi="仿宋_GB2312" w:eastAsia="仿宋_GB2312" w:cs="仿宋_GB2312"/>
          <w:color w:val="auto"/>
          <w:sz w:val="32"/>
          <w:szCs w:val="32"/>
          <w:highlight w:val="none"/>
        </w:rPr>
      </w:pPr>
    </w:p>
    <w:p w14:paraId="5DF2695C">
      <w:pPr>
        <w:spacing w:line="360" w:lineRule="auto"/>
        <w:rPr>
          <w:rFonts w:hint="eastAsia" w:ascii="宋体" w:hAnsi="宋体" w:cs="仿宋_GB2312"/>
          <w:color w:val="auto"/>
          <w:sz w:val="24"/>
          <w:highlight w:val="none"/>
          <w:u w:val="single"/>
        </w:rPr>
      </w:pPr>
      <w:r>
        <w:rPr>
          <w:rFonts w:hint="eastAsia" w:ascii="宋体" w:hAnsi="宋体" w:cs="仿宋_GB2312"/>
          <w:color w:val="auto"/>
          <w:sz w:val="24"/>
          <w:highlight w:val="none"/>
        </w:rPr>
        <w:t>采购项目编号：</w:t>
      </w:r>
      <w:r>
        <w:rPr>
          <w:rFonts w:hint="eastAsia" w:ascii="宋体" w:hAnsi="宋体" w:cs="仿宋_GB2312"/>
          <w:color w:val="auto"/>
          <w:sz w:val="24"/>
          <w:highlight w:val="none"/>
          <w:u w:val="single"/>
        </w:rPr>
        <w:t xml:space="preserve">               </w:t>
      </w:r>
    </w:p>
    <w:p w14:paraId="37C500FB">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采购项目名称：</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u w:val="single"/>
          <w:lang w:eastAsia="zh-CN"/>
        </w:rPr>
        <w:t>第三方机构审计、核验2025年财政资金计划补助项目服务（3分标重）</w:t>
      </w:r>
      <w:r>
        <w:rPr>
          <w:rFonts w:hint="eastAsia" w:ascii="宋体" w:hAnsi="宋体" w:cs="仿宋_GB2312"/>
          <w:color w:val="auto"/>
          <w:sz w:val="24"/>
          <w:highlight w:val="none"/>
          <w:u w:val="single"/>
        </w:rPr>
        <w:t xml:space="preserve"> </w:t>
      </w:r>
    </w:p>
    <w:p w14:paraId="0531FD3F">
      <w:pPr>
        <w:spacing w:line="360" w:lineRule="auto"/>
        <w:rPr>
          <w:rFonts w:hint="eastAsia" w:ascii="宋体" w:hAnsi="宋体" w:cs="仿宋_GB2312"/>
          <w:color w:val="auto"/>
          <w:sz w:val="24"/>
          <w:highlight w:val="none"/>
          <w:u w:val="single"/>
        </w:rPr>
      </w:pPr>
      <w:r>
        <w:rPr>
          <w:rFonts w:hint="eastAsia" w:ascii="宋体" w:hAnsi="宋体" w:cs="仿宋_GB2312"/>
          <w:color w:val="auto"/>
          <w:sz w:val="24"/>
          <w:highlight w:val="none"/>
        </w:rPr>
        <w:t>标项号</w:t>
      </w:r>
      <w:r>
        <w:rPr>
          <w:rFonts w:hint="eastAsia" w:ascii="宋体" w:hAnsi="宋体"/>
          <w:color w:val="auto"/>
          <w:szCs w:val="21"/>
          <w:highlight w:val="none"/>
        </w:rPr>
        <w:t>（此处有标项时填写具体标项号，无标项时填写“无”）</w:t>
      </w:r>
      <w:r>
        <w:rPr>
          <w:rFonts w:hint="eastAsia" w:ascii="宋体" w:hAnsi="宋体" w:cs="仿宋_GB2312"/>
          <w:color w:val="auto"/>
          <w:sz w:val="24"/>
          <w:highlight w:val="none"/>
        </w:rPr>
        <w:t>：</w:t>
      </w:r>
      <w:r>
        <w:rPr>
          <w:rFonts w:hint="eastAsia" w:ascii="宋体" w:hAnsi="宋体" w:cs="仿宋_GB2312"/>
          <w:color w:val="auto"/>
          <w:sz w:val="24"/>
          <w:highlight w:val="none"/>
          <w:u w:val="single"/>
        </w:rPr>
        <w:t xml:space="preserve">                       </w:t>
      </w:r>
    </w:p>
    <w:tbl>
      <w:tblPr>
        <w:tblStyle w:val="22"/>
        <w:tblpPr w:leftFromText="180" w:rightFromText="180" w:vertAnchor="text" w:horzAnchor="margin" w:tblpXSpec="center" w:tblpY="9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6"/>
        <w:gridCol w:w="3680"/>
        <w:gridCol w:w="2553"/>
        <w:gridCol w:w="2380"/>
      </w:tblGrid>
      <w:tr w14:paraId="28420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64" w:type="pct"/>
            <w:tcBorders>
              <w:top w:val="single" w:color="auto" w:sz="4" w:space="0"/>
              <w:left w:val="single" w:color="auto" w:sz="4" w:space="0"/>
              <w:right w:val="single" w:color="auto" w:sz="4" w:space="0"/>
            </w:tcBorders>
            <w:noWrap/>
          </w:tcPr>
          <w:p w14:paraId="62EB1AA0">
            <w:pPr>
              <w:keepNext w:val="0"/>
              <w:keepLines w:val="0"/>
              <w:suppressLineNumbers w:val="0"/>
              <w:spacing w:before="0" w:beforeAutospacing="0" w:after="0" w:afterAutospacing="0" w:line="340" w:lineRule="exact"/>
              <w:ind w:left="0" w:right="0"/>
              <w:jc w:val="center"/>
              <w:rPr>
                <w:rFonts w:hint="eastAsia" w:ascii="宋体" w:hAnsi="宋体"/>
                <w:color w:val="auto"/>
                <w:szCs w:val="21"/>
                <w:highlight w:val="none"/>
              </w:rPr>
            </w:pPr>
            <w:r>
              <w:rPr>
                <w:rFonts w:hint="eastAsia" w:ascii="宋体" w:hAnsi="宋体"/>
                <w:color w:val="auto"/>
                <w:szCs w:val="21"/>
                <w:highlight w:val="none"/>
              </w:rPr>
              <w:t>项号</w:t>
            </w:r>
          </w:p>
        </w:tc>
        <w:tc>
          <w:tcPr>
            <w:tcW w:w="1981" w:type="pct"/>
            <w:tcBorders>
              <w:top w:val="single" w:color="auto" w:sz="4" w:space="0"/>
              <w:left w:val="single" w:color="auto" w:sz="4" w:space="0"/>
              <w:bottom w:val="single" w:color="auto" w:sz="4" w:space="0"/>
              <w:right w:val="single" w:color="auto" w:sz="4" w:space="0"/>
            </w:tcBorders>
            <w:noWrap/>
          </w:tcPr>
          <w:p w14:paraId="640C5E74">
            <w:pPr>
              <w:keepNext w:val="0"/>
              <w:keepLines w:val="0"/>
              <w:suppressLineNumbers w:val="0"/>
              <w:spacing w:before="0" w:beforeAutospacing="0" w:after="0" w:afterAutospacing="0" w:line="340" w:lineRule="exact"/>
              <w:ind w:left="0" w:right="0"/>
              <w:jc w:val="center"/>
              <w:rPr>
                <w:rFonts w:hint="eastAsia" w:ascii="宋体" w:hAnsi="宋体"/>
                <w:color w:val="auto"/>
                <w:szCs w:val="21"/>
                <w:highlight w:val="none"/>
              </w:rPr>
            </w:pPr>
            <w:r>
              <w:rPr>
                <w:rFonts w:hint="eastAsia" w:ascii="宋体" w:hAnsi="宋体"/>
                <w:color w:val="auto"/>
                <w:szCs w:val="21"/>
                <w:highlight w:val="none"/>
              </w:rPr>
              <w:t>竞争性磋商采购文件的商务需求</w:t>
            </w:r>
          </w:p>
        </w:tc>
        <w:tc>
          <w:tcPr>
            <w:tcW w:w="1374" w:type="pct"/>
            <w:tcBorders>
              <w:top w:val="single" w:color="auto" w:sz="4" w:space="0"/>
              <w:left w:val="single" w:color="auto" w:sz="4" w:space="0"/>
              <w:right w:val="single" w:color="auto" w:sz="4" w:space="0"/>
            </w:tcBorders>
          </w:tcPr>
          <w:p w14:paraId="45884BCC">
            <w:pPr>
              <w:keepNext w:val="0"/>
              <w:keepLines w:val="0"/>
              <w:suppressLineNumbers w:val="0"/>
              <w:spacing w:before="0" w:beforeAutospacing="0" w:after="0" w:afterAutospacing="0" w:line="340" w:lineRule="exact"/>
              <w:ind w:left="0" w:right="0"/>
              <w:jc w:val="center"/>
              <w:rPr>
                <w:rFonts w:hint="eastAsia" w:ascii="宋体" w:hAnsi="宋体"/>
                <w:color w:val="auto"/>
                <w:szCs w:val="21"/>
                <w:highlight w:val="none"/>
              </w:rPr>
            </w:pPr>
            <w:r>
              <w:rPr>
                <w:rFonts w:hint="eastAsia" w:ascii="宋体" w:hAnsi="宋体"/>
                <w:color w:val="auto"/>
                <w:szCs w:val="21"/>
                <w:highlight w:val="none"/>
              </w:rPr>
              <w:t>响应文件承诺的商务条款</w:t>
            </w:r>
          </w:p>
        </w:tc>
        <w:tc>
          <w:tcPr>
            <w:tcW w:w="1279" w:type="pct"/>
            <w:tcBorders>
              <w:top w:val="single" w:color="auto" w:sz="4" w:space="0"/>
              <w:left w:val="single" w:color="auto" w:sz="4" w:space="0"/>
              <w:right w:val="single" w:color="auto" w:sz="4" w:space="0"/>
            </w:tcBorders>
          </w:tcPr>
          <w:p w14:paraId="5593E47C">
            <w:pPr>
              <w:keepNext w:val="0"/>
              <w:keepLines w:val="0"/>
              <w:suppressLineNumbers w:val="0"/>
              <w:spacing w:before="0" w:beforeAutospacing="0" w:after="0" w:afterAutospacing="0" w:line="300" w:lineRule="exact"/>
              <w:ind w:left="0" w:right="0"/>
              <w:jc w:val="center"/>
              <w:rPr>
                <w:rFonts w:hint="eastAsia" w:ascii="宋体" w:hAnsi="宋体"/>
                <w:color w:val="auto"/>
                <w:szCs w:val="21"/>
                <w:highlight w:val="none"/>
              </w:rPr>
            </w:pPr>
            <w:r>
              <w:rPr>
                <w:rFonts w:hint="eastAsia" w:ascii="宋体" w:hAnsi="宋体"/>
                <w:color w:val="auto"/>
                <w:szCs w:val="21"/>
                <w:highlight w:val="none"/>
              </w:rPr>
              <w:t>偏离说明</w:t>
            </w:r>
          </w:p>
        </w:tc>
      </w:tr>
      <w:tr w14:paraId="2C765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64" w:type="pct"/>
            <w:vMerge w:val="restart"/>
            <w:tcBorders>
              <w:top w:val="single" w:color="auto" w:sz="4" w:space="0"/>
              <w:left w:val="single" w:color="auto" w:sz="4" w:space="0"/>
              <w:right w:val="single" w:color="auto" w:sz="4" w:space="0"/>
            </w:tcBorders>
            <w:noWrap/>
          </w:tcPr>
          <w:p w14:paraId="7ED6E667">
            <w:pPr>
              <w:keepNext w:val="0"/>
              <w:keepLines w:val="0"/>
              <w:suppressLineNumbers w:val="0"/>
              <w:spacing w:before="0" w:beforeAutospacing="0" w:after="0" w:afterAutospacing="0" w:line="340" w:lineRule="exact"/>
              <w:ind w:left="0" w:right="0"/>
              <w:rPr>
                <w:rFonts w:hint="eastAsia" w:ascii="宋体" w:hAnsi="宋体"/>
                <w:color w:val="auto"/>
                <w:szCs w:val="21"/>
                <w:highlight w:val="none"/>
              </w:rPr>
            </w:pPr>
            <w:r>
              <w:rPr>
                <w:rFonts w:hint="eastAsia" w:ascii="宋体" w:hAnsi="宋体"/>
                <w:color w:val="auto"/>
                <w:szCs w:val="21"/>
                <w:highlight w:val="none"/>
              </w:rPr>
              <w:t>一</w:t>
            </w:r>
          </w:p>
        </w:tc>
        <w:tc>
          <w:tcPr>
            <w:tcW w:w="1981" w:type="pct"/>
            <w:tcBorders>
              <w:top w:val="single" w:color="auto" w:sz="4" w:space="0"/>
              <w:left w:val="single" w:color="auto" w:sz="4" w:space="0"/>
              <w:bottom w:val="single" w:color="auto" w:sz="4" w:space="0"/>
              <w:right w:val="single" w:color="auto" w:sz="4" w:space="0"/>
            </w:tcBorders>
            <w:noWrap/>
          </w:tcPr>
          <w:p w14:paraId="3591AC4D">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1  ……</w:t>
            </w:r>
          </w:p>
        </w:tc>
        <w:tc>
          <w:tcPr>
            <w:tcW w:w="1374" w:type="pct"/>
            <w:tcBorders>
              <w:top w:val="single" w:color="auto" w:sz="4" w:space="0"/>
              <w:left w:val="single" w:color="auto" w:sz="4" w:space="0"/>
              <w:right w:val="single" w:color="auto" w:sz="4" w:space="0"/>
            </w:tcBorders>
          </w:tcPr>
          <w:p w14:paraId="505FA597">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1  ……</w:t>
            </w:r>
          </w:p>
        </w:tc>
        <w:tc>
          <w:tcPr>
            <w:tcW w:w="1279" w:type="pct"/>
            <w:tcBorders>
              <w:top w:val="single" w:color="auto" w:sz="4" w:space="0"/>
              <w:left w:val="single" w:color="auto" w:sz="4" w:space="0"/>
              <w:right w:val="single" w:color="auto" w:sz="4" w:space="0"/>
            </w:tcBorders>
          </w:tcPr>
          <w:p w14:paraId="513780AA">
            <w:pPr>
              <w:keepNext w:val="0"/>
              <w:keepLines w:val="0"/>
              <w:suppressLineNumbers w:val="0"/>
              <w:spacing w:before="0" w:beforeAutospacing="0" w:after="0" w:afterAutospacing="0" w:line="300" w:lineRule="exact"/>
              <w:ind w:left="0" w:right="0"/>
              <w:rPr>
                <w:rFonts w:hint="eastAsia" w:ascii="宋体" w:hAnsi="宋体"/>
                <w:color w:val="auto"/>
                <w:szCs w:val="21"/>
                <w:highlight w:val="none"/>
              </w:rPr>
            </w:pPr>
            <w:r>
              <w:rPr>
                <w:rFonts w:hint="eastAsia" w:ascii="宋体" w:hAnsi="宋体"/>
                <w:color w:val="auto"/>
                <w:szCs w:val="21"/>
                <w:highlight w:val="none"/>
              </w:rPr>
              <w:t>正偏离（负偏离或无偏离）</w:t>
            </w:r>
          </w:p>
          <w:p w14:paraId="5EBA1AB5">
            <w:pPr>
              <w:keepNext w:val="0"/>
              <w:keepLines w:val="0"/>
              <w:suppressLineNumbers w:val="0"/>
              <w:spacing w:before="0" w:beforeAutospacing="0" w:after="0" w:afterAutospacing="0" w:line="300" w:lineRule="exact"/>
              <w:ind w:left="0" w:right="0"/>
              <w:rPr>
                <w:rFonts w:hint="eastAsia" w:ascii="宋体" w:hAnsi="宋体"/>
                <w:color w:val="auto"/>
                <w:szCs w:val="21"/>
                <w:highlight w:val="none"/>
              </w:rPr>
            </w:pPr>
          </w:p>
        </w:tc>
      </w:tr>
      <w:tr w14:paraId="01D6D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364" w:type="pct"/>
            <w:vMerge w:val="continue"/>
            <w:tcBorders>
              <w:left w:val="single" w:color="auto" w:sz="4" w:space="0"/>
              <w:right w:val="single" w:color="auto" w:sz="4" w:space="0"/>
            </w:tcBorders>
            <w:noWrap/>
          </w:tcPr>
          <w:p w14:paraId="6C7AEF4C">
            <w:pPr>
              <w:keepNext w:val="0"/>
              <w:keepLines w:val="0"/>
              <w:suppressLineNumbers w:val="0"/>
              <w:spacing w:before="0" w:beforeAutospacing="0" w:after="0" w:afterAutospacing="0" w:line="340" w:lineRule="exact"/>
              <w:ind w:left="0" w:right="0"/>
              <w:rPr>
                <w:rFonts w:hint="eastAsia" w:ascii="宋体" w:hAnsi="宋体"/>
                <w:color w:val="auto"/>
                <w:szCs w:val="21"/>
                <w:highlight w:val="none"/>
              </w:rPr>
            </w:pPr>
          </w:p>
        </w:tc>
        <w:tc>
          <w:tcPr>
            <w:tcW w:w="1981" w:type="pct"/>
            <w:tcBorders>
              <w:top w:val="single" w:color="auto" w:sz="4" w:space="0"/>
              <w:left w:val="single" w:color="auto" w:sz="4" w:space="0"/>
              <w:bottom w:val="single" w:color="auto" w:sz="4" w:space="0"/>
              <w:right w:val="single" w:color="auto" w:sz="4" w:space="0"/>
            </w:tcBorders>
            <w:noWrap/>
          </w:tcPr>
          <w:p w14:paraId="54C64ACB">
            <w:pPr>
              <w:keepNext w:val="0"/>
              <w:keepLines w:val="0"/>
              <w:suppressLineNumbers w:val="0"/>
              <w:spacing w:before="0" w:beforeAutospacing="0" w:after="0" w:afterAutospacing="0" w:line="340" w:lineRule="exact"/>
              <w:ind w:left="0" w:right="0"/>
              <w:rPr>
                <w:rFonts w:hint="eastAsia" w:ascii="宋体" w:hAnsi="宋体"/>
                <w:color w:val="auto"/>
                <w:szCs w:val="21"/>
                <w:highlight w:val="none"/>
              </w:rPr>
            </w:pPr>
            <w:r>
              <w:rPr>
                <w:rFonts w:hint="eastAsia" w:ascii="宋体" w:hAnsi="宋体"/>
                <w:color w:val="auto"/>
                <w:szCs w:val="21"/>
                <w:highlight w:val="none"/>
              </w:rPr>
              <w:t>2  ……</w:t>
            </w:r>
          </w:p>
          <w:p w14:paraId="6BD3F024">
            <w:pPr>
              <w:keepNext w:val="0"/>
              <w:keepLines w:val="0"/>
              <w:suppressLineNumbers w:val="0"/>
              <w:spacing w:before="0" w:beforeAutospacing="0" w:after="0" w:afterAutospacing="0" w:line="340" w:lineRule="exact"/>
              <w:ind w:left="0" w:right="0"/>
              <w:rPr>
                <w:rFonts w:hint="eastAsia" w:ascii="宋体" w:hAnsi="宋体"/>
                <w:color w:val="auto"/>
                <w:szCs w:val="21"/>
                <w:highlight w:val="none"/>
              </w:rPr>
            </w:pPr>
          </w:p>
        </w:tc>
        <w:tc>
          <w:tcPr>
            <w:tcW w:w="1374" w:type="pct"/>
            <w:tcBorders>
              <w:left w:val="single" w:color="auto" w:sz="4" w:space="0"/>
              <w:right w:val="single" w:color="auto" w:sz="4" w:space="0"/>
            </w:tcBorders>
          </w:tcPr>
          <w:p w14:paraId="36EB26D9">
            <w:pPr>
              <w:keepNext w:val="0"/>
              <w:keepLines w:val="0"/>
              <w:suppressLineNumbers w:val="0"/>
              <w:spacing w:before="0" w:beforeAutospacing="0" w:after="0" w:afterAutospacing="0" w:line="340" w:lineRule="exact"/>
              <w:ind w:left="0" w:right="0"/>
              <w:rPr>
                <w:rFonts w:hint="eastAsia" w:ascii="宋体" w:hAnsi="宋体"/>
                <w:color w:val="auto"/>
                <w:szCs w:val="21"/>
                <w:highlight w:val="none"/>
              </w:rPr>
            </w:pPr>
            <w:r>
              <w:rPr>
                <w:rFonts w:hint="eastAsia" w:ascii="宋体" w:hAnsi="宋体"/>
                <w:color w:val="auto"/>
                <w:szCs w:val="21"/>
                <w:highlight w:val="none"/>
              </w:rPr>
              <w:t>2  ……</w:t>
            </w:r>
          </w:p>
          <w:p w14:paraId="68797C24">
            <w:pPr>
              <w:keepNext w:val="0"/>
              <w:keepLines w:val="0"/>
              <w:suppressLineNumbers w:val="0"/>
              <w:spacing w:before="0" w:beforeAutospacing="0" w:after="0" w:afterAutospacing="0" w:line="300" w:lineRule="exact"/>
              <w:ind w:left="0" w:right="0"/>
              <w:rPr>
                <w:rFonts w:hint="eastAsia" w:ascii="宋体" w:hAnsi="宋体"/>
                <w:color w:val="auto"/>
                <w:szCs w:val="21"/>
                <w:highlight w:val="none"/>
              </w:rPr>
            </w:pPr>
          </w:p>
        </w:tc>
        <w:tc>
          <w:tcPr>
            <w:tcW w:w="1279" w:type="pct"/>
            <w:tcBorders>
              <w:left w:val="single" w:color="auto" w:sz="4" w:space="0"/>
              <w:right w:val="single" w:color="auto" w:sz="4" w:space="0"/>
            </w:tcBorders>
          </w:tcPr>
          <w:p w14:paraId="68FBD572">
            <w:pPr>
              <w:keepNext w:val="0"/>
              <w:keepLines w:val="0"/>
              <w:suppressLineNumbers w:val="0"/>
              <w:spacing w:before="0" w:beforeAutospacing="0" w:after="0" w:afterAutospacing="0" w:line="300" w:lineRule="exact"/>
              <w:ind w:left="0" w:right="0"/>
              <w:rPr>
                <w:rFonts w:hint="eastAsia" w:ascii="宋体" w:hAnsi="宋体"/>
                <w:color w:val="auto"/>
                <w:szCs w:val="21"/>
                <w:highlight w:val="none"/>
              </w:rPr>
            </w:pPr>
            <w:r>
              <w:rPr>
                <w:rFonts w:hint="eastAsia" w:ascii="宋体" w:hAnsi="宋体"/>
                <w:color w:val="auto"/>
                <w:szCs w:val="21"/>
                <w:highlight w:val="none"/>
              </w:rPr>
              <w:t>正偏离（负偏离或无偏离）</w:t>
            </w:r>
          </w:p>
          <w:p w14:paraId="76DABB98">
            <w:pPr>
              <w:keepNext w:val="0"/>
              <w:keepLines w:val="0"/>
              <w:suppressLineNumbers w:val="0"/>
              <w:spacing w:before="0" w:beforeAutospacing="0" w:after="0" w:afterAutospacing="0" w:line="300" w:lineRule="exact"/>
              <w:ind w:left="0" w:right="0"/>
              <w:rPr>
                <w:rFonts w:hint="eastAsia" w:ascii="宋体" w:hAnsi="宋体"/>
                <w:color w:val="auto"/>
                <w:szCs w:val="21"/>
                <w:highlight w:val="none"/>
              </w:rPr>
            </w:pPr>
          </w:p>
        </w:tc>
      </w:tr>
      <w:tr w14:paraId="7CAD2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364" w:type="pct"/>
            <w:vMerge w:val="continue"/>
            <w:tcBorders>
              <w:left w:val="single" w:color="auto" w:sz="4" w:space="0"/>
              <w:right w:val="single" w:color="auto" w:sz="4" w:space="0"/>
            </w:tcBorders>
            <w:noWrap/>
          </w:tcPr>
          <w:p w14:paraId="5185A888">
            <w:pPr>
              <w:keepNext w:val="0"/>
              <w:keepLines w:val="0"/>
              <w:suppressLineNumbers w:val="0"/>
              <w:spacing w:before="0" w:beforeAutospacing="0" w:after="0" w:afterAutospacing="0" w:line="340" w:lineRule="exact"/>
              <w:ind w:left="0" w:right="0"/>
              <w:rPr>
                <w:rFonts w:hint="eastAsia" w:ascii="宋体" w:hAnsi="宋体"/>
                <w:color w:val="auto"/>
                <w:szCs w:val="21"/>
                <w:highlight w:val="none"/>
              </w:rPr>
            </w:pPr>
          </w:p>
        </w:tc>
        <w:tc>
          <w:tcPr>
            <w:tcW w:w="1981" w:type="pct"/>
            <w:tcBorders>
              <w:top w:val="single" w:color="auto" w:sz="4" w:space="0"/>
              <w:left w:val="single" w:color="auto" w:sz="4" w:space="0"/>
              <w:bottom w:val="single" w:color="auto" w:sz="4" w:space="0"/>
              <w:right w:val="single" w:color="auto" w:sz="4" w:space="0"/>
            </w:tcBorders>
            <w:noWrap/>
          </w:tcPr>
          <w:p w14:paraId="5217B3A3">
            <w:pPr>
              <w:keepNext w:val="0"/>
              <w:keepLines w:val="0"/>
              <w:suppressLineNumbers w:val="0"/>
              <w:spacing w:before="0" w:beforeAutospacing="0" w:after="0" w:afterAutospacing="0" w:line="340" w:lineRule="exact"/>
              <w:ind w:left="0" w:right="0"/>
              <w:rPr>
                <w:rFonts w:hint="eastAsia" w:ascii="宋体" w:hAnsi="宋体"/>
                <w:color w:val="auto"/>
                <w:szCs w:val="21"/>
                <w:highlight w:val="none"/>
              </w:rPr>
            </w:pPr>
            <w:r>
              <w:rPr>
                <w:rFonts w:hint="eastAsia" w:ascii="宋体" w:hAnsi="宋体"/>
                <w:color w:val="auto"/>
                <w:szCs w:val="21"/>
                <w:highlight w:val="none"/>
              </w:rPr>
              <w:t>3  ……</w:t>
            </w:r>
          </w:p>
          <w:p w14:paraId="24A6585A">
            <w:pPr>
              <w:keepNext w:val="0"/>
              <w:keepLines w:val="0"/>
              <w:suppressLineNumbers w:val="0"/>
              <w:spacing w:before="0" w:beforeAutospacing="0" w:after="0" w:afterAutospacing="0" w:line="340" w:lineRule="exact"/>
              <w:ind w:left="0" w:right="0"/>
              <w:rPr>
                <w:rFonts w:hint="eastAsia" w:ascii="宋体" w:hAnsi="宋体"/>
                <w:color w:val="auto"/>
                <w:szCs w:val="21"/>
                <w:highlight w:val="none"/>
              </w:rPr>
            </w:pPr>
          </w:p>
        </w:tc>
        <w:tc>
          <w:tcPr>
            <w:tcW w:w="1374" w:type="pct"/>
            <w:tcBorders>
              <w:left w:val="single" w:color="auto" w:sz="4" w:space="0"/>
              <w:right w:val="single" w:color="auto" w:sz="4" w:space="0"/>
            </w:tcBorders>
          </w:tcPr>
          <w:p w14:paraId="484D921A">
            <w:pPr>
              <w:keepNext w:val="0"/>
              <w:keepLines w:val="0"/>
              <w:suppressLineNumbers w:val="0"/>
              <w:spacing w:before="0" w:beforeAutospacing="0" w:after="0" w:afterAutospacing="0" w:line="340" w:lineRule="exact"/>
              <w:ind w:left="0" w:right="0"/>
              <w:rPr>
                <w:rFonts w:hint="eastAsia" w:ascii="宋体" w:hAnsi="宋体"/>
                <w:color w:val="auto"/>
                <w:szCs w:val="21"/>
                <w:highlight w:val="none"/>
              </w:rPr>
            </w:pPr>
            <w:r>
              <w:rPr>
                <w:rFonts w:hint="eastAsia" w:ascii="宋体" w:hAnsi="宋体"/>
                <w:color w:val="auto"/>
                <w:szCs w:val="21"/>
                <w:highlight w:val="none"/>
              </w:rPr>
              <w:t>3  ……</w:t>
            </w:r>
          </w:p>
          <w:p w14:paraId="45A16E01">
            <w:pPr>
              <w:keepNext w:val="0"/>
              <w:keepLines w:val="0"/>
              <w:suppressLineNumbers w:val="0"/>
              <w:spacing w:before="0" w:beforeAutospacing="0" w:after="0" w:afterAutospacing="0" w:line="300" w:lineRule="exact"/>
              <w:ind w:left="0" w:right="0"/>
              <w:rPr>
                <w:rFonts w:hint="eastAsia" w:ascii="宋体" w:hAnsi="宋体"/>
                <w:color w:val="auto"/>
                <w:szCs w:val="21"/>
                <w:highlight w:val="none"/>
              </w:rPr>
            </w:pPr>
          </w:p>
        </w:tc>
        <w:tc>
          <w:tcPr>
            <w:tcW w:w="1279" w:type="pct"/>
            <w:tcBorders>
              <w:left w:val="single" w:color="auto" w:sz="4" w:space="0"/>
              <w:right w:val="single" w:color="auto" w:sz="4" w:space="0"/>
            </w:tcBorders>
          </w:tcPr>
          <w:p w14:paraId="545937CE">
            <w:pPr>
              <w:keepNext w:val="0"/>
              <w:keepLines w:val="0"/>
              <w:suppressLineNumbers w:val="0"/>
              <w:spacing w:before="0" w:beforeAutospacing="0" w:after="0" w:afterAutospacing="0" w:line="300" w:lineRule="exact"/>
              <w:ind w:left="0" w:right="0"/>
              <w:rPr>
                <w:rFonts w:hint="eastAsia" w:ascii="宋体" w:hAnsi="宋体"/>
                <w:color w:val="auto"/>
                <w:szCs w:val="21"/>
                <w:highlight w:val="none"/>
              </w:rPr>
            </w:pPr>
            <w:r>
              <w:rPr>
                <w:rFonts w:hint="eastAsia" w:ascii="宋体" w:hAnsi="宋体"/>
                <w:color w:val="auto"/>
                <w:szCs w:val="21"/>
                <w:highlight w:val="none"/>
              </w:rPr>
              <w:t>正偏离（负偏离或无偏离）</w:t>
            </w:r>
          </w:p>
          <w:p w14:paraId="0AEDAF04">
            <w:pPr>
              <w:keepNext w:val="0"/>
              <w:keepLines w:val="0"/>
              <w:suppressLineNumbers w:val="0"/>
              <w:spacing w:before="0" w:beforeAutospacing="0" w:after="0" w:afterAutospacing="0" w:line="300" w:lineRule="exact"/>
              <w:ind w:left="0" w:right="0"/>
              <w:rPr>
                <w:rFonts w:hint="eastAsia" w:ascii="宋体" w:hAnsi="宋体"/>
                <w:color w:val="auto"/>
                <w:szCs w:val="21"/>
                <w:highlight w:val="none"/>
              </w:rPr>
            </w:pPr>
          </w:p>
        </w:tc>
      </w:tr>
      <w:tr w14:paraId="5BD3D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364" w:type="pct"/>
            <w:vMerge w:val="continue"/>
            <w:tcBorders>
              <w:left w:val="single" w:color="auto" w:sz="4" w:space="0"/>
              <w:bottom w:val="single" w:color="auto" w:sz="4" w:space="0"/>
              <w:right w:val="single" w:color="auto" w:sz="4" w:space="0"/>
            </w:tcBorders>
            <w:noWrap/>
          </w:tcPr>
          <w:p w14:paraId="6FD318CB">
            <w:pPr>
              <w:keepNext w:val="0"/>
              <w:keepLines w:val="0"/>
              <w:suppressLineNumbers w:val="0"/>
              <w:spacing w:before="0" w:beforeAutospacing="0" w:after="0" w:afterAutospacing="0" w:line="340" w:lineRule="exact"/>
              <w:ind w:left="0" w:right="0"/>
              <w:rPr>
                <w:rFonts w:hint="eastAsia" w:ascii="宋体" w:hAnsi="宋体"/>
                <w:color w:val="auto"/>
                <w:szCs w:val="21"/>
                <w:highlight w:val="none"/>
              </w:rPr>
            </w:pPr>
          </w:p>
        </w:tc>
        <w:tc>
          <w:tcPr>
            <w:tcW w:w="1981" w:type="pct"/>
            <w:tcBorders>
              <w:top w:val="single" w:color="auto" w:sz="4" w:space="0"/>
              <w:left w:val="single" w:color="auto" w:sz="4" w:space="0"/>
              <w:bottom w:val="single" w:color="auto" w:sz="4" w:space="0"/>
              <w:right w:val="single" w:color="auto" w:sz="4" w:space="0"/>
            </w:tcBorders>
            <w:noWrap/>
          </w:tcPr>
          <w:p w14:paraId="27B57D2D">
            <w:pPr>
              <w:keepNext w:val="0"/>
              <w:keepLines w:val="0"/>
              <w:suppressLineNumbers w:val="0"/>
              <w:spacing w:before="0" w:beforeAutospacing="0" w:after="0" w:afterAutospacing="0" w:line="340" w:lineRule="exact"/>
              <w:ind w:left="0" w:right="0"/>
              <w:rPr>
                <w:rFonts w:hint="eastAsia" w:ascii="宋体" w:hAnsi="宋体"/>
                <w:color w:val="auto"/>
                <w:szCs w:val="21"/>
                <w:highlight w:val="none"/>
              </w:rPr>
            </w:pPr>
            <w:r>
              <w:rPr>
                <w:rFonts w:hint="eastAsia" w:ascii="宋体" w:hAnsi="宋体"/>
                <w:color w:val="auto"/>
                <w:szCs w:val="21"/>
                <w:highlight w:val="none"/>
              </w:rPr>
              <w:t>……</w:t>
            </w:r>
          </w:p>
        </w:tc>
        <w:tc>
          <w:tcPr>
            <w:tcW w:w="1374" w:type="pct"/>
            <w:tcBorders>
              <w:left w:val="single" w:color="auto" w:sz="4" w:space="0"/>
              <w:bottom w:val="single" w:color="auto" w:sz="4" w:space="0"/>
              <w:right w:val="single" w:color="auto" w:sz="4" w:space="0"/>
            </w:tcBorders>
          </w:tcPr>
          <w:p w14:paraId="58098E12">
            <w:pPr>
              <w:keepNext w:val="0"/>
              <w:keepLines w:val="0"/>
              <w:suppressLineNumbers w:val="0"/>
              <w:spacing w:before="0" w:beforeAutospacing="0" w:after="0" w:afterAutospacing="0" w:line="300" w:lineRule="exact"/>
              <w:ind w:left="0" w:right="0"/>
              <w:rPr>
                <w:rFonts w:hint="eastAsia" w:ascii="宋体" w:hAnsi="宋体"/>
                <w:color w:val="auto"/>
                <w:szCs w:val="21"/>
                <w:highlight w:val="none"/>
              </w:rPr>
            </w:pPr>
            <w:r>
              <w:rPr>
                <w:rFonts w:hint="eastAsia" w:ascii="宋体" w:hAnsi="宋体"/>
                <w:color w:val="auto"/>
                <w:szCs w:val="21"/>
                <w:highlight w:val="none"/>
              </w:rPr>
              <w:t>……</w:t>
            </w:r>
          </w:p>
        </w:tc>
        <w:tc>
          <w:tcPr>
            <w:tcW w:w="1279" w:type="pct"/>
            <w:tcBorders>
              <w:left w:val="single" w:color="auto" w:sz="4" w:space="0"/>
              <w:bottom w:val="single" w:color="auto" w:sz="4" w:space="0"/>
              <w:right w:val="single" w:color="auto" w:sz="4" w:space="0"/>
            </w:tcBorders>
          </w:tcPr>
          <w:p w14:paraId="18F742AC">
            <w:pPr>
              <w:keepNext w:val="0"/>
              <w:keepLines w:val="0"/>
              <w:suppressLineNumbers w:val="0"/>
              <w:spacing w:before="0" w:beforeAutospacing="0" w:after="0" w:afterAutospacing="0" w:line="300" w:lineRule="exact"/>
              <w:ind w:left="0" w:right="0"/>
              <w:rPr>
                <w:rFonts w:hint="eastAsia" w:ascii="宋体" w:hAnsi="宋体"/>
                <w:color w:val="auto"/>
                <w:szCs w:val="21"/>
                <w:highlight w:val="none"/>
              </w:rPr>
            </w:pPr>
            <w:r>
              <w:rPr>
                <w:rFonts w:hint="eastAsia" w:ascii="宋体" w:hAnsi="宋体"/>
                <w:color w:val="auto"/>
                <w:szCs w:val="21"/>
                <w:highlight w:val="none"/>
              </w:rPr>
              <w:t>正偏离（负偏离或无偏离）</w:t>
            </w:r>
          </w:p>
          <w:p w14:paraId="708A36B6">
            <w:pPr>
              <w:keepNext w:val="0"/>
              <w:keepLines w:val="0"/>
              <w:suppressLineNumbers w:val="0"/>
              <w:spacing w:before="0" w:beforeAutospacing="0" w:after="0" w:afterAutospacing="0" w:line="300" w:lineRule="exact"/>
              <w:ind w:left="0" w:right="0"/>
              <w:rPr>
                <w:rFonts w:hint="eastAsia" w:ascii="宋体" w:hAnsi="宋体"/>
                <w:color w:val="auto"/>
                <w:szCs w:val="21"/>
                <w:highlight w:val="none"/>
              </w:rPr>
            </w:pPr>
          </w:p>
        </w:tc>
      </w:tr>
      <w:tr w14:paraId="20F55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64" w:type="pct"/>
            <w:vMerge w:val="restart"/>
            <w:tcBorders>
              <w:top w:val="single" w:color="auto" w:sz="4" w:space="0"/>
              <w:left w:val="single" w:color="auto" w:sz="4" w:space="0"/>
              <w:right w:val="single" w:color="auto" w:sz="4" w:space="0"/>
            </w:tcBorders>
            <w:noWrap/>
          </w:tcPr>
          <w:p w14:paraId="6DE18BB7">
            <w:pPr>
              <w:keepNext w:val="0"/>
              <w:keepLines w:val="0"/>
              <w:suppressLineNumbers w:val="0"/>
              <w:spacing w:before="0" w:beforeAutospacing="0" w:after="0" w:afterAutospacing="0" w:line="340" w:lineRule="exact"/>
              <w:ind w:left="0" w:right="0"/>
              <w:rPr>
                <w:rFonts w:hint="eastAsia" w:ascii="宋体" w:hAnsi="宋体"/>
                <w:color w:val="auto"/>
                <w:szCs w:val="21"/>
                <w:highlight w:val="none"/>
              </w:rPr>
            </w:pPr>
            <w:r>
              <w:rPr>
                <w:rFonts w:hint="eastAsia" w:ascii="宋体" w:hAnsi="宋体"/>
                <w:color w:val="auto"/>
                <w:szCs w:val="21"/>
                <w:highlight w:val="none"/>
              </w:rPr>
              <w:t>二</w:t>
            </w:r>
          </w:p>
        </w:tc>
        <w:tc>
          <w:tcPr>
            <w:tcW w:w="1981" w:type="pct"/>
            <w:tcBorders>
              <w:top w:val="single" w:color="auto" w:sz="4" w:space="0"/>
              <w:left w:val="single" w:color="auto" w:sz="4" w:space="0"/>
              <w:bottom w:val="single" w:color="auto" w:sz="4" w:space="0"/>
              <w:right w:val="single" w:color="auto" w:sz="4" w:space="0"/>
            </w:tcBorders>
            <w:noWrap/>
          </w:tcPr>
          <w:p w14:paraId="2DD0C918">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1  ……</w:t>
            </w:r>
          </w:p>
        </w:tc>
        <w:tc>
          <w:tcPr>
            <w:tcW w:w="1374" w:type="pct"/>
            <w:tcBorders>
              <w:top w:val="single" w:color="auto" w:sz="4" w:space="0"/>
              <w:left w:val="single" w:color="auto" w:sz="4" w:space="0"/>
              <w:right w:val="single" w:color="auto" w:sz="4" w:space="0"/>
            </w:tcBorders>
          </w:tcPr>
          <w:p w14:paraId="7BF09107">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1  ……</w:t>
            </w:r>
          </w:p>
        </w:tc>
        <w:tc>
          <w:tcPr>
            <w:tcW w:w="1279" w:type="pct"/>
            <w:tcBorders>
              <w:top w:val="single" w:color="auto" w:sz="4" w:space="0"/>
              <w:left w:val="single" w:color="auto" w:sz="4" w:space="0"/>
              <w:right w:val="single" w:color="auto" w:sz="4" w:space="0"/>
            </w:tcBorders>
          </w:tcPr>
          <w:p w14:paraId="791B0151">
            <w:pPr>
              <w:keepNext w:val="0"/>
              <w:keepLines w:val="0"/>
              <w:suppressLineNumbers w:val="0"/>
              <w:spacing w:before="0" w:beforeAutospacing="0" w:after="0" w:afterAutospacing="0" w:line="300" w:lineRule="exact"/>
              <w:ind w:left="0" w:right="0"/>
              <w:rPr>
                <w:rFonts w:hint="eastAsia" w:ascii="宋体" w:hAnsi="宋体"/>
                <w:color w:val="auto"/>
                <w:szCs w:val="21"/>
                <w:highlight w:val="none"/>
              </w:rPr>
            </w:pPr>
            <w:r>
              <w:rPr>
                <w:rFonts w:hint="eastAsia" w:ascii="宋体" w:hAnsi="宋体"/>
                <w:color w:val="auto"/>
                <w:szCs w:val="21"/>
                <w:highlight w:val="none"/>
              </w:rPr>
              <w:t>正偏离（负偏离或无偏离）</w:t>
            </w:r>
          </w:p>
          <w:p w14:paraId="12B39155">
            <w:pPr>
              <w:keepNext w:val="0"/>
              <w:keepLines w:val="0"/>
              <w:suppressLineNumbers w:val="0"/>
              <w:spacing w:before="0" w:beforeAutospacing="0" w:after="0" w:afterAutospacing="0" w:line="300" w:lineRule="exact"/>
              <w:ind w:left="0" w:right="0"/>
              <w:rPr>
                <w:rFonts w:hint="eastAsia" w:ascii="宋体" w:hAnsi="宋体"/>
                <w:color w:val="auto"/>
                <w:szCs w:val="21"/>
                <w:highlight w:val="none"/>
              </w:rPr>
            </w:pPr>
          </w:p>
        </w:tc>
      </w:tr>
      <w:tr w14:paraId="42C20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364" w:type="pct"/>
            <w:vMerge w:val="continue"/>
            <w:tcBorders>
              <w:left w:val="single" w:color="auto" w:sz="4" w:space="0"/>
              <w:right w:val="single" w:color="auto" w:sz="4" w:space="0"/>
            </w:tcBorders>
            <w:noWrap/>
          </w:tcPr>
          <w:p w14:paraId="6BA7D9C8">
            <w:pPr>
              <w:keepNext w:val="0"/>
              <w:keepLines w:val="0"/>
              <w:suppressLineNumbers w:val="0"/>
              <w:spacing w:before="0" w:beforeAutospacing="0" w:after="0" w:afterAutospacing="0" w:line="340" w:lineRule="exact"/>
              <w:ind w:left="0" w:right="0"/>
              <w:rPr>
                <w:rFonts w:hint="eastAsia" w:ascii="宋体" w:hAnsi="宋体"/>
                <w:color w:val="auto"/>
                <w:szCs w:val="21"/>
                <w:highlight w:val="none"/>
              </w:rPr>
            </w:pPr>
          </w:p>
        </w:tc>
        <w:tc>
          <w:tcPr>
            <w:tcW w:w="1981" w:type="pct"/>
            <w:tcBorders>
              <w:top w:val="single" w:color="auto" w:sz="4" w:space="0"/>
              <w:left w:val="single" w:color="auto" w:sz="4" w:space="0"/>
              <w:bottom w:val="single" w:color="auto" w:sz="4" w:space="0"/>
              <w:right w:val="single" w:color="auto" w:sz="4" w:space="0"/>
            </w:tcBorders>
            <w:noWrap/>
          </w:tcPr>
          <w:p w14:paraId="31E28028">
            <w:pPr>
              <w:keepNext w:val="0"/>
              <w:keepLines w:val="0"/>
              <w:suppressLineNumbers w:val="0"/>
              <w:spacing w:before="0" w:beforeAutospacing="0" w:after="0" w:afterAutospacing="0" w:line="340" w:lineRule="exact"/>
              <w:ind w:left="0" w:right="0"/>
              <w:rPr>
                <w:rFonts w:hint="eastAsia" w:ascii="宋体" w:hAnsi="宋体"/>
                <w:color w:val="auto"/>
                <w:szCs w:val="21"/>
                <w:highlight w:val="none"/>
              </w:rPr>
            </w:pPr>
            <w:r>
              <w:rPr>
                <w:rFonts w:hint="eastAsia" w:ascii="宋体" w:hAnsi="宋体"/>
                <w:color w:val="auto"/>
                <w:szCs w:val="21"/>
                <w:highlight w:val="none"/>
              </w:rPr>
              <w:t>2  ……</w:t>
            </w:r>
          </w:p>
          <w:p w14:paraId="4674E1C0">
            <w:pPr>
              <w:keepNext w:val="0"/>
              <w:keepLines w:val="0"/>
              <w:suppressLineNumbers w:val="0"/>
              <w:spacing w:before="0" w:beforeAutospacing="0" w:after="0" w:afterAutospacing="0" w:line="340" w:lineRule="exact"/>
              <w:ind w:left="0" w:right="0"/>
              <w:rPr>
                <w:rFonts w:hint="eastAsia" w:ascii="宋体" w:hAnsi="宋体"/>
                <w:color w:val="auto"/>
                <w:szCs w:val="21"/>
                <w:highlight w:val="none"/>
              </w:rPr>
            </w:pPr>
          </w:p>
        </w:tc>
        <w:tc>
          <w:tcPr>
            <w:tcW w:w="1374" w:type="pct"/>
            <w:tcBorders>
              <w:left w:val="single" w:color="auto" w:sz="4" w:space="0"/>
              <w:right w:val="single" w:color="auto" w:sz="4" w:space="0"/>
            </w:tcBorders>
          </w:tcPr>
          <w:p w14:paraId="055E6505">
            <w:pPr>
              <w:keepNext w:val="0"/>
              <w:keepLines w:val="0"/>
              <w:suppressLineNumbers w:val="0"/>
              <w:spacing w:before="0" w:beforeAutospacing="0" w:after="0" w:afterAutospacing="0" w:line="340" w:lineRule="exact"/>
              <w:ind w:left="0" w:right="0"/>
              <w:rPr>
                <w:rFonts w:hint="eastAsia" w:ascii="宋体" w:hAnsi="宋体"/>
                <w:color w:val="auto"/>
                <w:szCs w:val="21"/>
                <w:highlight w:val="none"/>
              </w:rPr>
            </w:pPr>
            <w:r>
              <w:rPr>
                <w:rFonts w:hint="eastAsia" w:ascii="宋体" w:hAnsi="宋体"/>
                <w:color w:val="auto"/>
                <w:szCs w:val="21"/>
                <w:highlight w:val="none"/>
              </w:rPr>
              <w:t>2  ……</w:t>
            </w:r>
          </w:p>
          <w:p w14:paraId="6873E846">
            <w:pPr>
              <w:keepNext w:val="0"/>
              <w:keepLines w:val="0"/>
              <w:suppressLineNumbers w:val="0"/>
              <w:spacing w:before="0" w:beforeAutospacing="0" w:after="0" w:afterAutospacing="0" w:line="300" w:lineRule="exact"/>
              <w:ind w:left="0" w:right="0"/>
              <w:rPr>
                <w:rFonts w:hint="eastAsia" w:ascii="宋体" w:hAnsi="宋体"/>
                <w:color w:val="auto"/>
                <w:szCs w:val="21"/>
                <w:highlight w:val="none"/>
              </w:rPr>
            </w:pPr>
          </w:p>
        </w:tc>
        <w:tc>
          <w:tcPr>
            <w:tcW w:w="1279" w:type="pct"/>
            <w:tcBorders>
              <w:left w:val="single" w:color="auto" w:sz="4" w:space="0"/>
              <w:right w:val="single" w:color="auto" w:sz="4" w:space="0"/>
            </w:tcBorders>
          </w:tcPr>
          <w:p w14:paraId="573A2A61">
            <w:pPr>
              <w:keepNext w:val="0"/>
              <w:keepLines w:val="0"/>
              <w:suppressLineNumbers w:val="0"/>
              <w:spacing w:before="0" w:beforeAutospacing="0" w:after="0" w:afterAutospacing="0" w:line="300" w:lineRule="exact"/>
              <w:ind w:left="0" w:right="0"/>
              <w:rPr>
                <w:rFonts w:hint="eastAsia" w:ascii="宋体" w:hAnsi="宋体"/>
                <w:color w:val="auto"/>
                <w:szCs w:val="21"/>
                <w:highlight w:val="none"/>
              </w:rPr>
            </w:pPr>
            <w:r>
              <w:rPr>
                <w:rFonts w:hint="eastAsia" w:ascii="宋体" w:hAnsi="宋体"/>
                <w:color w:val="auto"/>
                <w:szCs w:val="21"/>
                <w:highlight w:val="none"/>
              </w:rPr>
              <w:t>正偏离（负偏离或无偏离）</w:t>
            </w:r>
          </w:p>
          <w:p w14:paraId="202AF01C">
            <w:pPr>
              <w:keepNext w:val="0"/>
              <w:keepLines w:val="0"/>
              <w:suppressLineNumbers w:val="0"/>
              <w:spacing w:before="0" w:beforeAutospacing="0" w:after="0" w:afterAutospacing="0" w:line="300" w:lineRule="exact"/>
              <w:ind w:left="0" w:right="0"/>
              <w:rPr>
                <w:rFonts w:hint="eastAsia" w:ascii="宋体" w:hAnsi="宋体"/>
                <w:color w:val="auto"/>
                <w:szCs w:val="21"/>
                <w:highlight w:val="none"/>
              </w:rPr>
            </w:pPr>
          </w:p>
        </w:tc>
      </w:tr>
      <w:tr w14:paraId="13792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364" w:type="pct"/>
            <w:vMerge w:val="continue"/>
            <w:tcBorders>
              <w:left w:val="single" w:color="auto" w:sz="4" w:space="0"/>
              <w:right w:val="single" w:color="auto" w:sz="4" w:space="0"/>
            </w:tcBorders>
            <w:noWrap/>
          </w:tcPr>
          <w:p w14:paraId="42F2B496">
            <w:pPr>
              <w:keepNext w:val="0"/>
              <w:keepLines w:val="0"/>
              <w:suppressLineNumbers w:val="0"/>
              <w:spacing w:before="0" w:beforeAutospacing="0" w:after="0" w:afterAutospacing="0" w:line="340" w:lineRule="exact"/>
              <w:ind w:left="0" w:right="0"/>
              <w:rPr>
                <w:rFonts w:hint="eastAsia" w:ascii="宋体" w:hAnsi="宋体"/>
                <w:color w:val="auto"/>
                <w:szCs w:val="21"/>
                <w:highlight w:val="none"/>
              </w:rPr>
            </w:pPr>
          </w:p>
        </w:tc>
        <w:tc>
          <w:tcPr>
            <w:tcW w:w="1981" w:type="pct"/>
            <w:tcBorders>
              <w:top w:val="single" w:color="auto" w:sz="4" w:space="0"/>
              <w:left w:val="single" w:color="auto" w:sz="4" w:space="0"/>
              <w:bottom w:val="single" w:color="auto" w:sz="4" w:space="0"/>
              <w:right w:val="single" w:color="auto" w:sz="4" w:space="0"/>
            </w:tcBorders>
            <w:noWrap/>
          </w:tcPr>
          <w:p w14:paraId="2291E8EF">
            <w:pPr>
              <w:keepNext w:val="0"/>
              <w:keepLines w:val="0"/>
              <w:suppressLineNumbers w:val="0"/>
              <w:spacing w:before="0" w:beforeAutospacing="0" w:after="0" w:afterAutospacing="0" w:line="340" w:lineRule="exact"/>
              <w:ind w:left="0" w:right="0"/>
              <w:rPr>
                <w:rFonts w:hint="eastAsia" w:ascii="宋体" w:hAnsi="宋体"/>
                <w:color w:val="auto"/>
                <w:szCs w:val="21"/>
                <w:highlight w:val="none"/>
              </w:rPr>
            </w:pPr>
            <w:r>
              <w:rPr>
                <w:rFonts w:hint="eastAsia" w:ascii="宋体" w:hAnsi="宋体"/>
                <w:color w:val="auto"/>
                <w:szCs w:val="21"/>
                <w:highlight w:val="none"/>
              </w:rPr>
              <w:t>3  ……</w:t>
            </w:r>
          </w:p>
          <w:p w14:paraId="7945231C">
            <w:pPr>
              <w:keepNext w:val="0"/>
              <w:keepLines w:val="0"/>
              <w:suppressLineNumbers w:val="0"/>
              <w:spacing w:before="0" w:beforeAutospacing="0" w:after="0" w:afterAutospacing="0" w:line="340" w:lineRule="exact"/>
              <w:ind w:left="0" w:right="0"/>
              <w:rPr>
                <w:rFonts w:hint="eastAsia" w:ascii="宋体" w:hAnsi="宋体"/>
                <w:color w:val="auto"/>
                <w:szCs w:val="21"/>
                <w:highlight w:val="none"/>
              </w:rPr>
            </w:pPr>
          </w:p>
        </w:tc>
        <w:tc>
          <w:tcPr>
            <w:tcW w:w="1374" w:type="pct"/>
            <w:tcBorders>
              <w:left w:val="single" w:color="auto" w:sz="4" w:space="0"/>
              <w:right w:val="single" w:color="auto" w:sz="4" w:space="0"/>
            </w:tcBorders>
          </w:tcPr>
          <w:p w14:paraId="5EF35554">
            <w:pPr>
              <w:keepNext w:val="0"/>
              <w:keepLines w:val="0"/>
              <w:suppressLineNumbers w:val="0"/>
              <w:spacing w:before="0" w:beforeAutospacing="0" w:after="0" w:afterAutospacing="0" w:line="340" w:lineRule="exact"/>
              <w:ind w:left="0" w:right="0"/>
              <w:rPr>
                <w:rFonts w:hint="eastAsia" w:ascii="宋体" w:hAnsi="宋体"/>
                <w:color w:val="auto"/>
                <w:szCs w:val="21"/>
                <w:highlight w:val="none"/>
              </w:rPr>
            </w:pPr>
            <w:r>
              <w:rPr>
                <w:rFonts w:hint="eastAsia" w:ascii="宋体" w:hAnsi="宋体"/>
                <w:color w:val="auto"/>
                <w:szCs w:val="21"/>
                <w:highlight w:val="none"/>
              </w:rPr>
              <w:t>3  ……</w:t>
            </w:r>
          </w:p>
          <w:p w14:paraId="267C3705">
            <w:pPr>
              <w:keepNext w:val="0"/>
              <w:keepLines w:val="0"/>
              <w:suppressLineNumbers w:val="0"/>
              <w:spacing w:before="0" w:beforeAutospacing="0" w:after="0" w:afterAutospacing="0" w:line="300" w:lineRule="exact"/>
              <w:ind w:left="0" w:right="0"/>
              <w:rPr>
                <w:rFonts w:hint="eastAsia" w:ascii="宋体" w:hAnsi="宋体"/>
                <w:color w:val="auto"/>
                <w:szCs w:val="21"/>
                <w:highlight w:val="none"/>
              </w:rPr>
            </w:pPr>
          </w:p>
        </w:tc>
        <w:tc>
          <w:tcPr>
            <w:tcW w:w="1279" w:type="pct"/>
            <w:tcBorders>
              <w:left w:val="single" w:color="auto" w:sz="4" w:space="0"/>
              <w:right w:val="single" w:color="auto" w:sz="4" w:space="0"/>
            </w:tcBorders>
          </w:tcPr>
          <w:p w14:paraId="50AAB1A0">
            <w:pPr>
              <w:keepNext w:val="0"/>
              <w:keepLines w:val="0"/>
              <w:suppressLineNumbers w:val="0"/>
              <w:spacing w:before="0" w:beforeAutospacing="0" w:after="0" w:afterAutospacing="0" w:line="300" w:lineRule="exact"/>
              <w:ind w:left="0" w:right="0"/>
              <w:rPr>
                <w:rFonts w:hint="eastAsia" w:ascii="宋体" w:hAnsi="宋体"/>
                <w:color w:val="auto"/>
                <w:szCs w:val="21"/>
                <w:highlight w:val="none"/>
              </w:rPr>
            </w:pPr>
            <w:r>
              <w:rPr>
                <w:rFonts w:hint="eastAsia" w:ascii="宋体" w:hAnsi="宋体"/>
                <w:color w:val="auto"/>
                <w:szCs w:val="21"/>
                <w:highlight w:val="none"/>
              </w:rPr>
              <w:t>正偏离（负偏离或无偏离）</w:t>
            </w:r>
          </w:p>
          <w:p w14:paraId="7648451E">
            <w:pPr>
              <w:keepNext w:val="0"/>
              <w:keepLines w:val="0"/>
              <w:suppressLineNumbers w:val="0"/>
              <w:spacing w:before="0" w:beforeAutospacing="0" w:after="0" w:afterAutospacing="0" w:line="300" w:lineRule="exact"/>
              <w:ind w:left="0" w:right="0"/>
              <w:rPr>
                <w:rFonts w:hint="eastAsia" w:ascii="宋体" w:hAnsi="宋体"/>
                <w:color w:val="auto"/>
                <w:szCs w:val="21"/>
                <w:highlight w:val="none"/>
              </w:rPr>
            </w:pPr>
          </w:p>
        </w:tc>
      </w:tr>
      <w:tr w14:paraId="7D691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364" w:type="pct"/>
            <w:vMerge w:val="continue"/>
            <w:tcBorders>
              <w:left w:val="single" w:color="auto" w:sz="4" w:space="0"/>
              <w:bottom w:val="single" w:color="auto" w:sz="4" w:space="0"/>
              <w:right w:val="single" w:color="auto" w:sz="4" w:space="0"/>
            </w:tcBorders>
            <w:noWrap/>
          </w:tcPr>
          <w:p w14:paraId="7041DA96">
            <w:pPr>
              <w:keepNext w:val="0"/>
              <w:keepLines w:val="0"/>
              <w:suppressLineNumbers w:val="0"/>
              <w:spacing w:before="0" w:beforeAutospacing="0" w:after="0" w:afterAutospacing="0" w:line="340" w:lineRule="exact"/>
              <w:ind w:left="0" w:right="0"/>
              <w:rPr>
                <w:rFonts w:hint="eastAsia" w:ascii="宋体" w:hAnsi="宋体"/>
                <w:color w:val="auto"/>
                <w:szCs w:val="21"/>
                <w:highlight w:val="none"/>
              </w:rPr>
            </w:pPr>
          </w:p>
        </w:tc>
        <w:tc>
          <w:tcPr>
            <w:tcW w:w="1981" w:type="pct"/>
            <w:tcBorders>
              <w:top w:val="single" w:color="auto" w:sz="4" w:space="0"/>
              <w:left w:val="single" w:color="auto" w:sz="4" w:space="0"/>
              <w:bottom w:val="single" w:color="auto" w:sz="4" w:space="0"/>
              <w:right w:val="single" w:color="auto" w:sz="4" w:space="0"/>
            </w:tcBorders>
            <w:noWrap/>
          </w:tcPr>
          <w:p w14:paraId="53BFF5F3">
            <w:pPr>
              <w:keepNext w:val="0"/>
              <w:keepLines w:val="0"/>
              <w:suppressLineNumbers w:val="0"/>
              <w:spacing w:before="0" w:beforeAutospacing="0" w:after="0" w:afterAutospacing="0" w:line="340" w:lineRule="exact"/>
              <w:ind w:left="0" w:right="0"/>
              <w:rPr>
                <w:rFonts w:hint="eastAsia" w:ascii="宋体" w:hAnsi="宋体"/>
                <w:color w:val="auto"/>
                <w:szCs w:val="21"/>
                <w:highlight w:val="none"/>
              </w:rPr>
            </w:pPr>
            <w:r>
              <w:rPr>
                <w:rFonts w:hint="eastAsia" w:ascii="宋体" w:hAnsi="宋体"/>
                <w:color w:val="auto"/>
                <w:szCs w:val="21"/>
                <w:highlight w:val="none"/>
              </w:rPr>
              <w:t>……</w:t>
            </w:r>
          </w:p>
        </w:tc>
        <w:tc>
          <w:tcPr>
            <w:tcW w:w="1374" w:type="pct"/>
            <w:tcBorders>
              <w:left w:val="single" w:color="auto" w:sz="4" w:space="0"/>
              <w:bottom w:val="single" w:color="auto" w:sz="4" w:space="0"/>
              <w:right w:val="single" w:color="auto" w:sz="4" w:space="0"/>
            </w:tcBorders>
          </w:tcPr>
          <w:p w14:paraId="3438E59C">
            <w:pPr>
              <w:keepNext w:val="0"/>
              <w:keepLines w:val="0"/>
              <w:suppressLineNumbers w:val="0"/>
              <w:spacing w:before="0" w:beforeAutospacing="0" w:after="0" w:afterAutospacing="0" w:line="300" w:lineRule="exact"/>
              <w:ind w:left="0" w:right="0"/>
              <w:rPr>
                <w:rFonts w:hint="eastAsia" w:ascii="宋体" w:hAnsi="宋体"/>
                <w:color w:val="auto"/>
                <w:szCs w:val="21"/>
                <w:highlight w:val="none"/>
              </w:rPr>
            </w:pPr>
            <w:r>
              <w:rPr>
                <w:rFonts w:hint="eastAsia" w:ascii="宋体" w:hAnsi="宋体"/>
                <w:color w:val="auto"/>
                <w:szCs w:val="21"/>
                <w:highlight w:val="none"/>
              </w:rPr>
              <w:t>……</w:t>
            </w:r>
          </w:p>
        </w:tc>
        <w:tc>
          <w:tcPr>
            <w:tcW w:w="1279" w:type="pct"/>
            <w:tcBorders>
              <w:left w:val="single" w:color="auto" w:sz="4" w:space="0"/>
              <w:bottom w:val="single" w:color="auto" w:sz="4" w:space="0"/>
              <w:right w:val="single" w:color="auto" w:sz="4" w:space="0"/>
            </w:tcBorders>
          </w:tcPr>
          <w:p w14:paraId="00BD11C4">
            <w:pPr>
              <w:keepNext w:val="0"/>
              <w:keepLines w:val="0"/>
              <w:suppressLineNumbers w:val="0"/>
              <w:spacing w:before="0" w:beforeAutospacing="0" w:after="0" w:afterAutospacing="0" w:line="300" w:lineRule="exact"/>
              <w:ind w:left="0" w:right="0"/>
              <w:rPr>
                <w:rFonts w:hint="eastAsia" w:ascii="宋体" w:hAnsi="宋体"/>
                <w:color w:val="auto"/>
                <w:szCs w:val="21"/>
                <w:highlight w:val="none"/>
              </w:rPr>
            </w:pPr>
            <w:r>
              <w:rPr>
                <w:rFonts w:hint="eastAsia" w:ascii="宋体" w:hAnsi="宋体"/>
                <w:color w:val="auto"/>
                <w:szCs w:val="21"/>
                <w:highlight w:val="none"/>
              </w:rPr>
              <w:t>正偏离（负偏离或无偏离）</w:t>
            </w:r>
          </w:p>
          <w:p w14:paraId="4074210E">
            <w:pPr>
              <w:keepNext w:val="0"/>
              <w:keepLines w:val="0"/>
              <w:suppressLineNumbers w:val="0"/>
              <w:spacing w:before="0" w:beforeAutospacing="0" w:after="0" w:afterAutospacing="0" w:line="300" w:lineRule="exact"/>
              <w:ind w:left="0" w:right="0"/>
              <w:rPr>
                <w:rFonts w:hint="eastAsia" w:ascii="宋体" w:hAnsi="宋体"/>
                <w:color w:val="auto"/>
                <w:szCs w:val="21"/>
                <w:highlight w:val="none"/>
              </w:rPr>
            </w:pPr>
          </w:p>
        </w:tc>
      </w:tr>
      <w:tr w14:paraId="467DF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64" w:type="pct"/>
            <w:vMerge w:val="restart"/>
            <w:tcBorders>
              <w:top w:val="single" w:color="auto" w:sz="4" w:space="0"/>
              <w:left w:val="single" w:color="auto" w:sz="4" w:space="0"/>
              <w:right w:val="single" w:color="auto" w:sz="4" w:space="0"/>
            </w:tcBorders>
            <w:noWrap/>
          </w:tcPr>
          <w:p w14:paraId="6FD11F5E">
            <w:pPr>
              <w:keepNext w:val="0"/>
              <w:keepLines w:val="0"/>
              <w:suppressLineNumbers w:val="0"/>
              <w:spacing w:before="0" w:beforeAutospacing="0" w:after="0" w:afterAutospacing="0" w:line="340" w:lineRule="exact"/>
              <w:ind w:left="0" w:right="0"/>
              <w:rPr>
                <w:rFonts w:hint="eastAsia" w:ascii="宋体" w:hAnsi="宋体"/>
                <w:color w:val="auto"/>
                <w:szCs w:val="21"/>
                <w:highlight w:val="none"/>
              </w:rPr>
            </w:pPr>
            <w:r>
              <w:rPr>
                <w:rFonts w:hint="eastAsia" w:ascii="宋体" w:hAnsi="宋体"/>
                <w:color w:val="auto"/>
                <w:szCs w:val="21"/>
                <w:highlight w:val="none"/>
              </w:rPr>
              <w:t>……</w:t>
            </w:r>
          </w:p>
        </w:tc>
        <w:tc>
          <w:tcPr>
            <w:tcW w:w="1981" w:type="pct"/>
            <w:tcBorders>
              <w:top w:val="single" w:color="auto" w:sz="4" w:space="0"/>
              <w:left w:val="single" w:color="auto" w:sz="4" w:space="0"/>
              <w:bottom w:val="single" w:color="auto" w:sz="4" w:space="0"/>
              <w:right w:val="single" w:color="auto" w:sz="4" w:space="0"/>
            </w:tcBorders>
            <w:noWrap/>
          </w:tcPr>
          <w:p w14:paraId="34811A93">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1  ……</w:t>
            </w:r>
          </w:p>
        </w:tc>
        <w:tc>
          <w:tcPr>
            <w:tcW w:w="1374" w:type="pct"/>
            <w:tcBorders>
              <w:top w:val="single" w:color="auto" w:sz="4" w:space="0"/>
              <w:left w:val="single" w:color="auto" w:sz="4" w:space="0"/>
              <w:right w:val="single" w:color="auto" w:sz="4" w:space="0"/>
            </w:tcBorders>
          </w:tcPr>
          <w:p w14:paraId="336A18EB">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1  ……</w:t>
            </w:r>
          </w:p>
        </w:tc>
        <w:tc>
          <w:tcPr>
            <w:tcW w:w="1279" w:type="pct"/>
            <w:tcBorders>
              <w:top w:val="single" w:color="auto" w:sz="4" w:space="0"/>
              <w:left w:val="single" w:color="auto" w:sz="4" w:space="0"/>
              <w:right w:val="single" w:color="auto" w:sz="4" w:space="0"/>
            </w:tcBorders>
          </w:tcPr>
          <w:p w14:paraId="2BC7ADB5">
            <w:pPr>
              <w:keepNext w:val="0"/>
              <w:keepLines w:val="0"/>
              <w:suppressLineNumbers w:val="0"/>
              <w:spacing w:before="0" w:beforeAutospacing="0" w:after="0" w:afterAutospacing="0" w:line="300" w:lineRule="exact"/>
              <w:ind w:left="0" w:right="0"/>
              <w:rPr>
                <w:rFonts w:hint="eastAsia" w:ascii="宋体" w:hAnsi="宋体"/>
                <w:color w:val="auto"/>
                <w:szCs w:val="21"/>
                <w:highlight w:val="none"/>
              </w:rPr>
            </w:pPr>
            <w:r>
              <w:rPr>
                <w:rFonts w:hint="eastAsia" w:ascii="宋体" w:hAnsi="宋体"/>
                <w:color w:val="auto"/>
                <w:szCs w:val="21"/>
                <w:highlight w:val="none"/>
              </w:rPr>
              <w:t>正偏离（负偏离或无偏离）</w:t>
            </w:r>
          </w:p>
          <w:p w14:paraId="2FA56FC2">
            <w:pPr>
              <w:keepNext w:val="0"/>
              <w:keepLines w:val="0"/>
              <w:suppressLineNumbers w:val="0"/>
              <w:spacing w:before="0" w:beforeAutospacing="0" w:after="0" w:afterAutospacing="0" w:line="300" w:lineRule="exact"/>
              <w:ind w:left="0" w:right="0"/>
              <w:rPr>
                <w:rFonts w:hint="eastAsia" w:ascii="宋体" w:hAnsi="宋体"/>
                <w:color w:val="auto"/>
                <w:szCs w:val="21"/>
                <w:highlight w:val="none"/>
              </w:rPr>
            </w:pPr>
          </w:p>
        </w:tc>
      </w:tr>
      <w:tr w14:paraId="1B7E1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364" w:type="pct"/>
            <w:vMerge w:val="continue"/>
            <w:tcBorders>
              <w:left w:val="single" w:color="auto" w:sz="4" w:space="0"/>
              <w:right w:val="single" w:color="auto" w:sz="4" w:space="0"/>
            </w:tcBorders>
            <w:noWrap/>
          </w:tcPr>
          <w:p w14:paraId="58759538">
            <w:pPr>
              <w:keepNext w:val="0"/>
              <w:keepLines w:val="0"/>
              <w:suppressLineNumbers w:val="0"/>
              <w:spacing w:before="0" w:beforeAutospacing="0" w:after="0" w:afterAutospacing="0" w:line="340" w:lineRule="exact"/>
              <w:ind w:left="0" w:right="0"/>
              <w:rPr>
                <w:rFonts w:hint="eastAsia" w:ascii="宋体" w:hAnsi="宋体"/>
                <w:color w:val="auto"/>
                <w:szCs w:val="21"/>
                <w:highlight w:val="none"/>
              </w:rPr>
            </w:pPr>
          </w:p>
        </w:tc>
        <w:tc>
          <w:tcPr>
            <w:tcW w:w="1981" w:type="pct"/>
            <w:tcBorders>
              <w:top w:val="single" w:color="auto" w:sz="4" w:space="0"/>
              <w:left w:val="single" w:color="auto" w:sz="4" w:space="0"/>
              <w:bottom w:val="single" w:color="auto" w:sz="4" w:space="0"/>
              <w:right w:val="single" w:color="auto" w:sz="4" w:space="0"/>
            </w:tcBorders>
            <w:noWrap/>
          </w:tcPr>
          <w:p w14:paraId="4FE2B656">
            <w:pPr>
              <w:keepNext w:val="0"/>
              <w:keepLines w:val="0"/>
              <w:suppressLineNumbers w:val="0"/>
              <w:spacing w:before="0" w:beforeAutospacing="0" w:after="0" w:afterAutospacing="0" w:line="340" w:lineRule="exact"/>
              <w:ind w:left="0" w:right="0"/>
              <w:rPr>
                <w:rFonts w:hint="eastAsia" w:ascii="宋体" w:hAnsi="宋体"/>
                <w:color w:val="auto"/>
                <w:szCs w:val="21"/>
                <w:highlight w:val="none"/>
              </w:rPr>
            </w:pPr>
            <w:r>
              <w:rPr>
                <w:rFonts w:hint="eastAsia" w:ascii="宋体" w:hAnsi="宋体"/>
                <w:color w:val="auto"/>
                <w:szCs w:val="21"/>
                <w:highlight w:val="none"/>
              </w:rPr>
              <w:t>2  ……</w:t>
            </w:r>
          </w:p>
          <w:p w14:paraId="4615B512">
            <w:pPr>
              <w:keepNext w:val="0"/>
              <w:keepLines w:val="0"/>
              <w:suppressLineNumbers w:val="0"/>
              <w:spacing w:before="0" w:beforeAutospacing="0" w:after="0" w:afterAutospacing="0" w:line="340" w:lineRule="exact"/>
              <w:ind w:left="0" w:right="0"/>
              <w:rPr>
                <w:rFonts w:hint="eastAsia" w:ascii="宋体" w:hAnsi="宋体"/>
                <w:color w:val="auto"/>
                <w:szCs w:val="21"/>
                <w:highlight w:val="none"/>
              </w:rPr>
            </w:pPr>
          </w:p>
        </w:tc>
        <w:tc>
          <w:tcPr>
            <w:tcW w:w="1374" w:type="pct"/>
            <w:tcBorders>
              <w:left w:val="single" w:color="auto" w:sz="4" w:space="0"/>
              <w:right w:val="single" w:color="auto" w:sz="4" w:space="0"/>
            </w:tcBorders>
          </w:tcPr>
          <w:p w14:paraId="7F1F0A2C">
            <w:pPr>
              <w:keepNext w:val="0"/>
              <w:keepLines w:val="0"/>
              <w:suppressLineNumbers w:val="0"/>
              <w:spacing w:before="0" w:beforeAutospacing="0" w:after="0" w:afterAutospacing="0" w:line="340" w:lineRule="exact"/>
              <w:ind w:left="0" w:right="0"/>
              <w:rPr>
                <w:rFonts w:hint="eastAsia" w:ascii="宋体" w:hAnsi="宋体"/>
                <w:color w:val="auto"/>
                <w:szCs w:val="21"/>
                <w:highlight w:val="none"/>
              </w:rPr>
            </w:pPr>
            <w:r>
              <w:rPr>
                <w:rFonts w:hint="eastAsia" w:ascii="宋体" w:hAnsi="宋体"/>
                <w:color w:val="auto"/>
                <w:szCs w:val="21"/>
                <w:highlight w:val="none"/>
              </w:rPr>
              <w:t>2  ……</w:t>
            </w:r>
          </w:p>
          <w:p w14:paraId="0616C462">
            <w:pPr>
              <w:keepNext w:val="0"/>
              <w:keepLines w:val="0"/>
              <w:suppressLineNumbers w:val="0"/>
              <w:spacing w:before="0" w:beforeAutospacing="0" w:after="0" w:afterAutospacing="0" w:line="300" w:lineRule="exact"/>
              <w:ind w:left="0" w:right="0"/>
              <w:rPr>
                <w:rFonts w:hint="eastAsia" w:ascii="宋体" w:hAnsi="宋体"/>
                <w:color w:val="auto"/>
                <w:szCs w:val="21"/>
                <w:highlight w:val="none"/>
              </w:rPr>
            </w:pPr>
          </w:p>
        </w:tc>
        <w:tc>
          <w:tcPr>
            <w:tcW w:w="1279" w:type="pct"/>
            <w:tcBorders>
              <w:left w:val="single" w:color="auto" w:sz="4" w:space="0"/>
              <w:right w:val="single" w:color="auto" w:sz="4" w:space="0"/>
            </w:tcBorders>
          </w:tcPr>
          <w:p w14:paraId="27806A0A">
            <w:pPr>
              <w:keepNext w:val="0"/>
              <w:keepLines w:val="0"/>
              <w:suppressLineNumbers w:val="0"/>
              <w:spacing w:before="0" w:beforeAutospacing="0" w:after="0" w:afterAutospacing="0" w:line="300" w:lineRule="exact"/>
              <w:ind w:left="0" w:right="0"/>
              <w:rPr>
                <w:rFonts w:hint="eastAsia" w:ascii="宋体" w:hAnsi="宋体"/>
                <w:color w:val="auto"/>
                <w:szCs w:val="21"/>
                <w:highlight w:val="none"/>
              </w:rPr>
            </w:pPr>
            <w:r>
              <w:rPr>
                <w:rFonts w:hint="eastAsia" w:ascii="宋体" w:hAnsi="宋体"/>
                <w:color w:val="auto"/>
                <w:szCs w:val="21"/>
                <w:highlight w:val="none"/>
              </w:rPr>
              <w:t>正偏离（负偏离或无偏离）</w:t>
            </w:r>
          </w:p>
          <w:p w14:paraId="5337B808">
            <w:pPr>
              <w:keepNext w:val="0"/>
              <w:keepLines w:val="0"/>
              <w:suppressLineNumbers w:val="0"/>
              <w:spacing w:before="0" w:beforeAutospacing="0" w:after="0" w:afterAutospacing="0" w:line="300" w:lineRule="exact"/>
              <w:ind w:left="0" w:right="0"/>
              <w:rPr>
                <w:rFonts w:hint="eastAsia" w:ascii="宋体" w:hAnsi="宋体"/>
                <w:color w:val="auto"/>
                <w:szCs w:val="21"/>
                <w:highlight w:val="none"/>
              </w:rPr>
            </w:pPr>
          </w:p>
        </w:tc>
      </w:tr>
      <w:tr w14:paraId="09D84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364" w:type="pct"/>
            <w:vMerge w:val="continue"/>
            <w:tcBorders>
              <w:left w:val="single" w:color="auto" w:sz="4" w:space="0"/>
              <w:right w:val="single" w:color="auto" w:sz="4" w:space="0"/>
            </w:tcBorders>
            <w:noWrap/>
          </w:tcPr>
          <w:p w14:paraId="09D8803C">
            <w:pPr>
              <w:keepNext w:val="0"/>
              <w:keepLines w:val="0"/>
              <w:suppressLineNumbers w:val="0"/>
              <w:spacing w:before="0" w:beforeAutospacing="0" w:after="0" w:afterAutospacing="0" w:line="340" w:lineRule="exact"/>
              <w:ind w:left="0" w:right="0"/>
              <w:rPr>
                <w:rFonts w:hint="eastAsia" w:ascii="宋体" w:hAnsi="宋体"/>
                <w:color w:val="auto"/>
                <w:szCs w:val="21"/>
                <w:highlight w:val="none"/>
              </w:rPr>
            </w:pPr>
          </w:p>
        </w:tc>
        <w:tc>
          <w:tcPr>
            <w:tcW w:w="1981" w:type="pct"/>
            <w:tcBorders>
              <w:top w:val="single" w:color="auto" w:sz="4" w:space="0"/>
              <w:left w:val="single" w:color="auto" w:sz="4" w:space="0"/>
              <w:bottom w:val="single" w:color="auto" w:sz="4" w:space="0"/>
              <w:right w:val="single" w:color="auto" w:sz="4" w:space="0"/>
            </w:tcBorders>
            <w:noWrap/>
          </w:tcPr>
          <w:p w14:paraId="2B81200F">
            <w:pPr>
              <w:keepNext w:val="0"/>
              <w:keepLines w:val="0"/>
              <w:suppressLineNumbers w:val="0"/>
              <w:spacing w:before="0" w:beforeAutospacing="0" w:after="0" w:afterAutospacing="0" w:line="340" w:lineRule="exact"/>
              <w:ind w:left="0" w:right="0"/>
              <w:rPr>
                <w:rFonts w:hint="eastAsia" w:ascii="宋体" w:hAnsi="宋体"/>
                <w:color w:val="auto"/>
                <w:szCs w:val="21"/>
                <w:highlight w:val="none"/>
              </w:rPr>
            </w:pPr>
            <w:r>
              <w:rPr>
                <w:rFonts w:hint="eastAsia" w:ascii="宋体" w:hAnsi="宋体"/>
                <w:color w:val="auto"/>
                <w:szCs w:val="21"/>
                <w:highlight w:val="none"/>
              </w:rPr>
              <w:t>3  ……</w:t>
            </w:r>
          </w:p>
          <w:p w14:paraId="07F48932">
            <w:pPr>
              <w:keepNext w:val="0"/>
              <w:keepLines w:val="0"/>
              <w:suppressLineNumbers w:val="0"/>
              <w:spacing w:before="0" w:beforeAutospacing="0" w:after="0" w:afterAutospacing="0" w:line="340" w:lineRule="exact"/>
              <w:ind w:left="0" w:right="0"/>
              <w:rPr>
                <w:rFonts w:hint="eastAsia" w:ascii="宋体" w:hAnsi="宋体"/>
                <w:color w:val="auto"/>
                <w:szCs w:val="21"/>
                <w:highlight w:val="none"/>
              </w:rPr>
            </w:pPr>
          </w:p>
        </w:tc>
        <w:tc>
          <w:tcPr>
            <w:tcW w:w="1374" w:type="pct"/>
            <w:tcBorders>
              <w:left w:val="single" w:color="auto" w:sz="4" w:space="0"/>
              <w:right w:val="single" w:color="auto" w:sz="4" w:space="0"/>
            </w:tcBorders>
          </w:tcPr>
          <w:p w14:paraId="57F60212">
            <w:pPr>
              <w:keepNext w:val="0"/>
              <w:keepLines w:val="0"/>
              <w:suppressLineNumbers w:val="0"/>
              <w:spacing w:before="0" w:beforeAutospacing="0" w:after="0" w:afterAutospacing="0" w:line="340" w:lineRule="exact"/>
              <w:ind w:left="0" w:right="0"/>
              <w:rPr>
                <w:rFonts w:hint="eastAsia" w:ascii="宋体" w:hAnsi="宋体"/>
                <w:color w:val="auto"/>
                <w:szCs w:val="21"/>
                <w:highlight w:val="none"/>
              </w:rPr>
            </w:pPr>
            <w:r>
              <w:rPr>
                <w:rFonts w:hint="eastAsia" w:ascii="宋体" w:hAnsi="宋体"/>
                <w:color w:val="auto"/>
                <w:szCs w:val="21"/>
                <w:highlight w:val="none"/>
              </w:rPr>
              <w:t>3  ……</w:t>
            </w:r>
          </w:p>
          <w:p w14:paraId="0F35482E">
            <w:pPr>
              <w:keepNext w:val="0"/>
              <w:keepLines w:val="0"/>
              <w:suppressLineNumbers w:val="0"/>
              <w:spacing w:before="0" w:beforeAutospacing="0" w:after="0" w:afterAutospacing="0" w:line="300" w:lineRule="exact"/>
              <w:ind w:left="0" w:right="0"/>
              <w:rPr>
                <w:rFonts w:hint="eastAsia" w:ascii="宋体" w:hAnsi="宋体"/>
                <w:color w:val="auto"/>
                <w:szCs w:val="21"/>
                <w:highlight w:val="none"/>
              </w:rPr>
            </w:pPr>
          </w:p>
        </w:tc>
        <w:tc>
          <w:tcPr>
            <w:tcW w:w="1279" w:type="pct"/>
            <w:tcBorders>
              <w:left w:val="single" w:color="auto" w:sz="4" w:space="0"/>
              <w:right w:val="single" w:color="auto" w:sz="4" w:space="0"/>
            </w:tcBorders>
          </w:tcPr>
          <w:p w14:paraId="6D0E109F">
            <w:pPr>
              <w:keepNext w:val="0"/>
              <w:keepLines w:val="0"/>
              <w:suppressLineNumbers w:val="0"/>
              <w:spacing w:before="0" w:beforeAutospacing="0" w:after="0" w:afterAutospacing="0" w:line="300" w:lineRule="exact"/>
              <w:ind w:left="0" w:right="0"/>
              <w:rPr>
                <w:rFonts w:hint="eastAsia" w:ascii="宋体" w:hAnsi="宋体"/>
                <w:color w:val="auto"/>
                <w:szCs w:val="21"/>
                <w:highlight w:val="none"/>
              </w:rPr>
            </w:pPr>
            <w:r>
              <w:rPr>
                <w:rFonts w:hint="eastAsia" w:ascii="宋体" w:hAnsi="宋体"/>
                <w:color w:val="auto"/>
                <w:szCs w:val="21"/>
                <w:highlight w:val="none"/>
              </w:rPr>
              <w:t>正偏离（负偏离或无偏离）</w:t>
            </w:r>
          </w:p>
          <w:p w14:paraId="0B8EF5C5">
            <w:pPr>
              <w:keepNext w:val="0"/>
              <w:keepLines w:val="0"/>
              <w:suppressLineNumbers w:val="0"/>
              <w:spacing w:before="0" w:beforeAutospacing="0" w:after="0" w:afterAutospacing="0" w:line="300" w:lineRule="exact"/>
              <w:ind w:left="0" w:right="0"/>
              <w:rPr>
                <w:rFonts w:hint="eastAsia" w:ascii="宋体" w:hAnsi="宋体"/>
                <w:color w:val="auto"/>
                <w:szCs w:val="21"/>
                <w:highlight w:val="none"/>
              </w:rPr>
            </w:pPr>
          </w:p>
        </w:tc>
      </w:tr>
      <w:tr w14:paraId="4E7DD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364" w:type="pct"/>
            <w:vMerge w:val="continue"/>
            <w:tcBorders>
              <w:left w:val="single" w:color="auto" w:sz="4" w:space="0"/>
              <w:bottom w:val="single" w:color="auto" w:sz="4" w:space="0"/>
              <w:right w:val="single" w:color="auto" w:sz="4" w:space="0"/>
            </w:tcBorders>
            <w:noWrap/>
          </w:tcPr>
          <w:p w14:paraId="2F3F90D2">
            <w:pPr>
              <w:keepNext w:val="0"/>
              <w:keepLines w:val="0"/>
              <w:suppressLineNumbers w:val="0"/>
              <w:spacing w:before="0" w:beforeAutospacing="0" w:after="0" w:afterAutospacing="0" w:line="340" w:lineRule="exact"/>
              <w:ind w:left="0" w:right="0"/>
              <w:rPr>
                <w:rFonts w:hint="eastAsia" w:ascii="宋体" w:hAnsi="宋体"/>
                <w:color w:val="auto"/>
                <w:szCs w:val="21"/>
                <w:highlight w:val="none"/>
              </w:rPr>
            </w:pPr>
          </w:p>
        </w:tc>
        <w:tc>
          <w:tcPr>
            <w:tcW w:w="1981" w:type="pct"/>
            <w:tcBorders>
              <w:top w:val="single" w:color="auto" w:sz="4" w:space="0"/>
              <w:left w:val="single" w:color="auto" w:sz="4" w:space="0"/>
              <w:bottom w:val="single" w:color="auto" w:sz="4" w:space="0"/>
              <w:right w:val="single" w:color="auto" w:sz="4" w:space="0"/>
            </w:tcBorders>
            <w:noWrap/>
          </w:tcPr>
          <w:p w14:paraId="26E70055">
            <w:pPr>
              <w:keepNext w:val="0"/>
              <w:keepLines w:val="0"/>
              <w:suppressLineNumbers w:val="0"/>
              <w:spacing w:before="0" w:beforeAutospacing="0" w:after="0" w:afterAutospacing="0" w:line="340" w:lineRule="exact"/>
              <w:ind w:left="0" w:right="0"/>
              <w:rPr>
                <w:rFonts w:hint="eastAsia" w:ascii="宋体" w:hAnsi="宋体"/>
                <w:color w:val="auto"/>
                <w:szCs w:val="21"/>
                <w:highlight w:val="none"/>
              </w:rPr>
            </w:pPr>
            <w:r>
              <w:rPr>
                <w:rFonts w:hint="eastAsia" w:ascii="宋体" w:hAnsi="宋体"/>
                <w:color w:val="auto"/>
                <w:szCs w:val="21"/>
                <w:highlight w:val="none"/>
              </w:rPr>
              <w:t>……</w:t>
            </w:r>
          </w:p>
        </w:tc>
        <w:tc>
          <w:tcPr>
            <w:tcW w:w="1374" w:type="pct"/>
            <w:tcBorders>
              <w:left w:val="single" w:color="auto" w:sz="4" w:space="0"/>
              <w:bottom w:val="single" w:color="auto" w:sz="4" w:space="0"/>
              <w:right w:val="single" w:color="auto" w:sz="4" w:space="0"/>
            </w:tcBorders>
          </w:tcPr>
          <w:p w14:paraId="52E21DEA">
            <w:pPr>
              <w:keepNext w:val="0"/>
              <w:keepLines w:val="0"/>
              <w:suppressLineNumbers w:val="0"/>
              <w:spacing w:before="0" w:beforeAutospacing="0" w:after="0" w:afterAutospacing="0" w:line="300" w:lineRule="exact"/>
              <w:ind w:left="0" w:right="0"/>
              <w:rPr>
                <w:rFonts w:hint="eastAsia" w:ascii="宋体" w:hAnsi="宋体"/>
                <w:color w:val="auto"/>
                <w:szCs w:val="21"/>
                <w:highlight w:val="none"/>
              </w:rPr>
            </w:pPr>
            <w:r>
              <w:rPr>
                <w:rFonts w:hint="eastAsia" w:ascii="宋体" w:hAnsi="宋体"/>
                <w:color w:val="auto"/>
                <w:szCs w:val="21"/>
                <w:highlight w:val="none"/>
              </w:rPr>
              <w:t>……</w:t>
            </w:r>
          </w:p>
        </w:tc>
        <w:tc>
          <w:tcPr>
            <w:tcW w:w="1279" w:type="pct"/>
            <w:tcBorders>
              <w:left w:val="single" w:color="auto" w:sz="4" w:space="0"/>
              <w:bottom w:val="single" w:color="auto" w:sz="4" w:space="0"/>
              <w:right w:val="single" w:color="auto" w:sz="4" w:space="0"/>
            </w:tcBorders>
          </w:tcPr>
          <w:p w14:paraId="74AABB61">
            <w:pPr>
              <w:keepNext w:val="0"/>
              <w:keepLines w:val="0"/>
              <w:suppressLineNumbers w:val="0"/>
              <w:spacing w:before="0" w:beforeAutospacing="0" w:after="0" w:afterAutospacing="0" w:line="300" w:lineRule="exact"/>
              <w:ind w:left="0" w:right="0"/>
              <w:rPr>
                <w:rFonts w:hint="eastAsia" w:ascii="宋体" w:hAnsi="宋体"/>
                <w:color w:val="auto"/>
                <w:szCs w:val="21"/>
                <w:highlight w:val="none"/>
              </w:rPr>
            </w:pPr>
            <w:r>
              <w:rPr>
                <w:rFonts w:hint="eastAsia" w:ascii="宋体" w:hAnsi="宋体"/>
                <w:color w:val="auto"/>
                <w:szCs w:val="21"/>
                <w:highlight w:val="none"/>
              </w:rPr>
              <w:t>正偏离（负偏离或无偏离）</w:t>
            </w:r>
          </w:p>
          <w:p w14:paraId="38F30BA0">
            <w:pPr>
              <w:keepNext w:val="0"/>
              <w:keepLines w:val="0"/>
              <w:suppressLineNumbers w:val="0"/>
              <w:spacing w:before="0" w:beforeAutospacing="0" w:after="0" w:afterAutospacing="0" w:line="300" w:lineRule="exact"/>
              <w:ind w:left="0" w:right="0"/>
              <w:rPr>
                <w:rFonts w:hint="eastAsia" w:ascii="宋体" w:hAnsi="宋体"/>
                <w:color w:val="auto"/>
                <w:szCs w:val="21"/>
                <w:highlight w:val="none"/>
              </w:rPr>
            </w:pPr>
          </w:p>
        </w:tc>
      </w:tr>
      <w:tr w14:paraId="6B44C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5000" w:type="pct"/>
            <w:gridSpan w:val="4"/>
            <w:tcBorders>
              <w:top w:val="single" w:color="auto" w:sz="4" w:space="0"/>
              <w:left w:val="single" w:color="auto" w:sz="4" w:space="0"/>
              <w:bottom w:val="single" w:color="auto" w:sz="4" w:space="0"/>
              <w:right w:val="single" w:color="auto" w:sz="4" w:space="0"/>
            </w:tcBorders>
            <w:noWrap/>
          </w:tcPr>
          <w:p w14:paraId="3D3D98E7">
            <w:pPr>
              <w:keepNext w:val="0"/>
              <w:keepLines w:val="0"/>
              <w:suppressLineNumbers w:val="0"/>
              <w:spacing w:before="0" w:beforeAutospacing="0" w:after="0" w:afterAutospacing="0" w:line="340" w:lineRule="exact"/>
              <w:ind w:left="0" w:right="0"/>
              <w:rPr>
                <w:rFonts w:hint="eastAsia" w:ascii="宋体" w:hAnsi="宋体"/>
                <w:color w:val="auto"/>
                <w:szCs w:val="21"/>
                <w:highlight w:val="none"/>
              </w:rPr>
            </w:pPr>
            <w:r>
              <w:rPr>
                <w:rFonts w:hint="eastAsia" w:ascii="宋体" w:hAnsi="宋体"/>
                <w:color w:val="auto"/>
                <w:szCs w:val="21"/>
                <w:highlight w:val="none"/>
                <w:u w:val="single"/>
              </w:rPr>
              <w:t>　　</w:t>
            </w:r>
            <w:r>
              <w:rPr>
                <w:rFonts w:hint="eastAsia" w:ascii="宋体" w:hAnsi="宋体"/>
                <w:color w:val="auto"/>
                <w:szCs w:val="21"/>
                <w:highlight w:val="none"/>
              </w:rPr>
              <w:t>标项（此处有标项时填写具体标项号，无标项时填写“无”）</w:t>
            </w:r>
          </w:p>
        </w:tc>
      </w:tr>
    </w:tbl>
    <w:p w14:paraId="68F713D4">
      <w:pPr>
        <w:spacing w:line="400" w:lineRule="exact"/>
        <w:rPr>
          <w:rFonts w:hint="eastAsia" w:ascii="宋体" w:hAnsi="宋体" w:cs="仿宋_GB2312"/>
          <w:color w:val="auto"/>
          <w:sz w:val="24"/>
          <w:highlight w:val="none"/>
        </w:rPr>
      </w:pPr>
      <w:r>
        <w:rPr>
          <w:rFonts w:hint="eastAsia" w:ascii="宋体" w:hAnsi="宋体" w:cs="仿宋_GB2312"/>
          <w:color w:val="auto"/>
          <w:sz w:val="24"/>
          <w:highlight w:val="none"/>
        </w:rPr>
        <w:t>注：</w:t>
      </w:r>
    </w:p>
    <w:p w14:paraId="035E9693">
      <w:pPr>
        <w:spacing w:line="400" w:lineRule="exact"/>
        <w:rPr>
          <w:rFonts w:hint="eastAsia" w:ascii="宋体" w:hAnsi="宋体" w:cs="仿宋_GB2312"/>
          <w:color w:val="auto"/>
          <w:sz w:val="24"/>
          <w:highlight w:val="none"/>
        </w:rPr>
      </w:pPr>
      <w:r>
        <w:rPr>
          <w:rFonts w:hint="eastAsia" w:ascii="宋体" w:hAnsi="宋体" w:cs="仿宋_GB2312"/>
          <w:color w:val="auto"/>
          <w:sz w:val="24"/>
          <w:highlight w:val="none"/>
        </w:rPr>
        <w:t>1.说明：应对照磋商文件“第二章 采购需求”中的商务条款逐条作出明确响应，并作出偏离说明。</w:t>
      </w:r>
    </w:p>
    <w:p w14:paraId="389447BE">
      <w:pPr>
        <w:spacing w:line="400" w:lineRule="exact"/>
        <w:rPr>
          <w:rFonts w:hint="eastAsia" w:ascii="宋体" w:hAnsi="宋体" w:cs="仿宋_GB2312"/>
          <w:color w:val="auto"/>
          <w:sz w:val="24"/>
          <w:highlight w:val="none"/>
        </w:rPr>
      </w:pPr>
      <w:r>
        <w:rPr>
          <w:rFonts w:hint="eastAsia" w:ascii="宋体" w:hAnsi="宋体" w:cs="仿宋_GB2312"/>
          <w:color w:val="auto"/>
          <w:sz w:val="24"/>
          <w:highlight w:val="none"/>
        </w:rPr>
        <w:t>2.供应商应根据自身的承诺，对照磋商文件要求，在“偏离说明”中注明“正偏离”、“负偏离”或者“无偏离”。既不属于“正偏离”也不属于“负偏离”即为“无偏离”。 当响应文件的商务内容低于竞争性磋商采购文件要求时，竞标人应当如实写明“负偏离”，否则视为虚假应标</w:t>
      </w:r>
    </w:p>
    <w:p w14:paraId="11D9CCFB">
      <w:pPr>
        <w:spacing w:line="400" w:lineRule="exact"/>
        <w:rPr>
          <w:rFonts w:hint="eastAsia" w:ascii="宋体" w:hAnsi="宋体" w:cs="仿宋_GB2312"/>
          <w:color w:val="auto"/>
          <w:kern w:val="0"/>
          <w:sz w:val="24"/>
          <w:highlight w:val="none"/>
        </w:rPr>
      </w:pPr>
      <w:r>
        <w:rPr>
          <w:rFonts w:hint="eastAsia" w:ascii="宋体" w:hAnsi="宋体" w:cs="仿宋_GB2312"/>
          <w:color w:val="auto"/>
          <w:kern w:val="0"/>
          <w:sz w:val="24"/>
          <w:highlight w:val="none"/>
        </w:rPr>
        <w:t>3.表格内容均需按要求填写，不得留空，否则按竞标无效处理。</w:t>
      </w:r>
    </w:p>
    <w:p w14:paraId="09501980">
      <w:pPr>
        <w:pStyle w:val="11"/>
        <w:spacing w:line="400" w:lineRule="exact"/>
        <w:rPr>
          <w:rFonts w:hint="eastAsia" w:hAnsi="宋体" w:cs="仿宋_GB2312"/>
          <w:color w:val="auto"/>
          <w:sz w:val="24"/>
          <w:highlight w:val="none"/>
        </w:rPr>
      </w:pPr>
      <w:r>
        <w:rPr>
          <w:rFonts w:hint="eastAsia" w:hAnsi="宋体" w:cs="仿宋_GB2312"/>
          <w:color w:val="auto"/>
          <w:sz w:val="24"/>
          <w:highlight w:val="none"/>
        </w:rPr>
        <w:t>4.如果采购需求为小于、小于等于、大于或大于等于某个数值标准时，响应文件承诺不得直接复制采购需求，响应文件承诺内容应当写明竞标货物具体参数或商务响应承诺的具体数值，否则按竞标无效处理。如该采购需求属于不能明确具体数值的，采购人应在此采购需求的数值后标注◆号，对标注◆号的采购需求不适用上述“竞标无效”条款。</w:t>
      </w:r>
    </w:p>
    <w:p w14:paraId="252978A0">
      <w:pPr>
        <w:spacing w:line="360" w:lineRule="auto"/>
        <w:ind w:firstLine="3840" w:firstLineChars="1600"/>
        <w:rPr>
          <w:rFonts w:hint="eastAsia" w:ascii="宋体" w:hAnsi="宋体" w:cs="仿宋_GB2312"/>
          <w:color w:val="auto"/>
          <w:sz w:val="24"/>
          <w:highlight w:val="none"/>
        </w:rPr>
      </w:pPr>
      <w:r>
        <w:rPr>
          <w:rFonts w:hint="eastAsia" w:ascii="仿宋_GB2312" w:hAnsi="仿宋" w:eastAsia="仿宋_GB2312" w:cs="仿宋_GB2312"/>
          <w:color w:val="auto"/>
          <w:kern w:val="0"/>
          <w:sz w:val="24"/>
          <w:highlight w:val="none"/>
        </w:rPr>
        <w:t>供应商名称（电子签章）：</w:t>
      </w:r>
    </w:p>
    <w:p w14:paraId="78D79963">
      <w:pPr>
        <w:spacing w:line="360" w:lineRule="auto"/>
        <w:jc w:val="center"/>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  </w:t>
      </w:r>
    </w:p>
    <w:p w14:paraId="798CD796">
      <w:pPr>
        <w:spacing w:line="360" w:lineRule="auto"/>
        <w:jc w:val="center"/>
        <w:rPr>
          <w:rFonts w:hint="eastAsia" w:ascii="宋体" w:hAnsi="宋体" w:cs="仿宋_GB2312"/>
          <w:b/>
          <w:color w:val="auto"/>
          <w:sz w:val="24"/>
          <w:highlight w:val="none"/>
        </w:rPr>
      </w:pPr>
      <w:r>
        <w:rPr>
          <w:rFonts w:hint="eastAsia" w:ascii="仿宋_GB2312" w:hAnsi="仿宋" w:eastAsia="仿宋_GB2312" w:cs="仿宋_GB2312"/>
          <w:color w:val="auto"/>
          <w:kern w:val="0"/>
          <w:sz w:val="24"/>
          <w:highlight w:val="none"/>
          <w:lang w:val="zh-CN"/>
        </w:rPr>
        <w:t xml:space="preserve">                                                 日期：  年  月   日</w:t>
      </w:r>
    </w:p>
    <w:p w14:paraId="703F6E41">
      <w:pPr>
        <w:snapToGrid w:val="0"/>
        <w:spacing w:line="360" w:lineRule="auto"/>
        <w:ind w:firstLine="602" w:firstLineChars="200"/>
        <w:rPr>
          <w:rFonts w:hint="eastAsia" w:ascii="仿宋" w:hAnsi="仿宋" w:eastAsia="仿宋" w:cs="仿宋_GB2312"/>
          <w:b/>
          <w:color w:val="auto"/>
          <w:sz w:val="30"/>
          <w:szCs w:val="30"/>
          <w:highlight w:val="none"/>
        </w:rPr>
      </w:pPr>
      <w:r>
        <w:rPr>
          <w:rFonts w:hint="eastAsia" w:ascii="仿宋" w:hAnsi="仿宋" w:eastAsia="仿宋" w:cs="仿宋_GB2312"/>
          <w:b/>
          <w:color w:val="auto"/>
          <w:sz w:val="30"/>
          <w:szCs w:val="30"/>
          <w:highlight w:val="none"/>
        </w:rPr>
        <w:t>五、竞标人情况介绍</w:t>
      </w:r>
    </w:p>
    <w:p w14:paraId="06001383">
      <w:pPr>
        <w:snapToGrid w:val="0"/>
        <w:spacing w:line="360" w:lineRule="auto"/>
        <w:ind w:firstLine="602" w:firstLineChars="200"/>
        <w:rPr>
          <w:rFonts w:hint="eastAsia" w:ascii="仿宋" w:hAnsi="仿宋" w:eastAsia="仿宋" w:cs="仿宋_GB2312"/>
          <w:b/>
          <w:color w:val="auto"/>
          <w:sz w:val="30"/>
          <w:szCs w:val="30"/>
          <w:highlight w:val="none"/>
        </w:rPr>
      </w:pPr>
    </w:p>
    <w:p w14:paraId="0D9C8411">
      <w:pPr>
        <w:autoSpaceDE w:val="0"/>
        <w:autoSpaceDN w:val="0"/>
        <w:spacing w:line="360" w:lineRule="auto"/>
        <w:ind w:left="4335" w:leftChars="1950" w:hanging="240" w:hangingChars="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3717A2F7">
      <w:pPr>
        <w:autoSpaceDE w:val="0"/>
        <w:autoSpaceDN w:val="0"/>
        <w:spacing w:line="360" w:lineRule="auto"/>
        <w:jc w:val="right"/>
        <w:rPr>
          <w:rFonts w:hint="eastAsia" w:ascii="仿宋_GB2312" w:hAnsi="仿宋" w:eastAsia="仿宋_GB2312" w:cs="仿宋_GB2312"/>
          <w:b/>
          <w:bCs/>
          <w:color w:val="auto"/>
          <w:sz w:val="24"/>
          <w:highlight w:val="none"/>
        </w:rPr>
      </w:pPr>
      <w:r>
        <w:rPr>
          <w:rFonts w:hint="eastAsia" w:ascii="仿宋_GB2312" w:hAnsi="仿宋" w:eastAsia="仿宋_GB2312" w:cs="仿宋_GB2312"/>
          <w:color w:val="auto"/>
          <w:kern w:val="0"/>
          <w:sz w:val="24"/>
          <w:highlight w:val="none"/>
          <w:lang w:val="zh-CN"/>
        </w:rPr>
        <w:t>日期：  年  月   日</w:t>
      </w:r>
    </w:p>
    <w:p w14:paraId="26C40E6E">
      <w:pPr>
        <w:snapToGrid w:val="0"/>
        <w:spacing w:before="120" w:beforeLines="50" w:after="50"/>
        <w:ind w:firstLine="602" w:firstLineChars="200"/>
        <w:rPr>
          <w:rFonts w:hint="eastAsia" w:ascii="仿宋" w:hAnsi="仿宋" w:eastAsia="仿宋" w:cs="仿宋_GB2312"/>
          <w:b/>
          <w:color w:val="auto"/>
          <w:sz w:val="30"/>
          <w:szCs w:val="30"/>
          <w:highlight w:val="none"/>
        </w:rPr>
      </w:pPr>
    </w:p>
    <w:p w14:paraId="2648DD80">
      <w:pPr>
        <w:snapToGrid w:val="0"/>
        <w:spacing w:before="120" w:beforeLines="50" w:after="50"/>
        <w:ind w:firstLine="602" w:firstLineChars="200"/>
        <w:rPr>
          <w:rFonts w:hint="eastAsia" w:ascii="仿宋" w:hAnsi="仿宋" w:eastAsia="仿宋" w:cs="仿宋_GB2312"/>
          <w:b/>
          <w:color w:val="auto"/>
          <w:sz w:val="30"/>
          <w:szCs w:val="30"/>
          <w:highlight w:val="none"/>
        </w:rPr>
      </w:pPr>
    </w:p>
    <w:p w14:paraId="18B44AEB">
      <w:pPr>
        <w:snapToGrid w:val="0"/>
        <w:spacing w:before="120" w:beforeLines="50" w:after="50"/>
        <w:ind w:firstLine="602" w:firstLineChars="200"/>
        <w:rPr>
          <w:rFonts w:hint="eastAsia" w:ascii="仿宋" w:hAnsi="仿宋" w:eastAsia="仿宋" w:cs="仿宋_GB2312"/>
          <w:b/>
          <w:color w:val="auto"/>
          <w:sz w:val="30"/>
          <w:szCs w:val="30"/>
          <w:highlight w:val="none"/>
        </w:rPr>
      </w:pPr>
    </w:p>
    <w:p w14:paraId="4EC13B31">
      <w:pPr>
        <w:snapToGrid w:val="0"/>
        <w:spacing w:before="120" w:beforeLines="50" w:after="50"/>
        <w:ind w:firstLine="602" w:firstLineChars="200"/>
        <w:rPr>
          <w:rFonts w:hint="eastAsia" w:ascii="仿宋" w:hAnsi="仿宋" w:eastAsia="仿宋" w:cs="仿宋_GB2312"/>
          <w:b/>
          <w:color w:val="auto"/>
          <w:sz w:val="30"/>
          <w:szCs w:val="30"/>
          <w:highlight w:val="none"/>
        </w:rPr>
      </w:pPr>
    </w:p>
    <w:p w14:paraId="615D6269">
      <w:pPr>
        <w:snapToGrid w:val="0"/>
        <w:spacing w:before="120" w:beforeLines="50" w:after="50"/>
        <w:ind w:firstLine="602" w:firstLineChars="200"/>
        <w:rPr>
          <w:rFonts w:hint="eastAsia" w:ascii="仿宋" w:hAnsi="仿宋" w:eastAsia="仿宋" w:cs="仿宋_GB2312"/>
          <w:b/>
          <w:color w:val="auto"/>
          <w:sz w:val="30"/>
          <w:szCs w:val="30"/>
          <w:highlight w:val="none"/>
        </w:rPr>
      </w:pPr>
    </w:p>
    <w:p w14:paraId="517B8D03">
      <w:pPr>
        <w:snapToGrid w:val="0"/>
        <w:spacing w:before="120" w:beforeLines="50" w:after="50"/>
        <w:ind w:firstLine="602" w:firstLineChars="200"/>
        <w:rPr>
          <w:rFonts w:hint="eastAsia" w:ascii="仿宋" w:hAnsi="仿宋" w:eastAsia="仿宋" w:cs="仿宋_GB2312"/>
          <w:b/>
          <w:color w:val="auto"/>
          <w:sz w:val="30"/>
          <w:szCs w:val="30"/>
          <w:highlight w:val="none"/>
        </w:rPr>
      </w:pPr>
    </w:p>
    <w:p w14:paraId="2E2ED332">
      <w:pPr>
        <w:snapToGrid w:val="0"/>
        <w:spacing w:before="120" w:beforeLines="50" w:after="50"/>
        <w:ind w:firstLine="602" w:firstLineChars="200"/>
        <w:rPr>
          <w:rFonts w:hint="eastAsia" w:ascii="仿宋" w:hAnsi="仿宋" w:eastAsia="仿宋" w:cs="仿宋_GB2312"/>
          <w:b/>
          <w:color w:val="auto"/>
          <w:sz w:val="30"/>
          <w:szCs w:val="30"/>
          <w:highlight w:val="none"/>
        </w:rPr>
      </w:pPr>
    </w:p>
    <w:p w14:paraId="311D4E9E">
      <w:pPr>
        <w:snapToGrid w:val="0"/>
        <w:spacing w:before="120" w:beforeLines="50" w:after="50"/>
        <w:ind w:firstLine="602" w:firstLineChars="200"/>
        <w:rPr>
          <w:rFonts w:hint="eastAsia" w:ascii="仿宋" w:hAnsi="仿宋" w:eastAsia="仿宋" w:cs="仿宋_GB2312"/>
          <w:b/>
          <w:color w:val="auto"/>
          <w:sz w:val="30"/>
          <w:szCs w:val="30"/>
          <w:highlight w:val="none"/>
        </w:rPr>
      </w:pPr>
    </w:p>
    <w:p w14:paraId="15CE71A4">
      <w:pPr>
        <w:snapToGrid w:val="0"/>
        <w:spacing w:before="120" w:beforeLines="50" w:after="50"/>
        <w:ind w:firstLine="602" w:firstLineChars="200"/>
        <w:rPr>
          <w:rFonts w:hint="eastAsia" w:ascii="仿宋" w:hAnsi="仿宋" w:eastAsia="仿宋" w:cs="仿宋_GB2312"/>
          <w:b/>
          <w:color w:val="auto"/>
          <w:sz w:val="30"/>
          <w:szCs w:val="30"/>
          <w:highlight w:val="none"/>
        </w:rPr>
      </w:pPr>
    </w:p>
    <w:p w14:paraId="47851C26">
      <w:pPr>
        <w:snapToGrid w:val="0"/>
        <w:spacing w:before="120" w:beforeLines="50" w:after="50"/>
        <w:ind w:firstLine="602" w:firstLineChars="200"/>
        <w:rPr>
          <w:rFonts w:hint="eastAsia" w:ascii="仿宋" w:hAnsi="仿宋" w:eastAsia="仿宋" w:cs="仿宋_GB2312"/>
          <w:b/>
          <w:color w:val="auto"/>
          <w:sz w:val="30"/>
          <w:szCs w:val="30"/>
          <w:highlight w:val="none"/>
        </w:rPr>
      </w:pPr>
      <w:r>
        <w:rPr>
          <w:rFonts w:hint="eastAsia" w:ascii="仿宋" w:hAnsi="仿宋" w:eastAsia="仿宋" w:cs="仿宋_GB2312"/>
          <w:b/>
          <w:color w:val="auto"/>
          <w:sz w:val="30"/>
          <w:szCs w:val="30"/>
          <w:highlight w:val="none"/>
        </w:rPr>
        <w:t>六、供应商类似的业绩证明文件</w:t>
      </w:r>
    </w:p>
    <w:tbl>
      <w:tblPr>
        <w:tblStyle w:val="22"/>
        <w:tblW w:w="4998"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245"/>
        <w:gridCol w:w="1660"/>
        <w:gridCol w:w="1020"/>
        <w:gridCol w:w="1020"/>
        <w:gridCol w:w="1531"/>
        <w:gridCol w:w="1154"/>
        <w:gridCol w:w="1659"/>
      </w:tblGrid>
      <w:tr w14:paraId="2C57D3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670" w:type="pct"/>
            <w:vMerge w:val="restart"/>
            <w:tcBorders>
              <w:top w:val="single" w:color="auto" w:sz="4" w:space="0"/>
              <w:left w:val="single" w:color="auto" w:sz="4" w:space="0"/>
              <w:bottom w:val="single" w:color="auto" w:sz="4" w:space="0"/>
              <w:right w:val="single" w:color="auto" w:sz="4" w:space="0"/>
            </w:tcBorders>
            <w:vAlign w:val="center"/>
          </w:tcPr>
          <w:p w14:paraId="291AEA84">
            <w:pPr>
              <w:keepNext w:val="0"/>
              <w:keepLines w:val="0"/>
              <w:suppressLineNumbers w:val="0"/>
              <w:snapToGrid w:val="0"/>
              <w:spacing w:before="0" w:beforeAutospacing="0" w:after="0" w:afterAutospacing="0" w:line="240" w:lineRule="exact"/>
              <w:ind w:left="0" w:right="0"/>
              <w:jc w:val="center"/>
              <w:rPr>
                <w:rFonts w:hint="eastAsia" w:ascii="宋体" w:hAnsi="宋体"/>
                <w:color w:val="auto"/>
                <w:sz w:val="24"/>
                <w:highlight w:val="none"/>
              </w:rPr>
            </w:pPr>
            <w:r>
              <w:rPr>
                <w:rFonts w:hint="eastAsia" w:ascii="宋体" w:hAnsi="宋体"/>
                <w:color w:val="auto"/>
                <w:sz w:val="24"/>
                <w:highlight w:val="none"/>
              </w:rPr>
              <w:t>采购人名称</w:t>
            </w:r>
          </w:p>
        </w:tc>
        <w:tc>
          <w:tcPr>
            <w:tcW w:w="893" w:type="pct"/>
            <w:vMerge w:val="restart"/>
            <w:tcBorders>
              <w:top w:val="single" w:color="auto" w:sz="4" w:space="0"/>
              <w:left w:val="single" w:color="auto" w:sz="4" w:space="0"/>
              <w:bottom w:val="single" w:color="auto" w:sz="4" w:space="0"/>
              <w:right w:val="single" w:color="auto" w:sz="4" w:space="0"/>
            </w:tcBorders>
            <w:vAlign w:val="center"/>
          </w:tcPr>
          <w:p w14:paraId="45BB27E6">
            <w:pPr>
              <w:keepNext w:val="0"/>
              <w:keepLines w:val="0"/>
              <w:suppressLineNumbers w:val="0"/>
              <w:snapToGrid w:val="0"/>
              <w:spacing w:before="0" w:beforeAutospacing="0" w:after="0" w:afterAutospacing="0" w:line="240" w:lineRule="exact"/>
              <w:ind w:left="0" w:right="0"/>
              <w:jc w:val="center"/>
              <w:rPr>
                <w:rFonts w:hint="eastAsia" w:ascii="宋体" w:hAnsi="宋体"/>
                <w:color w:val="auto"/>
                <w:sz w:val="24"/>
                <w:highlight w:val="none"/>
              </w:rPr>
            </w:pPr>
            <w:r>
              <w:rPr>
                <w:rFonts w:hint="eastAsia" w:ascii="宋体" w:hAnsi="宋体"/>
                <w:color w:val="auto"/>
                <w:sz w:val="24"/>
                <w:highlight w:val="none"/>
              </w:rPr>
              <w:t>项目名称</w:t>
            </w:r>
          </w:p>
        </w:tc>
        <w:tc>
          <w:tcPr>
            <w:tcW w:w="549" w:type="pct"/>
            <w:vMerge w:val="restart"/>
            <w:tcBorders>
              <w:top w:val="single" w:color="auto" w:sz="4" w:space="0"/>
              <w:left w:val="single" w:color="auto" w:sz="4" w:space="0"/>
              <w:bottom w:val="single" w:color="auto" w:sz="4" w:space="0"/>
              <w:right w:val="single" w:color="auto" w:sz="4" w:space="0"/>
            </w:tcBorders>
            <w:vAlign w:val="center"/>
          </w:tcPr>
          <w:p w14:paraId="491775DB">
            <w:pPr>
              <w:keepNext w:val="0"/>
              <w:keepLines w:val="0"/>
              <w:suppressLineNumbers w:val="0"/>
              <w:snapToGrid w:val="0"/>
              <w:spacing w:before="0" w:beforeAutospacing="0" w:after="0" w:afterAutospacing="0" w:line="240" w:lineRule="exact"/>
              <w:ind w:left="0" w:right="0"/>
              <w:jc w:val="center"/>
              <w:rPr>
                <w:rFonts w:hint="eastAsia" w:ascii="宋体" w:hAnsi="宋体"/>
                <w:color w:val="auto"/>
                <w:sz w:val="24"/>
                <w:highlight w:val="none"/>
              </w:rPr>
            </w:pPr>
            <w:r>
              <w:rPr>
                <w:rFonts w:hint="eastAsia" w:ascii="宋体" w:hAnsi="宋体"/>
                <w:color w:val="auto"/>
                <w:sz w:val="24"/>
                <w:highlight w:val="none"/>
              </w:rPr>
              <w:t>合同</w:t>
            </w:r>
          </w:p>
          <w:p w14:paraId="096A672D">
            <w:pPr>
              <w:keepNext w:val="0"/>
              <w:keepLines w:val="0"/>
              <w:suppressLineNumbers w:val="0"/>
              <w:snapToGrid w:val="0"/>
              <w:spacing w:before="0" w:beforeAutospacing="0" w:after="0" w:afterAutospacing="0" w:line="240" w:lineRule="exact"/>
              <w:ind w:left="0" w:right="0"/>
              <w:jc w:val="center"/>
              <w:rPr>
                <w:rFonts w:hint="eastAsia" w:ascii="宋体" w:hAnsi="宋体"/>
                <w:color w:val="auto"/>
                <w:sz w:val="24"/>
                <w:highlight w:val="none"/>
              </w:rPr>
            </w:pPr>
            <w:r>
              <w:rPr>
                <w:rFonts w:hint="eastAsia" w:ascii="宋体" w:hAnsi="宋体"/>
                <w:color w:val="auto"/>
                <w:sz w:val="24"/>
                <w:highlight w:val="none"/>
              </w:rPr>
              <w:t>金额</w:t>
            </w:r>
          </w:p>
          <w:p w14:paraId="125EFF81">
            <w:pPr>
              <w:keepNext w:val="0"/>
              <w:keepLines w:val="0"/>
              <w:suppressLineNumbers w:val="0"/>
              <w:snapToGrid w:val="0"/>
              <w:spacing w:before="0" w:beforeAutospacing="0" w:after="0" w:afterAutospacing="0" w:line="240" w:lineRule="exact"/>
              <w:ind w:left="0" w:right="0"/>
              <w:jc w:val="center"/>
              <w:rPr>
                <w:rFonts w:hint="eastAsia" w:ascii="宋体" w:hAnsi="宋体"/>
                <w:color w:val="auto"/>
                <w:sz w:val="24"/>
                <w:highlight w:val="none"/>
              </w:rPr>
            </w:pPr>
            <w:r>
              <w:rPr>
                <w:rFonts w:hint="eastAsia" w:ascii="宋体" w:hAnsi="宋体"/>
                <w:color w:val="auto"/>
                <w:sz w:val="24"/>
                <w:highlight w:val="none"/>
              </w:rPr>
              <w:t>（万元）</w:t>
            </w:r>
          </w:p>
        </w:tc>
        <w:tc>
          <w:tcPr>
            <w:tcW w:w="1994" w:type="pct"/>
            <w:gridSpan w:val="3"/>
            <w:tcBorders>
              <w:top w:val="single" w:color="auto" w:sz="4" w:space="0"/>
              <w:left w:val="single" w:color="auto" w:sz="4" w:space="0"/>
              <w:bottom w:val="single" w:color="auto" w:sz="4" w:space="0"/>
              <w:right w:val="single" w:color="auto" w:sz="4" w:space="0"/>
            </w:tcBorders>
            <w:vAlign w:val="center"/>
          </w:tcPr>
          <w:p w14:paraId="479B8080">
            <w:pPr>
              <w:keepNext w:val="0"/>
              <w:keepLines w:val="0"/>
              <w:suppressLineNumbers w:val="0"/>
              <w:snapToGrid w:val="0"/>
              <w:spacing w:before="0" w:beforeAutospacing="0" w:after="0" w:afterAutospacing="0" w:line="240" w:lineRule="exact"/>
              <w:ind w:left="0" w:right="0"/>
              <w:jc w:val="center"/>
              <w:rPr>
                <w:rFonts w:hint="eastAsia" w:ascii="宋体" w:hAnsi="宋体"/>
                <w:color w:val="auto"/>
                <w:sz w:val="24"/>
                <w:highlight w:val="none"/>
              </w:rPr>
            </w:pPr>
            <w:r>
              <w:rPr>
                <w:rFonts w:hint="eastAsia" w:ascii="宋体" w:hAnsi="宋体"/>
                <w:color w:val="auto"/>
                <w:sz w:val="24"/>
                <w:highlight w:val="none"/>
              </w:rPr>
              <w:t>附件在响应文件中页码</w:t>
            </w:r>
          </w:p>
        </w:tc>
        <w:tc>
          <w:tcPr>
            <w:tcW w:w="892" w:type="pct"/>
            <w:vMerge w:val="restart"/>
            <w:tcBorders>
              <w:top w:val="single" w:color="auto" w:sz="4" w:space="0"/>
              <w:left w:val="single" w:color="auto" w:sz="4" w:space="0"/>
              <w:bottom w:val="single" w:color="auto" w:sz="4" w:space="0"/>
              <w:right w:val="single" w:color="auto" w:sz="4" w:space="0"/>
            </w:tcBorders>
            <w:vAlign w:val="center"/>
          </w:tcPr>
          <w:p w14:paraId="0B97767B">
            <w:pPr>
              <w:keepNext w:val="0"/>
              <w:keepLines w:val="0"/>
              <w:suppressLineNumbers w:val="0"/>
              <w:snapToGrid w:val="0"/>
              <w:spacing w:before="0" w:beforeAutospacing="0" w:after="0" w:afterAutospacing="0" w:line="240" w:lineRule="exact"/>
              <w:ind w:left="0" w:right="0"/>
              <w:jc w:val="center"/>
              <w:rPr>
                <w:rFonts w:hint="eastAsia" w:ascii="宋体" w:hAnsi="宋体"/>
                <w:color w:val="auto"/>
                <w:sz w:val="24"/>
                <w:highlight w:val="none"/>
              </w:rPr>
            </w:pPr>
            <w:r>
              <w:rPr>
                <w:rFonts w:hint="eastAsia" w:ascii="宋体" w:hAnsi="宋体"/>
                <w:color w:val="auto"/>
                <w:sz w:val="24"/>
                <w:highlight w:val="none"/>
              </w:rPr>
              <w:t>采购人联系人及联系电话</w:t>
            </w:r>
          </w:p>
        </w:tc>
      </w:tr>
      <w:tr w14:paraId="6AEBFC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670" w:type="pct"/>
            <w:vMerge w:val="continue"/>
            <w:tcBorders>
              <w:top w:val="single" w:color="auto" w:sz="4" w:space="0"/>
              <w:left w:val="single" w:color="auto" w:sz="4" w:space="0"/>
              <w:bottom w:val="single" w:color="auto" w:sz="4" w:space="0"/>
              <w:right w:val="single" w:color="auto" w:sz="4" w:space="0"/>
            </w:tcBorders>
            <w:vAlign w:val="center"/>
          </w:tcPr>
          <w:p w14:paraId="128B62DF">
            <w:pPr>
              <w:keepNext w:val="0"/>
              <w:keepLines w:val="0"/>
              <w:widowControl/>
              <w:suppressLineNumbers w:val="0"/>
              <w:spacing w:before="0" w:beforeAutospacing="0" w:after="0" w:afterAutospacing="0"/>
              <w:ind w:left="0" w:right="0"/>
              <w:jc w:val="left"/>
              <w:rPr>
                <w:rFonts w:hint="eastAsia" w:ascii="宋体" w:hAnsi="宋体"/>
                <w:color w:val="auto"/>
                <w:sz w:val="24"/>
                <w:highlight w:val="none"/>
              </w:rPr>
            </w:pPr>
          </w:p>
        </w:tc>
        <w:tc>
          <w:tcPr>
            <w:tcW w:w="893" w:type="pct"/>
            <w:vMerge w:val="continue"/>
            <w:tcBorders>
              <w:top w:val="single" w:color="auto" w:sz="4" w:space="0"/>
              <w:left w:val="single" w:color="auto" w:sz="4" w:space="0"/>
              <w:bottom w:val="single" w:color="auto" w:sz="4" w:space="0"/>
              <w:right w:val="single" w:color="auto" w:sz="4" w:space="0"/>
            </w:tcBorders>
            <w:vAlign w:val="center"/>
          </w:tcPr>
          <w:p w14:paraId="2C531893">
            <w:pPr>
              <w:keepNext w:val="0"/>
              <w:keepLines w:val="0"/>
              <w:widowControl/>
              <w:suppressLineNumbers w:val="0"/>
              <w:spacing w:before="0" w:beforeAutospacing="0" w:after="0" w:afterAutospacing="0"/>
              <w:ind w:left="0" w:right="0"/>
              <w:jc w:val="left"/>
              <w:rPr>
                <w:rFonts w:hint="eastAsia" w:ascii="宋体" w:hAnsi="宋体"/>
                <w:color w:val="auto"/>
                <w:sz w:val="24"/>
                <w:highlight w:val="none"/>
              </w:rPr>
            </w:pPr>
          </w:p>
        </w:tc>
        <w:tc>
          <w:tcPr>
            <w:tcW w:w="549" w:type="pct"/>
            <w:vMerge w:val="continue"/>
            <w:tcBorders>
              <w:top w:val="single" w:color="auto" w:sz="4" w:space="0"/>
              <w:left w:val="single" w:color="auto" w:sz="4" w:space="0"/>
              <w:bottom w:val="single" w:color="auto" w:sz="4" w:space="0"/>
              <w:right w:val="single" w:color="auto" w:sz="4" w:space="0"/>
            </w:tcBorders>
            <w:vAlign w:val="center"/>
          </w:tcPr>
          <w:p w14:paraId="340BC3F6">
            <w:pPr>
              <w:keepNext w:val="0"/>
              <w:keepLines w:val="0"/>
              <w:widowControl/>
              <w:suppressLineNumbers w:val="0"/>
              <w:spacing w:before="0" w:beforeAutospacing="0" w:after="0" w:afterAutospacing="0"/>
              <w:ind w:left="0" w:right="0"/>
              <w:jc w:val="left"/>
              <w:rPr>
                <w:rFonts w:hint="eastAsia" w:ascii="宋体" w:hAnsi="宋体"/>
                <w:color w:val="auto"/>
                <w:sz w:val="24"/>
                <w:highlight w:val="none"/>
              </w:rPr>
            </w:pPr>
          </w:p>
        </w:tc>
        <w:tc>
          <w:tcPr>
            <w:tcW w:w="549" w:type="pct"/>
            <w:tcBorders>
              <w:top w:val="single" w:color="auto" w:sz="4" w:space="0"/>
              <w:left w:val="single" w:color="auto" w:sz="4" w:space="0"/>
              <w:bottom w:val="single" w:color="auto" w:sz="4" w:space="0"/>
              <w:right w:val="single" w:color="auto" w:sz="4" w:space="0"/>
            </w:tcBorders>
            <w:vAlign w:val="center"/>
          </w:tcPr>
          <w:p w14:paraId="5872A238">
            <w:pPr>
              <w:keepNext w:val="0"/>
              <w:keepLines w:val="0"/>
              <w:suppressLineNumbers w:val="0"/>
              <w:snapToGrid w:val="0"/>
              <w:spacing w:before="0" w:beforeAutospacing="0" w:after="0" w:afterAutospacing="0" w:line="240" w:lineRule="exact"/>
              <w:ind w:left="0" w:right="0"/>
              <w:jc w:val="center"/>
              <w:rPr>
                <w:rFonts w:hint="eastAsia" w:ascii="宋体" w:hAnsi="宋体"/>
                <w:color w:val="auto"/>
                <w:sz w:val="24"/>
                <w:highlight w:val="none"/>
              </w:rPr>
            </w:pPr>
            <w:r>
              <w:rPr>
                <w:rFonts w:hint="eastAsia" w:ascii="宋体" w:hAnsi="宋体"/>
                <w:color w:val="auto"/>
                <w:sz w:val="24"/>
                <w:highlight w:val="none"/>
              </w:rPr>
              <w:t>合同</w:t>
            </w:r>
          </w:p>
        </w:tc>
        <w:tc>
          <w:tcPr>
            <w:tcW w:w="824" w:type="pct"/>
            <w:tcBorders>
              <w:top w:val="single" w:color="auto" w:sz="4" w:space="0"/>
              <w:left w:val="single" w:color="auto" w:sz="4" w:space="0"/>
              <w:bottom w:val="single" w:color="auto" w:sz="4" w:space="0"/>
              <w:right w:val="single" w:color="auto" w:sz="4" w:space="0"/>
            </w:tcBorders>
            <w:vAlign w:val="center"/>
          </w:tcPr>
          <w:p w14:paraId="4623988D">
            <w:pPr>
              <w:keepNext w:val="0"/>
              <w:keepLines w:val="0"/>
              <w:suppressLineNumbers w:val="0"/>
              <w:snapToGrid w:val="0"/>
              <w:spacing w:before="0" w:beforeAutospacing="0" w:after="0" w:afterAutospacing="0" w:line="240" w:lineRule="exact"/>
              <w:ind w:left="0" w:right="0"/>
              <w:jc w:val="center"/>
              <w:rPr>
                <w:rFonts w:hint="eastAsia" w:ascii="宋体" w:hAnsi="宋体"/>
                <w:color w:val="auto"/>
                <w:sz w:val="24"/>
                <w:highlight w:val="none"/>
              </w:rPr>
            </w:pPr>
            <w:r>
              <w:rPr>
                <w:rFonts w:hint="eastAsia" w:ascii="宋体" w:hAnsi="宋体"/>
                <w:color w:val="auto"/>
                <w:sz w:val="24"/>
                <w:highlight w:val="none"/>
              </w:rPr>
              <w:t>验收报告</w:t>
            </w:r>
          </w:p>
        </w:tc>
        <w:tc>
          <w:tcPr>
            <w:tcW w:w="620" w:type="pct"/>
            <w:tcBorders>
              <w:top w:val="single" w:color="auto" w:sz="4" w:space="0"/>
              <w:left w:val="single" w:color="auto" w:sz="4" w:space="0"/>
              <w:bottom w:val="single" w:color="auto" w:sz="4" w:space="0"/>
              <w:right w:val="single" w:color="auto" w:sz="4" w:space="0"/>
            </w:tcBorders>
            <w:vAlign w:val="center"/>
          </w:tcPr>
          <w:p w14:paraId="02777803">
            <w:pPr>
              <w:keepNext w:val="0"/>
              <w:keepLines w:val="0"/>
              <w:suppressLineNumbers w:val="0"/>
              <w:snapToGrid w:val="0"/>
              <w:spacing w:before="0" w:beforeAutospacing="0" w:after="0" w:afterAutospacing="0" w:line="240" w:lineRule="exact"/>
              <w:ind w:left="0" w:right="0"/>
              <w:jc w:val="center"/>
              <w:rPr>
                <w:rFonts w:hint="eastAsia" w:ascii="宋体" w:hAnsi="宋体"/>
                <w:color w:val="auto"/>
                <w:sz w:val="24"/>
                <w:highlight w:val="none"/>
              </w:rPr>
            </w:pPr>
            <w:r>
              <w:rPr>
                <w:rFonts w:hint="eastAsia" w:ascii="宋体" w:hAnsi="宋体"/>
                <w:color w:val="auto"/>
                <w:sz w:val="24"/>
                <w:highlight w:val="none"/>
              </w:rPr>
              <w:t>用户评价</w:t>
            </w:r>
          </w:p>
        </w:tc>
        <w:tc>
          <w:tcPr>
            <w:tcW w:w="892" w:type="pct"/>
            <w:vMerge w:val="continue"/>
            <w:tcBorders>
              <w:top w:val="single" w:color="auto" w:sz="4" w:space="0"/>
              <w:left w:val="single" w:color="auto" w:sz="4" w:space="0"/>
              <w:bottom w:val="single" w:color="auto" w:sz="4" w:space="0"/>
              <w:right w:val="single" w:color="auto" w:sz="4" w:space="0"/>
            </w:tcBorders>
            <w:vAlign w:val="center"/>
          </w:tcPr>
          <w:p w14:paraId="5920DE3F">
            <w:pPr>
              <w:keepNext w:val="0"/>
              <w:keepLines w:val="0"/>
              <w:widowControl/>
              <w:suppressLineNumbers w:val="0"/>
              <w:spacing w:before="0" w:beforeAutospacing="0" w:after="0" w:afterAutospacing="0"/>
              <w:ind w:left="0" w:right="0"/>
              <w:jc w:val="left"/>
              <w:rPr>
                <w:rFonts w:hint="eastAsia" w:ascii="宋体" w:hAnsi="宋体"/>
                <w:color w:val="auto"/>
                <w:sz w:val="24"/>
                <w:highlight w:val="none"/>
              </w:rPr>
            </w:pPr>
          </w:p>
        </w:tc>
      </w:tr>
      <w:tr w14:paraId="42350A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670" w:type="pct"/>
            <w:tcBorders>
              <w:top w:val="single" w:color="auto" w:sz="4" w:space="0"/>
              <w:left w:val="single" w:color="auto" w:sz="4" w:space="0"/>
              <w:bottom w:val="single" w:color="auto" w:sz="4" w:space="0"/>
              <w:right w:val="single" w:color="auto" w:sz="4" w:space="0"/>
            </w:tcBorders>
          </w:tcPr>
          <w:p w14:paraId="043B2C70">
            <w:pPr>
              <w:keepNext w:val="0"/>
              <w:keepLines w:val="0"/>
              <w:suppressLineNumbers w:val="0"/>
              <w:snapToGrid w:val="0"/>
              <w:spacing w:before="0" w:beforeAutospacing="0" w:after="0" w:afterAutospacing="0" w:line="240" w:lineRule="exact"/>
              <w:ind w:left="0" w:right="0"/>
              <w:jc w:val="left"/>
              <w:rPr>
                <w:rFonts w:hint="eastAsia" w:ascii="宋体" w:hAnsi="宋体"/>
                <w:color w:val="auto"/>
                <w:sz w:val="24"/>
                <w:highlight w:val="none"/>
              </w:rPr>
            </w:pPr>
          </w:p>
        </w:tc>
        <w:tc>
          <w:tcPr>
            <w:tcW w:w="893" w:type="pct"/>
            <w:tcBorders>
              <w:top w:val="single" w:color="auto" w:sz="4" w:space="0"/>
              <w:left w:val="single" w:color="auto" w:sz="4" w:space="0"/>
              <w:bottom w:val="single" w:color="auto" w:sz="4" w:space="0"/>
              <w:right w:val="single" w:color="auto" w:sz="4" w:space="0"/>
            </w:tcBorders>
          </w:tcPr>
          <w:p w14:paraId="48B03905">
            <w:pPr>
              <w:keepNext w:val="0"/>
              <w:keepLines w:val="0"/>
              <w:suppressLineNumbers w:val="0"/>
              <w:snapToGrid w:val="0"/>
              <w:spacing w:before="0" w:beforeAutospacing="0" w:after="0" w:afterAutospacing="0" w:line="240" w:lineRule="exact"/>
              <w:ind w:left="0" w:right="0"/>
              <w:jc w:val="left"/>
              <w:rPr>
                <w:rFonts w:hint="eastAsia" w:ascii="宋体" w:hAnsi="宋体"/>
                <w:color w:val="auto"/>
                <w:sz w:val="24"/>
                <w:highlight w:val="none"/>
              </w:rPr>
            </w:pPr>
          </w:p>
        </w:tc>
        <w:tc>
          <w:tcPr>
            <w:tcW w:w="549" w:type="pct"/>
            <w:tcBorders>
              <w:top w:val="single" w:color="auto" w:sz="4" w:space="0"/>
              <w:left w:val="single" w:color="auto" w:sz="4" w:space="0"/>
              <w:bottom w:val="single" w:color="auto" w:sz="4" w:space="0"/>
              <w:right w:val="single" w:color="auto" w:sz="4" w:space="0"/>
            </w:tcBorders>
          </w:tcPr>
          <w:p w14:paraId="25DD2C23">
            <w:pPr>
              <w:keepNext w:val="0"/>
              <w:keepLines w:val="0"/>
              <w:suppressLineNumbers w:val="0"/>
              <w:snapToGrid w:val="0"/>
              <w:spacing w:before="0" w:beforeAutospacing="0" w:after="0" w:afterAutospacing="0" w:line="240" w:lineRule="exact"/>
              <w:ind w:left="0" w:right="0"/>
              <w:jc w:val="left"/>
              <w:rPr>
                <w:rFonts w:hint="eastAsia" w:ascii="宋体" w:hAnsi="宋体"/>
                <w:color w:val="auto"/>
                <w:sz w:val="24"/>
                <w:highlight w:val="none"/>
              </w:rPr>
            </w:pPr>
          </w:p>
        </w:tc>
        <w:tc>
          <w:tcPr>
            <w:tcW w:w="549" w:type="pct"/>
            <w:tcBorders>
              <w:top w:val="single" w:color="auto" w:sz="4" w:space="0"/>
              <w:left w:val="single" w:color="auto" w:sz="4" w:space="0"/>
              <w:bottom w:val="single" w:color="auto" w:sz="4" w:space="0"/>
              <w:right w:val="single" w:color="auto" w:sz="4" w:space="0"/>
            </w:tcBorders>
          </w:tcPr>
          <w:p w14:paraId="5009904B">
            <w:pPr>
              <w:keepNext w:val="0"/>
              <w:keepLines w:val="0"/>
              <w:suppressLineNumbers w:val="0"/>
              <w:snapToGrid w:val="0"/>
              <w:spacing w:before="0" w:beforeAutospacing="0" w:after="0" w:afterAutospacing="0" w:line="240" w:lineRule="exact"/>
              <w:ind w:left="0" w:right="0"/>
              <w:jc w:val="left"/>
              <w:rPr>
                <w:rFonts w:hint="eastAsia" w:ascii="宋体" w:hAnsi="宋体"/>
                <w:color w:val="auto"/>
                <w:sz w:val="24"/>
                <w:highlight w:val="none"/>
              </w:rPr>
            </w:pPr>
          </w:p>
        </w:tc>
        <w:tc>
          <w:tcPr>
            <w:tcW w:w="824" w:type="pct"/>
            <w:tcBorders>
              <w:top w:val="single" w:color="auto" w:sz="4" w:space="0"/>
              <w:left w:val="single" w:color="auto" w:sz="4" w:space="0"/>
              <w:bottom w:val="single" w:color="auto" w:sz="4" w:space="0"/>
              <w:right w:val="single" w:color="auto" w:sz="4" w:space="0"/>
            </w:tcBorders>
          </w:tcPr>
          <w:p w14:paraId="003F5923">
            <w:pPr>
              <w:keepNext w:val="0"/>
              <w:keepLines w:val="0"/>
              <w:suppressLineNumbers w:val="0"/>
              <w:snapToGrid w:val="0"/>
              <w:spacing w:before="0" w:beforeAutospacing="0" w:after="0" w:afterAutospacing="0" w:line="240" w:lineRule="exact"/>
              <w:ind w:left="0" w:right="0"/>
              <w:jc w:val="left"/>
              <w:rPr>
                <w:rFonts w:hint="eastAsia" w:ascii="宋体" w:hAnsi="宋体"/>
                <w:color w:val="auto"/>
                <w:sz w:val="24"/>
                <w:highlight w:val="none"/>
              </w:rPr>
            </w:pPr>
          </w:p>
        </w:tc>
        <w:tc>
          <w:tcPr>
            <w:tcW w:w="620" w:type="pct"/>
            <w:tcBorders>
              <w:top w:val="single" w:color="auto" w:sz="4" w:space="0"/>
              <w:left w:val="single" w:color="auto" w:sz="4" w:space="0"/>
              <w:bottom w:val="single" w:color="auto" w:sz="4" w:space="0"/>
              <w:right w:val="single" w:color="auto" w:sz="4" w:space="0"/>
            </w:tcBorders>
          </w:tcPr>
          <w:p w14:paraId="3355D5DF">
            <w:pPr>
              <w:keepNext w:val="0"/>
              <w:keepLines w:val="0"/>
              <w:suppressLineNumbers w:val="0"/>
              <w:snapToGrid w:val="0"/>
              <w:spacing w:before="0" w:beforeAutospacing="0" w:after="0" w:afterAutospacing="0" w:line="240" w:lineRule="exact"/>
              <w:ind w:left="0" w:right="0"/>
              <w:jc w:val="left"/>
              <w:rPr>
                <w:rFonts w:hint="eastAsia" w:ascii="宋体" w:hAnsi="宋体"/>
                <w:color w:val="auto"/>
                <w:sz w:val="24"/>
                <w:highlight w:val="none"/>
              </w:rPr>
            </w:pPr>
          </w:p>
        </w:tc>
        <w:tc>
          <w:tcPr>
            <w:tcW w:w="892" w:type="pct"/>
            <w:tcBorders>
              <w:top w:val="single" w:color="auto" w:sz="4" w:space="0"/>
              <w:left w:val="single" w:color="auto" w:sz="4" w:space="0"/>
              <w:bottom w:val="single" w:color="auto" w:sz="4" w:space="0"/>
              <w:right w:val="single" w:color="auto" w:sz="4" w:space="0"/>
            </w:tcBorders>
          </w:tcPr>
          <w:p w14:paraId="047322F0">
            <w:pPr>
              <w:keepNext w:val="0"/>
              <w:keepLines w:val="0"/>
              <w:suppressLineNumbers w:val="0"/>
              <w:snapToGrid w:val="0"/>
              <w:spacing w:before="0" w:beforeAutospacing="0" w:after="0" w:afterAutospacing="0" w:line="240" w:lineRule="exact"/>
              <w:ind w:left="0" w:right="0"/>
              <w:jc w:val="left"/>
              <w:rPr>
                <w:rFonts w:hint="eastAsia" w:ascii="宋体" w:hAnsi="宋体"/>
                <w:color w:val="auto"/>
                <w:sz w:val="24"/>
                <w:highlight w:val="none"/>
              </w:rPr>
            </w:pPr>
          </w:p>
        </w:tc>
      </w:tr>
      <w:tr w14:paraId="1DD753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0" w:type="pct"/>
            <w:tcBorders>
              <w:top w:val="single" w:color="auto" w:sz="4" w:space="0"/>
              <w:left w:val="single" w:color="auto" w:sz="4" w:space="0"/>
              <w:bottom w:val="single" w:color="auto" w:sz="4" w:space="0"/>
              <w:right w:val="single" w:color="auto" w:sz="4" w:space="0"/>
            </w:tcBorders>
          </w:tcPr>
          <w:p w14:paraId="1CCFAB81">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auto"/>
                <w:sz w:val="24"/>
                <w:highlight w:val="none"/>
              </w:rPr>
            </w:pPr>
          </w:p>
        </w:tc>
        <w:tc>
          <w:tcPr>
            <w:tcW w:w="893" w:type="pct"/>
            <w:tcBorders>
              <w:top w:val="single" w:color="auto" w:sz="4" w:space="0"/>
              <w:left w:val="single" w:color="auto" w:sz="4" w:space="0"/>
              <w:bottom w:val="single" w:color="auto" w:sz="4" w:space="0"/>
              <w:right w:val="single" w:color="auto" w:sz="4" w:space="0"/>
            </w:tcBorders>
          </w:tcPr>
          <w:p w14:paraId="6BF4FB86">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auto"/>
                <w:sz w:val="24"/>
                <w:highlight w:val="none"/>
              </w:rPr>
            </w:pPr>
          </w:p>
        </w:tc>
        <w:tc>
          <w:tcPr>
            <w:tcW w:w="549" w:type="pct"/>
            <w:tcBorders>
              <w:top w:val="single" w:color="auto" w:sz="4" w:space="0"/>
              <w:left w:val="single" w:color="auto" w:sz="4" w:space="0"/>
              <w:bottom w:val="single" w:color="auto" w:sz="4" w:space="0"/>
              <w:right w:val="single" w:color="auto" w:sz="4" w:space="0"/>
            </w:tcBorders>
          </w:tcPr>
          <w:p w14:paraId="42E3B945">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auto"/>
                <w:sz w:val="24"/>
                <w:highlight w:val="none"/>
              </w:rPr>
            </w:pPr>
          </w:p>
        </w:tc>
        <w:tc>
          <w:tcPr>
            <w:tcW w:w="549" w:type="pct"/>
            <w:tcBorders>
              <w:top w:val="single" w:color="auto" w:sz="4" w:space="0"/>
              <w:left w:val="single" w:color="auto" w:sz="4" w:space="0"/>
              <w:bottom w:val="single" w:color="auto" w:sz="4" w:space="0"/>
              <w:right w:val="single" w:color="auto" w:sz="4" w:space="0"/>
            </w:tcBorders>
          </w:tcPr>
          <w:p w14:paraId="56410F24">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auto"/>
                <w:sz w:val="24"/>
                <w:highlight w:val="none"/>
              </w:rPr>
            </w:pPr>
          </w:p>
        </w:tc>
        <w:tc>
          <w:tcPr>
            <w:tcW w:w="824" w:type="pct"/>
            <w:tcBorders>
              <w:top w:val="single" w:color="auto" w:sz="4" w:space="0"/>
              <w:left w:val="single" w:color="auto" w:sz="4" w:space="0"/>
              <w:bottom w:val="single" w:color="auto" w:sz="4" w:space="0"/>
              <w:right w:val="single" w:color="auto" w:sz="4" w:space="0"/>
            </w:tcBorders>
          </w:tcPr>
          <w:p w14:paraId="0C8F7DB6">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auto"/>
                <w:sz w:val="24"/>
                <w:highlight w:val="none"/>
              </w:rPr>
            </w:pPr>
          </w:p>
        </w:tc>
        <w:tc>
          <w:tcPr>
            <w:tcW w:w="620" w:type="pct"/>
            <w:tcBorders>
              <w:top w:val="single" w:color="auto" w:sz="4" w:space="0"/>
              <w:left w:val="single" w:color="auto" w:sz="4" w:space="0"/>
              <w:bottom w:val="single" w:color="auto" w:sz="4" w:space="0"/>
              <w:right w:val="single" w:color="auto" w:sz="4" w:space="0"/>
            </w:tcBorders>
          </w:tcPr>
          <w:p w14:paraId="0A0821B0">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auto"/>
                <w:sz w:val="24"/>
                <w:highlight w:val="none"/>
              </w:rPr>
            </w:pPr>
          </w:p>
        </w:tc>
        <w:tc>
          <w:tcPr>
            <w:tcW w:w="892" w:type="pct"/>
            <w:tcBorders>
              <w:top w:val="single" w:color="auto" w:sz="4" w:space="0"/>
              <w:left w:val="single" w:color="auto" w:sz="4" w:space="0"/>
              <w:bottom w:val="single" w:color="auto" w:sz="4" w:space="0"/>
              <w:right w:val="single" w:color="auto" w:sz="4" w:space="0"/>
            </w:tcBorders>
          </w:tcPr>
          <w:p w14:paraId="4E700D1F">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auto"/>
                <w:sz w:val="24"/>
                <w:highlight w:val="none"/>
              </w:rPr>
            </w:pPr>
          </w:p>
        </w:tc>
      </w:tr>
      <w:tr w14:paraId="609F31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670" w:type="pct"/>
            <w:tcBorders>
              <w:top w:val="single" w:color="auto" w:sz="4" w:space="0"/>
              <w:left w:val="single" w:color="auto" w:sz="4" w:space="0"/>
              <w:bottom w:val="single" w:color="auto" w:sz="4" w:space="0"/>
              <w:right w:val="single" w:color="auto" w:sz="4" w:space="0"/>
            </w:tcBorders>
          </w:tcPr>
          <w:p w14:paraId="45622FEB">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auto"/>
                <w:sz w:val="24"/>
                <w:highlight w:val="none"/>
              </w:rPr>
            </w:pPr>
          </w:p>
        </w:tc>
        <w:tc>
          <w:tcPr>
            <w:tcW w:w="893" w:type="pct"/>
            <w:tcBorders>
              <w:top w:val="single" w:color="auto" w:sz="4" w:space="0"/>
              <w:left w:val="single" w:color="auto" w:sz="4" w:space="0"/>
              <w:bottom w:val="single" w:color="auto" w:sz="4" w:space="0"/>
              <w:right w:val="single" w:color="auto" w:sz="4" w:space="0"/>
            </w:tcBorders>
          </w:tcPr>
          <w:p w14:paraId="15BF25B4">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auto"/>
                <w:sz w:val="24"/>
                <w:highlight w:val="none"/>
              </w:rPr>
            </w:pPr>
          </w:p>
        </w:tc>
        <w:tc>
          <w:tcPr>
            <w:tcW w:w="549" w:type="pct"/>
            <w:tcBorders>
              <w:top w:val="single" w:color="auto" w:sz="4" w:space="0"/>
              <w:left w:val="single" w:color="auto" w:sz="4" w:space="0"/>
              <w:bottom w:val="single" w:color="auto" w:sz="4" w:space="0"/>
              <w:right w:val="single" w:color="auto" w:sz="4" w:space="0"/>
            </w:tcBorders>
          </w:tcPr>
          <w:p w14:paraId="7EF6B0B0">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auto"/>
                <w:sz w:val="24"/>
                <w:highlight w:val="none"/>
              </w:rPr>
            </w:pPr>
          </w:p>
        </w:tc>
        <w:tc>
          <w:tcPr>
            <w:tcW w:w="549" w:type="pct"/>
            <w:tcBorders>
              <w:top w:val="single" w:color="auto" w:sz="4" w:space="0"/>
              <w:left w:val="single" w:color="auto" w:sz="4" w:space="0"/>
              <w:bottom w:val="single" w:color="auto" w:sz="4" w:space="0"/>
              <w:right w:val="single" w:color="auto" w:sz="4" w:space="0"/>
            </w:tcBorders>
          </w:tcPr>
          <w:p w14:paraId="4B68A3E6">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auto"/>
                <w:sz w:val="24"/>
                <w:highlight w:val="none"/>
              </w:rPr>
            </w:pPr>
          </w:p>
        </w:tc>
        <w:tc>
          <w:tcPr>
            <w:tcW w:w="824" w:type="pct"/>
            <w:tcBorders>
              <w:top w:val="single" w:color="auto" w:sz="4" w:space="0"/>
              <w:left w:val="single" w:color="auto" w:sz="4" w:space="0"/>
              <w:bottom w:val="single" w:color="auto" w:sz="4" w:space="0"/>
              <w:right w:val="single" w:color="auto" w:sz="4" w:space="0"/>
            </w:tcBorders>
          </w:tcPr>
          <w:p w14:paraId="1D624C96">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auto"/>
                <w:sz w:val="24"/>
                <w:highlight w:val="none"/>
              </w:rPr>
            </w:pPr>
          </w:p>
        </w:tc>
        <w:tc>
          <w:tcPr>
            <w:tcW w:w="620" w:type="pct"/>
            <w:tcBorders>
              <w:top w:val="single" w:color="auto" w:sz="4" w:space="0"/>
              <w:left w:val="single" w:color="auto" w:sz="4" w:space="0"/>
              <w:bottom w:val="single" w:color="auto" w:sz="4" w:space="0"/>
              <w:right w:val="single" w:color="auto" w:sz="4" w:space="0"/>
            </w:tcBorders>
          </w:tcPr>
          <w:p w14:paraId="2496F2BC">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auto"/>
                <w:sz w:val="24"/>
                <w:highlight w:val="none"/>
              </w:rPr>
            </w:pPr>
          </w:p>
        </w:tc>
        <w:tc>
          <w:tcPr>
            <w:tcW w:w="892" w:type="pct"/>
            <w:tcBorders>
              <w:top w:val="single" w:color="auto" w:sz="4" w:space="0"/>
              <w:left w:val="single" w:color="auto" w:sz="4" w:space="0"/>
              <w:bottom w:val="single" w:color="auto" w:sz="4" w:space="0"/>
              <w:right w:val="single" w:color="auto" w:sz="4" w:space="0"/>
            </w:tcBorders>
          </w:tcPr>
          <w:p w14:paraId="312169C9">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auto"/>
                <w:sz w:val="24"/>
                <w:highlight w:val="none"/>
              </w:rPr>
            </w:pPr>
          </w:p>
        </w:tc>
      </w:tr>
      <w:tr w14:paraId="7464C6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0" w:type="pct"/>
            <w:tcBorders>
              <w:top w:val="single" w:color="auto" w:sz="4" w:space="0"/>
              <w:left w:val="single" w:color="auto" w:sz="4" w:space="0"/>
              <w:bottom w:val="single" w:color="auto" w:sz="4" w:space="0"/>
              <w:right w:val="single" w:color="auto" w:sz="4" w:space="0"/>
            </w:tcBorders>
          </w:tcPr>
          <w:p w14:paraId="1E45BC2C">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auto"/>
                <w:sz w:val="24"/>
                <w:highlight w:val="none"/>
              </w:rPr>
            </w:pPr>
          </w:p>
        </w:tc>
        <w:tc>
          <w:tcPr>
            <w:tcW w:w="893" w:type="pct"/>
            <w:tcBorders>
              <w:top w:val="single" w:color="auto" w:sz="4" w:space="0"/>
              <w:left w:val="single" w:color="auto" w:sz="4" w:space="0"/>
              <w:bottom w:val="single" w:color="auto" w:sz="4" w:space="0"/>
              <w:right w:val="single" w:color="auto" w:sz="4" w:space="0"/>
            </w:tcBorders>
          </w:tcPr>
          <w:p w14:paraId="0C57F1A8">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auto"/>
                <w:sz w:val="24"/>
                <w:highlight w:val="none"/>
              </w:rPr>
            </w:pPr>
          </w:p>
        </w:tc>
        <w:tc>
          <w:tcPr>
            <w:tcW w:w="549" w:type="pct"/>
            <w:tcBorders>
              <w:top w:val="single" w:color="auto" w:sz="4" w:space="0"/>
              <w:left w:val="single" w:color="auto" w:sz="4" w:space="0"/>
              <w:bottom w:val="single" w:color="auto" w:sz="4" w:space="0"/>
              <w:right w:val="single" w:color="auto" w:sz="4" w:space="0"/>
            </w:tcBorders>
          </w:tcPr>
          <w:p w14:paraId="3B2E86F6">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auto"/>
                <w:sz w:val="24"/>
                <w:highlight w:val="none"/>
              </w:rPr>
            </w:pPr>
          </w:p>
        </w:tc>
        <w:tc>
          <w:tcPr>
            <w:tcW w:w="549" w:type="pct"/>
            <w:tcBorders>
              <w:top w:val="single" w:color="auto" w:sz="4" w:space="0"/>
              <w:left w:val="single" w:color="auto" w:sz="4" w:space="0"/>
              <w:bottom w:val="single" w:color="auto" w:sz="4" w:space="0"/>
              <w:right w:val="single" w:color="auto" w:sz="4" w:space="0"/>
            </w:tcBorders>
          </w:tcPr>
          <w:p w14:paraId="2FE5A49F">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auto"/>
                <w:sz w:val="24"/>
                <w:highlight w:val="none"/>
              </w:rPr>
            </w:pPr>
          </w:p>
        </w:tc>
        <w:tc>
          <w:tcPr>
            <w:tcW w:w="824" w:type="pct"/>
            <w:tcBorders>
              <w:top w:val="single" w:color="auto" w:sz="4" w:space="0"/>
              <w:left w:val="single" w:color="auto" w:sz="4" w:space="0"/>
              <w:bottom w:val="single" w:color="auto" w:sz="4" w:space="0"/>
              <w:right w:val="single" w:color="auto" w:sz="4" w:space="0"/>
            </w:tcBorders>
          </w:tcPr>
          <w:p w14:paraId="47C3B311">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auto"/>
                <w:sz w:val="24"/>
                <w:highlight w:val="none"/>
              </w:rPr>
            </w:pPr>
          </w:p>
        </w:tc>
        <w:tc>
          <w:tcPr>
            <w:tcW w:w="620" w:type="pct"/>
            <w:tcBorders>
              <w:top w:val="single" w:color="auto" w:sz="4" w:space="0"/>
              <w:left w:val="single" w:color="auto" w:sz="4" w:space="0"/>
              <w:bottom w:val="single" w:color="auto" w:sz="4" w:space="0"/>
              <w:right w:val="single" w:color="auto" w:sz="4" w:space="0"/>
            </w:tcBorders>
          </w:tcPr>
          <w:p w14:paraId="714311A7">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auto"/>
                <w:sz w:val="24"/>
                <w:highlight w:val="none"/>
              </w:rPr>
            </w:pPr>
          </w:p>
        </w:tc>
        <w:tc>
          <w:tcPr>
            <w:tcW w:w="892" w:type="pct"/>
            <w:tcBorders>
              <w:top w:val="single" w:color="auto" w:sz="4" w:space="0"/>
              <w:left w:val="single" w:color="auto" w:sz="4" w:space="0"/>
              <w:bottom w:val="single" w:color="auto" w:sz="4" w:space="0"/>
              <w:right w:val="single" w:color="auto" w:sz="4" w:space="0"/>
            </w:tcBorders>
          </w:tcPr>
          <w:p w14:paraId="722596CE">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auto"/>
                <w:sz w:val="24"/>
                <w:highlight w:val="none"/>
              </w:rPr>
            </w:pPr>
          </w:p>
        </w:tc>
      </w:tr>
      <w:tr w14:paraId="605B48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0" w:type="pct"/>
            <w:tcBorders>
              <w:top w:val="single" w:color="auto" w:sz="4" w:space="0"/>
              <w:left w:val="single" w:color="auto" w:sz="4" w:space="0"/>
              <w:bottom w:val="single" w:color="auto" w:sz="4" w:space="0"/>
              <w:right w:val="single" w:color="auto" w:sz="4" w:space="0"/>
            </w:tcBorders>
          </w:tcPr>
          <w:p w14:paraId="40F84835">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auto"/>
                <w:sz w:val="24"/>
                <w:highlight w:val="none"/>
              </w:rPr>
            </w:pPr>
          </w:p>
        </w:tc>
        <w:tc>
          <w:tcPr>
            <w:tcW w:w="893" w:type="pct"/>
            <w:tcBorders>
              <w:top w:val="single" w:color="auto" w:sz="4" w:space="0"/>
              <w:left w:val="single" w:color="auto" w:sz="4" w:space="0"/>
              <w:bottom w:val="single" w:color="auto" w:sz="4" w:space="0"/>
              <w:right w:val="single" w:color="auto" w:sz="4" w:space="0"/>
            </w:tcBorders>
          </w:tcPr>
          <w:p w14:paraId="76FC2BD4">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auto"/>
                <w:sz w:val="24"/>
                <w:highlight w:val="none"/>
              </w:rPr>
            </w:pPr>
          </w:p>
        </w:tc>
        <w:tc>
          <w:tcPr>
            <w:tcW w:w="549" w:type="pct"/>
            <w:tcBorders>
              <w:top w:val="single" w:color="auto" w:sz="4" w:space="0"/>
              <w:left w:val="single" w:color="auto" w:sz="4" w:space="0"/>
              <w:bottom w:val="single" w:color="auto" w:sz="4" w:space="0"/>
              <w:right w:val="single" w:color="auto" w:sz="4" w:space="0"/>
            </w:tcBorders>
          </w:tcPr>
          <w:p w14:paraId="1DBAC960">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auto"/>
                <w:sz w:val="24"/>
                <w:highlight w:val="none"/>
              </w:rPr>
            </w:pPr>
          </w:p>
        </w:tc>
        <w:tc>
          <w:tcPr>
            <w:tcW w:w="549" w:type="pct"/>
            <w:tcBorders>
              <w:top w:val="single" w:color="auto" w:sz="4" w:space="0"/>
              <w:left w:val="single" w:color="auto" w:sz="4" w:space="0"/>
              <w:bottom w:val="single" w:color="auto" w:sz="4" w:space="0"/>
              <w:right w:val="single" w:color="auto" w:sz="4" w:space="0"/>
            </w:tcBorders>
          </w:tcPr>
          <w:p w14:paraId="5EFD3A32">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auto"/>
                <w:sz w:val="24"/>
                <w:highlight w:val="none"/>
              </w:rPr>
            </w:pPr>
          </w:p>
        </w:tc>
        <w:tc>
          <w:tcPr>
            <w:tcW w:w="824" w:type="pct"/>
            <w:tcBorders>
              <w:top w:val="single" w:color="auto" w:sz="4" w:space="0"/>
              <w:left w:val="single" w:color="auto" w:sz="4" w:space="0"/>
              <w:bottom w:val="single" w:color="auto" w:sz="4" w:space="0"/>
              <w:right w:val="single" w:color="auto" w:sz="4" w:space="0"/>
            </w:tcBorders>
          </w:tcPr>
          <w:p w14:paraId="252906D9">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auto"/>
                <w:sz w:val="24"/>
                <w:highlight w:val="none"/>
              </w:rPr>
            </w:pPr>
          </w:p>
        </w:tc>
        <w:tc>
          <w:tcPr>
            <w:tcW w:w="620" w:type="pct"/>
            <w:tcBorders>
              <w:top w:val="single" w:color="auto" w:sz="4" w:space="0"/>
              <w:left w:val="single" w:color="auto" w:sz="4" w:space="0"/>
              <w:bottom w:val="single" w:color="auto" w:sz="4" w:space="0"/>
              <w:right w:val="single" w:color="auto" w:sz="4" w:space="0"/>
            </w:tcBorders>
          </w:tcPr>
          <w:p w14:paraId="5D2AC3B3">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auto"/>
                <w:sz w:val="24"/>
                <w:highlight w:val="none"/>
              </w:rPr>
            </w:pPr>
          </w:p>
        </w:tc>
        <w:tc>
          <w:tcPr>
            <w:tcW w:w="892" w:type="pct"/>
            <w:tcBorders>
              <w:top w:val="single" w:color="auto" w:sz="4" w:space="0"/>
              <w:left w:val="single" w:color="auto" w:sz="4" w:space="0"/>
              <w:bottom w:val="single" w:color="auto" w:sz="4" w:space="0"/>
              <w:right w:val="single" w:color="auto" w:sz="4" w:space="0"/>
            </w:tcBorders>
          </w:tcPr>
          <w:p w14:paraId="0C2EA4F5">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auto"/>
                <w:sz w:val="24"/>
                <w:highlight w:val="none"/>
              </w:rPr>
            </w:pPr>
          </w:p>
        </w:tc>
      </w:tr>
    </w:tbl>
    <w:p w14:paraId="26F87418">
      <w:pPr>
        <w:pStyle w:val="16"/>
        <w:snapToGrid w:val="0"/>
        <w:ind w:left="480" w:hanging="480"/>
        <w:rPr>
          <w:rFonts w:hint="eastAsia" w:ascii="宋体" w:hAnsi="宋体"/>
          <w:color w:val="auto"/>
          <w:sz w:val="24"/>
          <w:highlight w:val="none"/>
        </w:rPr>
      </w:pPr>
    </w:p>
    <w:p w14:paraId="435192A9">
      <w:pPr>
        <w:pStyle w:val="16"/>
        <w:snapToGrid w:val="0"/>
        <w:ind w:left="480" w:hanging="480"/>
        <w:rPr>
          <w:rFonts w:hint="eastAsia" w:ascii="宋体" w:hAnsi="宋体"/>
          <w:color w:val="auto"/>
          <w:sz w:val="24"/>
          <w:highlight w:val="none"/>
        </w:rPr>
      </w:pPr>
    </w:p>
    <w:p w14:paraId="0D42226C">
      <w:pPr>
        <w:pStyle w:val="16"/>
        <w:snapToGrid w:val="0"/>
        <w:ind w:left="480" w:hanging="480"/>
        <w:rPr>
          <w:rFonts w:hint="eastAsia" w:ascii="宋体" w:hAnsi="宋体"/>
          <w:color w:val="auto"/>
          <w:sz w:val="24"/>
          <w:highlight w:val="none"/>
        </w:rPr>
      </w:pPr>
    </w:p>
    <w:p w14:paraId="775D20AF">
      <w:pPr>
        <w:autoSpaceDE w:val="0"/>
        <w:autoSpaceDN w:val="0"/>
        <w:spacing w:line="360" w:lineRule="auto"/>
        <w:ind w:firstLine="120"/>
        <w:rPr>
          <w:rFonts w:hint="eastAsia" w:ascii="宋体" w:hAnsi="宋体"/>
          <w:color w:val="auto"/>
          <w:sz w:val="24"/>
          <w:highlight w:val="none"/>
        </w:rPr>
      </w:pPr>
      <w:r>
        <w:rPr>
          <w:rFonts w:hint="eastAsia" w:ascii="仿宋_GB2312" w:hAnsi="仿宋" w:eastAsia="仿宋_GB2312" w:cs="仿宋_GB2312"/>
          <w:b/>
          <w:color w:val="auto"/>
          <w:sz w:val="24"/>
          <w:highlight w:val="none"/>
        </w:rPr>
        <w:t>附表 :相关项目业绩一览表（供应商同类项目合同复印件或中标通知书或单位经费分配单）</w:t>
      </w:r>
    </w:p>
    <w:p w14:paraId="7F1F27EC">
      <w:pPr>
        <w:pStyle w:val="11"/>
        <w:spacing w:line="360" w:lineRule="auto"/>
        <w:rPr>
          <w:color w:val="auto"/>
          <w:highlight w:val="none"/>
        </w:rPr>
      </w:pPr>
      <w:r>
        <w:rPr>
          <w:rFonts w:hint="eastAsia"/>
          <w:color w:val="auto"/>
          <w:highlight w:val="none"/>
        </w:rPr>
        <w:t>注：供应商可按上述的格式自行编制，须随表提交相应的合同复印件并注明所在供应商商务技术文件页码。</w:t>
      </w:r>
    </w:p>
    <w:p w14:paraId="7089A040">
      <w:pPr>
        <w:snapToGrid w:val="0"/>
        <w:spacing w:line="360" w:lineRule="auto"/>
        <w:ind w:firstLine="4935" w:firstLineChars="2350"/>
        <w:rPr>
          <w:rFonts w:hint="eastAsia" w:hAnsi="宋体"/>
          <w:color w:val="auto"/>
          <w:szCs w:val="21"/>
          <w:highlight w:val="none"/>
        </w:rPr>
      </w:pPr>
      <w:r>
        <w:rPr>
          <w:rFonts w:hAnsi="宋体"/>
          <w:color w:val="auto"/>
          <w:szCs w:val="21"/>
          <w:highlight w:val="none"/>
        </w:rPr>
        <w:t xml:space="preserve"> </w:t>
      </w:r>
    </w:p>
    <w:p w14:paraId="000E01CA">
      <w:pPr>
        <w:snapToGrid w:val="0"/>
        <w:spacing w:line="360" w:lineRule="auto"/>
        <w:ind w:firstLine="4935" w:firstLineChars="2350"/>
        <w:rPr>
          <w:rFonts w:hint="eastAsia" w:hAnsi="宋体"/>
          <w:color w:val="auto"/>
          <w:szCs w:val="21"/>
          <w:highlight w:val="none"/>
        </w:rPr>
      </w:pPr>
    </w:p>
    <w:p w14:paraId="56A8F14A">
      <w:pPr>
        <w:snapToGrid w:val="0"/>
        <w:spacing w:line="360" w:lineRule="auto"/>
        <w:ind w:left="4410" w:leftChars="2100" w:firstLine="5670" w:firstLineChars="2700"/>
        <w:rPr>
          <w:rFonts w:hint="eastAsia" w:ascii="仿宋_GB2312" w:hAnsi="仿宋" w:eastAsia="仿宋_GB2312" w:cs="仿宋_GB2312"/>
          <w:color w:val="auto"/>
          <w:kern w:val="0"/>
          <w:sz w:val="24"/>
          <w:highlight w:val="none"/>
        </w:rPr>
      </w:pPr>
      <w:r>
        <w:rPr>
          <w:rFonts w:hAnsi="宋体"/>
          <w:color w:val="auto"/>
          <w:szCs w:val="21"/>
          <w:highlight w:val="none"/>
        </w:rPr>
        <w:t xml:space="preserve"> </w:t>
      </w:r>
      <w:r>
        <w:rPr>
          <w:rFonts w:hint="eastAsia" w:ascii="仿宋_GB2312" w:hAnsi="仿宋" w:eastAsia="仿宋_GB2312" w:cs="仿宋_GB2312"/>
          <w:color w:val="auto"/>
          <w:kern w:val="0"/>
          <w:sz w:val="24"/>
          <w:highlight w:val="none"/>
          <w:lang w:val="zh-CN"/>
        </w:rPr>
        <w:t>供应商名称(电子签章)：</w:t>
      </w:r>
    </w:p>
    <w:p w14:paraId="7C21B744">
      <w:pPr>
        <w:spacing w:line="500" w:lineRule="exact"/>
        <w:jc w:val="center"/>
        <w:rPr>
          <w:rFonts w:hint="eastAsia" w:ascii="仿宋_GB2312" w:hAnsi="仿宋_GB2312" w:eastAsia="仿宋_GB2312" w:cs="仿宋_GB2312"/>
          <w:color w:val="auto"/>
          <w:sz w:val="32"/>
          <w:szCs w:val="32"/>
          <w:highlight w:val="none"/>
        </w:rPr>
      </w:pPr>
      <w:r>
        <w:rPr>
          <w:rFonts w:hint="eastAsia" w:ascii="仿宋_GB2312" w:hAnsi="仿宋" w:eastAsia="仿宋_GB2312" w:cs="仿宋_GB2312"/>
          <w:color w:val="auto"/>
          <w:kern w:val="0"/>
          <w:sz w:val="24"/>
          <w:highlight w:val="none"/>
          <w:lang w:val="zh-CN"/>
        </w:rPr>
        <w:t xml:space="preserve">                                                   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45AB531F">
      <w:pPr>
        <w:widowControl/>
        <w:jc w:val="left"/>
        <w:rPr>
          <w:rFonts w:hint="eastAsia" w:ascii="仿宋_GB2312" w:hAnsi="仿宋_GB2312" w:eastAsia="仿宋_GB2312" w:cs="仿宋_GB2312"/>
          <w:color w:val="auto"/>
          <w:sz w:val="32"/>
          <w:szCs w:val="32"/>
          <w:highlight w:val="none"/>
        </w:rPr>
        <w:sectPr>
          <w:pgSz w:w="11911" w:h="16838"/>
          <w:pgMar w:top="1417" w:right="1417" w:bottom="1417" w:left="1417" w:header="720" w:footer="720" w:gutter="0"/>
          <w:cols w:space="0" w:num="1"/>
          <w:rtlGutter w:val="0"/>
          <w:docGrid w:linePitch="0" w:charSpace="0"/>
        </w:sectPr>
      </w:pPr>
    </w:p>
    <w:p w14:paraId="73FBA91D">
      <w:pPr>
        <w:snapToGrid w:val="0"/>
        <w:spacing w:line="360" w:lineRule="auto"/>
        <w:ind w:firstLine="602" w:firstLineChars="200"/>
        <w:rPr>
          <w:rFonts w:hint="eastAsia" w:ascii="仿宋_GB2312" w:hAnsi="仿宋_GB2312" w:eastAsia="仿宋_GB2312" w:cs="仿宋_GB2312"/>
          <w:color w:val="auto"/>
          <w:sz w:val="32"/>
          <w:szCs w:val="32"/>
          <w:highlight w:val="none"/>
        </w:rPr>
      </w:pPr>
      <w:r>
        <w:rPr>
          <w:rFonts w:hint="eastAsia" w:ascii="仿宋" w:hAnsi="仿宋" w:eastAsia="仿宋" w:cs="仿宋_GB2312"/>
          <w:b/>
          <w:color w:val="auto"/>
          <w:sz w:val="30"/>
          <w:szCs w:val="30"/>
          <w:highlight w:val="none"/>
        </w:rPr>
        <w:t>七、服务需求偏离表</w:t>
      </w:r>
    </w:p>
    <w:p w14:paraId="044B83D4">
      <w:pPr>
        <w:spacing w:line="500" w:lineRule="exact"/>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竞标产品服务需求偏离表</w:t>
      </w:r>
    </w:p>
    <w:p w14:paraId="5B2F4219">
      <w:pPr>
        <w:spacing w:line="500" w:lineRule="exact"/>
        <w:jc w:val="center"/>
        <w:rPr>
          <w:rFonts w:hint="eastAsia" w:ascii="宋体" w:hAnsi="宋体"/>
          <w:b/>
          <w:color w:val="auto"/>
          <w:sz w:val="32"/>
          <w:szCs w:val="32"/>
          <w:highlight w:val="none"/>
        </w:rPr>
      </w:pPr>
      <w:r>
        <w:rPr>
          <w:rFonts w:hint="eastAsia" w:ascii="方正小标宋简体" w:hAnsi="方正小标宋简体" w:eastAsia="方正小标宋简体" w:cs="方正小标宋简体"/>
          <w:bCs/>
          <w:color w:val="auto"/>
          <w:sz w:val="44"/>
          <w:szCs w:val="44"/>
          <w:highlight w:val="none"/>
        </w:rPr>
        <w:t>(注：按采购需求具体条款修改)</w:t>
      </w:r>
    </w:p>
    <w:p w14:paraId="039ABA0C">
      <w:pPr>
        <w:spacing w:line="360" w:lineRule="auto"/>
        <w:jc w:val="left"/>
        <w:rPr>
          <w:rFonts w:hint="eastAsia" w:ascii="宋体" w:hAnsi="宋体"/>
          <w:color w:val="auto"/>
          <w:sz w:val="24"/>
          <w:highlight w:val="none"/>
        </w:rPr>
      </w:pPr>
    </w:p>
    <w:p w14:paraId="468A458F">
      <w:pPr>
        <w:pStyle w:val="11"/>
        <w:spacing w:line="360" w:lineRule="auto"/>
        <w:rPr>
          <w:rFonts w:hint="eastAsia" w:hAnsi="宋体" w:cs="仿宋_GB2312"/>
          <w:color w:val="auto"/>
          <w:sz w:val="24"/>
          <w:highlight w:val="none"/>
        </w:rPr>
      </w:pPr>
      <w:r>
        <w:rPr>
          <w:rFonts w:hint="eastAsia" w:hAnsi="宋体" w:cs="仿宋_GB2312"/>
          <w:color w:val="auto"/>
          <w:sz w:val="24"/>
          <w:highlight w:val="none"/>
        </w:rPr>
        <w:t>所竞标项：</w:t>
      </w:r>
      <w:r>
        <w:rPr>
          <w:rFonts w:hint="eastAsia" w:hAnsi="宋体" w:cs="仿宋_GB2312"/>
          <w:color w:val="auto"/>
          <w:sz w:val="24"/>
          <w:highlight w:val="none"/>
          <w:u w:val="single"/>
        </w:rPr>
        <w:t xml:space="preserve">              </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143"/>
        <w:gridCol w:w="736"/>
        <w:gridCol w:w="1577"/>
        <w:gridCol w:w="1141"/>
        <w:gridCol w:w="658"/>
        <w:gridCol w:w="1147"/>
        <w:gridCol w:w="1096"/>
      </w:tblGrid>
      <w:tr w14:paraId="50AE5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592" w:type="dxa"/>
            <w:vMerge w:val="restart"/>
            <w:tcBorders>
              <w:top w:val="single" w:color="auto" w:sz="4" w:space="0"/>
              <w:left w:val="single" w:color="auto" w:sz="4" w:space="0"/>
              <w:bottom w:val="single" w:color="auto" w:sz="4" w:space="0"/>
              <w:right w:val="single" w:color="auto" w:sz="4" w:space="0"/>
            </w:tcBorders>
            <w:vAlign w:val="center"/>
          </w:tcPr>
          <w:p w14:paraId="315372F1">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项号</w:t>
            </w:r>
          </w:p>
        </w:tc>
        <w:tc>
          <w:tcPr>
            <w:tcW w:w="3456" w:type="dxa"/>
            <w:gridSpan w:val="3"/>
            <w:tcBorders>
              <w:top w:val="single" w:color="auto" w:sz="4" w:space="0"/>
              <w:left w:val="single" w:color="auto" w:sz="4" w:space="0"/>
              <w:bottom w:val="single" w:color="auto" w:sz="4" w:space="0"/>
              <w:right w:val="single" w:color="auto" w:sz="4" w:space="0"/>
            </w:tcBorders>
            <w:vAlign w:val="center"/>
          </w:tcPr>
          <w:p w14:paraId="3751E25E">
            <w:pPr>
              <w:keepNext w:val="0"/>
              <w:keepLines w:val="0"/>
              <w:suppressLineNumbers w:val="0"/>
              <w:spacing w:before="0" w:beforeAutospacing="0" w:after="0" w:afterAutospacing="0"/>
              <w:ind w:left="0" w:right="0"/>
              <w:jc w:val="center"/>
              <w:rPr>
                <w:rFonts w:hint="eastAsia" w:ascii="宋体" w:hAnsi="宋体"/>
                <w:color w:val="auto"/>
                <w:szCs w:val="21"/>
                <w:highlight w:val="none"/>
              </w:rPr>
            </w:pPr>
            <w:r>
              <w:rPr>
                <w:rFonts w:hint="eastAsia" w:ascii="宋体" w:hAnsi="宋体"/>
                <w:color w:val="auto"/>
                <w:szCs w:val="21"/>
                <w:highlight w:val="none"/>
              </w:rPr>
              <w:t>竞争性磋商采购文件需求</w:t>
            </w:r>
          </w:p>
        </w:tc>
        <w:tc>
          <w:tcPr>
            <w:tcW w:w="2946" w:type="dxa"/>
            <w:gridSpan w:val="3"/>
            <w:tcBorders>
              <w:top w:val="single" w:color="auto" w:sz="4" w:space="0"/>
              <w:left w:val="single" w:color="auto" w:sz="4" w:space="0"/>
              <w:bottom w:val="single" w:color="auto" w:sz="4" w:space="0"/>
              <w:right w:val="single" w:color="auto" w:sz="4" w:space="0"/>
            </w:tcBorders>
            <w:vAlign w:val="center"/>
          </w:tcPr>
          <w:p w14:paraId="6C5CF3FE">
            <w:pPr>
              <w:keepNext w:val="0"/>
              <w:keepLines w:val="0"/>
              <w:suppressLineNumbers w:val="0"/>
              <w:spacing w:before="0" w:beforeAutospacing="0" w:after="0" w:afterAutospacing="0"/>
              <w:ind w:left="0" w:right="0"/>
              <w:jc w:val="center"/>
              <w:rPr>
                <w:rFonts w:hint="eastAsia" w:ascii="宋体" w:hAnsi="宋体"/>
                <w:color w:val="auto"/>
                <w:szCs w:val="21"/>
                <w:highlight w:val="none"/>
              </w:rPr>
            </w:pPr>
            <w:r>
              <w:rPr>
                <w:rFonts w:hint="eastAsia" w:ascii="宋体" w:hAnsi="宋体"/>
                <w:color w:val="auto"/>
                <w:szCs w:val="21"/>
                <w:highlight w:val="none"/>
              </w:rPr>
              <w:t>响应文件承诺</w:t>
            </w:r>
          </w:p>
        </w:tc>
        <w:tc>
          <w:tcPr>
            <w:tcW w:w="1096" w:type="dxa"/>
            <w:vMerge w:val="restart"/>
            <w:tcBorders>
              <w:top w:val="single" w:color="auto" w:sz="4" w:space="0"/>
              <w:left w:val="single" w:color="auto" w:sz="4" w:space="0"/>
              <w:bottom w:val="single" w:color="auto" w:sz="4" w:space="0"/>
              <w:right w:val="single" w:color="auto" w:sz="4" w:space="0"/>
            </w:tcBorders>
            <w:vAlign w:val="center"/>
          </w:tcPr>
          <w:p w14:paraId="7DE32C94">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偏离说明</w:t>
            </w:r>
          </w:p>
        </w:tc>
      </w:tr>
      <w:tr w14:paraId="104FB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592" w:type="dxa"/>
            <w:vMerge w:val="continue"/>
            <w:tcBorders>
              <w:top w:val="single" w:color="auto" w:sz="4" w:space="0"/>
              <w:left w:val="single" w:color="auto" w:sz="4" w:space="0"/>
              <w:bottom w:val="single" w:color="auto" w:sz="4" w:space="0"/>
              <w:right w:val="single" w:color="auto" w:sz="4" w:space="0"/>
            </w:tcBorders>
            <w:vAlign w:val="center"/>
          </w:tcPr>
          <w:p w14:paraId="75889783">
            <w:pPr>
              <w:keepNext w:val="0"/>
              <w:keepLines w:val="0"/>
              <w:widowControl/>
              <w:suppressLineNumbers w:val="0"/>
              <w:spacing w:before="0" w:beforeAutospacing="0" w:after="0" w:afterAutospacing="0"/>
              <w:ind w:left="0" w:right="0"/>
              <w:jc w:val="left"/>
              <w:rPr>
                <w:rFonts w:hint="eastAsia" w:ascii="宋体" w:hAnsi="宋体"/>
                <w:color w:val="auto"/>
                <w:szCs w:val="21"/>
                <w:highlight w:val="none"/>
              </w:rPr>
            </w:pPr>
          </w:p>
        </w:tc>
        <w:tc>
          <w:tcPr>
            <w:tcW w:w="1143" w:type="dxa"/>
            <w:tcBorders>
              <w:top w:val="single" w:color="auto" w:sz="4" w:space="0"/>
              <w:left w:val="single" w:color="auto" w:sz="4" w:space="0"/>
              <w:bottom w:val="single" w:color="auto" w:sz="4" w:space="0"/>
              <w:right w:val="single" w:color="auto" w:sz="4" w:space="0"/>
            </w:tcBorders>
            <w:vAlign w:val="center"/>
          </w:tcPr>
          <w:p w14:paraId="236318DD">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服务名称</w:t>
            </w:r>
          </w:p>
        </w:tc>
        <w:tc>
          <w:tcPr>
            <w:tcW w:w="736" w:type="dxa"/>
            <w:tcBorders>
              <w:top w:val="single" w:color="auto" w:sz="4" w:space="0"/>
              <w:left w:val="single" w:color="auto" w:sz="4" w:space="0"/>
              <w:bottom w:val="single" w:color="auto" w:sz="4" w:space="0"/>
              <w:right w:val="single" w:color="auto" w:sz="4" w:space="0"/>
            </w:tcBorders>
            <w:vAlign w:val="center"/>
          </w:tcPr>
          <w:p w14:paraId="01B7FA53">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数量</w:t>
            </w:r>
          </w:p>
        </w:tc>
        <w:tc>
          <w:tcPr>
            <w:tcW w:w="1577" w:type="dxa"/>
            <w:tcBorders>
              <w:top w:val="single" w:color="auto" w:sz="4" w:space="0"/>
              <w:left w:val="single" w:color="auto" w:sz="4" w:space="0"/>
              <w:bottom w:val="single" w:color="auto" w:sz="4" w:space="0"/>
              <w:right w:val="single" w:color="auto" w:sz="4" w:space="0"/>
            </w:tcBorders>
            <w:vAlign w:val="center"/>
          </w:tcPr>
          <w:p w14:paraId="1AD71637">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服务参数要求</w:t>
            </w:r>
          </w:p>
        </w:tc>
        <w:tc>
          <w:tcPr>
            <w:tcW w:w="1141" w:type="dxa"/>
            <w:tcBorders>
              <w:top w:val="single" w:color="auto" w:sz="4" w:space="0"/>
              <w:left w:val="single" w:color="auto" w:sz="4" w:space="0"/>
              <w:bottom w:val="single" w:color="auto" w:sz="4" w:space="0"/>
              <w:right w:val="single" w:color="auto" w:sz="4" w:space="0"/>
            </w:tcBorders>
            <w:vAlign w:val="center"/>
          </w:tcPr>
          <w:p w14:paraId="297FE07D">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服务名称</w:t>
            </w:r>
          </w:p>
        </w:tc>
        <w:tc>
          <w:tcPr>
            <w:tcW w:w="658" w:type="dxa"/>
            <w:tcBorders>
              <w:top w:val="single" w:color="auto" w:sz="4" w:space="0"/>
              <w:left w:val="single" w:color="auto" w:sz="4" w:space="0"/>
              <w:bottom w:val="single" w:color="auto" w:sz="4" w:space="0"/>
              <w:right w:val="single" w:color="auto" w:sz="4" w:space="0"/>
            </w:tcBorders>
            <w:vAlign w:val="center"/>
          </w:tcPr>
          <w:p w14:paraId="57442BBC">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数量</w:t>
            </w:r>
          </w:p>
        </w:tc>
        <w:tc>
          <w:tcPr>
            <w:tcW w:w="1147" w:type="dxa"/>
            <w:tcBorders>
              <w:top w:val="single" w:color="auto" w:sz="4" w:space="0"/>
              <w:left w:val="single" w:color="auto" w:sz="4" w:space="0"/>
              <w:bottom w:val="single" w:color="auto" w:sz="4" w:space="0"/>
              <w:right w:val="single" w:color="auto" w:sz="4" w:space="0"/>
            </w:tcBorders>
            <w:vAlign w:val="center"/>
          </w:tcPr>
          <w:p w14:paraId="3A001F22">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服务参数</w:t>
            </w:r>
          </w:p>
        </w:tc>
        <w:tc>
          <w:tcPr>
            <w:tcW w:w="1096" w:type="dxa"/>
            <w:vMerge w:val="continue"/>
            <w:tcBorders>
              <w:top w:val="single" w:color="auto" w:sz="4" w:space="0"/>
              <w:left w:val="single" w:color="auto" w:sz="4" w:space="0"/>
              <w:bottom w:val="single" w:color="auto" w:sz="4" w:space="0"/>
              <w:right w:val="single" w:color="auto" w:sz="4" w:space="0"/>
            </w:tcBorders>
            <w:vAlign w:val="center"/>
          </w:tcPr>
          <w:p w14:paraId="659AFA37">
            <w:pPr>
              <w:keepNext w:val="0"/>
              <w:keepLines w:val="0"/>
              <w:widowControl/>
              <w:suppressLineNumbers w:val="0"/>
              <w:spacing w:before="0" w:beforeAutospacing="0" w:after="0" w:afterAutospacing="0"/>
              <w:ind w:left="0" w:right="0"/>
              <w:jc w:val="left"/>
              <w:rPr>
                <w:rFonts w:hint="eastAsia" w:ascii="宋体" w:hAnsi="宋体"/>
                <w:color w:val="auto"/>
                <w:szCs w:val="21"/>
                <w:highlight w:val="none"/>
              </w:rPr>
            </w:pPr>
          </w:p>
        </w:tc>
      </w:tr>
      <w:tr w14:paraId="5059B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14:paraId="7B81A8CB">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1</w:t>
            </w:r>
          </w:p>
        </w:tc>
        <w:tc>
          <w:tcPr>
            <w:tcW w:w="1143" w:type="dxa"/>
            <w:tcBorders>
              <w:top w:val="single" w:color="auto" w:sz="4" w:space="0"/>
              <w:left w:val="single" w:color="auto" w:sz="4" w:space="0"/>
              <w:bottom w:val="single" w:color="auto" w:sz="4" w:space="0"/>
              <w:right w:val="single" w:color="auto" w:sz="4" w:space="0"/>
            </w:tcBorders>
            <w:vAlign w:val="center"/>
          </w:tcPr>
          <w:p w14:paraId="508E350D">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w:t>
            </w:r>
          </w:p>
        </w:tc>
        <w:tc>
          <w:tcPr>
            <w:tcW w:w="736" w:type="dxa"/>
            <w:tcBorders>
              <w:top w:val="single" w:color="auto" w:sz="4" w:space="0"/>
              <w:left w:val="single" w:color="auto" w:sz="4" w:space="0"/>
              <w:bottom w:val="single" w:color="auto" w:sz="4" w:space="0"/>
              <w:right w:val="single" w:color="auto" w:sz="4" w:space="0"/>
            </w:tcBorders>
            <w:vAlign w:val="center"/>
          </w:tcPr>
          <w:p w14:paraId="5CEBEED6">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w:t>
            </w:r>
          </w:p>
        </w:tc>
        <w:tc>
          <w:tcPr>
            <w:tcW w:w="1577" w:type="dxa"/>
            <w:tcBorders>
              <w:top w:val="single" w:color="auto" w:sz="4" w:space="0"/>
              <w:left w:val="single" w:color="auto" w:sz="4" w:space="0"/>
              <w:bottom w:val="single" w:color="auto" w:sz="4" w:space="0"/>
              <w:right w:val="single" w:color="auto" w:sz="4" w:space="0"/>
            </w:tcBorders>
            <w:vAlign w:val="center"/>
          </w:tcPr>
          <w:p w14:paraId="04C42C17">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1  ……</w:t>
            </w:r>
          </w:p>
          <w:p w14:paraId="0993DC42">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2  ……</w:t>
            </w:r>
          </w:p>
          <w:p w14:paraId="41E55F04">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3  ……</w:t>
            </w:r>
          </w:p>
          <w:p w14:paraId="38201AA2">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w:t>
            </w:r>
          </w:p>
        </w:tc>
        <w:tc>
          <w:tcPr>
            <w:tcW w:w="1141" w:type="dxa"/>
            <w:tcBorders>
              <w:top w:val="single" w:color="auto" w:sz="4" w:space="0"/>
              <w:left w:val="single" w:color="auto" w:sz="4" w:space="0"/>
              <w:bottom w:val="single" w:color="auto" w:sz="4" w:space="0"/>
              <w:right w:val="single" w:color="auto" w:sz="4" w:space="0"/>
            </w:tcBorders>
            <w:vAlign w:val="center"/>
          </w:tcPr>
          <w:p w14:paraId="5618FFDB">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w:t>
            </w:r>
          </w:p>
        </w:tc>
        <w:tc>
          <w:tcPr>
            <w:tcW w:w="658" w:type="dxa"/>
            <w:tcBorders>
              <w:top w:val="single" w:color="auto" w:sz="4" w:space="0"/>
              <w:left w:val="single" w:color="auto" w:sz="4" w:space="0"/>
              <w:bottom w:val="single" w:color="auto" w:sz="4" w:space="0"/>
              <w:right w:val="single" w:color="auto" w:sz="4" w:space="0"/>
            </w:tcBorders>
            <w:vAlign w:val="center"/>
          </w:tcPr>
          <w:p w14:paraId="65BA9E62">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w:t>
            </w:r>
          </w:p>
        </w:tc>
        <w:tc>
          <w:tcPr>
            <w:tcW w:w="1147" w:type="dxa"/>
            <w:tcBorders>
              <w:top w:val="single" w:color="auto" w:sz="4" w:space="0"/>
              <w:left w:val="single" w:color="auto" w:sz="4" w:space="0"/>
              <w:bottom w:val="single" w:color="auto" w:sz="4" w:space="0"/>
              <w:right w:val="single" w:color="auto" w:sz="4" w:space="0"/>
            </w:tcBorders>
            <w:vAlign w:val="center"/>
          </w:tcPr>
          <w:p w14:paraId="764D27B4">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1  ……</w:t>
            </w:r>
          </w:p>
          <w:p w14:paraId="0252E8DD">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2  ……</w:t>
            </w:r>
          </w:p>
          <w:p w14:paraId="1D665A41">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3  ……</w:t>
            </w:r>
          </w:p>
          <w:p w14:paraId="6F24ED6B">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w:t>
            </w:r>
          </w:p>
        </w:tc>
        <w:tc>
          <w:tcPr>
            <w:tcW w:w="1096" w:type="dxa"/>
            <w:tcBorders>
              <w:top w:val="single" w:color="auto" w:sz="4" w:space="0"/>
              <w:left w:val="single" w:color="auto" w:sz="4" w:space="0"/>
              <w:bottom w:val="single" w:color="auto" w:sz="4" w:space="0"/>
              <w:right w:val="single" w:color="auto" w:sz="4" w:space="0"/>
            </w:tcBorders>
            <w:vAlign w:val="center"/>
          </w:tcPr>
          <w:p w14:paraId="32A87AC3">
            <w:pPr>
              <w:keepNext w:val="0"/>
              <w:keepLines w:val="0"/>
              <w:suppressLineNumbers w:val="0"/>
              <w:spacing w:before="0" w:beforeAutospacing="0" w:after="0" w:afterAutospacing="0"/>
              <w:ind w:left="0" w:right="0"/>
              <w:rPr>
                <w:rFonts w:hint="eastAsia" w:ascii="宋体" w:hAnsi="宋体"/>
                <w:color w:val="auto"/>
                <w:szCs w:val="21"/>
                <w:highlight w:val="none"/>
              </w:rPr>
            </w:pPr>
          </w:p>
        </w:tc>
      </w:tr>
      <w:tr w14:paraId="38EA4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14:paraId="0A0BFFE4">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2</w:t>
            </w:r>
          </w:p>
        </w:tc>
        <w:tc>
          <w:tcPr>
            <w:tcW w:w="1143" w:type="dxa"/>
            <w:tcBorders>
              <w:top w:val="single" w:color="auto" w:sz="4" w:space="0"/>
              <w:left w:val="single" w:color="auto" w:sz="4" w:space="0"/>
              <w:bottom w:val="single" w:color="auto" w:sz="4" w:space="0"/>
              <w:right w:val="single" w:color="auto" w:sz="4" w:space="0"/>
            </w:tcBorders>
            <w:vAlign w:val="center"/>
          </w:tcPr>
          <w:p w14:paraId="2D6B00D4">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w:t>
            </w:r>
          </w:p>
        </w:tc>
        <w:tc>
          <w:tcPr>
            <w:tcW w:w="736" w:type="dxa"/>
            <w:tcBorders>
              <w:top w:val="single" w:color="auto" w:sz="4" w:space="0"/>
              <w:left w:val="single" w:color="auto" w:sz="4" w:space="0"/>
              <w:bottom w:val="single" w:color="auto" w:sz="4" w:space="0"/>
              <w:right w:val="single" w:color="auto" w:sz="4" w:space="0"/>
            </w:tcBorders>
            <w:vAlign w:val="center"/>
          </w:tcPr>
          <w:p w14:paraId="44AA7707">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w:t>
            </w:r>
          </w:p>
        </w:tc>
        <w:tc>
          <w:tcPr>
            <w:tcW w:w="1577" w:type="dxa"/>
            <w:tcBorders>
              <w:top w:val="single" w:color="auto" w:sz="4" w:space="0"/>
              <w:left w:val="single" w:color="auto" w:sz="4" w:space="0"/>
              <w:bottom w:val="single" w:color="auto" w:sz="4" w:space="0"/>
              <w:right w:val="single" w:color="auto" w:sz="4" w:space="0"/>
            </w:tcBorders>
            <w:vAlign w:val="center"/>
          </w:tcPr>
          <w:p w14:paraId="2153A177">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1  ……</w:t>
            </w:r>
          </w:p>
          <w:p w14:paraId="24F58DAE">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2  ……</w:t>
            </w:r>
          </w:p>
          <w:p w14:paraId="775F8E30">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3  ……</w:t>
            </w:r>
          </w:p>
          <w:p w14:paraId="561395C8">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w:t>
            </w:r>
          </w:p>
        </w:tc>
        <w:tc>
          <w:tcPr>
            <w:tcW w:w="1141" w:type="dxa"/>
            <w:tcBorders>
              <w:top w:val="single" w:color="auto" w:sz="4" w:space="0"/>
              <w:left w:val="single" w:color="auto" w:sz="4" w:space="0"/>
              <w:bottom w:val="single" w:color="auto" w:sz="4" w:space="0"/>
              <w:right w:val="single" w:color="auto" w:sz="4" w:space="0"/>
            </w:tcBorders>
            <w:vAlign w:val="center"/>
          </w:tcPr>
          <w:p w14:paraId="714967F6">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w:t>
            </w:r>
          </w:p>
        </w:tc>
        <w:tc>
          <w:tcPr>
            <w:tcW w:w="658" w:type="dxa"/>
            <w:tcBorders>
              <w:top w:val="single" w:color="auto" w:sz="4" w:space="0"/>
              <w:left w:val="single" w:color="auto" w:sz="4" w:space="0"/>
              <w:bottom w:val="single" w:color="auto" w:sz="4" w:space="0"/>
              <w:right w:val="single" w:color="auto" w:sz="4" w:space="0"/>
            </w:tcBorders>
            <w:vAlign w:val="center"/>
          </w:tcPr>
          <w:p w14:paraId="44004991">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w:t>
            </w:r>
          </w:p>
        </w:tc>
        <w:tc>
          <w:tcPr>
            <w:tcW w:w="1147" w:type="dxa"/>
            <w:tcBorders>
              <w:top w:val="single" w:color="auto" w:sz="4" w:space="0"/>
              <w:left w:val="single" w:color="auto" w:sz="4" w:space="0"/>
              <w:bottom w:val="single" w:color="auto" w:sz="4" w:space="0"/>
              <w:right w:val="single" w:color="auto" w:sz="4" w:space="0"/>
            </w:tcBorders>
            <w:vAlign w:val="center"/>
          </w:tcPr>
          <w:p w14:paraId="4B241C96">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1  ……</w:t>
            </w:r>
          </w:p>
          <w:p w14:paraId="7F3402B6">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2  ……</w:t>
            </w:r>
          </w:p>
          <w:p w14:paraId="5E570279">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3  ……</w:t>
            </w:r>
          </w:p>
          <w:p w14:paraId="1AA2CA73">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w:t>
            </w:r>
          </w:p>
        </w:tc>
        <w:tc>
          <w:tcPr>
            <w:tcW w:w="1096" w:type="dxa"/>
            <w:tcBorders>
              <w:top w:val="single" w:color="auto" w:sz="4" w:space="0"/>
              <w:left w:val="single" w:color="auto" w:sz="4" w:space="0"/>
              <w:bottom w:val="single" w:color="auto" w:sz="4" w:space="0"/>
              <w:right w:val="single" w:color="auto" w:sz="4" w:space="0"/>
            </w:tcBorders>
            <w:vAlign w:val="center"/>
          </w:tcPr>
          <w:p w14:paraId="3B0747D9">
            <w:pPr>
              <w:keepNext w:val="0"/>
              <w:keepLines w:val="0"/>
              <w:suppressLineNumbers w:val="0"/>
              <w:spacing w:before="0" w:beforeAutospacing="0" w:after="0" w:afterAutospacing="0"/>
              <w:ind w:left="0" w:right="0"/>
              <w:rPr>
                <w:rFonts w:hint="eastAsia" w:ascii="宋体" w:hAnsi="宋体"/>
                <w:color w:val="auto"/>
                <w:szCs w:val="21"/>
                <w:highlight w:val="none"/>
              </w:rPr>
            </w:pPr>
          </w:p>
        </w:tc>
      </w:tr>
      <w:tr w14:paraId="782BF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14:paraId="0EF337FA">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w:t>
            </w:r>
          </w:p>
        </w:tc>
        <w:tc>
          <w:tcPr>
            <w:tcW w:w="1143" w:type="dxa"/>
            <w:tcBorders>
              <w:top w:val="single" w:color="auto" w:sz="4" w:space="0"/>
              <w:left w:val="single" w:color="auto" w:sz="4" w:space="0"/>
              <w:bottom w:val="single" w:color="auto" w:sz="4" w:space="0"/>
              <w:right w:val="single" w:color="auto" w:sz="4" w:space="0"/>
            </w:tcBorders>
            <w:vAlign w:val="center"/>
          </w:tcPr>
          <w:p w14:paraId="1DD746ED">
            <w:pPr>
              <w:keepNext w:val="0"/>
              <w:keepLines w:val="0"/>
              <w:suppressLineNumbers w:val="0"/>
              <w:spacing w:before="0" w:beforeAutospacing="0" w:after="0" w:afterAutospacing="0"/>
              <w:ind w:left="0" w:right="0"/>
              <w:rPr>
                <w:rFonts w:hint="eastAsia" w:ascii="宋体" w:hAnsi="宋体"/>
                <w:color w:val="auto"/>
                <w:szCs w:val="21"/>
                <w:highlight w:val="none"/>
              </w:rPr>
            </w:pPr>
          </w:p>
        </w:tc>
        <w:tc>
          <w:tcPr>
            <w:tcW w:w="736" w:type="dxa"/>
            <w:tcBorders>
              <w:top w:val="single" w:color="auto" w:sz="4" w:space="0"/>
              <w:left w:val="single" w:color="auto" w:sz="4" w:space="0"/>
              <w:bottom w:val="single" w:color="auto" w:sz="4" w:space="0"/>
              <w:right w:val="single" w:color="auto" w:sz="4" w:space="0"/>
            </w:tcBorders>
            <w:vAlign w:val="center"/>
          </w:tcPr>
          <w:p w14:paraId="69BAF3AE">
            <w:pPr>
              <w:keepNext w:val="0"/>
              <w:keepLines w:val="0"/>
              <w:suppressLineNumbers w:val="0"/>
              <w:spacing w:before="0" w:beforeAutospacing="0" w:after="0" w:afterAutospacing="0"/>
              <w:ind w:left="0" w:right="0"/>
              <w:rPr>
                <w:rFonts w:hint="eastAsia" w:ascii="宋体" w:hAnsi="宋体"/>
                <w:color w:val="auto"/>
                <w:szCs w:val="21"/>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14:paraId="26349DA6">
            <w:pPr>
              <w:keepNext w:val="0"/>
              <w:keepLines w:val="0"/>
              <w:suppressLineNumbers w:val="0"/>
              <w:spacing w:before="0" w:beforeAutospacing="0" w:after="0" w:afterAutospacing="0"/>
              <w:ind w:left="0" w:right="0"/>
              <w:rPr>
                <w:rFonts w:hint="eastAsia" w:ascii="宋体" w:hAnsi="宋体"/>
                <w:color w:val="auto"/>
                <w:szCs w:val="21"/>
                <w:highlight w:val="none"/>
              </w:rPr>
            </w:pPr>
          </w:p>
        </w:tc>
        <w:tc>
          <w:tcPr>
            <w:tcW w:w="1141" w:type="dxa"/>
            <w:tcBorders>
              <w:top w:val="single" w:color="auto" w:sz="4" w:space="0"/>
              <w:left w:val="single" w:color="auto" w:sz="4" w:space="0"/>
              <w:bottom w:val="single" w:color="auto" w:sz="4" w:space="0"/>
              <w:right w:val="single" w:color="auto" w:sz="4" w:space="0"/>
            </w:tcBorders>
            <w:vAlign w:val="center"/>
          </w:tcPr>
          <w:p w14:paraId="64994561">
            <w:pPr>
              <w:keepNext w:val="0"/>
              <w:keepLines w:val="0"/>
              <w:suppressLineNumbers w:val="0"/>
              <w:spacing w:before="0" w:beforeAutospacing="0" w:after="0" w:afterAutospacing="0"/>
              <w:ind w:left="0" w:right="0"/>
              <w:rPr>
                <w:rFonts w:hint="eastAsia" w:ascii="宋体" w:hAnsi="宋体"/>
                <w:color w:val="auto"/>
                <w:szCs w:val="21"/>
                <w:highlight w:val="none"/>
              </w:rPr>
            </w:pPr>
          </w:p>
        </w:tc>
        <w:tc>
          <w:tcPr>
            <w:tcW w:w="658" w:type="dxa"/>
            <w:tcBorders>
              <w:top w:val="single" w:color="auto" w:sz="4" w:space="0"/>
              <w:left w:val="single" w:color="auto" w:sz="4" w:space="0"/>
              <w:bottom w:val="single" w:color="auto" w:sz="4" w:space="0"/>
              <w:right w:val="single" w:color="auto" w:sz="4" w:space="0"/>
            </w:tcBorders>
            <w:vAlign w:val="center"/>
          </w:tcPr>
          <w:p w14:paraId="3B361B20">
            <w:pPr>
              <w:keepNext w:val="0"/>
              <w:keepLines w:val="0"/>
              <w:suppressLineNumbers w:val="0"/>
              <w:spacing w:before="0" w:beforeAutospacing="0" w:after="0" w:afterAutospacing="0"/>
              <w:ind w:left="0" w:right="0"/>
              <w:rPr>
                <w:rFonts w:hint="eastAsia" w:ascii="宋体" w:hAnsi="宋体"/>
                <w:color w:val="auto"/>
                <w:szCs w:val="21"/>
                <w:highlight w:val="none"/>
              </w:rPr>
            </w:pPr>
          </w:p>
        </w:tc>
        <w:tc>
          <w:tcPr>
            <w:tcW w:w="1147" w:type="dxa"/>
            <w:tcBorders>
              <w:top w:val="single" w:color="auto" w:sz="4" w:space="0"/>
              <w:left w:val="single" w:color="auto" w:sz="4" w:space="0"/>
              <w:bottom w:val="single" w:color="auto" w:sz="4" w:space="0"/>
              <w:right w:val="single" w:color="auto" w:sz="4" w:space="0"/>
            </w:tcBorders>
            <w:vAlign w:val="center"/>
          </w:tcPr>
          <w:p w14:paraId="6C18960D">
            <w:pPr>
              <w:keepNext w:val="0"/>
              <w:keepLines w:val="0"/>
              <w:suppressLineNumbers w:val="0"/>
              <w:spacing w:before="0" w:beforeAutospacing="0" w:after="0" w:afterAutospacing="0"/>
              <w:ind w:left="0" w:right="0"/>
              <w:rPr>
                <w:rFonts w:hint="eastAsia" w:ascii="宋体" w:hAnsi="宋体"/>
                <w:color w:val="auto"/>
                <w:szCs w:val="21"/>
                <w:highlight w:val="none"/>
              </w:rPr>
            </w:pPr>
          </w:p>
        </w:tc>
        <w:tc>
          <w:tcPr>
            <w:tcW w:w="1096" w:type="dxa"/>
            <w:tcBorders>
              <w:top w:val="single" w:color="auto" w:sz="4" w:space="0"/>
              <w:left w:val="single" w:color="auto" w:sz="4" w:space="0"/>
              <w:bottom w:val="single" w:color="auto" w:sz="4" w:space="0"/>
              <w:right w:val="single" w:color="auto" w:sz="4" w:space="0"/>
            </w:tcBorders>
            <w:vAlign w:val="center"/>
          </w:tcPr>
          <w:p w14:paraId="364C06C3">
            <w:pPr>
              <w:keepNext w:val="0"/>
              <w:keepLines w:val="0"/>
              <w:suppressLineNumbers w:val="0"/>
              <w:spacing w:before="0" w:beforeAutospacing="0" w:after="0" w:afterAutospacing="0"/>
              <w:ind w:left="0" w:right="0"/>
              <w:rPr>
                <w:rFonts w:hint="eastAsia" w:ascii="宋体" w:hAnsi="宋体"/>
                <w:color w:val="auto"/>
                <w:szCs w:val="21"/>
                <w:highlight w:val="none"/>
              </w:rPr>
            </w:pPr>
          </w:p>
        </w:tc>
      </w:tr>
    </w:tbl>
    <w:p w14:paraId="6E92A08B">
      <w:pPr>
        <w:spacing w:line="360" w:lineRule="auto"/>
        <w:contextualSpacing/>
        <w:rPr>
          <w:rFonts w:hint="eastAsia" w:ascii="宋体" w:hAnsi="宋体"/>
          <w:color w:val="auto"/>
          <w:kern w:val="0"/>
          <w:sz w:val="24"/>
          <w:highlight w:val="none"/>
        </w:rPr>
      </w:pPr>
      <w:r>
        <w:rPr>
          <w:rFonts w:hint="eastAsia" w:ascii="宋体" w:hAnsi="宋体"/>
          <w:color w:val="auto"/>
          <w:kern w:val="0"/>
          <w:sz w:val="24"/>
          <w:highlight w:val="none"/>
        </w:rPr>
        <w:t>注：</w:t>
      </w:r>
    </w:p>
    <w:p w14:paraId="2528ED09">
      <w:pPr>
        <w:spacing w:line="360" w:lineRule="auto"/>
        <w:contextualSpacing/>
        <w:rPr>
          <w:rFonts w:hint="eastAsia" w:ascii="宋体" w:hAnsi="宋体"/>
          <w:color w:val="auto"/>
          <w:kern w:val="0"/>
          <w:szCs w:val="21"/>
          <w:highlight w:val="none"/>
        </w:rPr>
      </w:pPr>
      <w:r>
        <w:rPr>
          <w:rFonts w:hint="eastAsia" w:ascii="宋体" w:hAnsi="宋体"/>
          <w:color w:val="auto"/>
          <w:kern w:val="0"/>
          <w:szCs w:val="21"/>
          <w:highlight w:val="none"/>
        </w:rPr>
        <w:t>注：</w:t>
      </w:r>
    </w:p>
    <w:p w14:paraId="69F0CEDB">
      <w:pPr>
        <w:spacing w:line="360" w:lineRule="auto"/>
        <w:contextualSpacing/>
        <w:rPr>
          <w:rFonts w:hint="eastAsia" w:ascii="宋体" w:hAnsi="宋体" w:cs="仿宋_GB2312"/>
          <w:color w:val="auto"/>
          <w:kern w:val="0"/>
          <w:szCs w:val="21"/>
          <w:highlight w:val="none"/>
        </w:rPr>
      </w:pPr>
      <w:r>
        <w:rPr>
          <w:rFonts w:hint="eastAsia" w:ascii="宋体" w:hAnsi="宋体" w:cs="仿宋_GB2312"/>
          <w:color w:val="auto"/>
          <w:kern w:val="0"/>
          <w:szCs w:val="21"/>
          <w:highlight w:val="none"/>
        </w:rPr>
        <w:t>1.说明：应对照磋商文件“第二章”中“服务需求一览表”的采购清单及技术参数条款逐条作出明确响应，并作出偏离说明。</w:t>
      </w:r>
    </w:p>
    <w:p w14:paraId="1E494B73">
      <w:pPr>
        <w:spacing w:line="400" w:lineRule="exact"/>
        <w:rPr>
          <w:rFonts w:hint="eastAsia" w:ascii="宋体" w:hAnsi="宋体" w:cs="仿宋_GB2312"/>
          <w:color w:val="auto"/>
          <w:szCs w:val="21"/>
          <w:highlight w:val="none"/>
        </w:rPr>
      </w:pPr>
      <w:r>
        <w:rPr>
          <w:rFonts w:hint="eastAsia" w:ascii="宋体" w:hAnsi="宋体" w:cs="仿宋_GB2312"/>
          <w:color w:val="auto"/>
          <w:szCs w:val="21"/>
          <w:highlight w:val="none"/>
        </w:rPr>
        <w:t>2.供应商应根据自身的承诺，对照磋商文件要求，在“偏离说明”中注明“正偏离”、“负偏离”或者“无偏离”。既不属于“正偏离”也不属于“负偏离”即为“无偏离”。 当响应文件的商务内容低于竞争性磋商采购文件要求时，竞标人应当如实写明“负偏离”，否则视为虚假应标</w:t>
      </w:r>
    </w:p>
    <w:p w14:paraId="5495FAF9">
      <w:pPr>
        <w:spacing w:line="400" w:lineRule="exact"/>
        <w:rPr>
          <w:rFonts w:hint="eastAsia" w:ascii="宋体" w:hAnsi="宋体" w:cs="仿宋_GB2312"/>
          <w:color w:val="auto"/>
          <w:kern w:val="0"/>
          <w:szCs w:val="21"/>
          <w:highlight w:val="none"/>
        </w:rPr>
      </w:pPr>
      <w:r>
        <w:rPr>
          <w:rFonts w:hint="eastAsia" w:ascii="宋体" w:hAnsi="宋体" w:cs="仿宋_GB2312"/>
          <w:color w:val="auto"/>
          <w:kern w:val="0"/>
          <w:szCs w:val="21"/>
          <w:highlight w:val="none"/>
        </w:rPr>
        <w:t>3.表格内容均需按要求填写并盖章，不得留空，否则按竞标无效处理。</w:t>
      </w:r>
    </w:p>
    <w:p w14:paraId="6E2E1369">
      <w:pPr>
        <w:pStyle w:val="11"/>
        <w:spacing w:line="400" w:lineRule="exact"/>
        <w:rPr>
          <w:rFonts w:hint="eastAsia" w:hAnsi="宋体" w:cs="仿宋_GB2312"/>
          <w:color w:val="auto"/>
          <w:highlight w:val="none"/>
        </w:rPr>
      </w:pPr>
      <w:r>
        <w:rPr>
          <w:rFonts w:hint="eastAsia" w:hAnsi="宋体" w:cs="仿宋_GB2312"/>
          <w:color w:val="auto"/>
          <w:highlight w:val="none"/>
        </w:rPr>
        <w:t>4.如果采购需求为小于、小于等于、大于或大于等于某个数值标准时，响应文件承诺不得直接复制采购需求，响应文件承诺内容应当写明竞标服务具体参数或商务响应承诺的具体数值，否则按竞标无效处理。如该采购需求属于不能明确具体数值的，采购人应在此采购需求的数值后标注◆号，对标注◆号的采购需求不适用上述“竞标无效”条款。</w:t>
      </w:r>
    </w:p>
    <w:p w14:paraId="46D013FD">
      <w:pPr>
        <w:spacing w:line="360" w:lineRule="auto"/>
        <w:rPr>
          <w:rFonts w:hint="eastAsia" w:ascii="宋体" w:hAnsi="宋体" w:cs="仿宋_GB2312"/>
          <w:color w:val="auto"/>
          <w:sz w:val="24"/>
          <w:highlight w:val="none"/>
        </w:rPr>
      </w:pPr>
      <w:r>
        <w:rPr>
          <w:rFonts w:hint="eastAsia" w:ascii="宋体" w:hAnsi="宋体" w:cs="仿宋_GB2312"/>
          <w:color w:val="auto"/>
          <w:szCs w:val="21"/>
          <w:highlight w:val="none"/>
        </w:rPr>
        <w:t>5. 如技术偏离表中的竞标响应与佐证材料不一致的，以佐证材料为准。</w:t>
      </w:r>
    </w:p>
    <w:p w14:paraId="35CE2058">
      <w:pPr>
        <w:autoSpaceDE w:val="0"/>
        <w:autoSpaceDN w:val="0"/>
        <w:spacing w:line="360" w:lineRule="auto"/>
        <w:ind w:left="4335" w:leftChars="1950" w:hanging="240" w:hangingChars="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2887B089">
      <w:pPr>
        <w:autoSpaceDE w:val="0"/>
        <w:autoSpaceDN w:val="0"/>
        <w:spacing w:line="360" w:lineRule="auto"/>
        <w:ind w:firstLine="6480" w:firstLineChars="2700"/>
        <w:rPr>
          <w:rFonts w:hint="eastAsia" w:ascii="仿宋_GB2312" w:hAnsi="仿宋" w:eastAsia="仿宋_GB2312" w:cs="仿宋_GB2312"/>
          <w:b/>
          <w:bCs/>
          <w:color w:val="auto"/>
          <w:sz w:val="24"/>
          <w:highlight w:val="none"/>
        </w:rPr>
      </w:pPr>
      <w:r>
        <w:rPr>
          <w:rFonts w:hint="eastAsia" w:ascii="仿宋_GB2312" w:hAnsi="仿宋" w:eastAsia="仿宋_GB2312" w:cs="仿宋_GB2312"/>
          <w:color w:val="auto"/>
          <w:kern w:val="0"/>
          <w:sz w:val="24"/>
          <w:highlight w:val="none"/>
          <w:lang w:val="zh-CN"/>
        </w:rPr>
        <w:t>日期：  年  月   日</w:t>
      </w:r>
    </w:p>
    <w:p w14:paraId="74CF1231">
      <w:pPr>
        <w:adjustRightInd w:val="0"/>
        <w:snapToGrid w:val="0"/>
        <w:spacing w:line="520" w:lineRule="exact"/>
        <w:jc w:val="center"/>
        <w:rPr>
          <w:rFonts w:hint="eastAsia" w:ascii="方正小标宋简体" w:hAnsi="方正小标宋简体" w:eastAsia="方正小标宋简体" w:cs="方正小标宋简体"/>
          <w:bCs/>
          <w:color w:val="auto"/>
          <w:sz w:val="44"/>
          <w:szCs w:val="44"/>
          <w:highlight w:val="none"/>
        </w:rPr>
      </w:pPr>
    </w:p>
    <w:p w14:paraId="55132484">
      <w:pPr>
        <w:adjustRightInd w:val="0"/>
        <w:snapToGrid w:val="0"/>
        <w:spacing w:line="520" w:lineRule="exact"/>
        <w:jc w:val="center"/>
        <w:rPr>
          <w:rFonts w:hint="eastAsia" w:ascii="方正小标宋简体" w:hAnsi="方正小标宋简体" w:eastAsia="方正小标宋简体" w:cs="方正小标宋简体"/>
          <w:bCs/>
          <w:color w:val="auto"/>
          <w:sz w:val="44"/>
          <w:szCs w:val="44"/>
          <w:highlight w:val="none"/>
        </w:rPr>
      </w:pPr>
    </w:p>
    <w:p w14:paraId="0CDF8298">
      <w:pPr>
        <w:adjustRightInd w:val="0"/>
        <w:snapToGrid w:val="0"/>
        <w:spacing w:line="520" w:lineRule="exact"/>
        <w:jc w:val="center"/>
        <w:rPr>
          <w:rFonts w:hint="eastAsia" w:ascii="方正小标宋简体" w:hAnsi="方正小标宋简体" w:eastAsia="方正小标宋简体" w:cs="方正小标宋简体"/>
          <w:bCs/>
          <w:color w:val="auto"/>
          <w:sz w:val="44"/>
          <w:szCs w:val="44"/>
          <w:highlight w:val="none"/>
        </w:rPr>
      </w:pPr>
    </w:p>
    <w:p w14:paraId="540BD41E">
      <w:pPr>
        <w:adjustRightInd w:val="0"/>
        <w:snapToGrid w:val="0"/>
        <w:spacing w:line="520" w:lineRule="exact"/>
        <w:jc w:val="center"/>
        <w:rPr>
          <w:rFonts w:hint="eastAsia" w:ascii="宋体" w:hAnsi="宋体"/>
          <w:b/>
          <w:color w:val="auto"/>
          <w:sz w:val="32"/>
          <w:szCs w:val="32"/>
          <w:highlight w:val="none"/>
        </w:rPr>
      </w:pPr>
      <w:r>
        <w:rPr>
          <w:rFonts w:hint="eastAsia" w:ascii="方正小标宋简体" w:hAnsi="方正小标宋简体" w:eastAsia="方正小标宋简体" w:cs="方正小标宋简体"/>
          <w:bCs/>
          <w:color w:val="auto"/>
          <w:sz w:val="44"/>
          <w:szCs w:val="44"/>
          <w:highlight w:val="none"/>
        </w:rPr>
        <w:t>服务配置清单（如有）</w:t>
      </w:r>
    </w:p>
    <w:p w14:paraId="3860518C">
      <w:pPr>
        <w:spacing w:line="300" w:lineRule="auto"/>
        <w:rPr>
          <w:rFonts w:hint="eastAsia" w:ascii="宋体" w:hAnsi="宋体"/>
          <w:color w:val="auto"/>
          <w:szCs w:val="21"/>
          <w:highlight w:val="none"/>
        </w:rPr>
      </w:pPr>
    </w:p>
    <w:p w14:paraId="3FBD8170">
      <w:pPr>
        <w:spacing w:line="360" w:lineRule="auto"/>
        <w:rPr>
          <w:rFonts w:hint="eastAsia" w:ascii="宋体" w:hAnsi="宋体" w:cs="仿宋_GB2312"/>
          <w:color w:val="auto"/>
          <w:sz w:val="24"/>
          <w:highlight w:val="none"/>
          <w:u w:val="single"/>
        </w:rPr>
      </w:pPr>
      <w:r>
        <w:rPr>
          <w:rFonts w:hint="eastAsia" w:ascii="宋体" w:hAnsi="宋体" w:cs="仿宋_GB2312"/>
          <w:color w:val="auto"/>
          <w:sz w:val="24"/>
          <w:highlight w:val="none"/>
        </w:rPr>
        <w:t>所竞标项：</w:t>
      </w:r>
      <w:r>
        <w:rPr>
          <w:rFonts w:hint="eastAsia" w:ascii="宋体" w:hAnsi="宋体" w:cs="仿宋_GB2312"/>
          <w:color w:val="auto"/>
          <w:sz w:val="24"/>
          <w:highlight w:val="none"/>
          <w:u w:val="single"/>
        </w:rPr>
        <w:t xml:space="preserve">                 </w:t>
      </w:r>
    </w:p>
    <w:tbl>
      <w:tblPr>
        <w:tblStyle w:val="2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9"/>
        <w:gridCol w:w="1245"/>
        <w:gridCol w:w="803"/>
        <w:gridCol w:w="895"/>
        <w:gridCol w:w="1786"/>
        <w:gridCol w:w="1245"/>
        <w:gridCol w:w="737"/>
        <w:gridCol w:w="1496"/>
      </w:tblGrid>
      <w:tr w14:paraId="2C7448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30"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260980FE">
            <w:pPr>
              <w:keepNext w:val="0"/>
              <w:keepLines w:val="0"/>
              <w:suppressLineNumbers w:val="0"/>
              <w:snapToGrid w:val="0"/>
              <w:spacing w:before="50" w:beforeAutospacing="0" w:after="50" w:afterAutospacing="0"/>
              <w:ind w:left="0" w:right="0"/>
              <w:jc w:val="center"/>
              <w:rPr>
                <w:rFonts w:hint="eastAsia" w:ascii="宋体" w:hAnsi="宋体"/>
                <w:color w:val="auto"/>
                <w:sz w:val="24"/>
                <w:highlight w:val="none"/>
              </w:rPr>
            </w:pPr>
            <w:r>
              <w:rPr>
                <w:rFonts w:hint="eastAsia" w:ascii="宋体" w:hAnsi="宋体"/>
                <w:color w:val="auto"/>
                <w:sz w:val="24"/>
                <w:highlight w:val="none"/>
              </w:rPr>
              <w:t>序号</w:t>
            </w:r>
          </w:p>
        </w:tc>
        <w:tc>
          <w:tcPr>
            <w:tcW w:w="1245" w:type="dxa"/>
            <w:tcBorders>
              <w:top w:val="single" w:color="auto" w:sz="4" w:space="0"/>
              <w:left w:val="single" w:color="auto" w:sz="4" w:space="0"/>
              <w:bottom w:val="single" w:color="auto" w:sz="4" w:space="0"/>
              <w:right w:val="single" w:color="auto" w:sz="4" w:space="0"/>
            </w:tcBorders>
            <w:vAlign w:val="center"/>
          </w:tcPr>
          <w:p w14:paraId="5A09FF1C">
            <w:pPr>
              <w:keepNext w:val="0"/>
              <w:keepLines w:val="0"/>
              <w:suppressLineNumbers w:val="0"/>
              <w:snapToGrid w:val="0"/>
              <w:spacing w:before="50" w:beforeAutospacing="0" w:after="50" w:afterAutospacing="0"/>
              <w:ind w:left="0" w:right="0"/>
              <w:jc w:val="center"/>
              <w:rPr>
                <w:rFonts w:hint="eastAsia" w:ascii="宋体" w:hAnsi="宋体"/>
                <w:color w:val="auto"/>
                <w:sz w:val="24"/>
                <w:highlight w:val="none"/>
              </w:rPr>
            </w:pPr>
            <w:r>
              <w:rPr>
                <w:rFonts w:hint="eastAsia" w:ascii="宋体" w:hAnsi="宋体"/>
                <w:color w:val="auto"/>
                <w:sz w:val="24"/>
                <w:highlight w:val="none"/>
              </w:rPr>
              <w:t>服务名称</w:t>
            </w:r>
          </w:p>
        </w:tc>
        <w:tc>
          <w:tcPr>
            <w:tcW w:w="803" w:type="dxa"/>
            <w:tcBorders>
              <w:top w:val="single" w:color="auto" w:sz="4" w:space="0"/>
              <w:left w:val="single" w:color="auto" w:sz="4" w:space="0"/>
              <w:bottom w:val="single" w:color="auto" w:sz="4" w:space="0"/>
              <w:right w:val="single" w:color="auto" w:sz="4" w:space="0"/>
            </w:tcBorders>
            <w:vAlign w:val="center"/>
          </w:tcPr>
          <w:p w14:paraId="407BFCC2">
            <w:pPr>
              <w:keepNext w:val="0"/>
              <w:keepLines w:val="0"/>
              <w:suppressLineNumbers w:val="0"/>
              <w:snapToGrid w:val="0"/>
              <w:spacing w:before="50" w:beforeAutospacing="0" w:after="50" w:afterAutospacing="0"/>
              <w:ind w:left="0" w:right="0"/>
              <w:jc w:val="center"/>
              <w:rPr>
                <w:rFonts w:hint="eastAsia" w:ascii="宋体" w:hAnsi="宋体"/>
                <w:color w:val="auto"/>
                <w:sz w:val="24"/>
                <w:highlight w:val="none"/>
              </w:rPr>
            </w:pPr>
            <w:r>
              <w:rPr>
                <w:rFonts w:hint="eastAsia" w:ascii="宋体" w:hAnsi="宋体"/>
                <w:color w:val="auto"/>
                <w:sz w:val="24"/>
                <w:highlight w:val="none"/>
              </w:rPr>
              <w:t>数量及单位</w:t>
            </w:r>
          </w:p>
        </w:tc>
        <w:tc>
          <w:tcPr>
            <w:tcW w:w="895" w:type="dxa"/>
            <w:tcBorders>
              <w:top w:val="single" w:color="auto" w:sz="4" w:space="0"/>
              <w:left w:val="single" w:color="auto" w:sz="4" w:space="0"/>
              <w:bottom w:val="single" w:color="auto" w:sz="4" w:space="0"/>
              <w:right w:val="single" w:color="auto" w:sz="4" w:space="0"/>
            </w:tcBorders>
            <w:vAlign w:val="center"/>
          </w:tcPr>
          <w:p w14:paraId="4BF22830">
            <w:pPr>
              <w:keepNext w:val="0"/>
              <w:keepLines w:val="0"/>
              <w:suppressLineNumbers w:val="0"/>
              <w:snapToGrid w:val="0"/>
              <w:spacing w:before="50" w:beforeAutospacing="0" w:after="50" w:afterAutospacing="0"/>
              <w:ind w:left="0" w:right="0"/>
              <w:jc w:val="center"/>
              <w:rPr>
                <w:rFonts w:hint="eastAsia" w:ascii="宋体" w:hAnsi="宋体"/>
                <w:color w:val="auto"/>
                <w:sz w:val="24"/>
                <w:highlight w:val="none"/>
              </w:rPr>
            </w:pPr>
            <w:r>
              <w:rPr>
                <w:rFonts w:hint="eastAsia" w:ascii="宋体" w:hAnsi="宋体"/>
                <w:color w:val="auto"/>
                <w:sz w:val="24"/>
                <w:highlight w:val="none"/>
              </w:rPr>
              <w:t>品牌</w:t>
            </w:r>
          </w:p>
        </w:tc>
        <w:tc>
          <w:tcPr>
            <w:tcW w:w="1786" w:type="dxa"/>
            <w:tcBorders>
              <w:top w:val="single" w:color="auto" w:sz="4" w:space="0"/>
              <w:left w:val="single" w:color="auto" w:sz="4" w:space="0"/>
              <w:bottom w:val="single" w:color="auto" w:sz="4" w:space="0"/>
              <w:right w:val="single" w:color="auto" w:sz="4" w:space="0"/>
            </w:tcBorders>
          </w:tcPr>
          <w:p w14:paraId="33DC3468">
            <w:pPr>
              <w:keepNext w:val="0"/>
              <w:keepLines w:val="0"/>
              <w:suppressLineNumbers w:val="0"/>
              <w:snapToGrid w:val="0"/>
              <w:spacing w:before="50" w:beforeAutospacing="0" w:after="50" w:afterAutospacing="0"/>
              <w:ind w:left="0" w:right="0"/>
              <w:jc w:val="center"/>
              <w:rPr>
                <w:rFonts w:hint="eastAsia" w:ascii="宋体" w:hAnsi="宋体"/>
                <w:color w:val="auto"/>
                <w:sz w:val="24"/>
                <w:highlight w:val="none"/>
              </w:rPr>
            </w:pPr>
          </w:p>
          <w:p w14:paraId="7466E425">
            <w:pPr>
              <w:keepNext w:val="0"/>
              <w:keepLines w:val="0"/>
              <w:suppressLineNumbers w:val="0"/>
              <w:snapToGrid w:val="0"/>
              <w:spacing w:before="50" w:beforeAutospacing="0" w:after="50" w:afterAutospacing="0"/>
              <w:ind w:left="0" w:right="0"/>
              <w:jc w:val="center"/>
              <w:rPr>
                <w:rFonts w:hint="eastAsia" w:ascii="宋体" w:hAnsi="宋体"/>
                <w:color w:val="auto"/>
                <w:sz w:val="24"/>
                <w:highlight w:val="none"/>
              </w:rPr>
            </w:pPr>
            <w:r>
              <w:rPr>
                <w:rFonts w:hint="eastAsia" w:ascii="宋体" w:hAnsi="宋体"/>
                <w:color w:val="auto"/>
                <w:sz w:val="24"/>
                <w:highlight w:val="none"/>
              </w:rPr>
              <w:t>规格型号</w:t>
            </w:r>
          </w:p>
        </w:tc>
        <w:tc>
          <w:tcPr>
            <w:tcW w:w="1245" w:type="dxa"/>
            <w:tcBorders>
              <w:top w:val="single" w:color="auto" w:sz="4" w:space="0"/>
              <w:left w:val="single" w:color="auto" w:sz="4" w:space="0"/>
              <w:bottom w:val="single" w:color="auto" w:sz="4" w:space="0"/>
              <w:right w:val="single" w:color="auto" w:sz="4" w:space="0"/>
            </w:tcBorders>
            <w:vAlign w:val="center"/>
          </w:tcPr>
          <w:p w14:paraId="1E34AF9E">
            <w:pPr>
              <w:keepNext w:val="0"/>
              <w:keepLines w:val="0"/>
              <w:suppressLineNumbers w:val="0"/>
              <w:snapToGrid w:val="0"/>
              <w:spacing w:before="50" w:beforeAutospacing="0" w:after="50" w:afterAutospacing="0"/>
              <w:ind w:left="0" w:right="0"/>
              <w:jc w:val="center"/>
              <w:rPr>
                <w:rFonts w:hint="eastAsia" w:ascii="宋体" w:hAnsi="宋体"/>
                <w:color w:val="auto"/>
                <w:sz w:val="24"/>
                <w:highlight w:val="none"/>
              </w:rPr>
            </w:pPr>
            <w:r>
              <w:rPr>
                <w:rFonts w:hint="eastAsia" w:ascii="宋体" w:hAnsi="宋体"/>
                <w:color w:val="auto"/>
                <w:sz w:val="24"/>
                <w:highlight w:val="none"/>
              </w:rPr>
              <w:t>制造商</w:t>
            </w:r>
          </w:p>
        </w:tc>
        <w:tc>
          <w:tcPr>
            <w:tcW w:w="737" w:type="dxa"/>
            <w:tcBorders>
              <w:top w:val="single" w:color="auto" w:sz="4" w:space="0"/>
              <w:left w:val="single" w:color="auto" w:sz="4" w:space="0"/>
              <w:bottom w:val="single" w:color="auto" w:sz="4" w:space="0"/>
              <w:right w:val="single" w:color="auto" w:sz="4" w:space="0"/>
            </w:tcBorders>
            <w:vAlign w:val="center"/>
          </w:tcPr>
          <w:p w14:paraId="20B8DA72">
            <w:pPr>
              <w:keepNext w:val="0"/>
              <w:keepLines w:val="0"/>
              <w:suppressLineNumbers w:val="0"/>
              <w:snapToGrid w:val="0"/>
              <w:spacing w:before="50" w:beforeAutospacing="0" w:after="50" w:afterAutospacing="0"/>
              <w:ind w:left="0" w:right="0"/>
              <w:jc w:val="center"/>
              <w:rPr>
                <w:rFonts w:hint="eastAsia" w:ascii="宋体" w:hAnsi="宋体"/>
                <w:color w:val="auto"/>
                <w:sz w:val="24"/>
                <w:highlight w:val="none"/>
              </w:rPr>
            </w:pPr>
            <w:r>
              <w:rPr>
                <w:rFonts w:hint="eastAsia" w:ascii="宋体" w:hAnsi="宋体"/>
                <w:color w:val="auto"/>
                <w:sz w:val="24"/>
                <w:highlight w:val="none"/>
              </w:rPr>
              <w:t>原产地</w:t>
            </w:r>
          </w:p>
        </w:tc>
        <w:tc>
          <w:tcPr>
            <w:tcW w:w="1496" w:type="dxa"/>
            <w:tcBorders>
              <w:top w:val="single" w:color="auto" w:sz="4" w:space="0"/>
              <w:left w:val="single" w:color="auto" w:sz="4" w:space="0"/>
              <w:bottom w:val="single" w:color="auto" w:sz="4" w:space="0"/>
              <w:right w:val="single" w:color="auto" w:sz="4" w:space="0"/>
            </w:tcBorders>
            <w:vAlign w:val="center"/>
          </w:tcPr>
          <w:p w14:paraId="26CDA144">
            <w:pPr>
              <w:keepNext w:val="0"/>
              <w:keepLines w:val="0"/>
              <w:suppressLineNumbers w:val="0"/>
              <w:snapToGrid w:val="0"/>
              <w:spacing w:before="50" w:beforeAutospacing="0" w:after="50" w:afterAutospacing="0"/>
              <w:ind w:left="0" w:right="0"/>
              <w:jc w:val="center"/>
              <w:rPr>
                <w:rFonts w:hint="eastAsia" w:ascii="宋体" w:hAnsi="宋体"/>
                <w:color w:val="auto"/>
                <w:sz w:val="24"/>
                <w:highlight w:val="none"/>
              </w:rPr>
            </w:pPr>
            <w:r>
              <w:rPr>
                <w:rFonts w:hint="eastAsia" w:ascii="宋体" w:hAnsi="宋体"/>
                <w:color w:val="auto"/>
                <w:sz w:val="24"/>
                <w:highlight w:val="none"/>
              </w:rPr>
              <w:t>参数性能、指标及配置</w:t>
            </w:r>
          </w:p>
        </w:tc>
      </w:tr>
      <w:tr w14:paraId="01AAD9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59A5DF43">
            <w:pPr>
              <w:keepNext w:val="0"/>
              <w:keepLines w:val="0"/>
              <w:suppressLineNumbers w:val="0"/>
              <w:snapToGrid w:val="0"/>
              <w:spacing w:before="50" w:beforeAutospacing="0" w:after="50" w:afterAutospacing="0"/>
              <w:ind w:left="0" w:right="0"/>
              <w:jc w:val="center"/>
              <w:rPr>
                <w:rFonts w:hint="eastAsia" w:ascii="宋体" w:hAnsi="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14:paraId="033ADBD4">
            <w:pPr>
              <w:keepNext w:val="0"/>
              <w:keepLines w:val="0"/>
              <w:suppressLineNumbers w:val="0"/>
              <w:snapToGrid w:val="0"/>
              <w:spacing w:before="50" w:beforeAutospacing="0" w:after="50" w:afterAutospacing="0"/>
              <w:ind w:left="0" w:right="0"/>
              <w:jc w:val="center"/>
              <w:rPr>
                <w:rFonts w:hint="eastAsia" w:ascii="宋体" w:hAnsi="宋体"/>
                <w:color w:val="auto"/>
                <w:sz w:val="24"/>
                <w:highlight w:val="none"/>
              </w:rPr>
            </w:pPr>
          </w:p>
        </w:tc>
        <w:tc>
          <w:tcPr>
            <w:tcW w:w="803" w:type="dxa"/>
            <w:tcBorders>
              <w:top w:val="single" w:color="auto" w:sz="4" w:space="0"/>
              <w:left w:val="single" w:color="auto" w:sz="4" w:space="0"/>
              <w:bottom w:val="single" w:color="auto" w:sz="4" w:space="0"/>
              <w:right w:val="single" w:color="auto" w:sz="4" w:space="0"/>
            </w:tcBorders>
            <w:vAlign w:val="center"/>
          </w:tcPr>
          <w:p w14:paraId="573CB676">
            <w:pPr>
              <w:keepNext w:val="0"/>
              <w:keepLines w:val="0"/>
              <w:suppressLineNumbers w:val="0"/>
              <w:snapToGrid w:val="0"/>
              <w:spacing w:before="50" w:beforeAutospacing="0" w:after="50" w:afterAutospacing="0"/>
              <w:ind w:left="0" w:right="0"/>
              <w:jc w:val="center"/>
              <w:rPr>
                <w:rFonts w:hint="eastAsia" w:ascii="宋体" w:hAnsi="宋体"/>
                <w:color w:val="auto"/>
                <w:sz w:val="24"/>
                <w:highlight w:val="none"/>
              </w:rPr>
            </w:pPr>
          </w:p>
        </w:tc>
        <w:tc>
          <w:tcPr>
            <w:tcW w:w="895" w:type="dxa"/>
            <w:tcBorders>
              <w:top w:val="single" w:color="auto" w:sz="4" w:space="0"/>
              <w:left w:val="single" w:color="auto" w:sz="4" w:space="0"/>
              <w:bottom w:val="single" w:color="auto" w:sz="4" w:space="0"/>
              <w:right w:val="single" w:color="auto" w:sz="4" w:space="0"/>
            </w:tcBorders>
            <w:vAlign w:val="center"/>
          </w:tcPr>
          <w:p w14:paraId="09B68FF2">
            <w:pPr>
              <w:keepNext w:val="0"/>
              <w:keepLines w:val="0"/>
              <w:suppressLineNumbers w:val="0"/>
              <w:snapToGrid w:val="0"/>
              <w:spacing w:before="50" w:beforeAutospacing="0" w:after="50" w:afterAutospacing="0"/>
              <w:ind w:left="0" w:right="0"/>
              <w:jc w:val="center"/>
              <w:rPr>
                <w:rFonts w:hint="eastAsia" w:ascii="宋体" w:hAnsi="宋体"/>
                <w:color w:val="auto"/>
                <w:sz w:val="24"/>
                <w:highlight w:val="none"/>
              </w:rPr>
            </w:pPr>
          </w:p>
        </w:tc>
        <w:tc>
          <w:tcPr>
            <w:tcW w:w="1786" w:type="dxa"/>
            <w:tcBorders>
              <w:top w:val="single" w:color="auto" w:sz="4" w:space="0"/>
              <w:left w:val="single" w:color="auto" w:sz="4" w:space="0"/>
              <w:bottom w:val="single" w:color="auto" w:sz="4" w:space="0"/>
              <w:right w:val="single" w:color="auto" w:sz="4" w:space="0"/>
            </w:tcBorders>
          </w:tcPr>
          <w:p w14:paraId="5470CCFF">
            <w:pPr>
              <w:keepNext w:val="0"/>
              <w:keepLines w:val="0"/>
              <w:suppressLineNumbers w:val="0"/>
              <w:snapToGrid w:val="0"/>
              <w:spacing w:before="50" w:beforeAutospacing="0" w:after="50" w:afterAutospacing="0"/>
              <w:ind w:left="0" w:right="0"/>
              <w:jc w:val="center"/>
              <w:rPr>
                <w:rFonts w:hint="eastAsia" w:ascii="宋体" w:hAnsi="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14:paraId="5D6CFA8C">
            <w:pPr>
              <w:keepNext w:val="0"/>
              <w:keepLines w:val="0"/>
              <w:suppressLineNumbers w:val="0"/>
              <w:snapToGrid w:val="0"/>
              <w:spacing w:before="50" w:beforeAutospacing="0" w:after="50" w:afterAutospacing="0"/>
              <w:ind w:left="0" w:right="0"/>
              <w:jc w:val="center"/>
              <w:rPr>
                <w:rFonts w:hint="eastAsia" w:ascii="宋体" w:hAnsi="宋体"/>
                <w:color w:val="auto"/>
                <w:sz w:val="24"/>
                <w:highlight w:val="none"/>
              </w:rPr>
            </w:pPr>
          </w:p>
        </w:tc>
        <w:tc>
          <w:tcPr>
            <w:tcW w:w="737" w:type="dxa"/>
            <w:tcBorders>
              <w:top w:val="single" w:color="auto" w:sz="4" w:space="0"/>
              <w:left w:val="single" w:color="auto" w:sz="4" w:space="0"/>
              <w:bottom w:val="single" w:color="auto" w:sz="4" w:space="0"/>
              <w:right w:val="single" w:color="auto" w:sz="4" w:space="0"/>
            </w:tcBorders>
            <w:vAlign w:val="center"/>
          </w:tcPr>
          <w:p w14:paraId="1CA44B97">
            <w:pPr>
              <w:keepNext w:val="0"/>
              <w:keepLines w:val="0"/>
              <w:suppressLineNumbers w:val="0"/>
              <w:snapToGrid w:val="0"/>
              <w:spacing w:before="50" w:beforeAutospacing="0" w:after="50" w:afterAutospacing="0"/>
              <w:ind w:left="0" w:right="0"/>
              <w:jc w:val="center"/>
              <w:rPr>
                <w:rFonts w:hint="eastAsia" w:ascii="宋体" w:hAnsi="宋体"/>
                <w:color w:val="auto"/>
                <w:sz w:val="24"/>
                <w:highlight w:val="none"/>
              </w:rPr>
            </w:pPr>
          </w:p>
        </w:tc>
        <w:tc>
          <w:tcPr>
            <w:tcW w:w="1496" w:type="dxa"/>
            <w:tcBorders>
              <w:top w:val="single" w:color="auto" w:sz="4" w:space="0"/>
              <w:left w:val="single" w:color="auto" w:sz="4" w:space="0"/>
              <w:bottom w:val="single" w:color="auto" w:sz="4" w:space="0"/>
              <w:right w:val="single" w:color="auto" w:sz="4" w:space="0"/>
            </w:tcBorders>
            <w:vAlign w:val="center"/>
          </w:tcPr>
          <w:p w14:paraId="167137E7">
            <w:pPr>
              <w:keepNext w:val="0"/>
              <w:keepLines w:val="0"/>
              <w:suppressLineNumbers w:val="0"/>
              <w:snapToGrid w:val="0"/>
              <w:spacing w:before="50" w:beforeAutospacing="0" w:after="50" w:afterAutospacing="0"/>
              <w:ind w:left="0" w:right="0"/>
              <w:jc w:val="center"/>
              <w:rPr>
                <w:rFonts w:hint="eastAsia" w:ascii="宋体" w:hAnsi="宋体"/>
                <w:color w:val="auto"/>
                <w:sz w:val="24"/>
                <w:highlight w:val="none"/>
              </w:rPr>
            </w:pPr>
          </w:p>
        </w:tc>
      </w:tr>
      <w:tr w14:paraId="06B0F6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5634194D">
            <w:pPr>
              <w:keepNext w:val="0"/>
              <w:keepLines w:val="0"/>
              <w:suppressLineNumbers w:val="0"/>
              <w:snapToGrid w:val="0"/>
              <w:spacing w:before="50" w:beforeAutospacing="0" w:after="50" w:afterAutospacing="0"/>
              <w:ind w:left="0" w:right="0"/>
              <w:jc w:val="center"/>
              <w:rPr>
                <w:rFonts w:hint="eastAsia" w:ascii="宋体" w:hAnsi="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14:paraId="10C3B9AC">
            <w:pPr>
              <w:keepNext w:val="0"/>
              <w:keepLines w:val="0"/>
              <w:suppressLineNumbers w:val="0"/>
              <w:snapToGrid w:val="0"/>
              <w:spacing w:before="50" w:beforeAutospacing="0" w:after="50" w:afterAutospacing="0"/>
              <w:ind w:left="0" w:right="0"/>
              <w:jc w:val="center"/>
              <w:rPr>
                <w:rFonts w:hint="eastAsia" w:ascii="宋体" w:hAnsi="宋体"/>
                <w:color w:val="auto"/>
                <w:sz w:val="24"/>
                <w:highlight w:val="none"/>
              </w:rPr>
            </w:pPr>
          </w:p>
        </w:tc>
        <w:tc>
          <w:tcPr>
            <w:tcW w:w="803" w:type="dxa"/>
            <w:tcBorders>
              <w:top w:val="single" w:color="auto" w:sz="4" w:space="0"/>
              <w:left w:val="single" w:color="auto" w:sz="4" w:space="0"/>
              <w:bottom w:val="single" w:color="auto" w:sz="4" w:space="0"/>
              <w:right w:val="single" w:color="auto" w:sz="4" w:space="0"/>
            </w:tcBorders>
            <w:vAlign w:val="center"/>
          </w:tcPr>
          <w:p w14:paraId="3B4AA033">
            <w:pPr>
              <w:keepNext w:val="0"/>
              <w:keepLines w:val="0"/>
              <w:suppressLineNumbers w:val="0"/>
              <w:snapToGrid w:val="0"/>
              <w:spacing w:before="50" w:beforeAutospacing="0" w:after="50" w:afterAutospacing="0"/>
              <w:ind w:left="0" w:right="0"/>
              <w:jc w:val="center"/>
              <w:rPr>
                <w:rFonts w:hint="eastAsia" w:ascii="宋体" w:hAnsi="宋体"/>
                <w:color w:val="auto"/>
                <w:sz w:val="24"/>
                <w:highlight w:val="none"/>
              </w:rPr>
            </w:pPr>
          </w:p>
        </w:tc>
        <w:tc>
          <w:tcPr>
            <w:tcW w:w="895" w:type="dxa"/>
            <w:tcBorders>
              <w:top w:val="single" w:color="auto" w:sz="4" w:space="0"/>
              <w:left w:val="single" w:color="auto" w:sz="4" w:space="0"/>
              <w:bottom w:val="single" w:color="auto" w:sz="4" w:space="0"/>
              <w:right w:val="single" w:color="auto" w:sz="4" w:space="0"/>
            </w:tcBorders>
            <w:vAlign w:val="center"/>
          </w:tcPr>
          <w:p w14:paraId="1F5E94DF">
            <w:pPr>
              <w:keepNext w:val="0"/>
              <w:keepLines w:val="0"/>
              <w:suppressLineNumbers w:val="0"/>
              <w:snapToGrid w:val="0"/>
              <w:spacing w:before="50" w:beforeAutospacing="0" w:after="50" w:afterAutospacing="0"/>
              <w:ind w:left="0" w:right="0"/>
              <w:jc w:val="center"/>
              <w:rPr>
                <w:rFonts w:hint="eastAsia" w:ascii="宋体" w:hAnsi="宋体"/>
                <w:color w:val="auto"/>
                <w:sz w:val="24"/>
                <w:highlight w:val="none"/>
              </w:rPr>
            </w:pPr>
          </w:p>
        </w:tc>
        <w:tc>
          <w:tcPr>
            <w:tcW w:w="1786" w:type="dxa"/>
            <w:tcBorders>
              <w:top w:val="single" w:color="auto" w:sz="4" w:space="0"/>
              <w:left w:val="single" w:color="auto" w:sz="4" w:space="0"/>
              <w:bottom w:val="single" w:color="auto" w:sz="4" w:space="0"/>
              <w:right w:val="single" w:color="auto" w:sz="4" w:space="0"/>
            </w:tcBorders>
          </w:tcPr>
          <w:p w14:paraId="60EC1E51">
            <w:pPr>
              <w:keepNext w:val="0"/>
              <w:keepLines w:val="0"/>
              <w:suppressLineNumbers w:val="0"/>
              <w:snapToGrid w:val="0"/>
              <w:spacing w:before="50" w:beforeAutospacing="0" w:after="50" w:afterAutospacing="0"/>
              <w:ind w:left="0" w:right="0"/>
              <w:jc w:val="center"/>
              <w:rPr>
                <w:rFonts w:hint="eastAsia" w:ascii="宋体" w:hAnsi="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14:paraId="4FDB64D6">
            <w:pPr>
              <w:keepNext w:val="0"/>
              <w:keepLines w:val="0"/>
              <w:suppressLineNumbers w:val="0"/>
              <w:snapToGrid w:val="0"/>
              <w:spacing w:before="50" w:beforeAutospacing="0" w:after="50" w:afterAutospacing="0"/>
              <w:ind w:left="0" w:right="0"/>
              <w:jc w:val="center"/>
              <w:rPr>
                <w:rFonts w:hint="eastAsia" w:ascii="宋体" w:hAnsi="宋体"/>
                <w:color w:val="auto"/>
                <w:sz w:val="24"/>
                <w:highlight w:val="none"/>
              </w:rPr>
            </w:pPr>
          </w:p>
        </w:tc>
        <w:tc>
          <w:tcPr>
            <w:tcW w:w="737" w:type="dxa"/>
            <w:tcBorders>
              <w:top w:val="single" w:color="auto" w:sz="4" w:space="0"/>
              <w:left w:val="single" w:color="auto" w:sz="4" w:space="0"/>
              <w:bottom w:val="single" w:color="auto" w:sz="4" w:space="0"/>
              <w:right w:val="single" w:color="auto" w:sz="4" w:space="0"/>
            </w:tcBorders>
            <w:vAlign w:val="center"/>
          </w:tcPr>
          <w:p w14:paraId="1C6025C9">
            <w:pPr>
              <w:keepNext w:val="0"/>
              <w:keepLines w:val="0"/>
              <w:suppressLineNumbers w:val="0"/>
              <w:snapToGrid w:val="0"/>
              <w:spacing w:before="50" w:beforeAutospacing="0" w:after="50" w:afterAutospacing="0"/>
              <w:ind w:left="0" w:right="0"/>
              <w:jc w:val="center"/>
              <w:rPr>
                <w:rFonts w:hint="eastAsia" w:ascii="宋体" w:hAnsi="宋体"/>
                <w:color w:val="auto"/>
                <w:sz w:val="24"/>
                <w:highlight w:val="none"/>
              </w:rPr>
            </w:pPr>
          </w:p>
        </w:tc>
        <w:tc>
          <w:tcPr>
            <w:tcW w:w="1496" w:type="dxa"/>
            <w:tcBorders>
              <w:top w:val="single" w:color="auto" w:sz="4" w:space="0"/>
              <w:left w:val="single" w:color="auto" w:sz="4" w:space="0"/>
              <w:bottom w:val="single" w:color="auto" w:sz="4" w:space="0"/>
              <w:right w:val="single" w:color="auto" w:sz="4" w:space="0"/>
            </w:tcBorders>
            <w:vAlign w:val="center"/>
          </w:tcPr>
          <w:p w14:paraId="3B4166B2">
            <w:pPr>
              <w:keepNext w:val="0"/>
              <w:keepLines w:val="0"/>
              <w:suppressLineNumbers w:val="0"/>
              <w:snapToGrid w:val="0"/>
              <w:spacing w:before="50" w:beforeAutospacing="0" w:after="50" w:afterAutospacing="0"/>
              <w:ind w:left="0" w:right="0"/>
              <w:jc w:val="center"/>
              <w:rPr>
                <w:rFonts w:hint="eastAsia" w:ascii="宋体" w:hAnsi="宋体"/>
                <w:color w:val="auto"/>
                <w:sz w:val="24"/>
                <w:highlight w:val="none"/>
              </w:rPr>
            </w:pPr>
          </w:p>
        </w:tc>
      </w:tr>
      <w:tr w14:paraId="02D1D9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78F6768B">
            <w:pPr>
              <w:keepNext w:val="0"/>
              <w:keepLines w:val="0"/>
              <w:suppressLineNumbers w:val="0"/>
              <w:snapToGrid w:val="0"/>
              <w:spacing w:before="50" w:beforeAutospacing="0" w:after="50" w:afterAutospacing="0"/>
              <w:ind w:left="0" w:right="0"/>
              <w:jc w:val="center"/>
              <w:rPr>
                <w:rFonts w:hint="eastAsia" w:ascii="宋体" w:hAnsi="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14:paraId="4C6C24E5">
            <w:pPr>
              <w:keepNext w:val="0"/>
              <w:keepLines w:val="0"/>
              <w:suppressLineNumbers w:val="0"/>
              <w:snapToGrid w:val="0"/>
              <w:spacing w:before="50" w:beforeAutospacing="0" w:after="50" w:afterAutospacing="0"/>
              <w:ind w:left="0" w:right="0"/>
              <w:jc w:val="center"/>
              <w:rPr>
                <w:rFonts w:hint="eastAsia" w:ascii="宋体" w:hAnsi="宋体"/>
                <w:color w:val="auto"/>
                <w:sz w:val="24"/>
                <w:highlight w:val="none"/>
              </w:rPr>
            </w:pPr>
          </w:p>
        </w:tc>
        <w:tc>
          <w:tcPr>
            <w:tcW w:w="803" w:type="dxa"/>
            <w:tcBorders>
              <w:top w:val="single" w:color="auto" w:sz="4" w:space="0"/>
              <w:left w:val="single" w:color="auto" w:sz="4" w:space="0"/>
              <w:bottom w:val="single" w:color="auto" w:sz="4" w:space="0"/>
              <w:right w:val="single" w:color="auto" w:sz="4" w:space="0"/>
            </w:tcBorders>
            <w:vAlign w:val="center"/>
          </w:tcPr>
          <w:p w14:paraId="63D306A8">
            <w:pPr>
              <w:keepNext w:val="0"/>
              <w:keepLines w:val="0"/>
              <w:suppressLineNumbers w:val="0"/>
              <w:snapToGrid w:val="0"/>
              <w:spacing w:before="50" w:beforeAutospacing="0" w:after="50" w:afterAutospacing="0"/>
              <w:ind w:left="0" w:right="0"/>
              <w:jc w:val="center"/>
              <w:rPr>
                <w:rFonts w:hint="eastAsia" w:ascii="宋体" w:hAnsi="宋体"/>
                <w:color w:val="auto"/>
                <w:sz w:val="24"/>
                <w:highlight w:val="none"/>
              </w:rPr>
            </w:pPr>
          </w:p>
        </w:tc>
        <w:tc>
          <w:tcPr>
            <w:tcW w:w="895" w:type="dxa"/>
            <w:tcBorders>
              <w:top w:val="single" w:color="auto" w:sz="4" w:space="0"/>
              <w:left w:val="single" w:color="auto" w:sz="4" w:space="0"/>
              <w:bottom w:val="single" w:color="auto" w:sz="4" w:space="0"/>
              <w:right w:val="single" w:color="auto" w:sz="4" w:space="0"/>
            </w:tcBorders>
            <w:vAlign w:val="center"/>
          </w:tcPr>
          <w:p w14:paraId="374CA2FB">
            <w:pPr>
              <w:keepNext w:val="0"/>
              <w:keepLines w:val="0"/>
              <w:suppressLineNumbers w:val="0"/>
              <w:snapToGrid w:val="0"/>
              <w:spacing w:before="50" w:beforeAutospacing="0" w:after="50" w:afterAutospacing="0"/>
              <w:ind w:left="0" w:right="0"/>
              <w:jc w:val="center"/>
              <w:rPr>
                <w:rFonts w:hint="eastAsia" w:ascii="宋体" w:hAnsi="宋体"/>
                <w:color w:val="auto"/>
                <w:sz w:val="24"/>
                <w:highlight w:val="none"/>
              </w:rPr>
            </w:pPr>
          </w:p>
        </w:tc>
        <w:tc>
          <w:tcPr>
            <w:tcW w:w="1786" w:type="dxa"/>
            <w:tcBorders>
              <w:top w:val="single" w:color="auto" w:sz="4" w:space="0"/>
              <w:left w:val="single" w:color="auto" w:sz="4" w:space="0"/>
              <w:bottom w:val="single" w:color="auto" w:sz="4" w:space="0"/>
              <w:right w:val="single" w:color="auto" w:sz="4" w:space="0"/>
            </w:tcBorders>
          </w:tcPr>
          <w:p w14:paraId="16AB3715">
            <w:pPr>
              <w:keepNext w:val="0"/>
              <w:keepLines w:val="0"/>
              <w:suppressLineNumbers w:val="0"/>
              <w:snapToGrid w:val="0"/>
              <w:spacing w:before="50" w:beforeAutospacing="0" w:after="50" w:afterAutospacing="0"/>
              <w:ind w:left="0" w:right="0"/>
              <w:jc w:val="center"/>
              <w:rPr>
                <w:rFonts w:hint="eastAsia" w:ascii="宋体" w:hAnsi="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14:paraId="4A25794D">
            <w:pPr>
              <w:keepNext w:val="0"/>
              <w:keepLines w:val="0"/>
              <w:suppressLineNumbers w:val="0"/>
              <w:snapToGrid w:val="0"/>
              <w:spacing w:before="50" w:beforeAutospacing="0" w:after="50" w:afterAutospacing="0"/>
              <w:ind w:left="0" w:right="0"/>
              <w:jc w:val="center"/>
              <w:rPr>
                <w:rFonts w:hint="eastAsia" w:ascii="宋体" w:hAnsi="宋体"/>
                <w:color w:val="auto"/>
                <w:sz w:val="24"/>
                <w:highlight w:val="none"/>
              </w:rPr>
            </w:pPr>
          </w:p>
        </w:tc>
        <w:tc>
          <w:tcPr>
            <w:tcW w:w="737" w:type="dxa"/>
            <w:tcBorders>
              <w:top w:val="single" w:color="auto" w:sz="4" w:space="0"/>
              <w:left w:val="single" w:color="auto" w:sz="4" w:space="0"/>
              <w:bottom w:val="single" w:color="auto" w:sz="4" w:space="0"/>
              <w:right w:val="single" w:color="auto" w:sz="4" w:space="0"/>
            </w:tcBorders>
            <w:vAlign w:val="center"/>
          </w:tcPr>
          <w:p w14:paraId="35543C6A">
            <w:pPr>
              <w:keepNext w:val="0"/>
              <w:keepLines w:val="0"/>
              <w:suppressLineNumbers w:val="0"/>
              <w:snapToGrid w:val="0"/>
              <w:spacing w:before="50" w:beforeAutospacing="0" w:after="50" w:afterAutospacing="0"/>
              <w:ind w:left="0" w:right="0"/>
              <w:jc w:val="center"/>
              <w:rPr>
                <w:rFonts w:hint="eastAsia" w:ascii="宋体" w:hAnsi="宋体"/>
                <w:color w:val="auto"/>
                <w:sz w:val="24"/>
                <w:highlight w:val="none"/>
              </w:rPr>
            </w:pPr>
          </w:p>
        </w:tc>
        <w:tc>
          <w:tcPr>
            <w:tcW w:w="1496" w:type="dxa"/>
            <w:tcBorders>
              <w:top w:val="single" w:color="auto" w:sz="4" w:space="0"/>
              <w:left w:val="single" w:color="auto" w:sz="4" w:space="0"/>
              <w:bottom w:val="single" w:color="auto" w:sz="4" w:space="0"/>
              <w:right w:val="single" w:color="auto" w:sz="4" w:space="0"/>
            </w:tcBorders>
            <w:vAlign w:val="center"/>
          </w:tcPr>
          <w:p w14:paraId="0FFBF985">
            <w:pPr>
              <w:keepNext w:val="0"/>
              <w:keepLines w:val="0"/>
              <w:suppressLineNumbers w:val="0"/>
              <w:snapToGrid w:val="0"/>
              <w:spacing w:before="50" w:beforeAutospacing="0" w:after="50" w:afterAutospacing="0"/>
              <w:ind w:left="0" w:right="0"/>
              <w:jc w:val="center"/>
              <w:rPr>
                <w:rFonts w:hint="eastAsia" w:ascii="宋体" w:hAnsi="宋体"/>
                <w:color w:val="auto"/>
                <w:sz w:val="24"/>
                <w:highlight w:val="none"/>
              </w:rPr>
            </w:pPr>
          </w:p>
        </w:tc>
      </w:tr>
    </w:tbl>
    <w:p w14:paraId="734D11A1">
      <w:pPr>
        <w:spacing w:line="360" w:lineRule="auto"/>
        <w:rPr>
          <w:rFonts w:hint="eastAsia" w:ascii="宋体" w:hAnsi="宋体"/>
          <w:color w:val="auto"/>
          <w:sz w:val="24"/>
          <w:highlight w:val="none"/>
        </w:rPr>
      </w:pPr>
      <w:r>
        <w:rPr>
          <w:rFonts w:hint="eastAsia" w:ascii="宋体" w:hAnsi="宋体"/>
          <w:color w:val="auto"/>
          <w:sz w:val="24"/>
          <w:highlight w:val="none"/>
        </w:rPr>
        <w:t>备注：</w:t>
      </w:r>
    </w:p>
    <w:p w14:paraId="50DC0A24">
      <w:pPr>
        <w:tabs>
          <w:tab w:val="left" w:pos="1065"/>
        </w:tabs>
        <w:adjustRightInd w:val="0"/>
        <w:spacing w:line="360" w:lineRule="auto"/>
        <w:rPr>
          <w:rFonts w:hint="eastAsia" w:ascii="宋体" w:hAnsi="宋体" w:cs="仿宋_GB2312"/>
          <w:color w:val="auto"/>
          <w:sz w:val="24"/>
          <w:highlight w:val="none"/>
        </w:rPr>
      </w:pPr>
      <w:r>
        <w:rPr>
          <w:rFonts w:hint="eastAsia" w:ascii="宋体" w:hAnsi="宋体"/>
          <w:b/>
          <w:bCs/>
          <w:color w:val="auto"/>
          <w:sz w:val="24"/>
          <w:highlight w:val="none"/>
        </w:rPr>
        <w:t>以上性能配置清单中“服务名称、数量及单位、品牌、规格型号、制造商、原产地、参数性能、指标及配置”必须如实填写完整，品牌、规格型号没有则填无，填写有缺漏的，响应文件作无效处理</w:t>
      </w:r>
      <w:r>
        <w:rPr>
          <w:rFonts w:hint="eastAsia" w:ascii="宋体" w:hAnsi="宋体"/>
          <w:b/>
          <w:color w:val="auto"/>
          <w:sz w:val="24"/>
          <w:highlight w:val="none"/>
        </w:rPr>
        <w:t>。</w:t>
      </w:r>
      <w:r>
        <w:rPr>
          <w:rFonts w:hint="eastAsia" w:ascii="宋体" w:hAnsi="宋体"/>
          <w:color w:val="auto"/>
          <w:sz w:val="24"/>
          <w:highlight w:val="none"/>
        </w:rPr>
        <w:t>服务名称、数量及单位、品牌必须与“服务需求一览表”一致，</w:t>
      </w:r>
      <w:r>
        <w:rPr>
          <w:rFonts w:hint="eastAsia" w:ascii="宋体" w:hAnsi="宋体"/>
          <w:bCs/>
          <w:color w:val="auto"/>
          <w:sz w:val="24"/>
          <w:highlight w:val="none"/>
        </w:rPr>
        <w:t>否则响应文件作无效处理</w:t>
      </w:r>
      <w:r>
        <w:rPr>
          <w:rFonts w:hint="eastAsia" w:ascii="宋体" w:hAnsi="宋体"/>
          <w:b/>
          <w:color w:val="auto"/>
          <w:sz w:val="24"/>
          <w:highlight w:val="none"/>
        </w:rPr>
        <w:t>。</w:t>
      </w:r>
      <w:r>
        <w:rPr>
          <w:rFonts w:hint="eastAsia" w:ascii="宋体" w:hAnsi="宋体" w:cs="仿宋_GB2312"/>
          <w:color w:val="auto"/>
          <w:sz w:val="24"/>
          <w:highlight w:val="none"/>
        </w:rPr>
        <w:tab/>
      </w:r>
    </w:p>
    <w:p w14:paraId="66940557">
      <w:pPr>
        <w:adjustRightInd w:val="0"/>
        <w:spacing w:line="360" w:lineRule="auto"/>
        <w:jc w:val="left"/>
        <w:rPr>
          <w:rFonts w:hint="eastAsia" w:ascii="宋体" w:hAnsi="宋体" w:cs="仿宋_GB2312"/>
          <w:color w:val="auto"/>
          <w:sz w:val="24"/>
          <w:highlight w:val="none"/>
        </w:rPr>
      </w:pPr>
    </w:p>
    <w:p w14:paraId="7F2560C3">
      <w:pPr>
        <w:autoSpaceDE w:val="0"/>
        <w:autoSpaceDN w:val="0"/>
        <w:spacing w:line="360" w:lineRule="auto"/>
        <w:ind w:left="4335" w:leftChars="1950" w:hanging="240" w:hangingChars="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38E41315">
      <w:pPr>
        <w:spacing w:line="500" w:lineRule="exact"/>
        <w:jc w:val="center"/>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  年  月   日</w:t>
      </w:r>
    </w:p>
    <w:p w14:paraId="6A988D28">
      <w:pPr>
        <w:widowControl/>
        <w:jc w:val="left"/>
        <w:rPr>
          <w:rFonts w:hint="eastAsia" w:ascii="仿宋_GB2312" w:hAnsi="仿宋" w:eastAsia="仿宋_GB2312" w:cs="仿宋_GB2312"/>
          <w:color w:val="auto"/>
          <w:kern w:val="0"/>
          <w:sz w:val="24"/>
          <w:highlight w:val="none"/>
          <w:lang w:val="zh-CN"/>
        </w:rPr>
        <w:sectPr>
          <w:pgSz w:w="11911" w:h="16838"/>
          <w:pgMar w:top="1417" w:right="1417" w:bottom="1417" w:left="1417" w:header="720" w:footer="720" w:gutter="0"/>
          <w:cols w:space="0" w:num="1"/>
          <w:rtlGutter w:val="0"/>
          <w:docGrid w:linePitch="0" w:charSpace="0"/>
        </w:sectPr>
      </w:pPr>
    </w:p>
    <w:p w14:paraId="0C78C920">
      <w:pPr>
        <w:snapToGrid w:val="0"/>
        <w:spacing w:line="360" w:lineRule="auto"/>
        <w:ind w:firstLine="602" w:firstLineChars="200"/>
        <w:rPr>
          <w:rFonts w:hint="eastAsia" w:ascii="仿宋" w:hAnsi="仿宋" w:eastAsia="仿宋" w:cs="仿宋_GB2312"/>
          <w:b/>
          <w:color w:val="auto"/>
          <w:sz w:val="30"/>
          <w:szCs w:val="30"/>
          <w:highlight w:val="none"/>
        </w:rPr>
      </w:pPr>
      <w:r>
        <w:rPr>
          <w:rFonts w:hint="eastAsia" w:ascii="仿宋" w:hAnsi="仿宋" w:eastAsia="仿宋" w:cs="仿宋_GB2312"/>
          <w:b/>
          <w:color w:val="auto"/>
          <w:sz w:val="30"/>
          <w:szCs w:val="30"/>
          <w:highlight w:val="none"/>
        </w:rPr>
        <w:t>八、组织服务方案</w:t>
      </w:r>
    </w:p>
    <w:p w14:paraId="5369BA63">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（由供应商根据采购需求及采购文件要求编制）</w:t>
      </w:r>
    </w:p>
    <w:p w14:paraId="7EBF43E1">
      <w:pPr>
        <w:rPr>
          <w:rFonts w:hint="eastAsia" w:ascii="仿宋_GB2312" w:hAnsi="仿宋" w:eastAsia="仿宋_GB2312" w:cs="仿宋_GB2312"/>
          <w:b/>
          <w:bCs/>
          <w:color w:val="auto"/>
          <w:kern w:val="0"/>
          <w:sz w:val="24"/>
          <w:highlight w:val="none"/>
          <w:lang w:val="zh-CN"/>
        </w:rPr>
      </w:pPr>
      <w:bookmarkStart w:id="75" w:name="_Toc78473822"/>
      <w:r>
        <w:rPr>
          <w:rFonts w:hint="eastAsia" w:ascii="仿宋_GB2312" w:hAnsi="仿宋" w:eastAsia="仿宋_GB2312" w:cs="仿宋_GB2312"/>
          <w:b/>
          <w:bCs/>
          <w:color w:val="auto"/>
          <w:kern w:val="0"/>
          <w:sz w:val="24"/>
          <w:highlight w:val="none"/>
          <w:lang w:val="zh-CN"/>
        </w:rPr>
        <w:t>附表:项目实施进度计划表</w:t>
      </w:r>
      <w:r>
        <w:rPr>
          <w:rFonts w:hint="eastAsia" w:ascii="仿宋_GB2312" w:hAnsi="仿宋" w:eastAsia="仿宋_GB2312" w:cs="仿宋_GB2312"/>
          <w:b/>
          <w:color w:val="auto"/>
          <w:sz w:val="24"/>
          <w:highlight w:val="none"/>
        </w:rPr>
        <w:t>(以生效日算起)</w:t>
      </w:r>
      <w:bookmarkEnd w:id="75"/>
      <w:r>
        <w:rPr>
          <w:rFonts w:hint="eastAsia" w:ascii="仿宋_GB2312" w:hAnsi="仿宋" w:eastAsia="仿宋_GB2312" w:cs="仿宋_GB2312"/>
          <w:b/>
          <w:color w:val="auto"/>
          <w:sz w:val="24"/>
          <w:highlight w:val="none"/>
        </w:rPr>
        <w:t xml:space="preserve"> </w:t>
      </w:r>
    </w:p>
    <w:tbl>
      <w:tblPr>
        <w:tblStyle w:val="2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9"/>
        <w:gridCol w:w="511"/>
        <w:gridCol w:w="511"/>
        <w:gridCol w:w="512"/>
        <w:gridCol w:w="512"/>
        <w:gridCol w:w="512"/>
        <w:gridCol w:w="512"/>
        <w:gridCol w:w="512"/>
        <w:gridCol w:w="512"/>
        <w:gridCol w:w="512"/>
        <w:gridCol w:w="512"/>
        <w:gridCol w:w="512"/>
        <w:gridCol w:w="512"/>
        <w:gridCol w:w="512"/>
        <w:gridCol w:w="512"/>
        <w:gridCol w:w="512"/>
        <w:gridCol w:w="512"/>
      </w:tblGrid>
      <w:tr w14:paraId="6395D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591" w:type="pct"/>
            <w:tcBorders>
              <w:top w:val="single" w:color="auto" w:sz="4" w:space="0"/>
              <w:left w:val="single" w:color="auto" w:sz="4" w:space="0"/>
              <w:bottom w:val="single" w:color="auto" w:sz="4" w:space="0"/>
              <w:right w:val="single" w:color="auto" w:sz="4" w:space="0"/>
            </w:tcBorders>
            <w:vAlign w:val="center"/>
          </w:tcPr>
          <w:p w14:paraId="0D5684D2">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r>
              <w:rPr>
                <w:rFonts w:hint="eastAsia"/>
                <w:color w:val="auto"/>
                <w:highlight w:val="none"/>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5080"/>
                      <wp:wrapNone/>
                      <wp:docPr id="10" name="组合 10"/>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11" name="__TH_L2"/>
                              <wps:cNvCnPr/>
                              <wps:spPr bwMode="auto">
                                <a:xfrm>
                                  <a:off x="0" y="0"/>
                                  <a:ext cx="1178" cy="1860"/>
                                </a:xfrm>
                                <a:prstGeom prst="line">
                                  <a:avLst/>
                                </a:prstGeom>
                                <a:noFill/>
                                <a:ln w="6350">
                                  <a:solidFill>
                                    <a:srgbClr val="000000"/>
                                  </a:solidFill>
                                  <a:round/>
                                </a:ln>
                                <a:effectLst/>
                              </wps:spPr>
                              <wps:bodyPr/>
                            </wps:wsp>
                            <wps:wsp>
                              <wps:cNvPr id="12" name="__TH_B113"/>
                              <wps:cNvSpPr txBox="1">
                                <a:spLocks noChangeArrowheads="1"/>
                              </wps:cNvSpPr>
                              <wps:spPr bwMode="auto">
                                <a:xfrm>
                                  <a:off x="455" y="122"/>
                                  <a:ext cx="253" cy="263"/>
                                </a:xfrm>
                                <a:prstGeom prst="rect">
                                  <a:avLst/>
                                </a:prstGeom>
                                <a:noFill/>
                                <a:ln>
                                  <a:noFill/>
                                </a:ln>
                                <a:effectLst/>
                              </wps:spPr>
                              <wps:txbx>
                                <w:txbxContent>
                                  <w:p w14:paraId="3DA0F242">
                                    <w:pPr>
                                      <w:snapToGrid w:val="0"/>
                                    </w:pPr>
                                    <w:r>
                                      <w:rPr>
                                        <w:rFonts w:hint="eastAsia"/>
                                      </w:rPr>
                                      <w:t>工</w:t>
                                    </w:r>
                                  </w:p>
                                </w:txbxContent>
                              </wps:txbx>
                              <wps:bodyPr rot="0" vert="horz" wrap="square" lIns="0" tIns="0" rIns="0" bIns="0" anchor="t" anchorCtr="0" upright="1">
                                <a:noAutofit/>
                              </wps:bodyPr>
                            </wps:wsp>
                            <wps:wsp>
                              <wps:cNvPr id="13" name="__TH_B124"/>
                              <wps:cNvSpPr txBox="1">
                                <a:spLocks noChangeArrowheads="1"/>
                              </wps:cNvSpPr>
                              <wps:spPr bwMode="auto">
                                <a:xfrm>
                                  <a:off x="643" y="419"/>
                                  <a:ext cx="253" cy="263"/>
                                </a:xfrm>
                                <a:prstGeom prst="rect">
                                  <a:avLst/>
                                </a:prstGeom>
                                <a:noFill/>
                                <a:ln>
                                  <a:noFill/>
                                </a:ln>
                                <a:effectLst/>
                              </wps:spPr>
                              <wps:txbx>
                                <w:txbxContent>
                                  <w:p w14:paraId="15E562BB">
                                    <w:pPr>
                                      <w:snapToGrid w:val="0"/>
                                    </w:pPr>
                                    <w:r>
                                      <w:rPr>
                                        <w:rFonts w:hint="eastAsia"/>
                                      </w:rPr>
                                      <w:t>作</w:t>
                                    </w:r>
                                  </w:p>
                                </w:txbxContent>
                              </wps:txbx>
                              <wps:bodyPr rot="0" vert="horz" wrap="square" lIns="0" tIns="0" rIns="0" bIns="0" anchor="t" anchorCtr="0" upright="1">
                                <a:noAutofit/>
                              </wps:bodyPr>
                            </wps:wsp>
                            <wps:wsp>
                              <wps:cNvPr id="14" name="__TH_B135"/>
                              <wps:cNvSpPr txBox="1">
                                <a:spLocks noChangeArrowheads="1"/>
                              </wps:cNvSpPr>
                              <wps:spPr bwMode="auto">
                                <a:xfrm>
                                  <a:off x="831" y="717"/>
                                  <a:ext cx="253" cy="262"/>
                                </a:xfrm>
                                <a:prstGeom prst="rect">
                                  <a:avLst/>
                                </a:prstGeom>
                                <a:noFill/>
                                <a:ln>
                                  <a:noFill/>
                                </a:ln>
                                <a:effectLst/>
                              </wps:spPr>
                              <wps:txbx>
                                <w:txbxContent>
                                  <w:p w14:paraId="35375D32">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">
                      <o:lock v:ext="edit" aspectratio="f"/>
                      <v:line id="__TH_L2" o:spid="_x0000_s1026" o:spt="20" style="position:absolute;left:0;top:0;height:1860;width:1178;" filled="f" stroked="t" coordsize="21600,21600" o:gfxdata="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9fiCLgAAADb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3DA0F242">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15E562BB">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dTH3u7wAAADb&#10;AAAADwAAAGRycy9kb3ducmV2LnhtbEVP32vCMBB+F/Y/hBv4polD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x97u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35375D32">
                              <w:pPr>
                                <w:snapToGrid w:val="0"/>
                              </w:pPr>
                              <w:r>
                                <w:rPr>
                                  <w:rFonts w:hint="eastAsia"/>
                                </w:rPr>
                                <w:t>日</w:t>
                              </w:r>
                            </w:p>
                          </w:txbxContent>
                        </v:textbox>
                      </v:shape>
                    </v:group>
                  </w:pict>
                </mc:Fallback>
              </mc:AlternateContent>
            </w:r>
          </w:p>
          <w:p w14:paraId="61E1940F">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p w14:paraId="5230B352">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p w14:paraId="6619AD33">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内容</w:t>
            </w:r>
          </w:p>
        </w:tc>
        <w:tc>
          <w:tcPr>
            <w:tcW w:w="275" w:type="pct"/>
            <w:tcBorders>
              <w:top w:val="single" w:color="auto" w:sz="4" w:space="0"/>
              <w:left w:val="single" w:color="auto" w:sz="4" w:space="0"/>
              <w:bottom w:val="single" w:color="auto" w:sz="4" w:space="0"/>
              <w:right w:val="single" w:color="auto" w:sz="4" w:space="0"/>
            </w:tcBorders>
            <w:vAlign w:val="center"/>
          </w:tcPr>
          <w:p w14:paraId="54F48A53">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p>
        </w:tc>
        <w:tc>
          <w:tcPr>
            <w:tcW w:w="275" w:type="pct"/>
            <w:tcBorders>
              <w:top w:val="single" w:color="auto" w:sz="4" w:space="0"/>
              <w:left w:val="single" w:color="auto" w:sz="4" w:space="0"/>
              <w:bottom w:val="single" w:color="auto" w:sz="4" w:space="0"/>
              <w:right w:val="single" w:color="auto" w:sz="4" w:space="0"/>
            </w:tcBorders>
            <w:vAlign w:val="center"/>
          </w:tcPr>
          <w:p w14:paraId="3304A09E">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w:t>
            </w:r>
          </w:p>
        </w:tc>
        <w:tc>
          <w:tcPr>
            <w:tcW w:w="275" w:type="pct"/>
            <w:tcBorders>
              <w:top w:val="single" w:color="auto" w:sz="4" w:space="0"/>
              <w:left w:val="single" w:color="auto" w:sz="4" w:space="0"/>
              <w:bottom w:val="single" w:color="auto" w:sz="4" w:space="0"/>
              <w:right w:val="single" w:color="auto" w:sz="4" w:space="0"/>
            </w:tcBorders>
            <w:vAlign w:val="center"/>
          </w:tcPr>
          <w:p w14:paraId="5FF34089">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3</w:t>
            </w:r>
          </w:p>
        </w:tc>
        <w:tc>
          <w:tcPr>
            <w:tcW w:w="275" w:type="pct"/>
            <w:tcBorders>
              <w:top w:val="single" w:color="auto" w:sz="4" w:space="0"/>
              <w:left w:val="single" w:color="auto" w:sz="4" w:space="0"/>
              <w:bottom w:val="single" w:color="auto" w:sz="4" w:space="0"/>
              <w:right w:val="single" w:color="auto" w:sz="4" w:space="0"/>
            </w:tcBorders>
            <w:vAlign w:val="center"/>
          </w:tcPr>
          <w:p w14:paraId="6F891353">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4</w:t>
            </w:r>
          </w:p>
        </w:tc>
        <w:tc>
          <w:tcPr>
            <w:tcW w:w="275" w:type="pct"/>
            <w:tcBorders>
              <w:top w:val="single" w:color="auto" w:sz="4" w:space="0"/>
              <w:left w:val="single" w:color="auto" w:sz="4" w:space="0"/>
              <w:bottom w:val="single" w:color="auto" w:sz="4" w:space="0"/>
              <w:right w:val="single" w:color="auto" w:sz="4" w:space="0"/>
            </w:tcBorders>
            <w:vAlign w:val="center"/>
          </w:tcPr>
          <w:p w14:paraId="54975AA7">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5</w:t>
            </w:r>
          </w:p>
        </w:tc>
        <w:tc>
          <w:tcPr>
            <w:tcW w:w="275" w:type="pct"/>
            <w:tcBorders>
              <w:top w:val="single" w:color="auto" w:sz="4" w:space="0"/>
              <w:left w:val="single" w:color="auto" w:sz="4" w:space="0"/>
              <w:bottom w:val="single" w:color="auto" w:sz="4" w:space="0"/>
              <w:right w:val="single" w:color="auto" w:sz="4" w:space="0"/>
            </w:tcBorders>
            <w:vAlign w:val="center"/>
          </w:tcPr>
          <w:p w14:paraId="7C4237DA">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6</w:t>
            </w:r>
          </w:p>
        </w:tc>
        <w:tc>
          <w:tcPr>
            <w:tcW w:w="275" w:type="pct"/>
            <w:tcBorders>
              <w:top w:val="single" w:color="auto" w:sz="4" w:space="0"/>
              <w:left w:val="single" w:color="auto" w:sz="4" w:space="0"/>
              <w:bottom w:val="single" w:color="auto" w:sz="4" w:space="0"/>
              <w:right w:val="single" w:color="auto" w:sz="4" w:space="0"/>
            </w:tcBorders>
            <w:vAlign w:val="center"/>
          </w:tcPr>
          <w:p w14:paraId="220D2EEF">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7</w:t>
            </w:r>
          </w:p>
        </w:tc>
        <w:tc>
          <w:tcPr>
            <w:tcW w:w="275" w:type="pct"/>
            <w:tcBorders>
              <w:top w:val="single" w:color="auto" w:sz="4" w:space="0"/>
              <w:left w:val="single" w:color="auto" w:sz="4" w:space="0"/>
              <w:bottom w:val="single" w:color="auto" w:sz="4" w:space="0"/>
              <w:right w:val="single" w:color="auto" w:sz="4" w:space="0"/>
            </w:tcBorders>
            <w:vAlign w:val="center"/>
          </w:tcPr>
          <w:p w14:paraId="674429AA">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8</w:t>
            </w:r>
          </w:p>
        </w:tc>
        <w:tc>
          <w:tcPr>
            <w:tcW w:w="275" w:type="pct"/>
            <w:tcBorders>
              <w:top w:val="single" w:color="auto" w:sz="4" w:space="0"/>
              <w:left w:val="single" w:color="auto" w:sz="4" w:space="0"/>
              <w:bottom w:val="single" w:color="auto" w:sz="4" w:space="0"/>
              <w:right w:val="single" w:color="auto" w:sz="4" w:space="0"/>
            </w:tcBorders>
            <w:vAlign w:val="center"/>
          </w:tcPr>
          <w:p w14:paraId="04889765">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9</w:t>
            </w:r>
          </w:p>
        </w:tc>
        <w:tc>
          <w:tcPr>
            <w:tcW w:w="275" w:type="pct"/>
            <w:tcBorders>
              <w:top w:val="single" w:color="auto" w:sz="4" w:space="0"/>
              <w:left w:val="single" w:color="auto" w:sz="4" w:space="0"/>
              <w:bottom w:val="single" w:color="auto" w:sz="4" w:space="0"/>
              <w:right w:val="single" w:color="auto" w:sz="4" w:space="0"/>
            </w:tcBorders>
            <w:vAlign w:val="center"/>
          </w:tcPr>
          <w:p w14:paraId="4EAEFECE">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10</w:t>
            </w:r>
          </w:p>
        </w:tc>
        <w:tc>
          <w:tcPr>
            <w:tcW w:w="275" w:type="pct"/>
            <w:tcBorders>
              <w:top w:val="single" w:color="auto" w:sz="4" w:space="0"/>
              <w:left w:val="single" w:color="auto" w:sz="4" w:space="0"/>
              <w:bottom w:val="single" w:color="auto" w:sz="4" w:space="0"/>
              <w:right w:val="single" w:color="auto" w:sz="4" w:space="0"/>
            </w:tcBorders>
            <w:vAlign w:val="center"/>
          </w:tcPr>
          <w:p w14:paraId="28AB25D1">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11</w:t>
            </w:r>
          </w:p>
        </w:tc>
        <w:tc>
          <w:tcPr>
            <w:tcW w:w="275" w:type="pct"/>
            <w:tcBorders>
              <w:top w:val="single" w:color="auto" w:sz="4" w:space="0"/>
              <w:left w:val="single" w:color="auto" w:sz="4" w:space="0"/>
              <w:bottom w:val="single" w:color="auto" w:sz="4" w:space="0"/>
              <w:right w:val="single" w:color="auto" w:sz="4" w:space="0"/>
            </w:tcBorders>
            <w:vAlign w:val="center"/>
          </w:tcPr>
          <w:p w14:paraId="5B4EDED4">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12</w:t>
            </w:r>
          </w:p>
        </w:tc>
        <w:tc>
          <w:tcPr>
            <w:tcW w:w="275" w:type="pct"/>
            <w:tcBorders>
              <w:top w:val="single" w:color="auto" w:sz="4" w:space="0"/>
              <w:left w:val="single" w:color="auto" w:sz="4" w:space="0"/>
              <w:bottom w:val="single" w:color="auto" w:sz="4" w:space="0"/>
              <w:right w:val="single" w:color="auto" w:sz="4" w:space="0"/>
            </w:tcBorders>
            <w:vAlign w:val="center"/>
          </w:tcPr>
          <w:p w14:paraId="0322B545">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13</w:t>
            </w:r>
          </w:p>
        </w:tc>
        <w:tc>
          <w:tcPr>
            <w:tcW w:w="275" w:type="pct"/>
            <w:tcBorders>
              <w:top w:val="single" w:color="auto" w:sz="4" w:space="0"/>
              <w:left w:val="single" w:color="auto" w:sz="4" w:space="0"/>
              <w:bottom w:val="single" w:color="auto" w:sz="4" w:space="0"/>
              <w:right w:val="single" w:color="auto" w:sz="4" w:space="0"/>
            </w:tcBorders>
            <w:vAlign w:val="center"/>
          </w:tcPr>
          <w:p w14:paraId="0E5BD1ED">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14</w:t>
            </w:r>
          </w:p>
        </w:tc>
        <w:tc>
          <w:tcPr>
            <w:tcW w:w="275" w:type="pct"/>
            <w:tcBorders>
              <w:top w:val="single" w:color="auto" w:sz="4" w:space="0"/>
              <w:left w:val="single" w:color="auto" w:sz="4" w:space="0"/>
              <w:bottom w:val="single" w:color="auto" w:sz="4" w:space="0"/>
              <w:right w:val="single" w:color="auto" w:sz="4" w:space="0"/>
            </w:tcBorders>
            <w:vAlign w:val="center"/>
          </w:tcPr>
          <w:p w14:paraId="74FD2C14">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15</w:t>
            </w:r>
          </w:p>
        </w:tc>
        <w:tc>
          <w:tcPr>
            <w:tcW w:w="275" w:type="pct"/>
            <w:tcBorders>
              <w:top w:val="single" w:color="auto" w:sz="4" w:space="0"/>
              <w:left w:val="single" w:color="auto" w:sz="4" w:space="0"/>
              <w:bottom w:val="single" w:color="auto" w:sz="4" w:space="0"/>
              <w:right w:val="single" w:color="auto" w:sz="4" w:space="0"/>
            </w:tcBorders>
            <w:vAlign w:val="center"/>
          </w:tcPr>
          <w:p w14:paraId="0E503000">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p>
        </w:tc>
      </w:tr>
      <w:tr w14:paraId="2933E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pct"/>
            <w:tcBorders>
              <w:top w:val="single" w:color="auto" w:sz="4" w:space="0"/>
              <w:left w:val="single" w:color="auto" w:sz="4" w:space="0"/>
              <w:bottom w:val="single" w:color="auto" w:sz="4" w:space="0"/>
              <w:right w:val="single" w:color="auto" w:sz="4" w:space="0"/>
            </w:tcBorders>
            <w:vAlign w:val="center"/>
          </w:tcPr>
          <w:p w14:paraId="29386189">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510E4C7E">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2DBF787E">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1B0E9253">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0F38ED87">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196F09F2">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2C33AE28">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4119F603">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63C7A076">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51087DD8">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6D19A570">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05BBB9A5">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22D154C9">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61CE45F9">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70E237B2">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25F11002">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300FD963">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r>
      <w:tr w14:paraId="6A96B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pct"/>
            <w:tcBorders>
              <w:top w:val="single" w:color="auto" w:sz="4" w:space="0"/>
              <w:left w:val="single" w:color="auto" w:sz="4" w:space="0"/>
              <w:bottom w:val="single" w:color="auto" w:sz="4" w:space="0"/>
              <w:right w:val="single" w:color="auto" w:sz="4" w:space="0"/>
            </w:tcBorders>
            <w:vAlign w:val="center"/>
          </w:tcPr>
          <w:p w14:paraId="68029D7F">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4EE832B8">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3C611973">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6B7B2DEC">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5EEC4139">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1F4DE8D6">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5532923A">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5A2347ED">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34366100">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4FABA8BD">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41414534">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12B3BB21">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0A1A71CF">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44785D57">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3ADCCD8F">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1FE4FAAA">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698CB64F">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r>
      <w:tr w14:paraId="793C8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pct"/>
            <w:tcBorders>
              <w:top w:val="single" w:color="auto" w:sz="4" w:space="0"/>
              <w:left w:val="single" w:color="auto" w:sz="4" w:space="0"/>
              <w:bottom w:val="single" w:color="auto" w:sz="4" w:space="0"/>
              <w:right w:val="single" w:color="auto" w:sz="4" w:space="0"/>
            </w:tcBorders>
            <w:vAlign w:val="center"/>
          </w:tcPr>
          <w:p w14:paraId="3A537AF9">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0021D2D7">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3BE0530A">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791FC394">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0D842F92">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25D8BE64">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70CD8590">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42D3BF25">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41DA509E">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51F4EEF3">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6B831A3D">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14B5FDA2">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18FECD1B">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77DFCF47">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232B8EE4">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5733C135">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36FBCC7E">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r>
      <w:tr w14:paraId="55761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pct"/>
            <w:tcBorders>
              <w:top w:val="single" w:color="auto" w:sz="4" w:space="0"/>
              <w:left w:val="single" w:color="auto" w:sz="4" w:space="0"/>
              <w:bottom w:val="single" w:color="auto" w:sz="4" w:space="0"/>
              <w:right w:val="single" w:color="auto" w:sz="4" w:space="0"/>
            </w:tcBorders>
            <w:vAlign w:val="center"/>
          </w:tcPr>
          <w:p w14:paraId="64EA5336">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570CA87B">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0C5165B1">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72DAF910">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320FC91E">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633FD273">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2B0C3648">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250C8210">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533E5797">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5161A4EB">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39CF6003">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4A76CA58">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4E053D86">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51C7D2C0">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683D5D58">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50656D01">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1A598E75">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r>
      <w:tr w14:paraId="539CA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pct"/>
            <w:tcBorders>
              <w:top w:val="single" w:color="auto" w:sz="4" w:space="0"/>
              <w:left w:val="single" w:color="auto" w:sz="4" w:space="0"/>
              <w:bottom w:val="single" w:color="auto" w:sz="4" w:space="0"/>
              <w:right w:val="single" w:color="auto" w:sz="4" w:space="0"/>
            </w:tcBorders>
            <w:vAlign w:val="center"/>
          </w:tcPr>
          <w:p w14:paraId="304F7121">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3FB72238">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55E3A050">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5674061D">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08A7C495">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650A2C28">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29851C24">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69F6DFD3">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45006167">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1F56C052">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18AA2829">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366CDE58">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42756101">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7BA4A602">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5F391279">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3B8D3B05">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09E4FF2E">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r>
      <w:tr w14:paraId="62BF9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pct"/>
            <w:tcBorders>
              <w:top w:val="single" w:color="auto" w:sz="4" w:space="0"/>
              <w:left w:val="single" w:color="auto" w:sz="4" w:space="0"/>
              <w:bottom w:val="single" w:color="auto" w:sz="4" w:space="0"/>
              <w:right w:val="single" w:color="auto" w:sz="4" w:space="0"/>
            </w:tcBorders>
            <w:vAlign w:val="center"/>
          </w:tcPr>
          <w:p w14:paraId="34DDBC43">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12692EA3">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3FE7AC25">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2930755A">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6DDF1257">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60DFE225">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47C2F0A0">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1BB1C213">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5D27AE43">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52537839">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22555549">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7BA6E3B2">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34BB055D">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4AD56EE5">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579917FE">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48A8F39E">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0A840D60">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r>
      <w:tr w14:paraId="0D79F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pct"/>
            <w:tcBorders>
              <w:top w:val="single" w:color="auto" w:sz="4" w:space="0"/>
              <w:left w:val="single" w:color="auto" w:sz="4" w:space="0"/>
              <w:bottom w:val="single" w:color="auto" w:sz="4" w:space="0"/>
              <w:right w:val="single" w:color="auto" w:sz="4" w:space="0"/>
            </w:tcBorders>
            <w:vAlign w:val="center"/>
          </w:tcPr>
          <w:p w14:paraId="48BDD300">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11DE2FE5">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00B58ADD">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71F00906">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1D62673E">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53C7069E">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55028D62">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1DD2B6E4">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051EF3FB">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2320175D">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202D42C2">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409AF3C4">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53D432EF">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62550BAC">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72A475AE">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62760034">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1141E656">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r>
      <w:tr w14:paraId="709D2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pct"/>
            <w:tcBorders>
              <w:top w:val="single" w:color="auto" w:sz="4" w:space="0"/>
              <w:left w:val="single" w:color="auto" w:sz="4" w:space="0"/>
              <w:bottom w:val="single" w:color="auto" w:sz="4" w:space="0"/>
              <w:right w:val="single" w:color="auto" w:sz="4" w:space="0"/>
            </w:tcBorders>
            <w:vAlign w:val="center"/>
          </w:tcPr>
          <w:p w14:paraId="6FFAFD81">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20081DA6">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07C927B9">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217C99D7">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169BA106">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68A06474">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7BAF4549">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245DCD85">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41ADD34E">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59BD791A">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012E3412">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5FCA03A3">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0F931D21">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664EBD8C">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236004F5">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0AB750C2">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6D863F1D">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r>
      <w:tr w14:paraId="4EA0B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pct"/>
            <w:tcBorders>
              <w:top w:val="single" w:color="auto" w:sz="4" w:space="0"/>
              <w:left w:val="single" w:color="auto" w:sz="4" w:space="0"/>
              <w:bottom w:val="single" w:color="auto" w:sz="4" w:space="0"/>
              <w:right w:val="single" w:color="auto" w:sz="4" w:space="0"/>
            </w:tcBorders>
            <w:vAlign w:val="center"/>
          </w:tcPr>
          <w:p w14:paraId="54C818B5">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6B2E5825">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20D8C3BB">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68030AED">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1D239258">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50D89A08">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506F6F3F">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3DE25507">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0D496035">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691226BF">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0596D7B4">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30399C28">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5ED85778">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31A21BCB">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0D135C5D">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6245F25E">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64010C3E">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r>
    </w:tbl>
    <w:p w14:paraId="70FE9BE0">
      <w:pPr>
        <w:autoSpaceDE w:val="0"/>
        <w:autoSpaceDN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b/>
          <w:color w:val="auto"/>
          <w:sz w:val="24"/>
          <w:highlight w:val="none"/>
        </w:rPr>
        <w:t>注：供应商可按上述时间表的格式自行编制切合实际的具体时间表。</w:t>
      </w:r>
    </w:p>
    <w:p w14:paraId="6FE07B7D">
      <w:pPr>
        <w:spacing w:line="500" w:lineRule="exact"/>
        <w:rPr>
          <w:rFonts w:hint="eastAsia" w:ascii="仿宋_GB2312" w:hAnsi="仿宋_GB2312" w:eastAsia="仿宋_GB2312" w:cs="仿宋_GB2312"/>
          <w:color w:val="auto"/>
          <w:sz w:val="32"/>
          <w:szCs w:val="32"/>
          <w:highlight w:val="none"/>
        </w:rPr>
      </w:pPr>
    </w:p>
    <w:p w14:paraId="33BEF503">
      <w:pPr>
        <w:autoSpaceDE w:val="0"/>
        <w:autoSpaceDN w:val="0"/>
        <w:spacing w:line="360" w:lineRule="auto"/>
        <w:ind w:left="4335" w:leftChars="1950" w:hanging="240" w:hangingChars="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02E5078A">
      <w:pPr>
        <w:autoSpaceDE w:val="0"/>
        <w:autoSpaceDN w:val="0"/>
        <w:spacing w:line="360" w:lineRule="auto"/>
        <w:ind w:firstLine="6480" w:firstLineChars="2700"/>
        <w:rPr>
          <w:rFonts w:hint="eastAsia" w:ascii="仿宋_GB2312" w:hAnsi="仿宋" w:eastAsia="仿宋_GB2312" w:cs="仿宋_GB2312"/>
          <w:b/>
          <w:bCs/>
          <w:color w:val="auto"/>
          <w:sz w:val="24"/>
          <w:highlight w:val="none"/>
        </w:rPr>
      </w:pPr>
      <w:r>
        <w:rPr>
          <w:rFonts w:hint="eastAsia" w:ascii="仿宋_GB2312" w:hAnsi="仿宋" w:eastAsia="仿宋_GB2312" w:cs="仿宋_GB2312"/>
          <w:color w:val="auto"/>
          <w:kern w:val="0"/>
          <w:sz w:val="24"/>
          <w:highlight w:val="none"/>
          <w:lang w:val="zh-CN"/>
        </w:rPr>
        <w:t>日期：  年  月   日</w:t>
      </w:r>
    </w:p>
    <w:p w14:paraId="3B4B2803">
      <w:pPr>
        <w:spacing w:line="500" w:lineRule="exact"/>
        <w:rPr>
          <w:rFonts w:hint="eastAsia" w:ascii="仿宋_GB2312" w:hAnsi="仿宋_GB2312" w:eastAsia="仿宋_GB2312" w:cs="仿宋_GB2312"/>
          <w:color w:val="auto"/>
          <w:sz w:val="32"/>
          <w:szCs w:val="32"/>
          <w:highlight w:val="none"/>
        </w:rPr>
      </w:pPr>
    </w:p>
    <w:p w14:paraId="4A70FBC5">
      <w:pPr>
        <w:snapToGrid w:val="0"/>
        <w:spacing w:before="120" w:beforeLines="50" w:after="50"/>
        <w:ind w:left="143" w:leftChars="68" w:firstLine="596" w:firstLineChars="198"/>
        <w:rPr>
          <w:rFonts w:hint="eastAsia" w:ascii="仿宋" w:hAnsi="仿宋" w:eastAsia="仿宋" w:cs="仿宋_GB2312"/>
          <w:b/>
          <w:color w:val="auto"/>
          <w:sz w:val="30"/>
          <w:szCs w:val="30"/>
          <w:highlight w:val="none"/>
        </w:rPr>
      </w:pPr>
      <w:r>
        <w:rPr>
          <w:rFonts w:hint="eastAsia" w:ascii="仿宋" w:hAnsi="仿宋" w:eastAsia="仿宋" w:cs="仿宋_GB2312"/>
          <w:b/>
          <w:color w:val="auto"/>
          <w:sz w:val="30"/>
          <w:szCs w:val="30"/>
          <w:highlight w:val="none"/>
        </w:rPr>
        <w:t>九、售后服务方案</w:t>
      </w:r>
    </w:p>
    <w:p w14:paraId="34B237E4">
      <w:pPr>
        <w:snapToGrid w:val="0"/>
        <w:spacing w:before="120" w:beforeLines="50" w:after="50"/>
        <w:ind w:left="143" w:leftChars="68" w:firstLine="420" w:firstLineChars="200"/>
        <w:rPr>
          <w:rFonts w:hint="eastAsia" w:hAnsi="宋体"/>
          <w:color w:val="auto"/>
          <w:highlight w:val="none"/>
        </w:rPr>
      </w:pPr>
      <w:r>
        <w:rPr>
          <w:rFonts w:hint="eastAsia" w:hAnsi="宋体"/>
          <w:color w:val="auto"/>
          <w:highlight w:val="none"/>
        </w:rPr>
        <w:t>由竞标人按本项目竞争性磋商采购文件第二章“服务需求一览表”中商务条款部分的售后服务要求自行填写，其中要包含售后服务承诺书。</w:t>
      </w:r>
    </w:p>
    <w:p w14:paraId="725F8D62">
      <w:pPr>
        <w:snapToGrid w:val="0"/>
        <w:spacing w:before="120" w:beforeLines="50" w:after="50"/>
        <w:ind w:left="142"/>
        <w:jc w:val="center"/>
        <w:rPr>
          <w:rFonts w:hint="eastAsia" w:ascii="宋体" w:hAnsi="宋体"/>
          <w:b/>
          <w:color w:val="auto"/>
          <w:sz w:val="32"/>
          <w:szCs w:val="32"/>
          <w:highlight w:val="none"/>
        </w:rPr>
      </w:pPr>
      <w:r>
        <w:rPr>
          <w:rFonts w:hint="eastAsia" w:ascii="宋体" w:hAnsi="宋体"/>
          <w:b/>
          <w:color w:val="auto"/>
          <w:sz w:val="32"/>
          <w:szCs w:val="32"/>
          <w:highlight w:val="none"/>
        </w:rPr>
        <w:t>1、售后服务承诺</w:t>
      </w:r>
    </w:p>
    <w:p w14:paraId="1479D5CF">
      <w:pPr>
        <w:autoSpaceDE w:val="0"/>
        <w:autoSpaceDN w:val="0"/>
        <w:spacing w:line="360" w:lineRule="auto"/>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附表A:售后服务机构情况表</w:t>
      </w:r>
      <w:r>
        <w:rPr>
          <w:rFonts w:hint="eastAsia" w:ascii="仿宋_GB2312" w:hAnsi="仿宋" w:eastAsia="仿宋_GB2312" w:cs="仿宋_GB2312"/>
          <w:color w:val="auto"/>
          <w:sz w:val="24"/>
          <w:highlight w:val="none"/>
        </w:rPr>
        <w:t>（按此格式自制）</w:t>
      </w:r>
    </w:p>
    <w:tbl>
      <w:tblPr>
        <w:tblStyle w:val="2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7"/>
        <w:gridCol w:w="2486"/>
        <w:gridCol w:w="1162"/>
        <w:gridCol w:w="1322"/>
        <w:gridCol w:w="2103"/>
        <w:gridCol w:w="1339"/>
      </w:tblGrid>
      <w:tr w14:paraId="6CE57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 w:type="pct"/>
            <w:tcBorders>
              <w:top w:val="single" w:color="auto" w:sz="4" w:space="0"/>
              <w:left w:val="single" w:color="auto" w:sz="4" w:space="0"/>
              <w:bottom w:val="single" w:color="auto" w:sz="4" w:space="0"/>
              <w:right w:val="single" w:color="auto" w:sz="4" w:space="0"/>
            </w:tcBorders>
          </w:tcPr>
          <w:p w14:paraId="14D2B054">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序号</w:t>
            </w:r>
          </w:p>
        </w:tc>
        <w:tc>
          <w:tcPr>
            <w:tcW w:w="1337" w:type="pct"/>
            <w:tcBorders>
              <w:top w:val="single" w:color="auto" w:sz="4" w:space="0"/>
              <w:left w:val="single" w:color="auto" w:sz="4" w:space="0"/>
              <w:bottom w:val="single" w:color="auto" w:sz="4" w:space="0"/>
              <w:right w:val="single" w:color="auto" w:sz="4" w:space="0"/>
            </w:tcBorders>
          </w:tcPr>
          <w:p w14:paraId="79CEFCBF">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机构名称</w:t>
            </w:r>
          </w:p>
        </w:tc>
        <w:tc>
          <w:tcPr>
            <w:tcW w:w="625" w:type="pct"/>
            <w:tcBorders>
              <w:top w:val="single" w:color="auto" w:sz="4" w:space="0"/>
              <w:left w:val="single" w:color="auto" w:sz="4" w:space="0"/>
              <w:bottom w:val="single" w:color="auto" w:sz="4" w:space="0"/>
              <w:right w:val="single" w:color="auto" w:sz="4" w:space="0"/>
            </w:tcBorders>
          </w:tcPr>
          <w:p w14:paraId="0F912303">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机构性质</w:t>
            </w:r>
          </w:p>
        </w:tc>
        <w:tc>
          <w:tcPr>
            <w:tcW w:w="711" w:type="pct"/>
            <w:tcBorders>
              <w:top w:val="single" w:color="auto" w:sz="4" w:space="0"/>
              <w:left w:val="single" w:color="auto" w:sz="4" w:space="0"/>
              <w:bottom w:val="single" w:color="auto" w:sz="4" w:space="0"/>
              <w:right w:val="single" w:color="auto" w:sz="4" w:space="0"/>
            </w:tcBorders>
          </w:tcPr>
          <w:p w14:paraId="02B03F76">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注册地址</w:t>
            </w:r>
          </w:p>
        </w:tc>
        <w:tc>
          <w:tcPr>
            <w:tcW w:w="1131" w:type="pct"/>
            <w:tcBorders>
              <w:top w:val="single" w:color="auto" w:sz="4" w:space="0"/>
              <w:left w:val="single" w:color="auto" w:sz="4" w:space="0"/>
              <w:bottom w:val="single" w:color="auto" w:sz="4" w:space="0"/>
              <w:right w:val="single" w:color="auto" w:sz="4" w:space="0"/>
            </w:tcBorders>
          </w:tcPr>
          <w:p w14:paraId="73D0CCB0">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服务技术人员数量</w:t>
            </w:r>
          </w:p>
        </w:tc>
        <w:tc>
          <w:tcPr>
            <w:tcW w:w="720" w:type="pct"/>
            <w:tcBorders>
              <w:top w:val="single" w:color="auto" w:sz="4" w:space="0"/>
              <w:left w:val="single" w:color="auto" w:sz="4" w:space="0"/>
              <w:bottom w:val="single" w:color="auto" w:sz="4" w:space="0"/>
              <w:right w:val="single" w:color="auto" w:sz="4" w:space="0"/>
            </w:tcBorders>
          </w:tcPr>
          <w:p w14:paraId="7B6CF672">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联系电话</w:t>
            </w:r>
          </w:p>
        </w:tc>
      </w:tr>
      <w:tr w14:paraId="4B5CE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 w:type="pct"/>
            <w:tcBorders>
              <w:top w:val="single" w:color="auto" w:sz="4" w:space="0"/>
              <w:left w:val="single" w:color="auto" w:sz="4" w:space="0"/>
              <w:bottom w:val="single" w:color="auto" w:sz="4" w:space="0"/>
              <w:right w:val="single" w:color="auto" w:sz="4" w:space="0"/>
            </w:tcBorders>
          </w:tcPr>
          <w:p w14:paraId="61DCF0AD">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1337" w:type="pct"/>
            <w:tcBorders>
              <w:top w:val="single" w:color="auto" w:sz="4" w:space="0"/>
              <w:left w:val="single" w:color="auto" w:sz="4" w:space="0"/>
              <w:bottom w:val="single" w:color="auto" w:sz="4" w:space="0"/>
              <w:right w:val="single" w:color="auto" w:sz="4" w:space="0"/>
            </w:tcBorders>
          </w:tcPr>
          <w:p w14:paraId="7CB94321">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625" w:type="pct"/>
            <w:tcBorders>
              <w:top w:val="single" w:color="auto" w:sz="4" w:space="0"/>
              <w:left w:val="single" w:color="auto" w:sz="4" w:space="0"/>
              <w:bottom w:val="single" w:color="auto" w:sz="4" w:space="0"/>
              <w:right w:val="single" w:color="auto" w:sz="4" w:space="0"/>
            </w:tcBorders>
          </w:tcPr>
          <w:p w14:paraId="2939A574">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711" w:type="pct"/>
            <w:tcBorders>
              <w:top w:val="single" w:color="auto" w:sz="4" w:space="0"/>
              <w:left w:val="single" w:color="auto" w:sz="4" w:space="0"/>
              <w:bottom w:val="single" w:color="auto" w:sz="4" w:space="0"/>
              <w:right w:val="single" w:color="auto" w:sz="4" w:space="0"/>
            </w:tcBorders>
          </w:tcPr>
          <w:p w14:paraId="32B6811D">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1131" w:type="pct"/>
            <w:tcBorders>
              <w:top w:val="single" w:color="auto" w:sz="4" w:space="0"/>
              <w:left w:val="single" w:color="auto" w:sz="4" w:space="0"/>
              <w:bottom w:val="single" w:color="auto" w:sz="4" w:space="0"/>
              <w:right w:val="single" w:color="auto" w:sz="4" w:space="0"/>
            </w:tcBorders>
          </w:tcPr>
          <w:p w14:paraId="212D9933">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720" w:type="pct"/>
            <w:tcBorders>
              <w:top w:val="single" w:color="auto" w:sz="4" w:space="0"/>
              <w:left w:val="single" w:color="auto" w:sz="4" w:space="0"/>
              <w:bottom w:val="single" w:color="auto" w:sz="4" w:space="0"/>
              <w:right w:val="single" w:color="auto" w:sz="4" w:space="0"/>
            </w:tcBorders>
          </w:tcPr>
          <w:p w14:paraId="54130E55">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r>
      <w:tr w14:paraId="46998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 w:type="pct"/>
            <w:tcBorders>
              <w:top w:val="single" w:color="auto" w:sz="4" w:space="0"/>
              <w:left w:val="single" w:color="auto" w:sz="4" w:space="0"/>
              <w:bottom w:val="single" w:color="auto" w:sz="4" w:space="0"/>
              <w:right w:val="single" w:color="auto" w:sz="4" w:space="0"/>
            </w:tcBorders>
          </w:tcPr>
          <w:p w14:paraId="4987CDEA">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1337" w:type="pct"/>
            <w:tcBorders>
              <w:top w:val="single" w:color="auto" w:sz="4" w:space="0"/>
              <w:left w:val="single" w:color="auto" w:sz="4" w:space="0"/>
              <w:bottom w:val="single" w:color="auto" w:sz="4" w:space="0"/>
              <w:right w:val="single" w:color="auto" w:sz="4" w:space="0"/>
            </w:tcBorders>
          </w:tcPr>
          <w:p w14:paraId="35F92FB6">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625" w:type="pct"/>
            <w:tcBorders>
              <w:top w:val="single" w:color="auto" w:sz="4" w:space="0"/>
              <w:left w:val="single" w:color="auto" w:sz="4" w:space="0"/>
              <w:bottom w:val="single" w:color="auto" w:sz="4" w:space="0"/>
              <w:right w:val="single" w:color="auto" w:sz="4" w:space="0"/>
            </w:tcBorders>
          </w:tcPr>
          <w:p w14:paraId="13C0B67E">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711" w:type="pct"/>
            <w:tcBorders>
              <w:top w:val="single" w:color="auto" w:sz="4" w:space="0"/>
              <w:left w:val="single" w:color="auto" w:sz="4" w:space="0"/>
              <w:bottom w:val="single" w:color="auto" w:sz="4" w:space="0"/>
              <w:right w:val="single" w:color="auto" w:sz="4" w:space="0"/>
            </w:tcBorders>
          </w:tcPr>
          <w:p w14:paraId="686BBA1B">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1131" w:type="pct"/>
            <w:tcBorders>
              <w:top w:val="single" w:color="auto" w:sz="4" w:space="0"/>
              <w:left w:val="single" w:color="auto" w:sz="4" w:space="0"/>
              <w:bottom w:val="single" w:color="auto" w:sz="4" w:space="0"/>
              <w:right w:val="single" w:color="auto" w:sz="4" w:space="0"/>
            </w:tcBorders>
          </w:tcPr>
          <w:p w14:paraId="7FE69099">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720" w:type="pct"/>
            <w:tcBorders>
              <w:top w:val="single" w:color="auto" w:sz="4" w:space="0"/>
              <w:left w:val="single" w:color="auto" w:sz="4" w:space="0"/>
              <w:bottom w:val="single" w:color="auto" w:sz="4" w:space="0"/>
              <w:right w:val="single" w:color="auto" w:sz="4" w:space="0"/>
            </w:tcBorders>
          </w:tcPr>
          <w:p w14:paraId="5DD9B5C3">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r>
      <w:tr w14:paraId="516B5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 w:type="pct"/>
            <w:tcBorders>
              <w:top w:val="single" w:color="auto" w:sz="4" w:space="0"/>
              <w:left w:val="single" w:color="auto" w:sz="4" w:space="0"/>
              <w:bottom w:val="single" w:color="auto" w:sz="4" w:space="0"/>
              <w:right w:val="single" w:color="auto" w:sz="4" w:space="0"/>
            </w:tcBorders>
          </w:tcPr>
          <w:p w14:paraId="543AA397">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1337" w:type="pct"/>
            <w:tcBorders>
              <w:top w:val="single" w:color="auto" w:sz="4" w:space="0"/>
              <w:left w:val="single" w:color="auto" w:sz="4" w:space="0"/>
              <w:bottom w:val="single" w:color="auto" w:sz="4" w:space="0"/>
              <w:right w:val="single" w:color="auto" w:sz="4" w:space="0"/>
            </w:tcBorders>
          </w:tcPr>
          <w:p w14:paraId="040FA55B">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625" w:type="pct"/>
            <w:tcBorders>
              <w:top w:val="single" w:color="auto" w:sz="4" w:space="0"/>
              <w:left w:val="single" w:color="auto" w:sz="4" w:space="0"/>
              <w:bottom w:val="single" w:color="auto" w:sz="4" w:space="0"/>
              <w:right w:val="single" w:color="auto" w:sz="4" w:space="0"/>
            </w:tcBorders>
          </w:tcPr>
          <w:p w14:paraId="46BE9651">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711" w:type="pct"/>
            <w:tcBorders>
              <w:top w:val="single" w:color="auto" w:sz="4" w:space="0"/>
              <w:left w:val="single" w:color="auto" w:sz="4" w:space="0"/>
              <w:bottom w:val="single" w:color="auto" w:sz="4" w:space="0"/>
              <w:right w:val="single" w:color="auto" w:sz="4" w:space="0"/>
            </w:tcBorders>
          </w:tcPr>
          <w:p w14:paraId="692C7409">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1131" w:type="pct"/>
            <w:tcBorders>
              <w:top w:val="single" w:color="auto" w:sz="4" w:space="0"/>
              <w:left w:val="single" w:color="auto" w:sz="4" w:space="0"/>
              <w:bottom w:val="single" w:color="auto" w:sz="4" w:space="0"/>
              <w:right w:val="single" w:color="auto" w:sz="4" w:space="0"/>
            </w:tcBorders>
          </w:tcPr>
          <w:p w14:paraId="1A954FA3">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720" w:type="pct"/>
            <w:tcBorders>
              <w:top w:val="single" w:color="auto" w:sz="4" w:space="0"/>
              <w:left w:val="single" w:color="auto" w:sz="4" w:space="0"/>
              <w:bottom w:val="single" w:color="auto" w:sz="4" w:space="0"/>
              <w:right w:val="single" w:color="auto" w:sz="4" w:space="0"/>
            </w:tcBorders>
          </w:tcPr>
          <w:p w14:paraId="5A76BDF5">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r>
    </w:tbl>
    <w:p w14:paraId="414B1F35">
      <w:pPr>
        <w:autoSpaceDE w:val="0"/>
        <w:autoSpaceDN w:val="0"/>
        <w:spacing w:line="360" w:lineRule="auto"/>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注：关于项目涉及的所有售后服务机构均在本表注明，包括供应商本单位和符合条件的第三方服务机构；</w:t>
      </w:r>
    </w:p>
    <w:p w14:paraId="008EF26F">
      <w:pPr>
        <w:autoSpaceDE w:val="0"/>
        <w:autoSpaceDN w:val="0"/>
        <w:spacing w:line="360" w:lineRule="auto"/>
        <w:rPr>
          <w:rFonts w:hint="eastAsia" w:ascii="仿宋_GB2312" w:hAnsi="仿宋" w:eastAsia="仿宋_GB2312" w:cs="仿宋_GB2312"/>
          <w:color w:val="auto"/>
          <w:kern w:val="0"/>
          <w:sz w:val="24"/>
          <w:highlight w:val="none"/>
        </w:rPr>
      </w:pPr>
    </w:p>
    <w:p w14:paraId="4B3707FE">
      <w:pPr>
        <w:autoSpaceDE w:val="0"/>
        <w:autoSpaceDN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b/>
          <w:color w:val="auto"/>
          <w:kern w:val="0"/>
          <w:sz w:val="24"/>
          <w:highlight w:val="none"/>
        </w:rPr>
        <w:t>附表B：售后服务人员情况表</w:t>
      </w:r>
      <w:r>
        <w:rPr>
          <w:rFonts w:hint="eastAsia" w:ascii="仿宋_GB2312" w:hAnsi="仿宋" w:eastAsia="仿宋_GB2312" w:cs="仿宋_GB2312"/>
          <w:color w:val="auto"/>
          <w:sz w:val="24"/>
          <w:highlight w:val="none"/>
        </w:rPr>
        <w:t>（按此格式自制）</w:t>
      </w:r>
    </w:p>
    <w:tbl>
      <w:tblPr>
        <w:tblStyle w:val="22"/>
        <w:tblW w:w="4997" w:type="pct"/>
        <w:jc w:val="center"/>
        <w:tblLayout w:type="autofit"/>
        <w:tblCellMar>
          <w:top w:w="0" w:type="dxa"/>
          <w:left w:w="108" w:type="dxa"/>
          <w:bottom w:w="0" w:type="dxa"/>
          <w:right w:w="108" w:type="dxa"/>
        </w:tblCellMar>
      </w:tblPr>
      <w:tblGrid>
        <w:gridCol w:w="591"/>
        <w:gridCol w:w="684"/>
        <w:gridCol w:w="723"/>
        <w:gridCol w:w="456"/>
        <w:gridCol w:w="829"/>
        <w:gridCol w:w="994"/>
        <w:gridCol w:w="995"/>
        <w:gridCol w:w="995"/>
        <w:gridCol w:w="1165"/>
        <w:gridCol w:w="830"/>
        <w:gridCol w:w="1025"/>
      </w:tblGrid>
      <w:tr w14:paraId="08F6CE0D">
        <w:tblPrEx>
          <w:tblCellMar>
            <w:top w:w="0" w:type="dxa"/>
            <w:left w:w="108" w:type="dxa"/>
            <w:bottom w:w="0" w:type="dxa"/>
            <w:right w:w="108" w:type="dxa"/>
          </w:tblCellMar>
        </w:tblPrEx>
        <w:trPr>
          <w:jc w:val="center"/>
        </w:trPr>
        <w:tc>
          <w:tcPr>
            <w:tcW w:w="322" w:type="pct"/>
            <w:tcBorders>
              <w:top w:val="single" w:color="auto" w:sz="6" w:space="0"/>
              <w:left w:val="single" w:color="auto" w:sz="6" w:space="0"/>
              <w:bottom w:val="single" w:color="auto" w:sz="6" w:space="0"/>
              <w:right w:val="single" w:color="auto" w:sz="4" w:space="0"/>
            </w:tcBorders>
            <w:vAlign w:val="center"/>
          </w:tcPr>
          <w:p w14:paraId="1705CB8D">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序号</w:t>
            </w:r>
          </w:p>
          <w:p w14:paraId="1C715E42">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372" w:type="pct"/>
            <w:tcBorders>
              <w:top w:val="single" w:color="auto" w:sz="6" w:space="0"/>
              <w:left w:val="single" w:color="auto" w:sz="4" w:space="0"/>
              <w:bottom w:val="single" w:color="auto" w:sz="6" w:space="0"/>
              <w:right w:val="single" w:color="auto" w:sz="6" w:space="0"/>
            </w:tcBorders>
            <w:vAlign w:val="center"/>
          </w:tcPr>
          <w:p w14:paraId="3542D87F">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类别</w:t>
            </w:r>
          </w:p>
        </w:tc>
        <w:tc>
          <w:tcPr>
            <w:tcW w:w="393" w:type="pct"/>
            <w:tcBorders>
              <w:top w:val="single" w:color="auto" w:sz="6" w:space="0"/>
              <w:left w:val="single" w:color="auto" w:sz="6" w:space="0"/>
              <w:bottom w:val="single" w:color="auto" w:sz="6" w:space="0"/>
              <w:right w:val="single" w:color="auto" w:sz="6" w:space="0"/>
            </w:tcBorders>
            <w:vAlign w:val="center"/>
          </w:tcPr>
          <w:p w14:paraId="7FBCAA74">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姓名</w:t>
            </w:r>
          </w:p>
        </w:tc>
        <w:tc>
          <w:tcPr>
            <w:tcW w:w="205" w:type="pct"/>
            <w:tcBorders>
              <w:top w:val="single" w:color="auto" w:sz="6" w:space="0"/>
              <w:left w:val="single" w:color="auto" w:sz="6" w:space="0"/>
              <w:bottom w:val="single" w:color="auto" w:sz="6" w:space="0"/>
              <w:right w:val="single" w:color="auto" w:sz="6" w:space="0"/>
            </w:tcBorders>
            <w:vAlign w:val="center"/>
          </w:tcPr>
          <w:p w14:paraId="7932A67E">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性别</w:t>
            </w:r>
          </w:p>
        </w:tc>
        <w:tc>
          <w:tcPr>
            <w:tcW w:w="450" w:type="pct"/>
            <w:tcBorders>
              <w:top w:val="single" w:color="auto" w:sz="6" w:space="0"/>
              <w:left w:val="single" w:color="auto" w:sz="6" w:space="0"/>
              <w:bottom w:val="single" w:color="auto" w:sz="6" w:space="0"/>
              <w:right w:val="single" w:color="auto" w:sz="6" w:space="0"/>
            </w:tcBorders>
            <w:vAlign w:val="center"/>
          </w:tcPr>
          <w:p w14:paraId="5A0C3C77">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年龄</w:t>
            </w:r>
          </w:p>
        </w:tc>
        <w:tc>
          <w:tcPr>
            <w:tcW w:w="539" w:type="pct"/>
            <w:tcBorders>
              <w:top w:val="single" w:color="auto" w:sz="6" w:space="0"/>
              <w:left w:val="single" w:color="auto" w:sz="6" w:space="0"/>
              <w:bottom w:val="single" w:color="auto" w:sz="6" w:space="0"/>
              <w:right w:val="single" w:color="auto" w:sz="6" w:space="0"/>
            </w:tcBorders>
            <w:vAlign w:val="center"/>
          </w:tcPr>
          <w:p w14:paraId="3CC1C2AE">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学历</w:t>
            </w:r>
          </w:p>
        </w:tc>
        <w:tc>
          <w:tcPr>
            <w:tcW w:w="539" w:type="pct"/>
            <w:tcBorders>
              <w:top w:val="single" w:color="auto" w:sz="6" w:space="0"/>
              <w:left w:val="single" w:color="auto" w:sz="6" w:space="0"/>
              <w:bottom w:val="single" w:color="auto" w:sz="6" w:space="0"/>
              <w:right w:val="single" w:color="auto" w:sz="6" w:space="0"/>
            </w:tcBorders>
            <w:vAlign w:val="center"/>
          </w:tcPr>
          <w:p w14:paraId="41210579">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专业</w:t>
            </w:r>
          </w:p>
        </w:tc>
        <w:tc>
          <w:tcPr>
            <w:tcW w:w="539" w:type="pct"/>
            <w:tcBorders>
              <w:top w:val="single" w:color="auto" w:sz="6" w:space="0"/>
              <w:left w:val="single" w:color="auto" w:sz="6" w:space="0"/>
              <w:bottom w:val="single" w:color="auto" w:sz="6" w:space="0"/>
              <w:right w:val="single" w:color="auto" w:sz="6" w:space="0"/>
            </w:tcBorders>
            <w:vAlign w:val="center"/>
          </w:tcPr>
          <w:p w14:paraId="2FA44AA0">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职称</w:t>
            </w:r>
          </w:p>
        </w:tc>
        <w:tc>
          <w:tcPr>
            <w:tcW w:w="630" w:type="pct"/>
            <w:tcBorders>
              <w:top w:val="single" w:color="auto" w:sz="6" w:space="0"/>
              <w:left w:val="single" w:color="auto" w:sz="6" w:space="0"/>
              <w:bottom w:val="single" w:color="auto" w:sz="6" w:space="0"/>
              <w:right w:val="single" w:color="auto" w:sz="6" w:space="0"/>
            </w:tcBorders>
            <w:vAlign w:val="center"/>
          </w:tcPr>
          <w:p w14:paraId="1C656A0D">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本项目中的职责</w:t>
            </w:r>
          </w:p>
        </w:tc>
        <w:tc>
          <w:tcPr>
            <w:tcW w:w="450" w:type="pct"/>
            <w:tcBorders>
              <w:top w:val="single" w:color="auto" w:sz="6" w:space="0"/>
              <w:left w:val="single" w:color="auto" w:sz="6" w:space="0"/>
              <w:bottom w:val="single" w:color="auto" w:sz="6" w:space="0"/>
              <w:right w:val="single" w:color="auto" w:sz="6" w:space="0"/>
            </w:tcBorders>
            <w:vAlign w:val="center"/>
          </w:tcPr>
          <w:p w14:paraId="3252E6D0">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响应时间</w:t>
            </w:r>
          </w:p>
        </w:tc>
        <w:tc>
          <w:tcPr>
            <w:tcW w:w="555" w:type="pct"/>
            <w:tcBorders>
              <w:top w:val="single" w:color="auto" w:sz="6" w:space="0"/>
              <w:left w:val="single" w:color="auto" w:sz="6" w:space="0"/>
              <w:bottom w:val="single" w:color="auto" w:sz="6" w:space="0"/>
              <w:right w:val="single" w:color="auto" w:sz="6" w:space="0"/>
            </w:tcBorders>
            <w:vAlign w:val="center"/>
          </w:tcPr>
          <w:p w14:paraId="1DAD73E4">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到达现场时间</w:t>
            </w:r>
          </w:p>
        </w:tc>
      </w:tr>
      <w:tr w14:paraId="715F0076">
        <w:tblPrEx>
          <w:tblCellMar>
            <w:top w:w="0" w:type="dxa"/>
            <w:left w:w="108" w:type="dxa"/>
            <w:bottom w:w="0" w:type="dxa"/>
            <w:right w:w="108" w:type="dxa"/>
          </w:tblCellMar>
        </w:tblPrEx>
        <w:trPr>
          <w:trHeight w:val="607" w:hRule="atLeast"/>
          <w:jc w:val="center"/>
        </w:trPr>
        <w:tc>
          <w:tcPr>
            <w:tcW w:w="322" w:type="pct"/>
            <w:tcBorders>
              <w:top w:val="single" w:color="auto" w:sz="6" w:space="0"/>
              <w:left w:val="single" w:color="auto" w:sz="6" w:space="0"/>
              <w:bottom w:val="single" w:color="auto" w:sz="6" w:space="0"/>
              <w:right w:val="single" w:color="auto" w:sz="4" w:space="0"/>
            </w:tcBorders>
          </w:tcPr>
          <w:p w14:paraId="121C84B4">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372" w:type="pct"/>
            <w:tcBorders>
              <w:top w:val="single" w:color="auto" w:sz="6" w:space="0"/>
              <w:left w:val="single" w:color="auto" w:sz="4" w:space="0"/>
              <w:bottom w:val="single" w:color="auto" w:sz="6" w:space="0"/>
              <w:right w:val="single" w:color="auto" w:sz="6" w:space="0"/>
            </w:tcBorders>
          </w:tcPr>
          <w:p w14:paraId="13059781">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总协调人</w:t>
            </w:r>
          </w:p>
        </w:tc>
        <w:tc>
          <w:tcPr>
            <w:tcW w:w="393" w:type="pct"/>
            <w:tcBorders>
              <w:top w:val="single" w:color="auto" w:sz="6" w:space="0"/>
              <w:left w:val="single" w:color="auto" w:sz="6" w:space="0"/>
              <w:bottom w:val="single" w:color="auto" w:sz="6" w:space="0"/>
              <w:right w:val="single" w:color="auto" w:sz="6" w:space="0"/>
            </w:tcBorders>
          </w:tcPr>
          <w:p w14:paraId="420BCEEE">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05" w:type="pct"/>
            <w:tcBorders>
              <w:top w:val="single" w:color="auto" w:sz="6" w:space="0"/>
              <w:left w:val="single" w:color="auto" w:sz="6" w:space="0"/>
              <w:bottom w:val="single" w:color="auto" w:sz="6" w:space="0"/>
              <w:right w:val="single" w:color="auto" w:sz="6" w:space="0"/>
            </w:tcBorders>
          </w:tcPr>
          <w:p w14:paraId="5DDE3ED2">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450" w:type="pct"/>
            <w:tcBorders>
              <w:top w:val="single" w:color="auto" w:sz="6" w:space="0"/>
              <w:left w:val="single" w:color="auto" w:sz="6" w:space="0"/>
              <w:bottom w:val="single" w:color="auto" w:sz="6" w:space="0"/>
              <w:right w:val="single" w:color="auto" w:sz="6" w:space="0"/>
            </w:tcBorders>
          </w:tcPr>
          <w:p w14:paraId="3A4C161E">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39" w:type="pct"/>
            <w:tcBorders>
              <w:top w:val="single" w:color="auto" w:sz="6" w:space="0"/>
              <w:left w:val="single" w:color="auto" w:sz="6" w:space="0"/>
              <w:bottom w:val="single" w:color="auto" w:sz="6" w:space="0"/>
              <w:right w:val="single" w:color="auto" w:sz="6" w:space="0"/>
            </w:tcBorders>
          </w:tcPr>
          <w:p w14:paraId="121E38DD">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39" w:type="pct"/>
            <w:tcBorders>
              <w:top w:val="single" w:color="auto" w:sz="6" w:space="0"/>
              <w:left w:val="single" w:color="auto" w:sz="6" w:space="0"/>
              <w:bottom w:val="single" w:color="auto" w:sz="6" w:space="0"/>
              <w:right w:val="single" w:color="auto" w:sz="6" w:space="0"/>
            </w:tcBorders>
          </w:tcPr>
          <w:p w14:paraId="5E214B12">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39" w:type="pct"/>
            <w:tcBorders>
              <w:top w:val="single" w:color="auto" w:sz="6" w:space="0"/>
              <w:left w:val="single" w:color="auto" w:sz="6" w:space="0"/>
              <w:bottom w:val="single" w:color="auto" w:sz="6" w:space="0"/>
              <w:right w:val="single" w:color="auto" w:sz="6" w:space="0"/>
            </w:tcBorders>
          </w:tcPr>
          <w:p w14:paraId="78F1FD7F">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630" w:type="pct"/>
            <w:tcBorders>
              <w:top w:val="single" w:color="auto" w:sz="6" w:space="0"/>
              <w:left w:val="single" w:color="auto" w:sz="6" w:space="0"/>
              <w:bottom w:val="single" w:color="auto" w:sz="6" w:space="0"/>
              <w:right w:val="single" w:color="auto" w:sz="6" w:space="0"/>
            </w:tcBorders>
          </w:tcPr>
          <w:p w14:paraId="273E10DF">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450" w:type="pct"/>
            <w:tcBorders>
              <w:top w:val="single" w:color="auto" w:sz="6" w:space="0"/>
              <w:left w:val="single" w:color="auto" w:sz="6" w:space="0"/>
              <w:bottom w:val="single" w:color="auto" w:sz="6" w:space="0"/>
              <w:right w:val="single" w:color="auto" w:sz="6" w:space="0"/>
            </w:tcBorders>
          </w:tcPr>
          <w:p w14:paraId="6DC507D2">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55" w:type="pct"/>
            <w:tcBorders>
              <w:top w:val="single" w:color="auto" w:sz="6" w:space="0"/>
              <w:left w:val="single" w:color="auto" w:sz="6" w:space="0"/>
              <w:bottom w:val="single" w:color="auto" w:sz="6" w:space="0"/>
              <w:right w:val="single" w:color="auto" w:sz="6" w:space="0"/>
            </w:tcBorders>
          </w:tcPr>
          <w:p w14:paraId="53BE11FB">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r>
      <w:tr w14:paraId="70786976">
        <w:tblPrEx>
          <w:tblCellMar>
            <w:top w:w="0" w:type="dxa"/>
            <w:left w:w="108" w:type="dxa"/>
            <w:bottom w:w="0" w:type="dxa"/>
            <w:right w:w="108" w:type="dxa"/>
          </w:tblCellMar>
        </w:tblPrEx>
        <w:trPr>
          <w:trHeight w:val="595" w:hRule="atLeast"/>
          <w:jc w:val="center"/>
        </w:trPr>
        <w:tc>
          <w:tcPr>
            <w:tcW w:w="322" w:type="pct"/>
            <w:tcBorders>
              <w:top w:val="single" w:color="auto" w:sz="6" w:space="0"/>
              <w:left w:val="single" w:color="auto" w:sz="6" w:space="0"/>
              <w:bottom w:val="single" w:color="auto" w:sz="6" w:space="0"/>
              <w:right w:val="single" w:color="auto" w:sz="4" w:space="0"/>
            </w:tcBorders>
          </w:tcPr>
          <w:p w14:paraId="5FF05982">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372" w:type="pct"/>
            <w:tcBorders>
              <w:top w:val="single" w:color="auto" w:sz="6" w:space="0"/>
              <w:left w:val="single" w:color="auto" w:sz="4" w:space="0"/>
              <w:bottom w:val="single" w:color="auto" w:sz="6" w:space="0"/>
              <w:right w:val="single" w:color="auto" w:sz="6" w:space="0"/>
            </w:tcBorders>
          </w:tcPr>
          <w:p w14:paraId="59A3D04E">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售后人员</w:t>
            </w:r>
          </w:p>
        </w:tc>
        <w:tc>
          <w:tcPr>
            <w:tcW w:w="393" w:type="pct"/>
            <w:tcBorders>
              <w:top w:val="single" w:color="auto" w:sz="6" w:space="0"/>
              <w:left w:val="single" w:color="auto" w:sz="6" w:space="0"/>
              <w:bottom w:val="single" w:color="auto" w:sz="6" w:space="0"/>
              <w:right w:val="single" w:color="auto" w:sz="6" w:space="0"/>
            </w:tcBorders>
          </w:tcPr>
          <w:p w14:paraId="7D9A2489">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05" w:type="pct"/>
            <w:tcBorders>
              <w:top w:val="single" w:color="auto" w:sz="6" w:space="0"/>
              <w:left w:val="single" w:color="auto" w:sz="6" w:space="0"/>
              <w:bottom w:val="single" w:color="auto" w:sz="6" w:space="0"/>
              <w:right w:val="single" w:color="auto" w:sz="6" w:space="0"/>
            </w:tcBorders>
          </w:tcPr>
          <w:p w14:paraId="274CB708">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450" w:type="pct"/>
            <w:tcBorders>
              <w:top w:val="single" w:color="auto" w:sz="6" w:space="0"/>
              <w:left w:val="single" w:color="auto" w:sz="6" w:space="0"/>
              <w:bottom w:val="single" w:color="auto" w:sz="6" w:space="0"/>
              <w:right w:val="single" w:color="auto" w:sz="6" w:space="0"/>
            </w:tcBorders>
          </w:tcPr>
          <w:p w14:paraId="48BA6218">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39" w:type="pct"/>
            <w:tcBorders>
              <w:top w:val="single" w:color="auto" w:sz="6" w:space="0"/>
              <w:left w:val="single" w:color="auto" w:sz="6" w:space="0"/>
              <w:bottom w:val="single" w:color="auto" w:sz="6" w:space="0"/>
              <w:right w:val="single" w:color="auto" w:sz="6" w:space="0"/>
            </w:tcBorders>
          </w:tcPr>
          <w:p w14:paraId="56686149">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39" w:type="pct"/>
            <w:tcBorders>
              <w:top w:val="single" w:color="auto" w:sz="6" w:space="0"/>
              <w:left w:val="single" w:color="auto" w:sz="6" w:space="0"/>
              <w:bottom w:val="single" w:color="auto" w:sz="6" w:space="0"/>
              <w:right w:val="single" w:color="auto" w:sz="6" w:space="0"/>
            </w:tcBorders>
          </w:tcPr>
          <w:p w14:paraId="4C3F7B0A">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39" w:type="pct"/>
            <w:tcBorders>
              <w:top w:val="single" w:color="auto" w:sz="6" w:space="0"/>
              <w:left w:val="single" w:color="auto" w:sz="6" w:space="0"/>
              <w:bottom w:val="single" w:color="auto" w:sz="6" w:space="0"/>
              <w:right w:val="single" w:color="auto" w:sz="6" w:space="0"/>
            </w:tcBorders>
          </w:tcPr>
          <w:p w14:paraId="52B5190F">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630" w:type="pct"/>
            <w:tcBorders>
              <w:top w:val="single" w:color="auto" w:sz="6" w:space="0"/>
              <w:left w:val="single" w:color="auto" w:sz="6" w:space="0"/>
              <w:bottom w:val="single" w:color="auto" w:sz="6" w:space="0"/>
              <w:right w:val="single" w:color="auto" w:sz="6" w:space="0"/>
            </w:tcBorders>
          </w:tcPr>
          <w:p w14:paraId="58A56572">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450" w:type="pct"/>
            <w:tcBorders>
              <w:top w:val="single" w:color="auto" w:sz="6" w:space="0"/>
              <w:left w:val="single" w:color="auto" w:sz="6" w:space="0"/>
              <w:bottom w:val="single" w:color="auto" w:sz="6" w:space="0"/>
              <w:right w:val="single" w:color="auto" w:sz="6" w:space="0"/>
            </w:tcBorders>
          </w:tcPr>
          <w:p w14:paraId="7BCA6599">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55" w:type="pct"/>
            <w:tcBorders>
              <w:top w:val="single" w:color="auto" w:sz="6" w:space="0"/>
              <w:left w:val="single" w:color="auto" w:sz="6" w:space="0"/>
              <w:bottom w:val="single" w:color="auto" w:sz="6" w:space="0"/>
              <w:right w:val="single" w:color="auto" w:sz="6" w:space="0"/>
            </w:tcBorders>
          </w:tcPr>
          <w:p w14:paraId="212C30F2">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r>
      <w:tr w14:paraId="10FF0C8F">
        <w:tblPrEx>
          <w:tblCellMar>
            <w:top w:w="0" w:type="dxa"/>
            <w:left w:w="108" w:type="dxa"/>
            <w:bottom w:w="0" w:type="dxa"/>
            <w:right w:w="108" w:type="dxa"/>
          </w:tblCellMar>
        </w:tblPrEx>
        <w:trPr>
          <w:trHeight w:val="595" w:hRule="atLeast"/>
          <w:jc w:val="center"/>
        </w:trPr>
        <w:tc>
          <w:tcPr>
            <w:tcW w:w="322" w:type="pct"/>
            <w:tcBorders>
              <w:top w:val="single" w:color="auto" w:sz="6" w:space="0"/>
              <w:left w:val="single" w:color="auto" w:sz="6" w:space="0"/>
              <w:bottom w:val="single" w:color="auto" w:sz="6" w:space="0"/>
              <w:right w:val="single" w:color="auto" w:sz="4" w:space="0"/>
            </w:tcBorders>
          </w:tcPr>
          <w:p w14:paraId="289C5FB2">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372" w:type="pct"/>
            <w:tcBorders>
              <w:top w:val="single" w:color="auto" w:sz="6" w:space="0"/>
              <w:left w:val="single" w:color="auto" w:sz="4" w:space="0"/>
              <w:bottom w:val="single" w:color="auto" w:sz="6" w:space="0"/>
              <w:right w:val="single" w:color="auto" w:sz="6" w:space="0"/>
            </w:tcBorders>
          </w:tcPr>
          <w:p w14:paraId="33985D4C">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393" w:type="pct"/>
            <w:tcBorders>
              <w:top w:val="single" w:color="auto" w:sz="6" w:space="0"/>
              <w:left w:val="single" w:color="auto" w:sz="6" w:space="0"/>
              <w:bottom w:val="single" w:color="auto" w:sz="6" w:space="0"/>
              <w:right w:val="single" w:color="auto" w:sz="6" w:space="0"/>
            </w:tcBorders>
          </w:tcPr>
          <w:p w14:paraId="244B02A7">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05" w:type="pct"/>
            <w:tcBorders>
              <w:top w:val="single" w:color="auto" w:sz="6" w:space="0"/>
              <w:left w:val="single" w:color="auto" w:sz="6" w:space="0"/>
              <w:bottom w:val="single" w:color="auto" w:sz="6" w:space="0"/>
              <w:right w:val="single" w:color="auto" w:sz="6" w:space="0"/>
            </w:tcBorders>
          </w:tcPr>
          <w:p w14:paraId="7373456C">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450" w:type="pct"/>
            <w:tcBorders>
              <w:top w:val="single" w:color="auto" w:sz="6" w:space="0"/>
              <w:left w:val="single" w:color="auto" w:sz="6" w:space="0"/>
              <w:bottom w:val="single" w:color="auto" w:sz="6" w:space="0"/>
              <w:right w:val="single" w:color="auto" w:sz="6" w:space="0"/>
            </w:tcBorders>
          </w:tcPr>
          <w:p w14:paraId="0320520D">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39" w:type="pct"/>
            <w:tcBorders>
              <w:top w:val="single" w:color="auto" w:sz="6" w:space="0"/>
              <w:left w:val="single" w:color="auto" w:sz="6" w:space="0"/>
              <w:bottom w:val="single" w:color="auto" w:sz="6" w:space="0"/>
              <w:right w:val="single" w:color="auto" w:sz="6" w:space="0"/>
            </w:tcBorders>
          </w:tcPr>
          <w:p w14:paraId="056AD31A">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39" w:type="pct"/>
            <w:tcBorders>
              <w:top w:val="single" w:color="auto" w:sz="6" w:space="0"/>
              <w:left w:val="single" w:color="auto" w:sz="6" w:space="0"/>
              <w:bottom w:val="single" w:color="auto" w:sz="6" w:space="0"/>
              <w:right w:val="single" w:color="auto" w:sz="6" w:space="0"/>
            </w:tcBorders>
          </w:tcPr>
          <w:p w14:paraId="66BBCB75">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39" w:type="pct"/>
            <w:tcBorders>
              <w:top w:val="single" w:color="auto" w:sz="6" w:space="0"/>
              <w:left w:val="single" w:color="auto" w:sz="6" w:space="0"/>
              <w:bottom w:val="single" w:color="auto" w:sz="6" w:space="0"/>
              <w:right w:val="single" w:color="auto" w:sz="6" w:space="0"/>
            </w:tcBorders>
          </w:tcPr>
          <w:p w14:paraId="3494319F">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630" w:type="pct"/>
            <w:tcBorders>
              <w:top w:val="single" w:color="auto" w:sz="6" w:space="0"/>
              <w:left w:val="single" w:color="auto" w:sz="6" w:space="0"/>
              <w:bottom w:val="single" w:color="auto" w:sz="6" w:space="0"/>
              <w:right w:val="single" w:color="auto" w:sz="6" w:space="0"/>
            </w:tcBorders>
          </w:tcPr>
          <w:p w14:paraId="06762972">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450" w:type="pct"/>
            <w:tcBorders>
              <w:top w:val="single" w:color="auto" w:sz="6" w:space="0"/>
              <w:left w:val="single" w:color="auto" w:sz="6" w:space="0"/>
              <w:bottom w:val="single" w:color="auto" w:sz="6" w:space="0"/>
              <w:right w:val="single" w:color="auto" w:sz="6" w:space="0"/>
            </w:tcBorders>
          </w:tcPr>
          <w:p w14:paraId="0B903CE3">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55" w:type="pct"/>
            <w:tcBorders>
              <w:top w:val="single" w:color="auto" w:sz="6" w:space="0"/>
              <w:left w:val="single" w:color="auto" w:sz="6" w:space="0"/>
              <w:bottom w:val="single" w:color="auto" w:sz="6" w:space="0"/>
              <w:right w:val="single" w:color="auto" w:sz="6" w:space="0"/>
            </w:tcBorders>
          </w:tcPr>
          <w:p w14:paraId="6762A446">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r>
      <w:tr w14:paraId="45D9996B">
        <w:tblPrEx>
          <w:tblCellMar>
            <w:top w:w="0" w:type="dxa"/>
            <w:left w:w="108" w:type="dxa"/>
            <w:bottom w:w="0" w:type="dxa"/>
            <w:right w:w="108" w:type="dxa"/>
          </w:tblCellMar>
        </w:tblPrEx>
        <w:trPr>
          <w:trHeight w:val="595" w:hRule="atLeast"/>
          <w:jc w:val="center"/>
        </w:trPr>
        <w:tc>
          <w:tcPr>
            <w:tcW w:w="322" w:type="pct"/>
            <w:tcBorders>
              <w:top w:val="single" w:color="auto" w:sz="6" w:space="0"/>
              <w:left w:val="single" w:color="auto" w:sz="6" w:space="0"/>
              <w:bottom w:val="single" w:color="auto" w:sz="6" w:space="0"/>
              <w:right w:val="single" w:color="auto" w:sz="4" w:space="0"/>
            </w:tcBorders>
          </w:tcPr>
          <w:p w14:paraId="1906344B">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372" w:type="pct"/>
            <w:tcBorders>
              <w:top w:val="single" w:color="auto" w:sz="6" w:space="0"/>
              <w:left w:val="single" w:color="auto" w:sz="4" w:space="0"/>
              <w:bottom w:val="single" w:color="auto" w:sz="6" w:space="0"/>
              <w:right w:val="single" w:color="auto" w:sz="6" w:space="0"/>
            </w:tcBorders>
          </w:tcPr>
          <w:p w14:paraId="7BCD46D3">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393" w:type="pct"/>
            <w:tcBorders>
              <w:top w:val="single" w:color="auto" w:sz="6" w:space="0"/>
              <w:left w:val="single" w:color="auto" w:sz="6" w:space="0"/>
              <w:bottom w:val="single" w:color="auto" w:sz="6" w:space="0"/>
              <w:right w:val="single" w:color="auto" w:sz="6" w:space="0"/>
            </w:tcBorders>
          </w:tcPr>
          <w:p w14:paraId="2297CF4F">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05" w:type="pct"/>
            <w:tcBorders>
              <w:top w:val="single" w:color="auto" w:sz="6" w:space="0"/>
              <w:left w:val="single" w:color="auto" w:sz="6" w:space="0"/>
              <w:bottom w:val="single" w:color="auto" w:sz="6" w:space="0"/>
              <w:right w:val="single" w:color="auto" w:sz="6" w:space="0"/>
            </w:tcBorders>
          </w:tcPr>
          <w:p w14:paraId="29E5B976">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450" w:type="pct"/>
            <w:tcBorders>
              <w:top w:val="single" w:color="auto" w:sz="6" w:space="0"/>
              <w:left w:val="single" w:color="auto" w:sz="6" w:space="0"/>
              <w:bottom w:val="single" w:color="auto" w:sz="6" w:space="0"/>
              <w:right w:val="single" w:color="auto" w:sz="6" w:space="0"/>
            </w:tcBorders>
          </w:tcPr>
          <w:p w14:paraId="7A95463C">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39" w:type="pct"/>
            <w:tcBorders>
              <w:top w:val="single" w:color="auto" w:sz="6" w:space="0"/>
              <w:left w:val="single" w:color="auto" w:sz="6" w:space="0"/>
              <w:bottom w:val="single" w:color="auto" w:sz="6" w:space="0"/>
              <w:right w:val="single" w:color="auto" w:sz="6" w:space="0"/>
            </w:tcBorders>
          </w:tcPr>
          <w:p w14:paraId="19D4E96F">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39" w:type="pct"/>
            <w:tcBorders>
              <w:top w:val="single" w:color="auto" w:sz="6" w:space="0"/>
              <w:left w:val="single" w:color="auto" w:sz="6" w:space="0"/>
              <w:bottom w:val="single" w:color="auto" w:sz="6" w:space="0"/>
              <w:right w:val="single" w:color="auto" w:sz="6" w:space="0"/>
            </w:tcBorders>
          </w:tcPr>
          <w:p w14:paraId="5E803EE3">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39" w:type="pct"/>
            <w:tcBorders>
              <w:top w:val="single" w:color="auto" w:sz="6" w:space="0"/>
              <w:left w:val="single" w:color="auto" w:sz="6" w:space="0"/>
              <w:bottom w:val="single" w:color="auto" w:sz="6" w:space="0"/>
              <w:right w:val="single" w:color="auto" w:sz="6" w:space="0"/>
            </w:tcBorders>
          </w:tcPr>
          <w:p w14:paraId="41681FD9">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630" w:type="pct"/>
            <w:tcBorders>
              <w:top w:val="single" w:color="auto" w:sz="6" w:space="0"/>
              <w:left w:val="single" w:color="auto" w:sz="6" w:space="0"/>
              <w:bottom w:val="single" w:color="auto" w:sz="6" w:space="0"/>
              <w:right w:val="single" w:color="auto" w:sz="6" w:space="0"/>
            </w:tcBorders>
          </w:tcPr>
          <w:p w14:paraId="43F6DF3F">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450" w:type="pct"/>
            <w:tcBorders>
              <w:top w:val="single" w:color="auto" w:sz="6" w:space="0"/>
              <w:left w:val="single" w:color="auto" w:sz="6" w:space="0"/>
              <w:bottom w:val="single" w:color="auto" w:sz="6" w:space="0"/>
              <w:right w:val="single" w:color="auto" w:sz="6" w:space="0"/>
            </w:tcBorders>
          </w:tcPr>
          <w:p w14:paraId="190FAA05">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55" w:type="pct"/>
            <w:tcBorders>
              <w:top w:val="single" w:color="auto" w:sz="6" w:space="0"/>
              <w:left w:val="single" w:color="auto" w:sz="6" w:space="0"/>
              <w:bottom w:val="single" w:color="auto" w:sz="6" w:space="0"/>
              <w:right w:val="single" w:color="auto" w:sz="6" w:space="0"/>
            </w:tcBorders>
          </w:tcPr>
          <w:p w14:paraId="48792049">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r>
    </w:tbl>
    <w:p w14:paraId="50BD43F0">
      <w:pPr>
        <w:pStyle w:val="11"/>
        <w:spacing w:line="440" w:lineRule="exact"/>
        <w:ind w:firstLine="415" w:firstLineChars="198"/>
        <w:rPr>
          <w:rFonts w:hint="eastAsia" w:hAnsi="宋体"/>
          <w:color w:val="auto"/>
          <w:highlight w:val="none"/>
        </w:rPr>
      </w:pPr>
    </w:p>
    <w:p w14:paraId="7140946D">
      <w:pPr>
        <w:spacing w:line="500" w:lineRule="exact"/>
        <w:rPr>
          <w:rFonts w:hint="eastAsia" w:ascii="仿宋_GB2312" w:hAnsi="仿宋_GB2312" w:eastAsia="仿宋_GB2312" w:cs="仿宋_GB2312"/>
          <w:color w:val="auto"/>
          <w:sz w:val="32"/>
          <w:szCs w:val="32"/>
          <w:highlight w:val="none"/>
        </w:rPr>
      </w:pPr>
    </w:p>
    <w:p w14:paraId="0FDF2B9A">
      <w:pPr>
        <w:autoSpaceDE w:val="0"/>
        <w:autoSpaceDN w:val="0"/>
        <w:spacing w:line="360" w:lineRule="auto"/>
        <w:ind w:left="4335" w:leftChars="1950" w:hanging="240" w:hangingChars="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70CFC537">
      <w:pPr>
        <w:snapToGrid w:val="0"/>
        <w:spacing w:line="360" w:lineRule="auto"/>
        <w:ind w:firstLine="6120" w:firstLineChars="25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  年  月   日</w:t>
      </w:r>
    </w:p>
    <w:p w14:paraId="28E0EFF1">
      <w:pPr>
        <w:snapToGrid w:val="0"/>
        <w:spacing w:line="360" w:lineRule="auto"/>
        <w:ind w:firstLine="602" w:firstLineChars="200"/>
        <w:rPr>
          <w:rFonts w:hint="eastAsia" w:ascii="仿宋" w:hAnsi="仿宋" w:eastAsia="仿宋" w:cs="仿宋_GB2312"/>
          <w:b/>
          <w:color w:val="auto"/>
          <w:sz w:val="30"/>
          <w:szCs w:val="30"/>
          <w:highlight w:val="none"/>
        </w:rPr>
      </w:pPr>
    </w:p>
    <w:p w14:paraId="2ECE787C">
      <w:pPr>
        <w:snapToGrid w:val="0"/>
        <w:spacing w:line="360" w:lineRule="auto"/>
        <w:ind w:firstLine="602" w:firstLineChars="200"/>
        <w:rPr>
          <w:rFonts w:hint="eastAsia" w:ascii="仿宋" w:hAnsi="仿宋" w:eastAsia="仿宋" w:cs="仿宋_GB2312"/>
          <w:b/>
          <w:color w:val="auto"/>
          <w:sz w:val="30"/>
          <w:szCs w:val="30"/>
          <w:highlight w:val="none"/>
        </w:rPr>
      </w:pPr>
    </w:p>
    <w:p w14:paraId="2254E8B3">
      <w:pPr>
        <w:snapToGrid w:val="0"/>
        <w:spacing w:line="360" w:lineRule="auto"/>
        <w:ind w:firstLine="602" w:firstLineChars="200"/>
        <w:rPr>
          <w:rFonts w:hint="eastAsia" w:ascii="仿宋" w:hAnsi="仿宋" w:eastAsia="仿宋" w:cs="仿宋_GB2312"/>
          <w:b/>
          <w:color w:val="auto"/>
          <w:sz w:val="30"/>
          <w:szCs w:val="30"/>
          <w:highlight w:val="none"/>
        </w:rPr>
      </w:pPr>
    </w:p>
    <w:p w14:paraId="445107AF">
      <w:pPr>
        <w:snapToGrid w:val="0"/>
        <w:spacing w:line="360" w:lineRule="auto"/>
        <w:ind w:firstLine="602" w:firstLineChars="200"/>
        <w:rPr>
          <w:rFonts w:hint="eastAsia" w:ascii="仿宋" w:hAnsi="仿宋" w:eastAsia="仿宋" w:cs="仿宋_GB2312"/>
          <w:b/>
          <w:color w:val="auto"/>
          <w:sz w:val="30"/>
          <w:szCs w:val="30"/>
          <w:highlight w:val="none"/>
        </w:rPr>
      </w:pPr>
    </w:p>
    <w:p w14:paraId="3294220E">
      <w:pPr>
        <w:snapToGrid w:val="0"/>
        <w:spacing w:line="360" w:lineRule="auto"/>
        <w:rPr>
          <w:rFonts w:hint="eastAsia" w:ascii="仿宋" w:hAnsi="仿宋" w:eastAsia="仿宋" w:cs="仿宋_GB2312"/>
          <w:b/>
          <w:color w:val="auto"/>
          <w:sz w:val="30"/>
          <w:szCs w:val="30"/>
          <w:highlight w:val="none"/>
        </w:rPr>
      </w:pPr>
    </w:p>
    <w:p w14:paraId="288A31D5">
      <w:pPr>
        <w:snapToGrid w:val="0"/>
        <w:spacing w:line="360" w:lineRule="auto"/>
        <w:ind w:firstLine="602" w:firstLineChars="200"/>
        <w:rPr>
          <w:rFonts w:hint="eastAsia" w:ascii="仿宋" w:hAnsi="仿宋" w:eastAsia="仿宋" w:cs="仿宋_GB2312"/>
          <w:b/>
          <w:color w:val="auto"/>
          <w:sz w:val="30"/>
          <w:szCs w:val="30"/>
          <w:highlight w:val="none"/>
        </w:rPr>
      </w:pPr>
      <w:r>
        <w:rPr>
          <w:rFonts w:hint="eastAsia" w:ascii="仿宋" w:hAnsi="仿宋" w:eastAsia="仿宋" w:cs="仿宋_GB2312"/>
          <w:b/>
          <w:color w:val="auto"/>
          <w:sz w:val="30"/>
          <w:szCs w:val="30"/>
          <w:highlight w:val="none"/>
        </w:rPr>
        <w:t>十、项目实施人员一览表</w:t>
      </w:r>
    </w:p>
    <w:p w14:paraId="3E040ABE">
      <w:pPr>
        <w:spacing w:line="360" w:lineRule="auto"/>
        <w:jc w:val="center"/>
        <w:rPr>
          <w:rFonts w:hint="eastAsia" w:ascii="仿宋_GB2312" w:hAnsi="仿宋" w:eastAsia="仿宋_GB2312" w:cs="仿宋_GB2312"/>
          <w:b/>
          <w:bCs/>
          <w:color w:val="auto"/>
          <w:sz w:val="24"/>
          <w:highlight w:val="none"/>
        </w:rPr>
      </w:pPr>
      <w:r>
        <w:rPr>
          <w:rFonts w:hint="eastAsia" w:ascii="仿宋_GB2312" w:hAnsi="仿宋" w:eastAsia="仿宋_GB2312" w:cs="仿宋_GB2312"/>
          <w:color w:val="auto"/>
          <w:sz w:val="24"/>
          <w:highlight w:val="none"/>
        </w:rPr>
        <w:t>（由供应商根据采购需求及采购文件要求编制）</w:t>
      </w:r>
    </w:p>
    <w:p w14:paraId="3EB1393B">
      <w:pPr>
        <w:pStyle w:val="11"/>
        <w:rPr>
          <w:color w:val="auto"/>
          <w:sz w:val="24"/>
          <w:highlight w:val="none"/>
        </w:rPr>
      </w:pPr>
      <w:r>
        <w:rPr>
          <w:rFonts w:hint="eastAsia"/>
          <w:color w:val="auto"/>
          <w:sz w:val="24"/>
          <w:highlight w:val="none"/>
        </w:rPr>
        <w:t>响应标项：</w:t>
      </w:r>
      <w:r>
        <w:rPr>
          <w:rFonts w:hint="eastAsia"/>
          <w:color w:val="auto"/>
          <w:sz w:val="24"/>
          <w:highlight w:val="none"/>
          <w:u w:val="single"/>
        </w:rPr>
        <w:t xml:space="preserve">     </w:t>
      </w:r>
      <w:r>
        <w:rPr>
          <w:rFonts w:hint="eastAsia"/>
          <w:color w:val="auto"/>
          <w:sz w:val="24"/>
          <w:highlight w:val="none"/>
        </w:rPr>
        <w:t>标项</w:t>
      </w:r>
    </w:p>
    <w:p w14:paraId="24998089">
      <w:pPr>
        <w:keepNext/>
        <w:autoSpaceDE w:val="0"/>
        <w:autoSpaceDN w:val="0"/>
        <w:spacing w:line="360" w:lineRule="auto"/>
        <w:ind w:firstLine="477"/>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附表A:本项目的项目负责人情况表</w:t>
      </w:r>
    </w:p>
    <w:tbl>
      <w:tblPr>
        <w:tblStyle w:val="22"/>
        <w:tblW w:w="4999" w:type="pct"/>
        <w:tblInd w:w="0" w:type="dxa"/>
        <w:tblLayout w:type="autofit"/>
        <w:tblCellMar>
          <w:top w:w="0" w:type="dxa"/>
          <w:left w:w="108" w:type="dxa"/>
          <w:bottom w:w="0" w:type="dxa"/>
          <w:right w:w="108" w:type="dxa"/>
        </w:tblCellMar>
      </w:tblPr>
      <w:tblGrid>
        <w:gridCol w:w="2187"/>
        <w:gridCol w:w="1365"/>
        <w:gridCol w:w="1337"/>
        <w:gridCol w:w="4402"/>
      </w:tblGrid>
      <w:tr w14:paraId="49DBAA2C">
        <w:tblPrEx>
          <w:tblCellMar>
            <w:top w:w="0" w:type="dxa"/>
            <w:left w:w="108" w:type="dxa"/>
            <w:bottom w:w="0" w:type="dxa"/>
            <w:right w:w="108" w:type="dxa"/>
          </w:tblCellMar>
        </w:tblPrEx>
        <w:trPr>
          <w:trHeight w:val="604" w:hRule="atLeast"/>
        </w:trPr>
        <w:tc>
          <w:tcPr>
            <w:tcW w:w="1177" w:type="pct"/>
            <w:tcBorders>
              <w:top w:val="single" w:color="auto" w:sz="6" w:space="0"/>
              <w:left w:val="single" w:color="auto" w:sz="6" w:space="0"/>
              <w:bottom w:val="single" w:color="auto" w:sz="6" w:space="0"/>
              <w:right w:val="single" w:color="auto" w:sz="6" w:space="0"/>
            </w:tcBorders>
            <w:shd w:val="clear" w:color="auto" w:fill="auto"/>
            <w:vAlign w:val="center"/>
          </w:tcPr>
          <w:p w14:paraId="3FD42834">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姓名</w:t>
            </w:r>
          </w:p>
        </w:tc>
        <w:tc>
          <w:tcPr>
            <w:tcW w:w="734" w:type="pct"/>
            <w:tcBorders>
              <w:top w:val="single" w:color="auto" w:sz="6" w:space="0"/>
              <w:left w:val="single" w:color="auto" w:sz="6" w:space="0"/>
              <w:bottom w:val="single" w:color="auto" w:sz="6" w:space="0"/>
              <w:right w:val="single" w:color="auto" w:sz="4" w:space="0"/>
            </w:tcBorders>
            <w:shd w:val="clear" w:color="auto" w:fill="B3B3B3"/>
            <w:vAlign w:val="center"/>
          </w:tcPr>
          <w:p w14:paraId="17E2C46D">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719" w:type="pct"/>
            <w:tcBorders>
              <w:top w:val="single" w:color="auto" w:sz="6" w:space="0"/>
              <w:left w:val="single" w:color="auto" w:sz="4" w:space="0"/>
              <w:bottom w:val="single" w:color="auto" w:sz="6" w:space="0"/>
              <w:right w:val="single" w:color="auto" w:sz="6" w:space="0"/>
            </w:tcBorders>
            <w:vAlign w:val="center"/>
          </w:tcPr>
          <w:p w14:paraId="6900E717">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页码</w:t>
            </w:r>
          </w:p>
        </w:tc>
        <w:tc>
          <w:tcPr>
            <w:tcW w:w="2368" w:type="pct"/>
            <w:tcBorders>
              <w:top w:val="single" w:color="auto" w:sz="6" w:space="0"/>
              <w:left w:val="single" w:color="auto" w:sz="6" w:space="0"/>
              <w:bottom w:val="single" w:color="auto" w:sz="6" w:space="0"/>
              <w:right w:val="single" w:color="auto" w:sz="6" w:space="0"/>
            </w:tcBorders>
            <w:vAlign w:val="center"/>
          </w:tcPr>
          <w:p w14:paraId="508016D9">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响应截止时间前三年业绩及承担的主要工作情况，曾担任项目负责人的项目应列明细</w:t>
            </w:r>
          </w:p>
        </w:tc>
      </w:tr>
      <w:tr w14:paraId="5D7CD35F">
        <w:tblPrEx>
          <w:tblCellMar>
            <w:top w:w="0" w:type="dxa"/>
            <w:left w:w="108" w:type="dxa"/>
            <w:bottom w:w="0" w:type="dxa"/>
            <w:right w:w="108" w:type="dxa"/>
          </w:tblCellMar>
        </w:tblPrEx>
        <w:trPr>
          <w:cantSplit/>
          <w:trHeight w:val="345" w:hRule="atLeast"/>
        </w:trPr>
        <w:tc>
          <w:tcPr>
            <w:tcW w:w="1177" w:type="pct"/>
            <w:tcBorders>
              <w:top w:val="single" w:color="auto" w:sz="6" w:space="0"/>
              <w:left w:val="single" w:color="auto" w:sz="6" w:space="0"/>
              <w:bottom w:val="single" w:color="auto" w:sz="6" w:space="0"/>
              <w:right w:val="single" w:color="auto" w:sz="6" w:space="0"/>
            </w:tcBorders>
            <w:shd w:val="clear" w:color="auto" w:fill="auto"/>
            <w:vAlign w:val="center"/>
          </w:tcPr>
          <w:p w14:paraId="34EB2FF2">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性别</w:t>
            </w:r>
          </w:p>
        </w:tc>
        <w:tc>
          <w:tcPr>
            <w:tcW w:w="734" w:type="pct"/>
            <w:tcBorders>
              <w:top w:val="single" w:color="auto" w:sz="6" w:space="0"/>
              <w:left w:val="single" w:color="auto" w:sz="6" w:space="0"/>
              <w:bottom w:val="single" w:color="auto" w:sz="6" w:space="0"/>
              <w:right w:val="single" w:color="auto" w:sz="4" w:space="0"/>
            </w:tcBorders>
            <w:shd w:val="clear" w:color="auto" w:fill="auto"/>
            <w:vAlign w:val="center"/>
          </w:tcPr>
          <w:p w14:paraId="5174C362">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719" w:type="pct"/>
            <w:tcBorders>
              <w:top w:val="single" w:color="auto" w:sz="6" w:space="0"/>
              <w:left w:val="single" w:color="auto" w:sz="4" w:space="0"/>
              <w:bottom w:val="single" w:color="auto" w:sz="6" w:space="0"/>
              <w:right w:val="single" w:color="auto" w:sz="6" w:space="0"/>
            </w:tcBorders>
            <w:shd w:val="clear" w:color="auto" w:fill="B3B3B3"/>
            <w:vAlign w:val="center"/>
          </w:tcPr>
          <w:p w14:paraId="7D010E36">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2368" w:type="pct"/>
            <w:vMerge w:val="restart"/>
            <w:tcBorders>
              <w:top w:val="single" w:color="auto" w:sz="6" w:space="0"/>
              <w:left w:val="single" w:color="auto" w:sz="6" w:space="0"/>
              <w:bottom w:val="single" w:color="auto" w:sz="6" w:space="0"/>
              <w:right w:val="single" w:color="auto" w:sz="6" w:space="0"/>
            </w:tcBorders>
            <w:vAlign w:val="center"/>
          </w:tcPr>
          <w:p w14:paraId="69BC951A">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r>
      <w:tr w14:paraId="54E9C251">
        <w:trPr>
          <w:cantSplit/>
          <w:trHeight w:val="337" w:hRule="atLeast"/>
        </w:trPr>
        <w:tc>
          <w:tcPr>
            <w:tcW w:w="1177" w:type="pct"/>
            <w:tcBorders>
              <w:top w:val="single" w:color="auto" w:sz="6" w:space="0"/>
              <w:left w:val="single" w:color="auto" w:sz="6" w:space="0"/>
              <w:bottom w:val="single" w:color="auto" w:sz="6" w:space="0"/>
              <w:right w:val="single" w:color="auto" w:sz="6" w:space="0"/>
            </w:tcBorders>
            <w:shd w:val="clear" w:color="auto" w:fill="auto"/>
            <w:vAlign w:val="center"/>
          </w:tcPr>
          <w:p w14:paraId="08E6F947">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年龄</w:t>
            </w:r>
          </w:p>
        </w:tc>
        <w:tc>
          <w:tcPr>
            <w:tcW w:w="734" w:type="pct"/>
            <w:tcBorders>
              <w:top w:val="single" w:color="auto" w:sz="6" w:space="0"/>
              <w:left w:val="single" w:color="auto" w:sz="6" w:space="0"/>
              <w:bottom w:val="single" w:color="auto" w:sz="6" w:space="0"/>
              <w:right w:val="single" w:color="auto" w:sz="4" w:space="0"/>
            </w:tcBorders>
            <w:shd w:val="clear" w:color="auto" w:fill="auto"/>
            <w:vAlign w:val="center"/>
          </w:tcPr>
          <w:p w14:paraId="0D9C26DD">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719" w:type="pct"/>
            <w:tcBorders>
              <w:top w:val="single" w:color="auto" w:sz="6" w:space="0"/>
              <w:left w:val="single" w:color="auto" w:sz="4" w:space="0"/>
              <w:bottom w:val="single" w:color="auto" w:sz="6" w:space="0"/>
              <w:right w:val="single" w:color="auto" w:sz="6" w:space="0"/>
            </w:tcBorders>
            <w:shd w:val="clear" w:color="auto" w:fill="B3B3B3"/>
            <w:vAlign w:val="center"/>
          </w:tcPr>
          <w:p w14:paraId="1DA0E1C3">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2368" w:type="pct"/>
            <w:vMerge w:val="continue"/>
            <w:tcBorders>
              <w:top w:val="single" w:color="auto" w:sz="6" w:space="0"/>
              <w:left w:val="single" w:color="auto" w:sz="6" w:space="0"/>
              <w:bottom w:val="single" w:color="auto" w:sz="6" w:space="0"/>
              <w:right w:val="single" w:color="auto" w:sz="6" w:space="0"/>
            </w:tcBorders>
            <w:vAlign w:val="center"/>
          </w:tcPr>
          <w:p w14:paraId="404644F8">
            <w:pPr>
              <w:keepNext w:val="0"/>
              <w:keepLines w:val="0"/>
              <w:widowControl/>
              <w:suppressLineNumbers w:val="0"/>
              <w:spacing w:before="0" w:beforeAutospacing="0" w:after="0" w:afterAutospacing="0"/>
              <w:ind w:left="0" w:right="0"/>
              <w:jc w:val="left"/>
              <w:rPr>
                <w:rFonts w:hint="eastAsia" w:ascii="仿宋_GB2312" w:hAnsi="仿宋" w:eastAsia="仿宋_GB2312" w:cs="仿宋_GB2312"/>
                <w:color w:val="auto"/>
                <w:sz w:val="24"/>
                <w:highlight w:val="none"/>
              </w:rPr>
            </w:pPr>
          </w:p>
        </w:tc>
      </w:tr>
      <w:tr w14:paraId="05918680">
        <w:tblPrEx>
          <w:tblCellMar>
            <w:top w:w="0" w:type="dxa"/>
            <w:left w:w="108" w:type="dxa"/>
            <w:bottom w:w="0" w:type="dxa"/>
            <w:right w:w="108" w:type="dxa"/>
          </w:tblCellMar>
        </w:tblPrEx>
        <w:trPr>
          <w:cantSplit/>
          <w:trHeight w:val="345" w:hRule="atLeast"/>
        </w:trPr>
        <w:tc>
          <w:tcPr>
            <w:tcW w:w="1177" w:type="pct"/>
            <w:tcBorders>
              <w:top w:val="single" w:color="auto" w:sz="6" w:space="0"/>
              <w:left w:val="single" w:color="auto" w:sz="6" w:space="0"/>
              <w:bottom w:val="single" w:color="auto" w:sz="6" w:space="0"/>
              <w:right w:val="single" w:color="auto" w:sz="6" w:space="0"/>
            </w:tcBorders>
            <w:vAlign w:val="center"/>
          </w:tcPr>
          <w:p w14:paraId="57E32FBA">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职称</w:t>
            </w:r>
          </w:p>
        </w:tc>
        <w:tc>
          <w:tcPr>
            <w:tcW w:w="734" w:type="pct"/>
            <w:tcBorders>
              <w:top w:val="single" w:color="auto" w:sz="6" w:space="0"/>
              <w:left w:val="single" w:color="auto" w:sz="6" w:space="0"/>
              <w:bottom w:val="single" w:color="auto" w:sz="6" w:space="0"/>
              <w:right w:val="single" w:color="auto" w:sz="4" w:space="0"/>
            </w:tcBorders>
            <w:vAlign w:val="center"/>
          </w:tcPr>
          <w:p w14:paraId="399D58E0">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719" w:type="pct"/>
            <w:tcBorders>
              <w:top w:val="single" w:color="auto" w:sz="6" w:space="0"/>
              <w:left w:val="single" w:color="auto" w:sz="4" w:space="0"/>
              <w:bottom w:val="single" w:color="auto" w:sz="6" w:space="0"/>
              <w:right w:val="single" w:color="auto" w:sz="6" w:space="0"/>
            </w:tcBorders>
            <w:vAlign w:val="center"/>
          </w:tcPr>
          <w:p w14:paraId="0831A30E">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2368" w:type="pct"/>
            <w:vMerge w:val="continue"/>
            <w:tcBorders>
              <w:top w:val="single" w:color="auto" w:sz="6" w:space="0"/>
              <w:left w:val="single" w:color="auto" w:sz="6" w:space="0"/>
              <w:bottom w:val="single" w:color="auto" w:sz="6" w:space="0"/>
              <w:right w:val="single" w:color="auto" w:sz="6" w:space="0"/>
            </w:tcBorders>
            <w:vAlign w:val="center"/>
          </w:tcPr>
          <w:p w14:paraId="5526BF63">
            <w:pPr>
              <w:keepNext w:val="0"/>
              <w:keepLines w:val="0"/>
              <w:widowControl/>
              <w:suppressLineNumbers w:val="0"/>
              <w:spacing w:before="0" w:beforeAutospacing="0" w:after="0" w:afterAutospacing="0"/>
              <w:ind w:left="0" w:right="0"/>
              <w:jc w:val="left"/>
              <w:rPr>
                <w:rFonts w:hint="eastAsia" w:ascii="仿宋_GB2312" w:hAnsi="仿宋" w:eastAsia="仿宋_GB2312" w:cs="仿宋_GB2312"/>
                <w:color w:val="auto"/>
                <w:sz w:val="24"/>
                <w:highlight w:val="none"/>
              </w:rPr>
            </w:pPr>
          </w:p>
        </w:tc>
      </w:tr>
      <w:tr w14:paraId="707F24F7">
        <w:tblPrEx>
          <w:tblCellMar>
            <w:top w:w="0" w:type="dxa"/>
            <w:left w:w="108" w:type="dxa"/>
            <w:bottom w:w="0" w:type="dxa"/>
            <w:right w:w="108" w:type="dxa"/>
          </w:tblCellMar>
        </w:tblPrEx>
        <w:trPr>
          <w:cantSplit/>
          <w:trHeight w:val="345" w:hRule="atLeast"/>
        </w:trPr>
        <w:tc>
          <w:tcPr>
            <w:tcW w:w="1177" w:type="pct"/>
            <w:tcBorders>
              <w:top w:val="single" w:color="auto" w:sz="6" w:space="0"/>
              <w:left w:val="single" w:color="auto" w:sz="6" w:space="0"/>
              <w:bottom w:val="single" w:color="auto" w:sz="6" w:space="0"/>
              <w:right w:val="single" w:color="auto" w:sz="6" w:space="0"/>
            </w:tcBorders>
            <w:vAlign w:val="center"/>
          </w:tcPr>
          <w:p w14:paraId="60869ED8">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毕业时间</w:t>
            </w:r>
          </w:p>
        </w:tc>
        <w:tc>
          <w:tcPr>
            <w:tcW w:w="734" w:type="pct"/>
            <w:tcBorders>
              <w:top w:val="single" w:color="auto" w:sz="6" w:space="0"/>
              <w:left w:val="single" w:color="auto" w:sz="6" w:space="0"/>
              <w:bottom w:val="single" w:color="auto" w:sz="6" w:space="0"/>
              <w:right w:val="single" w:color="auto" w:sz="4" w:space="0"/>
            </w:tcBorders>
            <w:vAlign w:val="center"/>
          </w:tcPr>
          <w:p w14:paraId="07509616">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719" w:type="pct"/>
            <w:tcBorders>
              <w:top w:val="single" w:color="auto" w:sz="6" w:space="0"/>
              <w:left w:val="single" w:color="auto" w:sz="4" w:space="0"/>
              <w:bottom w:val="single" w:color="auto" w:sz="6" w:space="0"/>
              <w:right w:val="single" w:color="auto" w:sz="6" w:space="0"/>
            </w:tcBorders>
            <w:vAlign w:val="center"/>
          </w:tcPr>
          <w:p w14:paraId="31581BBD">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2368" w:type="pct"/>
            <w:vMerge w:val="continue"/>
            <w:tcBorders>
              <w:top w:val="single" w:color="auto" w:sz="6" w:space="0"/>
              <w:left w:val="single" w:color="auto" w:sz="6" w:space="0"/>
              <w:bottom w:val="single" w:color="auto" w:sz="6" w:space="0"/>
              <w:right w:val="single" w:color="auto" w:sz="6" w:space="0"/>
            </w:tcBorders>
            <w:vAlign w:val="center"/>
          </w:tcPr>
          <w:p w14:paraId="2BECD12F">
            <w:pPr>
              <w:keepNext w:val="0"/>
              <w:keepLines w:val="0"/>
              <w:widowControl/>
              <w:suppressLineNumbers w:val="0"/>
              <w:spacing w:before="0" w:beforeAutospacing="0" w:after="0" w:afterAutospacing="0"/>
              <w:ind w:left="0" w:right="0"/>
              <w:jc w:val="left"/>
              <w:rPr>
                <w:rFonts w:hint="eastAsia" w:ascii="仿宋_GB2312" w:hAnsi="仿宋" w:eastAsia="仿宋_GB2312" w:cs="仿宋_GB2312"/>
                <w:color w:val="auto"/>
                <w:sz w:val="24"/>
                <w:highlight w:val="none"/>
              </w:rPr>
            </w:pPr>
          </w:p>
        </w:tc>
      </w:tr>
      <w:tr w14:paraId="37C130AA">
        <w:tblPrEx>
          <w:tblCellMar>
            <w:top w:w="0" w:type="dxa"/>
            <w:left w:w="108" w:type="dxa"/>
            <w:bottom w:w="0" w:type="dxa"/>
            <w:right w:w="108" w:type="dxa"/>
          </w:tblCellMar>
        </w:tblPrEx>
        <w:trPr>
          <w:cantSplit/>
          <w:trHeight w:val="422" w:hRule="atLeast"/>
        </w:trPr>
        <w:tc>
          <w:tcPr>
            <w:tcW w:w="1177" w:type="pct"/>
            <w:tcBorders>
              <w:top w:val="single" w:color="auto" w:sz="6" w:space="0"/>
              <w:left w:val="single" w:color="auto" w:sz="6" w:space="0"/>
              <w:bottom w:val="single" w:color="auto" w:sz="6" w:space="0"/>
              <w:right w:val="single" w:color="auto" w:sz="6" w:space="0"/>
            </w:tcBorders>
            <w:vAlign w:val="center"/>
          </w:tcPr>
          <w:p w14:paraId="064304C2">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所学专业</w:t>
            </w:r>
          </w:p>
        </w:tc>
        <w:tc>
          <w:tcPr>
            <w:tcW w:w="734" w:type="pct"/>
            <w:tcBorders>
              <w:top w:val="single" w:color="auto" w:sz="6" w:space="0"/>
              <w:left w:val="single" w:color="auto" w:sz="6" w:space="0"/>
              <w:bottom w:val="single" w:color="auto" w:sz="6" w:space="0"/>
              <w:right w:val="single" w:color="auto" w:sz="4" w:space="0"/>
            </w:tcBorders>
            <w:vAlign w:val="center"/>
          </w:tcPr>
          <w:p w14:paraId="2FF09AE5">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719" w:type="pct"/>
            <w:tcBorders>
              <w:top w:val="single" w:color="auto" w:sz="6" w:space="0"/>
              <w:left w:val="single" w:color="auto" w:sz="4" w:space="0"/>
              <w:bottom w:val="single" w:color="auto" w:sz="6" w:space="0"/>
              <w:right w:val="single" w:color="auto" w:sz="6" w:space="0"/>
            </w:tcBorders>
            <w:vAlign w:val="center"/>
          </w:tcPr>
          <w:p w14:paraId="4B9B7F49">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2368" w:type="pct"/>
            <w:vMerge w:val="continue"/>
            <w:tcBorders>
              <w:top w:val="single" w:color="auto" w:sz="6" w:space="0"/>
              <w:left w:val="single" w:color="auto" w:sz="6" w:space="0"/>
              <w:bottom w:val="single" w:color="auto" w:sz="6" w:space="0"/>
              <w:right w:val="single" w:color="auto" w:sz="6" w:space="0"/>
            </w:tcBorders>
            <w:vAlign w:val="center"/>
          </w:tcPr>
          <w:p w14:paraId="77C96E52">
            <w:pPr>
              <w:keepNext w:val="0"/>
              <w:keepLines w:val="0"/>
              <w:widowControl/>
              <w:suppressLineNumbers w:val="0"/>
              <w:spacing w:before="0" w:beforeAutospacing="0" w:after="0" w:afterAutospacing="0"/>
              <w:ind w:left="0" w:right="0"/>
              <w:jc w:val="left"/>
              <w:rPr>
                <w:rFonts w:hint="eastAsia" w:ascii="仿宋_GB2312" w:hAnsi="仿宋" w:eastAsia="仿宋_GB2312" w:cs="仿宋_GB2312"/>
                <w:color w:val="auto"/>
                <w:sz w:val="24"/>
                <w:highlight w:val="none"/>
              </w:rPr>
            </w:pPr>
          </w:p>
        </w:tc>
      </w:tr>
      <w:tr w14:paraId="5B0BBA79">
        <w:tblPrEx>
          <w:tblCellMar>
            <w:top w:w="0" w:type="dxa"/>
            <w:left w:w="108" w:type="dxa"/>
            <w:bottom w:w="0" w:type="dxa"/>
            <w:right w:w="108" w:type="dxa"/>
          </w:tblCellMar>
        </w:tblPrEx>
        <w:trPr>
          <w:cantSplit/>
          <w:trHeight w:val="416" w:hRule="atLeast"/>
        </w:trPr>
        <w:tc>
          <w:tcPr>
            <w:tcW w:w="1177" w:type="pct"/>
            <w:tcBorders>
              <w:top w:val="single" w:color="auto" w:sz="6" w:space="0"/>
              <w:left w:val="single" w:color="auto" w:sz="6" w:space="0"/>
              <w:bottom w:val="single" w:color="auto" w:sz="6" w:space="0"/>
              <w:right w:val="single" w:color="auto" w:sz="6" w:space="0"/>
            </w:tcBorders>
            <w:vAlign w:val="center"/>
          </w:tcPr>
          <w:p w14:paraId="7ED34BA7">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学历</w:t>
            </w:r>
          </w:p>
        </w:tc>
        <w:tc>
          <w:tcPr>
            <w:tcW w:w="734" w:type="pct"/>
            <w:tcBorders>
              <w:top w:val="single" w:color="auto" w:sz="6" w:space="0"/>
              <w:left w:val="single" w:color="auto" w:sz="6" w:space="0"/>
              <w:bottom w:val="single" w:color="auto" w:sz="6" w:space="0"/>
              <w:right w:val="single" w:color="auto" w:sz="4" w:space="0"/>
            </w:tcBorders>
            <w:vAlign w:val="center"/>
          </w:tcPr>
          <w:p w14:paraId="52281504">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719" w:type="pct"/>
            <w:tcBorders>
              <w:top w:val="single" w:color="auto" w:sz="6" w:space="0"/>
              <w:left w:val="single" w:color="auto" w:sz="4" w:space="0"/>
              <w:bottom w:val="single" w:color="auto" w:sz="6" w:space="0"/>
              <w:right w:val="single" w:color="auto" w:sz="6" w:space="0"/>
            </w:tcBorders>
            <w:vAlign w:val="center"/>
          </w:tcPr>
          <w:p w14:paraId="20F534A5">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2368" w:type="pct"/>
            <w:vMerge w:val="continue"/>
            <w:tcBorders>
              <w:top w:val="single" w:color="auto" w:sz="6" w:space="0"/>
              <w:left w:val="single" w:color="auto" w:sz="6" w:space="0"/>
              <w:bottom w:val="single" w:color="auto" w:sz="6" w:space="0"/>
              <w:right w:val="single" w:color="auto" w:sz="6" w:space="0"/>
            </w:tcBorders>
            <w:vAlign w:val="center"/>
          </w:tcPr>
          <w:p w14:paraId="2D7E3039">
            <w:pPr>
              <w:keepNext w:val="0"/>
              <w:keepLines w:val="0"/>
              <w:widowControl/>
              <w:suppressLineNumbers w:val="0"/>
              <w:spacing w:before="0" w:beforeAutospacing="0" w:after="0" w:afterAutospacing="0"/>
              <w:ind w:left="0" w:right="0"/>
              <w:jc w:val="left"/>
              <w:rPr>
                <w:rFonts w:hint="eastAsia" w:ascii="仿宋_GB2312" w:hAnsi="仿宋" w:eastAsia="仿宋_GB2312" w:cs="仿宋_GB2312"/>
                <w:color w:val="auto"/>
                <w:sz w:val="24"/>
                <w:highlight w:val="none"/>
              </w:rPr>
            </w:pPr>
          </w:p>
        </w:tc>
      </w:tr>
      <w:tr w14:paraId="7572F9FF">
        <w:tblPrEx>
          <w:tblCellMar>
            <w:top w:w="0" w:type="dxa"/>
            <w:left w:w="108" w:type="dxa"/>
            <w:bottom w:w="0" w:type="dxa"/>
            <w:right w:w="108" w:type="dxa"/>
          </w:tblCellMar>
        </w:tblPrEx>
        <w:trPr>
          <w:cantSplit/>
          <w:trHeight w:val="356" w:hRule="atLeast"/>
        </w:trPr>
        <w:tc>
          <w:tcPr>
            <w:tcW w:w="1177" w:type="pct"/>
            <w:tcBorders>
              <w:top w:val="single" w:color="auto" w:sz="6" w:space="0"/>
              <w:left w:val="single" w:color="auto" w:sz="6" w:space="0"/>
              <w:bottom w:val="single" w:color="auto" w:sz="6" w:space="0"/>
              <w:right w:val="single" w:color="auto" w:sz="6" w:space="0"/>
            </w:tcBorders>
            <w:vAlign w:val="center"/>
          </w:tcPr>
          <w:p w14:paraId="73F79C4F">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资质证书编号</w:t>
            </w:r>
          </w:p>
        </w:tc>
        <w:tc>
          <w:tcPr>
            <w:tcW w:w="734" w:type="pct"/>
            <w:tcBorders>
              <w:top w:val="single" w:color="auto" w:sz="6" w:space="0"/>
              <w:left w:val="single" w:color="auto" w:sz="6" w:space="0"/>
              <w:bottom w:val="single" w:color="auto" w:sz="6" w:space="0"/>
              <w:right w:val="single" w:color="auto" w:sz="4" w:space="0"/>
            </w:tcBorders>
            <w:vAlign w:val="center"/>
          </w:tcPr>
          <w:p w14:paraId="53274218">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719" w:type="pct"/>
            <w:tcBorders>
              <w:top w:val="single" w:color="auto" w:sz="6" w:space="0"/>
              <w:left w:val="single" w:color="auto" w:sz="4" w:space="0"/>
              <w:bottom w:val="single" w:color="auto" w:sz="6" w:space="0"/>
              <w:right w:val="single" w:color="auto" w:sz="6" w:space="0"/>
            </w:tcBorders>
            <w:vAlign w:val="center"/>
          </w:tcPr>
          <w:p w14:paraId="63663110">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2368" w:type="pct"/>
            <w:vMerge w:val="continue"/>
            <w:tcBorders>
              <w:top w:val="single" w:color="auto" w:sz="6" w:space="0"/>
              <w:left w:val="single" w:color="auto" w:sz="6" w:space="0"/>
              <w:bottom w:val="single" w:color="auto" w:sz="6" w:space="0"/>
              <w:right w:val="single" w:color="auto" w:sz="6" w:space="0"/>
            </w:tcBorders>
            <w:vAlign w:val="center"/>
          </w:tcPr>
          <w:p w14:paraId="6804D123">
            <w:pPr>
              <w:keepNext w:val="0"/>
              <w:keepLines w:val="0"/>
              <w:widowControl/>
              <w:suppressLineNumbers w:val="0"/>
              <w:spacing w:before="0" w:beforeAutospacing="0" w:after="0" w:afterAutospacing="0"/>
              <w:ind w:left="0" w:right="0"/>
              <w:jc w:val="left"/>
              <w:rPr>
                <w:rFonts w:hint="eastAsia" w:ascii="仿宋_GB2312" w:hAnsi="仿宋" w:eastAsia="仿宋_GB2312" w:cs="仿宋_GB2312"/>
                <w:color w:val="auto"/>
                <w:sz w:val="24"/>
                <w:highlight w:val="none"/>
              </w:rPr>
            </w:pPr>
          </w:p>
        </w:tc>
      </w:tr>
      <w:tr w14:paraId="3D407C74">
        <w:tblPrEx>
          <w:tblCellMar>
            <w:top w:w="0" w:type="dxa"/>
            <w:left w:w="108" w:type="dxa"/>
            <w:bottom w:w="0" w:type="dxa"/>
            <w:right w:w="108" w:type="dxa"/>
          </w:tblCellMar>
        </w:tblPrEx>
        <w:trPr>
          <w:cantSplit/>
          <w:trHeight w:val="177" w:hRule="atLeast"/>
        </w:trPr>
        <w:tc>
          <w:tcPr>
            <w:tcW w:w="1177" w:type="pct"/>
            <w:tcBorders>
              <w:top w:val="single" w:color="auto" w:sz="6" w:space="0"/>
              <w:left w:val="single" w:color="auto" w:sz="6" w:space="0"/>
              <w:bottom w:val="single" w:color="auto" w:sz="6" w:space="0"/>
              <w:right w:val="single" w:color="auto" w:sz="6" w:space="0"/>
            </w:tcBorders>
            <w:vAlign w:val="center"/>
          </w:tcPr>
          <w:p w14:paraId="593D288D">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其他资质情况</w:t>
            </w:r>
          </w:p>
        </w:tc>
        <w:tc>
          <w:tcPr>
            <w:tcW w:w="734" w:type="pct"/>
            <w:tcBorders>
              <w:top w:val="single" w:color="auto" w:sz="6" w:space="0"/>
              <w:left w:val="single" w:color="auto" w:sz="6" w:space="0"/>
              <w:bottom w:val="single" w:color="auto" w:sz="6" w:space="0"/>
              <w:right w:val="single" w:color="auto" w:sz="4" w:space="0"/>
            </w:tcBorders>
            <w:vAlign w:val="center"/>
          </w:tcPr>
          <w:p w14:paraId="5F6AE235">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719" w:type="pct"/>
            <w:tcBorders>
              <w:top w:val="single" w:color="auto" w:sz="6" w:space="0"/>
              <w:left w:val="single" w:color="auto" w:sz="4" w:space="0"/>
              <w:bottom w:val="single" w:color="auto" w:sz="6" w:space="0"/>
              <w:right w:val="single" w:color="auto" w:sz="6" w:space="0"/>
            </w:tcBorders>
            <w:vAlign w:val="center"/>
          </w:tcPr>
          <w:p w14:paraId="1ACF895B">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2368" w:type="pct"/>
            <w:vMerge w:val="continue"/>
            <w:tcBorders>
              <w:top w:val="single" w:color="auto" w:sz="6" w:space="0"/>
              <w:left w:val="single" w:color="auto" w:sz="6" w:space="0"/>
              <w:bottom w:val="single" w:color="auto" w:sz="6" w:space="0"/>
              <w:right w:val="single" w:color="auto" w:sz="6" w:space="0"/>
            </w:tcBorders>
            <w:vAlign w:val="center"/>
          </w:tcPr>
          <w:p w14:paraId="31F7A6DF">
            <w:pPr>
              <w:keepNext w:val="0"/>
              <w:keepLines w:val="0"/>
              <w:widowControl/>
              <w:suppressLineNumbers w:val="0"/>
              <w:spacing w:before="0" w:beforeAutospacing="0" w:after="0" w:afterAutospacing="0"/>
              <w:ind w:left="0" w:right="0"/>
              <w:jc w:val="left"/>
              <w:rPr>
                <w:rFonts w:hint="eastAsia" w:ascii="仿宋_GB2312" w:hAnsi="仿宋" w:eastAsia="仿宋_GB2312" w:cs="仿宋_GB2312"/>
                <w:color w:val="auto"/>
                <w:sz w:val="24"/>
                <w:highlight w:val="none"/>
              </w:rPr>
            </w:pPr>
          </w:p>
        </w:tc>
      </w:tr>
      <w:tr w14:paraId="4CBD4F40">
        <w:trPr>
          <w:cantSplit/>
          <w:trHeight w:val="169" w:hRule="atLeast"/>
        </w:trPr>
        <w:tc>
          <w:tcPr>
            <w:tcW w:w="1177" w:type="pct"/>
            <w:tcBorders>
              <w:top w:val="single" w:color="auto" w:sz="6" w:space="0"/>
              <w:left w:val="single" w:color="auto" w:sz="6" w:space="0"/>
              <w:bottom w:val="single" w:color="auto" w:sz="6" w:space="0"/>
              <w:right w:val="single" w:color="auto" w:sz="6" w:space="0"/>
            </w:tcBorders>
            <w:shd w:val="clear" w:color="auto" w:fill="auto"/>
            <w:vAlign w:val="center"/>
          </w:tcPr>
          <w:p w14:paraId="2C4D869C">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联系电话</w:t>
            </w:r>
          </w:p>
        </w:tc>
        <w:tc>
          <w:tcPr>
            <w:tcW w:w="734" w:type="pct"/>
            <w:tcBorders>
              <w:top w:val="single" w:color="auto" w:sz="6" w:space="0"/>
              <w:left w:val="single" w:color="auto" w:sz="6" w:space="0"/>
              <w:bottom w:val="single" w:color="auto" w:sz="6" w:space="0"/>
              <w:right w:val="single" w:color="auto" w:sz="4" w:space="0"/>
            </w:tcBorders>
            <w:shd w:val="clear" w:color="auto" w:fill="auto"/>
            <w:vAlign w:val="center"/>
          </w:tcPr>
          <w:p w14:paraId="24B221A0">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719" w:type="pct"/>
            <w:tcBorders>
              <w:top w:val="single" w:color="auto" w:sz="6" w:space="0"/>
              <w:left w:val="single" w:color="auto" w:sz="4" w:space="0"/>
              <w:bottom w:val="single" w:color="auto" w:sz="6" w:space="0"/>
              <w:right w:val="single" w:color="auto" w:sz="6" w:space="0"/>
            </w:tcBorders>
            <w:shd w:val="clear" w:color="auto" w:fill="B3B3B3"/>
            <w:vAlign w:val="center"/>
          </w:tcPr>
          <w:p w14:paraId="7605E972">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2368" w:type="pct"/>
            <w:vMerge w:val="continue"/>
            <w:tcBorders>
              <w:top w:val="single" w:color="auto" w:sz="6" w:space="0"/>
              <w:left w:val="single" w:color="auto" w:sz="6" w:space="0"/>
              <w:bottom w:val="single" w:color="auto" w:sz="6" w:space="0"/>
              <w:right w:val="single" w:color="auto" w:sz="6" w:space="0"/>
            </w:tcBorders>
            <w:vAlign w:val="center"/>
          </w:tcPr>
          <w:p w14:paraId="78638004">
            <w:pPr>
              <w:keepNext w:val="0"/>
              <w:keepLines w:val="0"/>
              <w:widowControl/>
              <w:suppressLineNumbers w:val="0"/>
              <w:spacing w:before="0" w:beforeAutospacing="0" w:after="0" w:afterAutospacing="0"/>
              <w:ind w:left="0" w:right="0"/>
              <w:jc w:val="left"/>
              <w:rPr>
                <w:rFonts w:hint="eastAsia" w:ascii="仿宋_GB2312" w:hAnsi="仿宋" w:eastAsia="仿宋_GB2312" w:cs="仿宋_GB2312"/>
                <w:color w:val="auto"/>
                <w:sz w:val="24"/>
                <w:highlight w:val="none"/>
              </w:rPr>
            </w:pPr>
          </w:p>
        </w:tc>
      </w:tr>
    </w:tbl>
    <w:p w14:paraId="11DEC446">
      <w:pPr>
        <w:autoSpaceDE w:val="0"/>
        <w:autoSpaceDN w:val="0"/>
        <w:spacing w:line="360" w:lineRule="auto"/>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注：须随表提交相应的证书复印件并注明所在响应技术文件页码。</w:t>
      </w:r>
    </w:p>
    <w:p w14:paraId="7AA8559A">
      <w:pPr>
        <w:autoSpaceDE w:val="0"/>
        <w:autoSpaceDN w:val="0"/>
        <w:spacing w:line="360" w:lineRule="auto"/>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附表B:本项目的项目小组人员情况表</w:t>
      </w:r>
      <w:r>
        <w:rPr>
          <w:rFonts w:hint="eastAsia" w:ascii="仿宋_GB2312" w:hAnsi="仿宋" w:eastAsia="仿宋_GB2312" w:cs="仿宋_GB2312"/>
          <w:color w:val="auto"/>
          <w:sz w:val="24"/>
          <w:highlight w:val="none"/>
        </w:rPr>
        <w:t>（按此格式自制）</w:t>
      </w:r>
    </w:p>
    <w:tbl>
      <w:tblPr>
        <w:tblStyle w:val="22"/>
        <w:tblW w:w="4997" w:type="pct"/>
        <w:tblInd w:w="0" w:type="dxa"/>
        <w:tblLayout w:type="autofit"/>
        <w:tblCellMar>
          <w:top w:w="0" w:type="dxa"/>
          <w:left w:w="108" w:type="dxa"/>
          <w:bottom w:w="0" w:type="dxa"/>
          <w:right w:w="108" w:type="dxa"/>
        </w:tblCellMar>
      </w:tblPr>
      <w:tblGrid>
        <w:gridCol w:w="456"/>
        <w:gridCol w:w="801"/>
        <w:gridCol w:w="456"/>
        <w:gridCol w:w="596"/>
        <w:gridCol w:w="1059"/>
        <w:gridCol w:w="1103"/>
        <w:gridCol w:w="1103"/>
        <w:gridCol w:w="1289"/>
        <w:gridCol w:w="919"/>
        <w:gridCol w:w="1505"/>
      </w:tblGrid>
      <w:tr w14:paraId="2F2B0F33">
        <w:tc>
          <w:tcPr>
            <w:tcW w:w="232" w:type="pct"/>
            <w:tcBorders>
              <w:top w:val="single" w:color="auto" w:sz="6" w:space="0"/>
              <w:left w:val="single" w:color="auto" w:sz="6" w:space="0"/>
              <w:bottom w:val="single" w:color="auto" w:sz="6" w:space="0"/>
              <w:right w:val="single" w:color="auto" w:sz="6" w:space="0"/>
            </w:tcBorders>
            <w:vAlign w:val="center"/>
          </w:tcPr>
          <w:p w14:paraId="66633FFC">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序号</w:t>
            </w:r>
          </w:p>
        </w:tc>
        <w:tc>
          <w:tcPr>
            <w:tcW w:w="435" w:type="pct"/>
            <w:tcBorders>
              <w:top w:val="single" w:color="auto" w:sz="6" w:space="0"/>
              <w:left w:val="single" w:color="auto" w:sz="6" w:space="0"/>
              <w:bottom w:val="single" w:color="auto" w:sz="6" w:space="0"/>
              <w:right w:val="single" w:color="auto" w:sz="6" w:space="0"/>
            </w:tcBorders>
            <w:vAlign w:val="center"/>
          </w:tcPr>
          <w:p w14:paraId="4399C4CA">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姓名</w:t>
            </w:r>
          </w:p>
        </w:tc>
        <w:tc>
          <w:tcPr>
            <w:tcW w:w="228" w:type="pct"/>
            <w:tcBorders>
              <w:top w:val="single" w:color="auto" w:sz="6" w:space="0"/>
              <w:left w:val="single" w:color="auto" w:sz="6" w:space="0"/>
              <w:bottom w:val="single" w:color="auto" w:sz="6" w:space="0"/>
              <w:right w:val="single" w:color="auto" w:sz="6" w:space="0"/>
            </w:tcBorders>
            <w:vAlign w:val="center"/>
          </w:tcPr>
          <w:p w14:paraId="5CBF63CF">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性别</w:t>
            </w:r>
          </w:p>
        </w:tc>
        <w:tc>
          <w:tcPr>
            <w:tcW w:w="324" w:type="pct"/>
            <w:tcBorders>
              <w:top w:val="single" w:color="auto" w:sz="6" w:space="0"/>
              <w:left w:val="single" w:color="auto" w:sz="6" w:space="0"/>
              <w:bottom w:val="single" w:color="auto" w:sz="6" w:space="0"/>
              <w:right w:val="single" w:color="auto" w:sz="6" w:space="0"/>
            </w:tcBorders>
            <w:vAlign w:val="center"/>
          </w:tcPr>
          <w:p w14:paraId="7E2C2897">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年龄</w:t>
            </w:r>
          </w:p>
        </w:tc>
        <w:tc>
          <w:tcPr>
            <w:tcW w:w="573" w:type="pct"/>
            <w:tcBorders>
              <w:top w:val="single" w:color="auto" w:sz="6" w:space="0"/>
              <w:left w:val="single" w:color="auto" w:sz="6" w:space="0"/>
              <w:bottom w:val="single" w:color="auto" w:sz="6" w:space="0"/>
              <w:right w:val="single" w:color="auto" w:sz="6" w:space="0"/>
            </w:tcBorders>
            <w:vAlign w:val="center"/>
          </w:tcPr>
          <w:p w14:paraId="294D859A">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学历</w:t>
            </w:r>
          </w:p>
          <w:p w14:paraId="6C131D5E">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(页码)</w:t>
            </w:r>
          </w:p>
        </w:tc>
        <w:tc>
          <w:tcPr>
            <w:tcW w:w="597" w:type="pct"/>
            <w:tcBorders>
              <w:top w:val="single" w:color="auto" w:sz="6" w:space="0"/>
              <w:left w:val="single" w:color="auto" w:sz="6" w:space="0"/>
              <w:bottom w:val="single" w:color="auto" w:sz="6" w:space="0"/>
              <w:right w:val="single" w:color="auto" w:sz="6" w:space="0"/>
            </w:tcBorders>
            <w:vAlign w:val="center"/>
          </w:tcPr>
          <w:p w14:paraId="22011EC1">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专业</w:t>
            </w:r>
          </w:p>
          <w:p w14:paraId="12725712">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(页码)</w:t>
            </w:r>
          </w:p>
        </w:tc>
        <w:tc>
          <w:tcPr>
            <w:tcW w:w="597" w:type="pct"/>
            <w:tcBorders>
              <w:top w:val="single" w:color="auto" w:sz="6" w:space="0"/>
              <w:left w:val="single" w:color="auto" w:sz="6" w:space="0"/>
              <w:bottom w:val="single" w:color="auto" w:sz="6" w:space="0"/>
              <w:right w:val="single" w:color="auto" w:sz="6" w:space="0"/>
            </w:tcBorders>
            <w:vAlign w:val="center"/>
          </w:tcPr>
          <w:p w14:paraId="12C4410B">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职称</w:t>
            </w:r>
          </w:p>
          <w:p w14:paraId="6217D847">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(页码)</w:t>
            </w:r>
          </w:p>
        </w:tc>
        <w:tc>
          <w:tcPr>
            <w:tcW w:w="697" w:type="pct"/>
            <w:tcBorders>
              <w:top w:val="single" w:color="auto" w:sz="6" w:space="0"/>
              <w:left w:val="single" w:color="auto" w:sz="6" w:space="0"/>
              <w:bottom w:val="single" w:color="auto" w:sz="6" w:space="0"/>
              <w:right w:val="single" w:color="auto" w:sz="6" w:space="0"/>
            </w:tcBorders>
            <w:vAlign w:val="center"/>
          </w:tcPr>
          <w:p w14:paraId="6438EB31">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本项目中的职责</w:t>
            </w:r>
          </w:p>
        </w:tc>
        <w:tc>
          <w:tcPr>
            <w:tcW w:w="498" w:type="pct"/>
            <w:tcBorders>
              <w:top w:val="single" w:color="auto" w:sz="6" w:space="0"/>
              <w:left w:val="single" w:color="auto" w:sz="6" w:space="0"/>
              <w:bottom w:val="single" w:color="auto" w:sz="6" w:space="0"/>
              <w:right w:val="single" w:color="auto" w:sz="6" w:space="0"/>
            </w:tcBorders>
            <w:vAlign w:val="center"/>
          </w:tcPr>
          <w:p w14:paraId="368E1307">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项目经历</w:t>
            </w:r>
          </w:p>
        </w:tc>
        <w:tc>
          <w:tcPr>
            <w:tcW w:w="813" w:type="pct"/>
            <w:tcBorders>
              <w:top w:val="single" w:color="auto" w:sz="6" w:space="0"/>
              <w:left w:val="single" w:color="auto" w:sz="6" w:space="0"/>
              <w:bottom w:val="single" w:color="auto" w:sz="6" w:space="0"/>
              <w:right w:val="single" w:color="auto" w:sz="6" w:space="0"/>
            </w:tcBorders>
            <w:vAlign w:val="center"/>
          </w:tcPr>
          <w:p w14:paraId="3CCC094F">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参与本项目的到位情况</w:t>
            </w:r>
          </w:p>
        </w:tc>
      </w:tr>
      <w:tr w14:paraId="3AC7E651">
        <w:tblPrEx>
          <w:tblCellMar>
            <w:top w:w="0" w:type="dxa"/>
            <w:left w:w="108" w:type="dxa"/>
            <w:bottom w:w="0" w:type="dxa"/>
            <w:right w:w="108" w:type="dxa"/>
          </w:tblCellMar>
        </w:tblPrEx>
        <w:trPr>
          <w:trHeight w:val="479" w:hRule="atLeast"/>
        </w:trPr>
        <w:tc>
          <w:tcPr>
            <w:tcW w:w="232" w:type="pct"/>
            <w:tcBorders>
              <w:top w:val="single" w:color="auto" w:sz="6" w:space="0"/>
              <w:left w:val="single" w:color="auto" w:sz="6" w:space="0"/>
              <w:bottom w:val="single" w:color="auto" w:sz="6" w:space="0"/>
              <w:right w:val="single" w:color="auto" w:sz="6" w:space="0"/>
            </w:tcBorders>
          </w:tcPr>
          <w:p w14:paraId="3C8C14C7">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435" w:type="pct"/>
            <w:tcBorders>
              <w:top w:val="single" w:color="auto" w:sz="6" w:space="0"/>
              <w:left w:val="single" w:color="auto" w:sz="6" w:space="0"/>
              <w:bottom w:val="single" w:color="auto" w:sz="6" w:space="0"/>
              <w:right w:val="single" w:color="auto" w:sz="6" w:space="0"/>
            </w:tcBorders>
          </w:tcPr>
          <w:p w14:paraId="137F53BC">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28" w:type="pct"/>
            <w:tcBorders>
              <w:top w:val="single" w:color="auto" w:sz="6" w:space="0"/>
              <w:left w:val="single" w:color="auto" w:sz="6" w:space="0"/>
              <w:bottom w:val="single" w:color="auto" w:sz="6" w:space="0"/>
              <w:right w:val="single" w:color="auto" w:sz="6" w:space="0"/>
            </w:tcBorders>
          </w:tcPr>
          <w:p w14:paraId="455FFC73">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324" w:type="pct"/>
            <w:tcBorders>
              <w:top w:val="single" w:color="auto" w:sz="6" w:space="0"/>
              <w:left w:val="single" w:color="auto" w:sz="6" w:space="0"/>
              <w:bottom w:val="single" w:color="auto" w:sz="6" w:space="0"/>
              <w:right w:val="single" w:color="auto" w:sz="6" w:space="0"/>
            </w:tcBorders>
          </w:tcPr>
          <w:p w14:paraId="4175EB23">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73" w:type="pct"/>
            <w:tcBorders>
              <w:top w:val="single" w:color="auto" w:sz="6" w:space="0"/>
              <w:left w:val="single" w:color="auto" w:sz="6" w:space="0"/>
              <w:bottom w:val="single" w:color="auto" w:sz="6" w:space="0"/>
              <w:right w:val="single" w:color="auto" w:sz="6" w:space="0"/>
            </w:tcBorders>
          </w:tcPr>
          <w:p w14:paraId="0E05716F">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97" w:type="pct"/>
            <w:tcBorders>
              <w:top w:val="single" w:color="auto" w:sz="6" w:space="0"/>
              <w:left w:val="single" w:color="auto" w:sz="6" w:space="0"/>
              <w:bottom w:val="single" w:color="auto" w:sz="6" w:space="0"/>
              <w:right w:val="single" w:color="auto" w:sz="6" w:space="0"/>
            </w:tcBorders>
          </w:tcPr>
          <w:p w14:paraId="5F919D41">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97" w:type="pct"/>
            <w:tcBorders>
              <w:top w:val="single" w:color="auto" w:sz="6" w:space="0"/>
              <w:left w:val="single" w:color="auto" w:sz="6" w:space="0"/>
              <w:bottom w:val="single" w:color="auto" w:sz="6" w:space="0"/>
              <w:right w:val="single" w:color="auto" w:sz="6" w:space="0"/>
            </w:tcBorders>
          </w:tcPr>
          <w:p w14:paraId="12DC381F">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697" w:type="pct"/>
            <w:tcBorders>
              <w:top w:val="single" w:color="auto" w:sz="6" w:space="0"/>
              <w:left w:val="single" w:color="auto" w:sz="6" w:space="0"/>
              <w:bottom w:val="single" w:color="auto" w:sz="6" w:space="0"/>
              <w:right w:val="single" w:color="auto" w:sz="6" w:space="0"/>
            </w:tcBorders>
          </w:tcPr>
          <w:p w14:paraId="678C1A34">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498" w:type="pct"/>
            <w:tcBorders>
              <w:top w:val="single" w:color="auto" w:sz="6" w:space="0"/>
              <w:left w:val="single" w:color="auto" w:sz="6" w:space="0"/>
              <w:bottom w:val="single" w:color="auto" w:sz="6" w:space="0"/>
              <w:right w:val="single" w:color="auto" w:sz="6" w:space="0"/>
            </w:tcBorders>
          </w:tcPr>
          <w:p w14:paraId="33D53969">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813" w:type="pct"/>
            <w:tcBorders>
              <w:top w:val="single" w:color="auto" w:sz="6" w:space="0"/>
              <w:left w:val="single" w:color="auto" w:sz="6" w:space="0"/>
              <w:bottom w:val="single" w:color="auto" w:sz="6" w:space="0"/>
              <w:right w:val="single" w:color="auto" w:sz="6" w:space="0"/>
            </w:tcBorders>
          </w:tcPr>
          <w:p w14:paraId="4C2BCCA4">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r>
      <w:tr w14:paraId="2C92356B">
        <w:tblPrEx>
          <w:tblCellMar>
            <w:top w:w="0" w:type="dxa"/>
            <w:left w:w="108" w:type="dxa"/>
            <w:bottom w:w="0" w:type="dxa"/>
            <w:right w:w="108" w:type="dxa"/>
          </w:tblCellMar>
        </w:tblPrEx>
        <w:trPr>
          <w:trHeight w:val="473" w:hRule="atLeast"/>
        </w:trPr>
        <w:tc>
          <w:tcPr>
            <w:tcW w:w="232" w:type="pct"/>
            <w:tcBorders>
              <w:top w:val="single" w:color="auto" w:sz="6" w:space="0"/>
              <w:left w:val="single" w:color="auto" w:sz="6" w:space="0"/>
              <w:bottom w:val="single" w:color="auto" w:sz="6" w:space="0"/>
              <w:right w:val="single" w:color="auto" w:sz="6" w:space="0"/>
            </w:tcBorders>
          </w:tcPr>
          <w:p w14:paraId="2BC30495">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435" w:type="pct"/>
            <w:tcBorders>
              <w:top w:val="single" w:color="auto" w:sz="6" w:space="0"/>
              <w:left w:val="single" w:color="auto" w:sz="6" w:space="0"/>
              <w:bottom w:val="single" w:color="auto" w:sz="6" w:space="0"/>
              <w:right w:val="single" w:color="auto" w:sz="6" w:space="0"/>
            </w:tcBorders>
          </w:tcPr>
          <w:p w14:paraId="46C82CF3">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28" w:type="pct"/>
            <w:tcBorders>
              <w:top w:val="single" w:color="auto" w:sz="6" w:space="0"/>
              <w:left w:val="single" w:color="auto" w:sz="6" w:space="0"/>
              <w:bottom w:val="single" w:color="auto" w:sz="6" w:space="0"/>
              <w:right w:val="single" w:color="auto" w:sz="6" w:space="0"/>
            </w:tcBorders>
          </w:tcPr>
          <w:p w14:paraId="60B02336">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324" w:type="pct"/>
            <w:tcBorders>
              <w:top w:val="single" w:color="auto" w:sz="6" w:space="0"/>
              <w:left w:val="single" w:color="auto" w:sz="6" w:space="0"/>
              <w:bottom w:val="single" w:color="auto" w:sz="6" w:space="0"/>
              <w:right w:val="single" w:color="auto" w:sz="6" w:space="0"/>
            </w:tcBorders>
          </w:tcPr>
          <w:p w14:paraId="7D17748A">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73" w:type="pct"/>
            <w:tcBorders>
              <w:top w:val="single" w:color="auto" w:sz="6" w:space="0"/>
              <w:left w:val="single" w:color="auto" w:sz="6" w:space="0"/>
              <w:bottom w:val="single" w:color="auto" w:sz="6" w:space="0"/>
              <w:right w:val="single" w:color="auto" w:sz="6" w:space="0"/>
            </w:tcBorders>
          </w:tcPr>
          <w:p w14:paraId="4EB214A6">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97" w:type="pct"/>
            <w:tcBorders>
              <w:top w:val="single" w:color="auto" w:sz="6" w:space="0"/>
              <w:left w:val="single" w:color="auto" w:sz="6" w:space="0"/>
              <w:bottom w:val="single" w:color="auto" w:sz="6" w:space="0"/>
              <w:right w:val="single" w:color="auto" w:sz="6" w:space="0"/>
            </w:tcBorders>
          </w:tcPr>
          <w:p w14:paraId="10BD9986">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97" w:type="pct"/>
            <w:tcBorders>
              <w:top w:val="single" w:color="auto" w:sz="6" w:space="0"/>
              <w:left w:val="single" w:color="auto" w:sz="6" w:space="0"/>
              <w:bottom w:val="single" w:color="auto" w:sz="6" w:space="0"/>
              <w:right w:val="single" w:color="auto" w:sz="6" w:space="0"/>
            </w:tcBorders>
          </w:tcPr>
          <w:p w14:paraId="6EB93005">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697" w:type="pct"/>
            <w:tcBorders>
              <w:top w:val="single" w:color="auto" w:sz="6" w:space="0"/>
              <w:left w:val="single" w:color="auto" w:sz="6" w:space="0"/>
              <w:bottom w:val="single" w:color="auto" w:sz="6" w:space="0"/>
              <w:right w:val="single" w:color="auto" w:sz="6" w:space="0"/>
            </w:tcBorders>
          </w:tcPr>
          <w:p w14:paraId="5CB408E7">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498" w:type="pct"/>
            <w:tcBorders>
              <w:top w:val="single" w:color="auto" w:sz="6" w:space="0"/>
              <w:left w:val="single" w:color="auto" w:sz="6" w:space="0"/>
              <w:bottom w:val="single" w:color="auto" w:sz="6" w:space="0"/>
              <w:right w:val="single" w:color="auto" w:sz="6" w:space="0"/>
            </w:tcBorders>
          </w:tcPr>
          <w:p w14:paraId="5989F7EF">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813" w:type="pct"/>
            <w:tcBorders>
              <w:top w:val="single" w:color="auto" w:sz="6" w:space="0"/>
              <w:left w:val="single" w:color="auto" w:sz="6" w:space="0"/>
              <w:bottom w:val="single" w:color="auto" w:sz="6" w:space="0"/>
              <w:right w:val="single" w:color="auto" w:sz="6" w:space="0"/>
            </w:tcBorders>
          </w:tcPr>
          <w:p w14:paraId="3055B0C7">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r>
    </w:tbl>
    <w:p w14:paraId="2168585B">
      <w:pPr>
        <w:spacing w:line="360" w:lineRule="auto"/>
        <w:rPr>
          <w:rFonts w:hint="eastAsia" w:ascii="仿宋_GB2312" w:hAnsi="仿宋" w:eastAsia="仿宋_GB2312" w:cs="仿宋_GB2312"/>
          <w:b/>
          <w:bCs/>
          <w:color w:val="auto"/>
          <w:sz w:val="24"/>
          <w:highlight w:val="none"/>
        </w:rPr>
      </w:pPr>
      <w:r>
        <w:rPr>
          <w:rFonts w:hint="eastAsia" w:ascii="仿宋_GB2312" w:hAnsi="仿宋" w:eastAsia="仿宋_GB2312" w:cs="仿宋_GB2312"/>
          <w:b/>
          <w:color w:val="auto"/>
          <w:sz w:val="24"/>
          <w:highlight w:val="none"/>
        </w:rPr>
        <w:t>注：供应商可按上述的格式自行编制，须随表提交相应的证书复印件并注明所在响应技术文件页码。</w:t>
      </w:r>
    </w:p>
    <w:p w14:paraId="4FAD98BB">
      <w:pPr>
        <w:spacing w:line="360" w:lineRule="auto"/>
        <w:rPr>
          <w:rFonts w:hint="eastAsia" w:ascii="仿宋_GB2312" w:hAnsi="仿宋" w:eastAsia="仿宋_GB2312" w:cs="仿宋_GB2312"/>
          <w:b/>
          <w:bCs/>
          <w:color w:val="auto"/>
          <w:sz w:val="24"/>
          <w:highlight w:val="none"/>
        </w:rPr>
      </w:pPr>
      <w:r>
        <w:rPr>
          <w:rFonts w:hint="eastAsia" w:ascii="仿宋_GB2312" w:hAnsi="仿宋" w:eastAsia="仿宋_GB2312" w:cs="仿宋_GB2312"/>
          <w:b/>
          <w:color w:val="auto"/>
          <w:sz w:val="24"/>
          <w:highlight w:val="none"/>
        </w:rPr>
        <w:t>附表C:本项目的项目负责人截标时间前半年内任意一个月交纳社保记录情况表</w:t>
      </w:r>
      <w:r>
        <w:rPr>
          <w:rFonts w:hint="eastAsia" w:ascii="仿宋_GB2312" w:hAnsi="仿宋" w:eastAsia="仿宋_GB2312" w:cs="仿宋_GB2312"/>
          <w:color w:val="auto"/>
          <w:sz w:val="24"/>
          <w:highlight w:val="none"/>
        </w:rPr>
        <w:t>（以社保局缴纳凭证作附件）</w:t>
      </w:r>
    </w:p>
    <w:p w14:paraId="03CEDA08">
      <w:pPr>
        <w:snapToGrid w:val="0"/>
        <w:spacing w:line="360" w:lineRule="auto"/>
        <w:ind w:firstLine="602" w:firstLineChars="200"/>
        <w:rPr>
          <w:rFonts w:hint="eastAsia" w:ascii="仿宋" w:hAnsi="仿宋" w:eastAsia="仿宋" w:cs="仿宋_GB2312"/>
          <w:b/>
          <w:color w:val="auto"/>
          <w:sz w:val="30"/>
          <w:szCs w:val="30"/>
          <w:highlight w:val="none"/>
        </w:rPr>
      </w:pPr>
    </w:p>
    <w:p w14:paraId="7098C275">
      <w:pPr>
        <w:autoSpaceDE w:val="0"/>
        <w:autoSpaceDN w:val="0"/>
        <w:spacing w:line="360" w:lineRule="auto"/>
        <w:ind w:left="4335" w:leftChars="1950" w:hanging="240" w:hangingChars="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3F27AD84">
      <w:pPr>
        <w:autoSpaceDE w:val="0"/>
        <w:autoSpaceDN w:val="0"/>
        <w:spacing w:line="360" w:lineRule="auto"/>
        <w:jc w:val="right"/>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  年  月   日</w:t>
      </w:r>
    </w:p>
    <w:p w14:paraId="57D414E2">
      <w:pPr>
        <w:autoSpaceDE w:val="0"/>
        <w:autoSpaceDN w:val="0"/>
        <w:spacing w:line="360" w:lineRule="auto"/>
        <w:ind w:firstLine="6480" w:firstLineChars="2700"/>
        <w:rPr>
          <w:rFonts w:hint="eastAsia" w:ascii="仿宋_GB2312" w:hAnsi="仿宋" w:eastAsia="仿宋_GB2312" w:cs="仿宋_GB2312"/>
          <w:color w:val="auto"/>
          <w:kern w:val="0"/>
          <w:sz w:val="24"/>
          <w:highlight w:val="none"/>
          <w:lang w:val="zh-CN"/>
        </w:rPr>
      </w:pPr>
    </w:p>
    <w:p w14:paraId="7E1D3499">
      <w:pPr>
        <w:snapToGrid w:val="0"/>
        <w:spacing w:line="360" w:lineRule="auto"/>
        <w:ind w:firstLine="602" w:firstLineChars="200"/>
        <w:rPr>
          <w:rFonts w:hint="eastAsia" w:ascii="仿宋" w:hAnsi="仿宋" w:eastAsia="仿宋" w:cs="仿宋_GB2312"/>
          <w:b/>
          <w:color w:val="auto"/>
          <w:sz w:val="30"/>
          <w:szCs w:val="30"/>
          <w:highlight w:val="none"/>
        </w:rPr>
      </w:pPr>
      <w:r>
        <w:rPr>
          <w:rFonts w:hint="eastAsia" w:ascii="仿宋" w:hAnsi="仿宋" w:eastAsia="仿宋" w:cs="仿宋_GB2312"/>
          <w:b/>
          <w:color w:val="auto"/>
          <w:sz w:val="30"/>
          <w:szCs w:val="30"/>
          <w:highlight w:val="none"/>
        </w:rPr>
        <w:t>十一、服务需求、商务条款要求提供的其他材料</w:t>
      </w:r>
    </w:p>
    <w:p w14:paraId="54896CB1">
      <w:pPr>
        <w:autoSpaceDE w:val="0"/>
        <w:autoSpaceDN w:val="0"/>
        <w:spacing w:line="360" w:lineRule="auto"/>
        <w:ind w:left="4335" w:leftChars="1950" w:hanging="240" w:hangingChars="100"/>
        <w:rPr>
          <w:rFonts w:hint="eastAsia" w:ascii="仿宋_GB2312" w:hAnsi="仿宋" w:eastAsia="仿宋_GB2312" w:cs="仿宋_GB2312"/>
          <w:color w:val="auto"/>
          <w:kern w:val="0"/>
          <w:sz w:val="24"/>
          <w:highlight w:val="none"/>
        </w:rPr>
      </w:pPr>
    </w:p>
    <w:p w14:paraId="738848F4">
      <w:pPr>
        <w:autoSpaceDE w:val="0"/>
        <w:autoSpaceDN w:val="0"/>
        <w:spacing w:line="360" w:lineRule="auto"/>
        <w:ind w:left="4335" w:leftChars="1950" w:hanging="240" w:hangingChars="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5F32672F">
      <w:pPr>
        <w:autoSpaceDE w:val="0"/>
        <w:autoSpaceDN w:val="0"/>
        <w:spacing w:line="360" w:lineRule="auto"/>
        <w:jc w:val="right"/>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  年  月   日</w:t>
      </w:r>
    </w:p>
    <w:p w14:paraId="32A62740">
      <w:pPr>
        <w:widowControl/>
        <w:spacing w:line="360" w:lineRule="auto"/>
        <w:jc w:val="left"/>
        <w:rPr>
          <w:rFonts w:hint="eastAsia" w:ascii="仿宋_GB2312" w:hAnsi="仿宋" w:eastAsia="仿宋_GB2312" w:cs="仿宋_GB2312"/>
          <w:b/>
          <w:bCs/>
          <w:color w:val="auto"/>
          <w:sz w:val="24"/>
          <w:highlight w:val="none"/>
        </w:rPr>
        <w:sectPr>
          <w:pgSz w:w="11911" w:h="16838"/>
          <w:pgMar w:top="1417" w:right="1417" w:bottom="1417" w:left="1417" w:header="720" w:footer="720" w:gutter="0"/>
          <w:cols w:space="0" w:num="1"/>
          <w:rtlGutter w:val="0"/>
          <w:docGrid w:linePitch="0" w:charSpace="0"/>
        </w:sectPr>
      </w:pPr>
    </w:p>
    <w:p w14:paraId="7506582C">
      <w:pPr>
        <w:autoSpaceDE w:val="0"/>
        <w:autoSpaceDN w:val="0"/>
        <w:spacing w:line="360" w:lineRule="auto"/>
        <w:ind w:firstLine="6505" w:firstLineChars="2700"/>
        <w:rPr>
          <w:rFonts w:hint="eastAsia" w:ascii="仿宋_GB2312" w:hAnsi="仿宋" w:eastAsia="仿宋_GB2312" w:cs="仿宋_GB2312"/>
          <w:b/>
          <w:bCs/>
          <w:color w:val="auto"/>
          <w:sz w:val="24"/>
          <w:highlight w:val="none"/>
        </w:rPr>
      </w:pPr>
    </w:p>
    <w:p w14:paraId="269A2414">
      <w:pPr>
        <w:pStyle w:val="3"/>
        <w:jc w:val="center"/>
        <w:rPr>
          <w:rFonts w:hint="eastAsia" w:ascii="宋体" w:hAnsi="宋体" w:cs="宋体"/>
          <w:color w:val="auto"/>
          <w:highlight w:val="none"/>
        </w:rPr>
      </w:pPr>
      <w:bookmarkStart w:id="76" w:name="_Toc80205941"/>
      <w:bookmarkStart w:id="77" w:name="_Toc25570"/>
      <w:r>
        <w:rPr>
          <w:rFonts w:hint="eastAsia" w:ascii="宋体" w:hAnsi="宋体"/>
          <w:color w:val="auto"/>
          <w:highlight w:val="none"/>
        </w:rPr>
        <w:t>第四节 报价文件格式</w:t>
      </w:r>
      <w:bookmarkEnd w:id="76"/>
      <w:bookmarkEnd w:id="77"/>
    </w:p>
    <w:p w14:paraId="756AD766">
      <w:pPr>
        <w:snapToGrid w:val="0"/>
        <w:spacing w:before="120" w:beforeLines="50" w:after="50"/>
        <w:rPr>
          <w:rFonts w:hint="eastAsia" w:ascii="宋体" w:hAnsi="宋体"/>
          <w:bCs/>
          <w:color w:val="auto"/>
          <w:sz w:val="32"/>
          <w:szCs w:val="20"/>
          <w:highlight w:val="none"/>
        </w:rPr>
      </w:pPr>
      <w:r>
        <w:rPr>
          <w:rFonts w:hint="eastAsia" w:ascii="宋体" w:hAnsi="宋体"/>
          <w:color w:val="auto"/>
          <w:sz w:val="24"/>
          <w:highlight w:val="none"/>
        </w:rPr>
        <w:t xml:space="preserve">                                                    </w:t>
      </w:r>
      <w:r>
        <w:rPr>
          <w:rFonts w:hint="eastAsia" w:ascii="宋体" w:hAnsi="宋体"/>
          <w:bCs/>
          <w:color w:val="auto"/>
          <w:highlight w:val="none"/>
        </w:rPr>
        <w:t>全流程电子文件</w:t>
      </w:r>
    </w:p>
    <w:p w14:paraId="1923920F">
      <w:pPr>
        <w:snapToGrid w:val="0"/>
        <w:spacing w:before="120" w:beforeLines="50" w:after="50"/>
        <w:rPr>
          <w:rFonts w:hint="eastAsia" w:ascii="宋体" w:hAnsi="宋体"/>
          <w:color w:val="auto"/>
          <w:sz w:val="24"/>
          <w:szCs w:val="20"/>
          <w:highlight w:val="none"/>
        </w:rPr>
      </w:pPr>
    </w:p>
    <w:p w14:paraId="2FE80A19">
      <w:pPr>
        <w:snapToGrid w:val="0"/>
        <w:spacing w:before="120" w:beforeLines="50" w:after="50"/>
        <w:rPr>
          <w:rFonts w:hint="eastAsia" w:ascii="宋体" w:hAnsi="宋体"/>
          <w:color w:val="auto"/>
          <w:sz w:val="24"/>
          <w:szCs w:val="20"/>
          <w:highlight w:val="none"/>
        </w:rPr>
      </w:pPr>
    </w:p>
    <w:p w14:paraId="1CF5C58B">
      <w:pPr>
        <w:snapToGrid w:val="0"/>
        <w:spacing w:before="120" w:beforeLines="50" w:after="50"/>
        <w:rPr>
          <w:rFonts w:hint="eastAsia" w:ascii="宋体" w:hAnsi="宋体"/>
          <w:color w:val="auto"/>
          <w:sz w:val="24"/>
          <w:szCs w:val="20"/>
          <w:highlight w:val="none"/>
        </w:rPr>
      </w:pPr>
    </w:p>
    <w:p w14:paraId="56931E12">
      <w:pPr>
        <w:snapToGrid w:val="0"/>
        <w:spacing w:before="120"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报  价  文  件（封面）</w:t>
      </w:r>
    </w:p>
    <w:p w14:paraId="0A12CCF5">
      <w:pPr>
        <w:snapToGrid w:val="0"/>
        <w:spacing w:before="120" w:beforeLines="50" w:after="50"/>
        <w:rPr>
          <w:rFonts w:hint="eastAsia" w:ascii="宋体" w:hAnsi="宋体"/>
          <w:bCs/>
          <w:color w:val="auto"/>
          <w:sz w:val="24"/>
          <w:szCs w:val="20"/>
          <w:highlight w:val="none"/>
        </w:rPr>
      </w:pPr>
    </w:p>
    <w:p w14:paraId="12ED3967">
      <w:pPr>
        <w:snapToGrid w:val="0"/>
        <w:spacing w:before="120" w:beforeLines="50" w:after="50"/>
        <w:rPr>
          <w:rFonts w:hint="eastAsia" w:ascii="宋体" w:hAnsi="宋体"/>
          <w:bCs/>
          <w:color w:val="auto"/>
          <w:sz w:val="24"/>
          <w:szCs w:val="20"/>
          <w:highlight w:val="none"/>
        </w:rPr>
      </w:pPr>
    </w:p>
    <w:p w14:paraId="29A831A4">
      <w:pPr>
        <w:snapToGrid w:val="0"/>
        <w:spacing w:before="120" w:beforeLines="50" w:after="50"/>
        <w:rPr>
          <w:rFonts w:hint="eastAsia" w:ascii="宋体" w:hAnsi="宋体"/>
          <w:bCs/>
          <w:color w:val="auto"/>
          <w:sz w:val="24"/>
          <w:szCs w:val="20"/>
          <w:highlight w:val="none"/>
        </w:rPr>
      </w:pPr>
    </w:p>
    <w:p w14:paraId="07661E99">
      <w:pPr>
        <w:snapToGrid w:val="0"/>
        <w:spacing w:before="120" w:beforeLines="50" w:after="50"/>
        <w:rPr>
          <w:rFonts w:hint="eastAsia" w:ascii="宋体" w:hAnsi="宋体"/>
          <w:bCs/>
          <w:color w:val="auto"/>
          <w:sz w:val="24"/>
          <w:szCs w:val="20"/>
          <w:highlight w:val="none"/>
        </w:rPr>
      </w:pPr>
    </w:p>
    <w:p w14:paraId="022AF350">
      <w:pPr>
        <w:snapToGrid w:val="0"/>
        <w:spacing w:before="120" w:beforeLines="50" w:after="50"/>
        <w:rPr>
          <w:rFonts w:hint="eastAsia" w:ascii="宋体" w:hAnsi="宋体"/>
          <w:bCs/>
          <w:color w:val="auto"/>
          <w:sz w:val="24"/>
          <w:szCs w:val="20"/>
          <w:highlight w:val="none"/>
        </w:rPr>
      </w:pPr>
    </w:p>
    <w:p w14:paraId="4802D38C">
      <w:pPr>
        <w:snapToGrid w:val="0"/>
        <w:spacing w:before="120" w:beforeLines="50" w:after="50"/>
        <w:ind w:firstLine="640" w:firstLineChars="200"/>
        <w:rPr>
          <w:rFonts w:hint="eastAsia" w:ascii="宋体" w:hAnsi="宋体" w:eastAsia="宋体" w:cs="仿宋_GB2312"/>
          <w:bCs/>
          <w:color w:val="auto"/>
          <w:sz w:val="32"/>
          <w:szCs w:val="32"/>
          <w:highlight w:val="none"/>
          <w:lang w:eastAsia="zh-CN"/>
        </w:rPr>
      </w:pPr>
      <w:r>
        <w:rPr>
          <w:rFonts w:hint="eastAsia" w:ascii="宋体" w:hAnsi="宋体" w:cs="仿宋_GB2312"/>
          <w:bCs/>
          <w:color w:val="auto"/>
          <w:sz w:val="32"/>
          <w:szCs w:val="32"/>
          <w:highlight w:val="none"/>
        </w:rPr>
        <w:t>项目名称：</w:t>
      </w:r>
      <w:r>
        <w:rPr>
          <w:rFonts w:hint="eastAsia" w:ascii="宋体" w:hAnsi="宋体" w:cs="仿宋_GB2312"/>
          <w:bCs/>
          <w:color w:val="auto"/>
          <w:sz w:val="32"/>
          <w:szCs w:val="32"/>
          <w:highlight w:val="none"/>
          <w:lang w:eastAsia="zh-CN"/>
        </w:rPr>
        <w:t>第三方机构审计、核验2025年财政资金计划补助项目服务（3分标重）</w:t>
      </w:r>
    </w:p>
    <w:p w14:paraId="44B0C78D">
      <w:pPr>
        <w:snapToGrid w:val="0"/>
        <w:spacing w:before="120" w:beforeLines="50" w:after="50"/>
        <w:ind w:firstLine="720" w:firstLineChars="225"/>
        <w:rPr>
          <w:rFonts w:hint="eastAsia" w:ascii="宋体" w:hAnsi="宋体" w:cs="仿宋_GB2312"/>
          <w:bCs/>
          <w:color w:val="auto"/>
          <w:sz w:val="32"/>
          <w:szCs w:val="32"/>
          <w:highlight w:val="none"/>
        </w:rPr>
      </w:pPr>
    </w:p>
    <w:p w14:paraId="7B7026DD">
      <w:pPr>
        <w:snapToGrid w:val="0"/>
        <w:spacing w:before="120"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4A8D79EA">
      <w:pPr>
        <w:snapToGrid w:val="0"/>
        <w:spacing w:before="120" w:beforeLines="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 </w:t>
      </w:r>
    </w:p>
    <w:p w14:paraId="580607D1">
      <w:pPr>
        <w:snapToGrid w:val="0"/>
        <w:spacing w:before="120"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所竞标项（如有则填写，无标项时填写“无”或者留空）：</w:t>
      </w:r>
    </w:p>
    <w:p w14:paraId="6ADD54F6">
      <w:pPr>
        <w:snapToGrid w:val="0"/>
        <w:spacing w:before="120" w:beforeLines="50" w:after="50"/>
        <w:ind w:firstLine="720" w:firstLineChars="225"/>
        <w:rPr>
          <w:rFonts w:hint="eastAsia" w:ascii="宋体" w:hAnsi="宋体" w:cs="仿宋_GB2312"/>
          <w:bCs/>
          <w:color w:val="auto"/>
          <w:sz w:val="32"/>
          <w:szCs w:val="32"/>
          <w:highlight w:val="none"/>
        </w:rPr>
      </w:pPr>
    </w:p>
    <w:p w14:paraId="2294F1AB">
      <w:pPr>
        <w:pStyle w:val="6"/>
        <w:snapToGrid w:val="0"/>
        <w:spacing w:before="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0BD3C274">
      <w:pPr>
        <w:pStyle w:val="6"/>
        <w:snapToGrid w:val="0"/>
        <w:spacing w:before="50" w:after="50"/>
        <w:ind w:firstLine="720" w:firstLineChars="225"/>
        <w:rPr>
          <w:rFonts w:hint="eastAsia" w:ascii="宋体" w:hAnsi="宋体" w:cs="仿宋_GB2312"/>
          <w:bCs/>
          <w:color w:val="auto"/>
          <w:sz w:val="32"/>
          <w:szCs w:val="32"/>
          <w:highlight w:val="none"/>
        </w:rPr>
      </w:pPr>
    </w:p>
    <w:p w14:paraId="5F47BD7B">
      <w:pPr>
        <w:pStyle w:val="6"/>
        <w:snapToGrid w:val="0"/>
        <w:spacing w:before="50" w:after="50"/>
        <w:ind w:firstLine="720" w:firstLineChars="225"/>
        <w:rPr>
          <w:rFonts w:hint="eastAsia" w:ascii="宋体" w:hAnsi="宋体" w:cs="仿宋_GB2312"/>
          <w:bCs/>
          <w:color w:val="auto"/>
          <w:sz w:val="32"/>
          <w:szCs w:val="32"/>
          <w:highlight w:val="none"/>
        </w:rPr>
      </w:pPr>
    </w:p>
    <w:p w14:paraId="6C80B31D">
      <w:pPr>
        <w:pStyle w:val="6"/>
        <w:snapToGrid w:val="0"/>
        <w:spacing w:before="50" w:after="50"/>
        <w:ind w:firstLine="1280" w:firstLineChars="400"/>
        <w:rPr>
          <w:rFonts w:hint="eastAsia" w:ascii="宋体" w:hAnsi="宋体" w:cs="仿宋_GB2312"/>
          <w:bCs/>
          <w:color w:val="auto"/>
          <w:sz w:val="32"/>
          <w:szCs w:val="32"/>
          <w:highlight w:val="none"/>
        </w:rPr>
      </w:pPr>
    </w:p>
    <w:p w14:paraId="668CA1C1">
      <w:pPr>
        <w:snapToGrid w:val="0"/>
        <w:spacing w:before="120" w:beforeLines="50" w:after="50"/>
        <w:jc w:val="center"/>
        <w:rPr>
          <w:rFonts w:hint="eastAsia"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2EBBD7C0">
      <w:pPr>
        <w:snapToGrid w:val="0"/>
        <w:spacing w:before="120" w:beforeLines="50" w:after="50" w:line="400" w:lineRule="exact"/>
        <w:jc w:val="center"/>
        <w:rPr>
          <w:rFonts w:hint="eastAsia" w:ascii="宋体" w:hAnsi="宋体"/>
          <w:b/>
          <w:bCs/>
          <w:color w:val="auto"/>
          <w:sz w:val="32"/>
          <w:szCs w:val="32"/>
          <w:highlight w:val="none"/>
        </w:rPr>
      </w:pPr>
      <w:r>
        <w:rPr>
          <w:rFonts w:hint="eastAsia" w:ascii="宋体" w:hAnsi="宋体"/>
          <w:color w:val="auto"/>
          <w:sz w:val="24"/>
          <w:highlight w:val="none"/>
        </w:rPr>
        <w:br w:type="page"/>
      </w:r>
      <w:r>
        <w:rPr>
          <w:rFonts w:hint="eastAsia" w:ascii="宋体" w:hAnsi="宋体"/>
          <w:b/>
          <w:bCs/>
          <w:color w:val="auto"/>
          <w:sz w:val="32"/>
          <w:szCs w:val="32"/>
          <w:highlight w:val="none"/>
        </w:rPr>
        <w:t>报价文件目录</w:t>
      </w:r>
    </w:p>
    <w:p w14:paraId="4764B578">
      <w:pPr>
        <w:rPr>
          <w:rFonts w:hint="eastAsia" w:ascii="宋体" w:hAnsi="宋体" w:cs="宋体"/>
          <w:color w:val="auto"/>
          <w:highlight w:val="none"/>
        </w:rPr>
      </w:pPr>
    </w:p>
    <w:p w14:paraId="6D0ED19C">
      <w:pPr>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一、响应函………………………………………………………（页码）</w:t>
      </w:r>
    </w:p>
    <w:p w14:paraId="07958CB3">
      <w:pPr>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二、响应报价表…………………………………………………（页码）</w:t>
      </w:r>
    </w:p>
    <w:p w14:paraId="579A7A40">
      <w:pPr>
        <w:snapToGrid w:val="0"/>
        <w:spacing w:before="120" w:beforeLines="50" w:after="50" w:line="360" w:lineRule="auto"/>
        <w:ind w:left="142" w:firstLine="640" w:firstLineChars="200"/>
        <w:jc w:val="left"/>
        <w:rPr>
          <w:rFonts w:hint="eastAsia" w:ascii="仿宋_GB2312" w:hAnsi="仿宋_GB2312" w:eastAsia="仿宋_GB2312" w:cs="仿宋_GB2312"/>
          <w:color w:val="auto"/>
          <w:sz w:val="32"/>
          <w:szCs w:val="32"/>
          <w:highlight w:val="none"/>
        </w:rPr>
      </w:pPr>
    </w:p>
    <w:p w14:paraId="5C8328FA">
      <w:pPr>
        <w:snapToGrid w:val="0"/>
        <w:spacing w:before="120" w:beforeLines="50" w:after="50" w:line="360" w:lineRule="auto"/>
        <w:ind w:left="142" w:firstLine="480" w:firstLineChars="200"/>
        <w:jc w:val="left"/>
        <w:rPr>
          <w:rFonts w:hint="eastAsia" w:hAnsi="宋体" w:cs="仿宋_GB2312"/>
          <w:color w:val="auto"/>
          <w:sz w:val="24"/>
          <w:highlight w:val="none"/>
        </w:rPr>
      </w:pPr>
      <w:r>
        <w:rPr>
          <w:rFonts w:hAnsi="宋体" w:cs="仿宋_GB2312"/>
          <w:color w:val="auto"/>
          <w:sz w:val="24"/>
          <w:highlight w:val="none"/>
        </w:rPr>
        <w:br w:type="page"/>
      </w:r>
      <w:r>
        <w:rPr>
          <w:rFonts w:hint="eastAsia" w:hAnsi="宋体"/>
          <w:b/>
          <w:bCs/>
          <w:color w:val="auto"/>
          <w:sz w:val="32"/>
          <w:szCs w:val="32"/>
          <w:highlight w:val="none"/>
        </w:rPr>
        <w:t>一、响应函</w:t>
      </w:r>
    </w:p>
    <w:p w14:paraId="068DCE05">
      <w:pPr>
        <w:pStyle w:val="11"/>
        <w:spacing w:line="500" w:lineRule="exact"/>
        <w:ind w:left="0" w:leftChars="0"/>
        <w:jc w:val="center"/>
        <w:rPr>
          <w:b/>
          <w:bCs/>
          <w:color w:val="auto"/>
          <w:sz w:val="30"/>
          <w:szCs w:val="30"/>
          <w:highlight w:val="none"/>
        </w:rPr>
      </w:pPr>
      <w:r>
        <w:rPr>
          <w:rFonts w:hint="eastAsia"/>
          <w:b/>
          <w:bCs/>
          <w:color w:val="auto"/>
          <w:sz w:val="30"/>
          <w:szCs w:val="30"/>
          <w:highlight w:val="none"/>
        </w:rPr>
        <w:t>响应函</w:t>
      </w:r>
    </w:p>
    <w:p w14:paraId="1D08A7FC">
      <w:pPr>
        <w:pStyle w:val="11"/>
        <w:spacing w:line="360" w:lineRule="auto"/>
        <w:ind w:left="0" w:leftChars="0"/>
        <w:rPr>
          <w:color w:val="auto"/>
          <w:szCs w:val="20"/>
          <w:highlight w:val="none"/>
        </w:rPr>
      </w:pPr>
      <w:r>
        <w:rPr>
          <w:rFonts w:hint="eastAsia"/>
          <w:color w:val="auto"/>
          <w:szCs w:val="20"/>
          <w:highlight w:val="none"/>
        </w:rPr>
        <w:t>致：</w:t>
      </w:r>
      <w:r>
        <w:rPr>
          <w:color w:val="auto"/>
          <w:szCs w:val="20"/>
          <w:highlight w:val="none"/>
          <w:u w:val="single"/>
        </w:rPr>
        <w:t xml:space="preserve"> </w:t>
      </w:r>
      <w:r>
        <w:rPr>
          <w:rFonts w:hint="eastAsia"/>
          <w:color w:val="auto"/>
          <w:szCs w:val="20"/>
          <w:highlight w:val="none"/>
          <w:u w:val="single"/>
        </w:rPr>
        <w:t>广西机电设备招标有限公司</w:t>
      </w:r>
      <w:r>
        <w:rPr>
          <w:color w:val="auto"/>
          <w:szCs w:val="20"/>
          <w:highlight w:val="none"/>
          <w:u w:val="single"/>
        </w:rPr>
        <w:t xml:space="preserve"> </w:t>
      </w:r>
    </w:p>
    <w:p w14:paraId="62F2186C">
      <w:pPr>
        <w:pStyle w:val="11"/>
        <w:spacing w:line="360" w:lineRule="auto"/>
        <w:ind w:left="0" w:leftChars="0" w:firstLine="420" w:firstLineChars="200"/>
        <w:rPr>
          <w:color w:val="auto"/>
          <w:szCs w:val="20"/>
          <w:highlight w:val="none"/>
        </w:rPr>
      </w:pPr>
      <w:r>
        <w:rPr>
          <w:rFonts w:hint="eastAsia"/>
          <w:color w:val="auto"/>
          <w:szCs w:val="20"/>
          <w:highlight w:val="none"/>
        </w:rPr>
        <w:t>我方已仔细阅读了贵方组织的</w:t>
      </w:r>
      <w:r>
        <w:rPr>
          <w:rFonts w:hint="eastAsia"/>
          <w:color w:val="auto"/>
          <w:szCs w:val="20"/>
          <w:highlight w:val="none"/>
          <w:u w:val="single"/>
          <w:lang w:eastAsia="zh-CN"/>
        </w:rPr>
        <w:t>第三方机构审计、核验2025年财政资金计划补助项目服务（3分标重）</w:t>
      </w:r>
      <w:r>
        <w:rPr>
          <w:rFonts w:hint="eastAsia"/>
          <w:color w:val="auto"/>
          <w:szCs w:val="20"/>
          <w:highlight w:val="none"/>
          <w:u w:val="single"/>
        </w:rPr>
        <w:t xml:space="preserve">  </w:t>
      </w:r>
      <w:r>
        <w:rPr>
          <w:rFonts w:hint="eastAsia"/>
          <w:color w:val="auto"/>
          <w:szCs w:val="20"/>
          <w:highlight w:val="none"/>
        </w:rPr>
        <w:t>项目（标项_</w:t>
      </w:r>
      <w:r>
        <w:rPr>
          <w:color w:val="auto"/>
          <w:szCs w:val="20"/>
          <w:highlight w:val="none"/>
        </w:rPr>
        <w:t>______</w:t>
      </w:r>
      <w:r>
        <w:rPr>
          <w:rFonts w:hint="eastAsia"/>
          <w:color w:val="auto"/>
          <w:szCs w:val="20"/>
          <w:highlight w:val="none"/>
        </w:rPr>
        <w:t>）（项目编号：</w:t>
      </w:r>
      <w:r>
        <w:rPr>
          <w:rFonts w:hint="eastAsia" w:hAnsi="宋体"/>
          <w:color w:val="auto"/>
          <w:szCs w:val="20"/>
          <w:highlight w:val="none"/>
          <w:u w:val="single"/>
        </w:rPr>
        <w:t xml:space="preserve">         </w:t>
      </w:r>
      <w:r>
        <w:rPr>
          <w:rFonts w:hint="eastAsia"/>
          <w:color w:val="auto"/>
          <w:szCs w:val="20"/>
          <w:highlight w:val="none"/>
        </w:rPr>
        <w:t xml:space="preserve">）的竞争性磋商采购文件的全部内容，现正式递交下述文件参加贵方组织的本次政府采购活动： </w:t>
      </w:r>
    </w:p>
    <w:p w14:paraId="45A6BA61">
      <w:pPr>
        <w:pStyle w:val="11"/>
        <w:spacing w:line="360" w:lineRule="auto"/>
        <w:ind w:left="0" w:leftChars="0" w:firstLine="420" w:firstLineChars="200"/>
        <w:rPr>
          <w:color w:val="auto"/>
          <w:szCs w:val="20"/>
          <w:highlight w:val="none"/>
        </w:rPr>
      </w:pPr>
      <w:r>
        <w:rPr>
          <w:rFonts w:hint="eastAsia"/>
          <w:color w:val="auto"/>
          <w:szCs w:val="20"/>
          <w:highlight w:val="none"/>
        </w:rPr>
        <w:t>一、首次报价文件电子版</w:t>
      </w:r>
      <w:r>
        <w:rPr>
          <w:rFonts w:hint="eastAsia"/>
          <w:color w:val="auto"/>
          <w:szCs w:val="20"/>
          <w:highlight w:val="none"/>
          <w:u w:val="single"/>
        </w:rPr>
        <w:t xml:space="preserve">   </w:t>
      </w:r>
      <w:r>
        <w:rPr>
          <w:rFonts w:hint="eastAsia"/>
          <w:color w:val="auto"/>
          <w:szCs w:val="20"/>
          <w:highlight w:val="none"/>
        </w:rPr>
        <w:t>份（包含按“第三章 供应商须知”提交的全部文件）；</w:t>
      </w:r>
    </w:p>
    <w:p w14:paraId="33DAD2BF">
      <w:pPr>
        <w:pStyle w:val="11"/>
        <w:spacing w:line="360" w:lineRule="auto"/>
        <w:ind w:left="0" w:leftChars="0" w:firstLine="420" w:firstLineChars="200"/>
        <w:rPr>
          <w:color w:val="auto"/>
          <w:szCs w:val="20"/>
          <w:highlight w:val="none"/>
        </w:rPr>
      </w:pPr>
      <w:r>
        <w:rPr>
          <w:rFonts w:hint="eastAsia"/>
          <w:color w:val="auto"/>
          <w:szCs w:val="20"/>
          <w:highlight w:val="none"/>
        </w:rPr>
        <w:t>二、</w:t>
      </w:r>
      <w:r>
        <w:rPr>
          <w:rFonts w:hint="eastAsia" w:hAnsi="宋体"/>
          <w:color w:val="auto"/>
          <w:szCs w:val="20"/>
          <w:highlight w:val="none"/>
        </w:rPr>
        <w:t>技术</w:t>
      </w:r>
      <w:r>
        <w:rPr>
          <w:rFonts w:hint="eastAsia"/>
          <w:color w:val="auto"/>
          <w:szCs w:val="20"/>
          <w:highlight w:val="none"/>
        </w:rPr>
        <w:t>文件电子版</w:t>
      </w:r>
      <w:r>
        <w:rPr>
          <w:rFonts w:hint="eastAsia"/>
          <w:color w:val="auto"/>
          <w:szCs w:val="20"/>
          <w:highlight w:val="none"/>
          <w:u w:val="single"/>
        </w:rPr>
        <w:t xml:space="preserve">   </w:t>
      </w:r>
      <w:r>
        <w:rPr>
          <w:rFonts w:hint="eastAsia"/>
          <w:color w:val="auto"/>
          <w:szCs w:val="20"/>
          <w:highlight w:val="none"/>
        </w:rPr>
        <w:t>份（包含按“第三章 供应商须知”提交的全部文件）；商务</w:t>
      </w:r>
      <w:r>
        <w:rPr>
          <w:rFonts w:hint="eastAsia" w:hAnsi="宋体"/>
          <w:color w:val="auto"/>
          <w:szCs w:val="20"/>
          <w:highlight w:val="none"/>
        </w:rPr>
        <w:t>文件</w:t>
      </w:r>
      <w:r>
        <w:rPr>
          <w:rFonts w:hint="eastAsia"/>
          <w:color w:val="auto"/>
          <w:szCs w:val="20"/>
          <w:highlight w:val="none"/>
        </w:rPr>
        <w:t>电子版</w:t>
      </w:r>
      <w:r>
        <w:rPr>
          <w:rFonts w:hint="eastAsia"/>
          <w:color w:val="auto"/>
          <w:szCs w:val="20"/>
          <w:highlight w:val="none"/>
          <w:u w:val="single"/>
        </w:rPr>
        <w:t xml:space="preserve">   </w:t>
      </w:r>
      <w:r>
        <w:rPr>
          <w:rFonts w:hint="eastAsia"/>
          <w:color w:val="auto"/>
          <w:szCs w:val="20"/>
          <w:highlight w:val="none"/>
        </w:rPr>
        <w:t>份（包含按“第三章 供应商须知”提交的全部文件）；（商务技术文件已合并装订成册）；</w:t>
      </w:r>
    </w:p>
    <w:p w14:paraId="21A5AAF8">
      <w:pPr>
        <w:pStyle w:val="11"/>
        <w:spacing w:line="360" w:lineRule="auto"/>
        <w:ind w:left="0" w:leftChars="0" w:firstLine="420" w:firstLineChars="200"/>
        <w:rPr>
          <w:color w:val="auto"/>
          <w:szCs w:val="20"/>
          <w:highlight w:val="none"/>
        </w:rPr>
      </w:pPr>
      <w:r>
        <w:rPr>
          <w:rFonts w:hint="eastAsia"/>
          <w:color w:val="auto"/>
          <w:szCs w:val="20"/>
          <w:highlight w:val="none"/>
        </w:rPr>
        <w:t>三、资格证明文件电子版（包含按“第三章供应商须知”提交的全部文件）；</w:t>
      </w:r>
    </w:p>
    <w:p w14:paraId="22A6DF92">
      <w:pPr>
        <w:pStyle w:val="11"/>
        <w:spacing w:line="360" w:lineRule="auto"/>
        <w:ind w:left="0" w:leftChars="0" w:firstLine="420" w:firstLineChars="200"/>
        <w:rPr>
          <w:color w:val="auto"/>
          <w:szCs w:val="20"/>
          <w:highlight w:val="none"/>
        </w:rPr>
      </w:pPr>
      <w:r>
        <w:rPr>
          <w:rFonts w:hint="eastAsia"/>
          <w:color w:val="auto"/>
          <w:szCs w:val="20"/>
          <w:highlight w:val="none"/>
        </w:rPr>
        <w:t>据此函，签字人兹宣布：</w:t>
      </w:r>
    </w:p>
    <w:p w14:paraId="07D9485A">
      <w:pPr>
        <w:pStyle w:val="11"/>
        <w:spacing w:line="360" w:lineRule="auto"/>
        <w:ind w:left="0" w:leftChars="0" w:firstLine="482"/>
        <w:rPr>
          <w:color w:val="auto"/>
          <w:szCs w:val="20"/>
          <w:highlight w:val="none"/>
        </w:rPr>
      </w:pPr>
      <w:r>
        <w:rPr>
          <w:rFonts w:hint="eastAsia"/>
          <w:color w:val="auto"/>
          <w:szCs w:val="20"/>
          <w:highlight w:val="none"/>
        </w:rPr>
        <w:t>1、我方愿意以（大写）人民币</w:t>
      </w:r>
      <w:r>
        <w:rPr>
          <w:rFonts w:hint="eastAsia"/>
          <w:color w:val="auto"/>
          <w:szCs w:val="20"/>
          <w:highlight w:val="none"/>
          <w:u w:val="single"/>
        </w:rPr>
        <w:t xml:space="preserve">              </w:t>
      </w:r>
      <w:r>
        <w:rPr>
          <w:rFonts w:hint="eastAsia"/>
          <w:color w:val="auto"/>
          <w:szCs w:val="20"/>
          <w:highlight w:val="none"/>
        </w:rPr>
        <w:t>（￥</w:t>
      </w:r>
      <w:r>
        <w:rPr>
          <w:rFonts w:hint="eastAsia"/>
          <w:color w:val="auto"/>
          <w:szCs w:val="20"/>
          <w:highlight w:val="none"/>
          <w:u w:val="single"/>
        </w:rPr>
        <w:t xml:space="preserve">          </w:t>
      </w:r>
      <w:r>
        <w:rPr>
          <w:rFonts w:hint="eastAsia"/>
          <w:color w:val="auto"/>
          <w:szCs w:val="20"/>
          <w:highlight w:val="none"/>
        </w:rPr>
        <w:t>元)的竞标总报价，提供服务期（无标项时填写）：</w:t>
      </w:r>
      <w:r>
        <w:rPr>
          <w:rFonts w:hint="eastAsia"/>
          <w:color w:val="auto"/>
          <w:szCs w:val="20"/>
          <w:highlight w:val="none"/>
          <w:u w:val="single"/>
        </w:rPr>
        <w:t xml:space="preserve">            </w:t>
      </w:r>
      <w:r>
        <w:rPr>
          <w:rFonts w:hint="eastAsia"/>
          <w:color w:val="auto"/>
          <w:szCs w:val="20"/>
          <w:highlight w:val="none"/>
        </w:rPr>
        <w:t>，提供本项目竞争性磋商采购文件第二章“服务需求一览表”中相应的采购内容。</w:t>
      </w:r>
    </w:p>
    <w:p w14:paraId="1A31966D">
      <w:pPr>
        <w:pStyle w:val="11"/>
        <w:spacing w:line="360" w:lineRule="auto"/>
        <w:ind w:left="0" w:leftChars="0" w:firstLine="482"/>
        <w:rPr>
          <w:color w:val="auto"/>
          <w:szCs w:val="20"/>
          <w:highlight w:val="none"/>
        </w:rPr>
      </w:pPr>
      <w:r>
        <w:rPr>
          <w:rFonts w:hint="eastAsia"/>
          <w:color w:val="auto"/>
          <w:szCs w:val="20"/>
          <w:highlight w:val="none"/>
        </w:rPr>
        <w:t>其中（有标项时填写）：</w:t>
      </w:r>
    </w:p>
    <w:p w14:paraId="54545B3B">
      <w:pPr>
        <w:pStyle w:val="11"/>
        <w:spacing w:line="360" w:lineRule="auto"/>
        <w:ind w:left="0" w:leftChars="0" w:firstLine="482"/>
        <w:rPr>
          <w:color w:val="auto"/>
          <w:szCs w:val="20"/>
          <w:highlight w:val="none"/>
        </w:rPr>
      </w:pPr>
      <w:r>
        <w:rPr>
          <w:rFonts w:hint="eastAsia"/>
          <w:color w:val="auto"/>
          <w:szCs w:val="20"/>
          <w:highlight w:val="none"/>
        </w:rPr>
        <w:t>标项报价为（大写）人民币</w:t>
      </w:r>
      <w:r>
        <w:rPr>
          <w:rFonts w:hint="eastAsia"/>
          <w:color w:val="auto"/>
          <w:szCs w:val="20"/>
          <w:highlight w:val="none"/>
          <w:u w:val="single"/>
        </w:rPr>
        <w:t xml:space="preserve">               </w:t>
      </w:r>
      <w:r>
        <w:rPr>
          <w:rFonts w:hint="eastAsia"/>
          <w:color w:val="auto"/>
          <w:szCs w:val="20"/>
          <w:highlight w:val="none"/>
        </w:rPr>
        <w:t xml:space="preserve"> (￥</w:t>
      </w:r>
      <w:r>
        <w:rPr>
          <w:rFonts w:hint="eastAsia"/>
          <w:color w:val="auto"/>
          <w:szCs w:val="20"/>
          <w:highlight w:val="none"/>
          <w:u w:val="single"/>
        </w:rPr>
        <w:t xml:space="preserve">           </w:t>
      </w:r>
      <w:r>
        <w:rPr>
          <w:rFonts w:hint="eastAsia"/>
          <w:color w:val="auto"/>
          <w:szCs w:val="20"/>
          <w:highlight w:val="none"/>
        </w:rPr>
        <w:t>元)，服务期：</w:t>
      </w:r>
      <w:r>
        <w:rPr>
          <w:rFonts w:hint="eastAsia"/>
          <w:color w:val="auto"/>
          <w:szCs w:val="20"/>
          <w:highlight w:val="none"/>
          <w:u w:val="single"/>
        </w:rPr>
        <w:t xml:space="preserve">          </w:t>
      </w:r>
      <w:r>
        <w:rPr>
          <w:rFonts w:hint="eastAsia"/>
          <w:color w:val="auto"/>
          <w:szCs w:val="20"/>
          <w:highlight w:val="none"/>
        </w:rPr>
        <w:t>；</w:t>
      </w:r>
    </w:p>
    <w:p w14:paraId="256A53B3">
      <w:pPr>
        <w:pStyle w:val="11"/>
        <w:spacing w:line="360" w:lineRule="auto"/>
        <w:ind w:left="0" w:leftChars="0" w:firstLine="482"/>
        <w:rPr>
          <w:color w:val="auto"/>
          <w:szCs w:val="20"/>
          <w:highlight w:val="none"/>
        </w:rPr>
      </w:pPr>
      <w:r>
        <w:rPr>
          <w:rFonts w:hint="eastAsia"/>
          <w:color w:val="auto"/>
          <w:szCs w:val="20"/>
          <w:highlight w:val="none"/>
          <w:u w:val="single"/>
        </w:rPr>
        <w:t xml:space="preserve">    </w:t>
      </w:r>
      <w:r>
        <w:rPr>
          <w:rFonts w:hint="eastAsia"/>
          <w:color w:val="auto"/>
          <w:szCs w:val="20"/>
          <w:highlight w:val="none"/>
        </w:rPr>
        <w:t>标项报价为（大写）人民币</w:t>
      </w:r>
      <w:r>
        <w:rPr>
          <w:rFonts w:hint="eastAsia"/>
          <w:color w:val="auto"/>
          <w:szCs w:val="20"/>
          <w:highlight w:val="none"/>
          <w:u w:val="single"/>
        </w:rPr>
        <w:t xml:space="preserve">               </w:t>
      </w:r>
      <w:r>
        <w:rPr>
          <w:rFonts w:hint="eastAsia"/>
          <w:color w:val="auto"/>
          <w:szCs w:val="20"/>
          <w:highlight w:val="none"/>
        </w:rPr>
        <w:t xml:space="preserve"> (￥</w:t>
      </w:r>
      <w:r>
        <w:rPr>
          <w:rFonts w:hint="eastAsia"/>
          <w:color w:val="auto"/>
          <w:szCs w:val="20"/>
          <w:highlight w:val="none"/>
          <w:u w:val="single"/>
        </w:rPr>
        <w:t xml:space="preserve">           </w:t>
      </w:r>
      <w:r>
        <w:rPr>
          <w:rFonts w:hint="eastAsia"/>
          <w:color w:val="auto"/>
          <w:szCs w:val="20"/>
          <w:highlight w:val="none"/>
        </w:rPr>
        <w:t>元)，服务期：</w:t>
      </w:r>
      <w:r>
        <w:rPr>
          <w:rFonts w:hint="eastAsia"/>
          <w:color w:val="auto"/>
          <w:szCs w:val="20"/>
          <w:highlight w:val="none"/>
          <w:u w:val="single"/>
        </w:rPr>
        <w:t xml:space="preserve">          </w:t>
      </w:r>
      <w:r>
        <w:rPr>
          <w:rFonts w:hint="eastAsia"/>
          <w:color w:val="auto"/>
          <w:szCs w:val="20"/>
          <w:highlight w:val="none"/>
        </w:rPr>
        <w:t>；</w:t>
      </w:r>
    </w:p>
    <w:p w14:paraId="3E8498EF">
      <w:pPr>
        <w:pStyle w:val="11"/>
        <w:spacing w:line="360" w:lineRule="auto"/>
        <w:ind w:left="0" w:leftChars="0" w:firstLine="482"/>
        <w:rPr>
          <w:color w:val="auto"/>
          <w:szCs w:val="20"/>
          <w:highlight w:val="none"/>
        </w:rPr>
      </w:pPr>
      <w:r>
        <w:rPr>
          <w:rFonts w:hint="eastAsia"/>
          <w:color w:val="auto"/>
          <w:szCs w:val="20"/>
          <w:highlight w:val="none"/>
        </w:rPr>
        <w:t>......</w:t>
      </w:r>
    </w:p>
    <w:p w14:paraId="2E4A3EC6">
      <w:pPr>
        <w:pStyle w:val="11"/>
        <w:spacing w:line="360" w:lineRule="auto"/>
        <w:ind w:left="0" w:leftChars="0" w:firstLine="482"/>
        <w:rPr>
          <w:color w:val="auto"/>
          <w:szCs w:val="20"/>
          <w:highlight w:val="none"/>
        </w:rPr>
      </w:pPr>
      <w:r>
        <w:rPr>
          <w:rFonts w:hint="eastAsia"/>
          <w:color w:val="auto"/>
          <w:szCs w:val="20"/>
          <w:highlight w:val="none"/>
        </w:rPr>
        <w:t>2、我方同意自本项目竞争性磋商采购文件采购公告规定的递交响应文件截止时间起遵循</w:t>
      </w:r>
      <w:r>
        <w:rPr>
          <w:rFonts w:hint="eastAsia" w:hAnsi="宋体"/>
          <w:color w:val="auto"/>
          <w:szCs w:val="20"/>
          <w:highlight w:val="none"/>
        </w:rPr>
        <w:t>本响应函</w:t>
      </w:r>
      <w:r>
        <w:rPr>
          <w:rFonts w:hint="eastAsia"/>
          <w:color w:val="auto"/>
          <w:szCs w:val="20"/>
          <w:highlight w:val="none"/>
        </w:rPr>
        <w:t>，并承诺在“第三章 供应商须知”规定的响应有效期内不修改、撤销响应文件。</w:t>
      </w:r>
    </w:p>
    <w:p w14:paraId="3059D8B4">
      <w:pPr>
        <w:pStyle w:val="11"/>
        <w:spacing w:line="360" w:lineRule="auto"/>
        <w:ind w:left="0" w:leftChars="0" w:firstLine="482"/>
        <w:rPr>
          <w:color w:val="auto"/>
          <w:szCs w:val="20"/>
          <w:highlight w:val="none"/>
        </w:rPr>
      </w:pPr>
      <w:r>
        <w:rPr>
          <w:rFonts w:hint="eastAsia"/>
          <w:color w:val="auto"/>
          <w:szCs w:val="20"/>
          <w:highlight w:val="none"/>
        </w:rPr>
        <w:t>3、我方在此声明，所递交的响应文件及有关资料内容完整、真实和准确。</w:t>
      </w:r>
    </w:p>
    <w:p w14:paraId="467C1E8C">
      <w:pPr>
        <w:pStyle w:val="11"/>
        <w:spacing w:line="360" w:lineRule="auto"/>
        <w:ind w:left="0" w:leftChars="0" w:firstLine="482"/>
        <w:rPr>
          <w:color w:val="auto"/>
          <w:szCs w:val="20"/>
          <w:highlight w:val="none"/>
        </w:rPr>
      </w:pPr>
      <w:r>
        <w:rPr>
          <w:rFonts w:hint="eastAsia"/>
          <w:color w:val="auto"/>
          <w:szCs w:val="20"/>
          <w:highlight w:val="none"/>
        </w:rPr>
        <w:t>4、如本项目采购内容涉及须符合国家强制规定的，我方承诺我方本次竞标均符合国家有关强制规定。</w:t>
      </w:r>
    </w:p>
    <w:p w14:paraId="3F9277B1">
      <w:pPr>
        <w:pStyle w:val="11"/>
        <w:spacing w:line="360" w:lineRule="auto"/>
        <w:ind w:left="0" w:leftChars="0" w:firstLine="482"/>
        <w:rPr>
          <w:color w:val="auto"/>
          <w:szCs w:val="20"/>
          <w:highlight w:val="none"/>
        </w:rPr>
      </w:pPr>
      <w:r>
        <w:rPr>
          <w:rFonts w:hint="eastAsia"/>
          <w:color w:val="auto"/>
          <w:szCs w:val="20"/>
          <w:highlight w:val="none"/>
        </w:rPr>
        <w:t>5、如我方成交，我方承诺在收到成交通知书后，在成交通知书规定的期限内，</w:t>
      </w:r>
      <w:r>
        <w:rPr>
          <w:rFonts w:hint="eastAsia" w:hAnsi="宋体"/>
          <w:color w:val="auto"/>
          <w:szCs w:val="20"/>
          <w:highlight w:val="none"/>
        </w:rPr>
        <w:t>根据竞争性磋商采购文件、我方的响应文件及有关澄清承诺书的要求按第六章“合同文本”与采购人订立书面合同，并按照合同约定</w:t>
      </w:r>
      <w:r>
        <w:rPr>
          <w:rFonts w:hint="eastAsia"/>
          <w:color w:val="auto"/>
          <w:szCs w:val="20"/>
          <w:highlight w:val="none"/>
        </w:rPr>
        <w:t>承担完成合同的责任和义务。</w:t>
      </w:r>
    </w:p>
    <w:p w14:paraId="101DFC16">
      <w:pPr>
        <w:pStyle w:val="11"/>
        <w:spacing w:line="360" w:lineRule="auto"/>
        <w:ind w:left="0" w:leftChars="0" w:firstLine="482"/>
        <w:rPr>
          <w:color w:val="auto"/>
          <w:szCs w:val="20"/>
          <w:highlight w:val="none"/>
        </w:rPr>
      </w:pPr>
      <w:r>
        <w:rPr>
          <w:rFonts w:hint="eastAsia"/>
          <w:color w:val="auto"/>
          <w:szCs w:val="20"/>
          <w:highlight w:val="none"/>
        </w:rPr>
        <w:t>6、我方已详细审核竞争性磋商采购文件，我方知道必须放弃提出含糊不清或误解问题的权利。</w:t>
      </w:r>
    </w:p>
    <w:p w14:paraId="66EF807D">
      <w:pPr>
        <w:pStyle w:val="11"/>
        <w:spacing w:line="360" w:lineRule="auto"/>
        <w:ind w:left="0" w:leftChars="0" w:firstLine="482"/>
        <w:rPr>
          <w:color w:val="auto"/>
          <w:szCs w:val="20"/>
          <w:highlight w:val="none"/>
        </w:rPr>
      </w:pPr>
      <w:r>
        <w:rPr>
          <w:rFonts w:hint="eastAsia"/>
          <w:color w:val="auto"/>
          <w:szCs w:val="20"/>
          <w:highlight w:val="none"/>
        </w:rPr>
        <w:t>7、我方承诺满足竞争性磋商采购文件</w:t>
      </w:r>
      <w:r>
        <w:rPr>
          <w:rFonts w:hint="eastAsia" w:hAnsi="宋体"/>
          <w:color w:val="auto"/>
          <w:szCs w:val="20"/>
          <w:highlight w:val="none"/>
        </w:rPr>
        <w:t>第六章“合同文本”</w:t>
      </w:r>
      <w:r>
        <w:rPr>
          <w:rFonts w:hint="eastAsia"/>
          <w:color w:val="auto"/>
          <w:szCs w:val="20"/>
          <w:highlight w:val="none"/>
        </w:rPr>
        <w:t>的条款，承担完成合同的责任和义务。</w:t>
      </w:r>
    </w:p>
    <w:p w14:paraId="58717F50">
      <w:pPr>
        <w:pStyle w:val="11"/>
        <w:spacing w:line="360" w:lineRule="auto"/>
        <w:ind w:left="0" w:leftChars="0" w:firstLine="482"/>
        <w:rPr>
          <w:color w:val="auto"/>
          <w:szCs w:val="20"/>
          <w:highlight w:val="none"/>
        </w:rPr>
      </w:pPr>
      <w:r>
        <w:rPr>
          <w:rFonts w:hint="eastAsia"/>
          <w:color w:val="auto"/>
          <w:szCs w:val="20"/>
          <w:highlight w:val="none"/>
        </w:rPr>
        <w:t>8、我方同意应贵方要求提供与本竞标有关的任何数据或资料。若贵方需要，我方愿意提供我方作出的一切承诺的证明材料。</w:t>
      </w:r>
    </w:p>
    <w:p w14:paraId="7C52B3A5">
      <w:pPr>
        <w:pStyle w:val="11"/>
        <w:spacing w:line="360" w:lineRule="auto"/>
        <w:ind w:left="0" w:leftChars="0" w:firstLine="482"/>
        <w:rPr>
          <w:color w:val="auto"/>
          <w:szCs w:val="20"/>
          <w:highlight w:val="none"/>
        </w:rPr>
      </w:pPr>
      <w:r>
        <w:rPr>
          <w:rFonts w:hint="eastAsia"/>
          <w:color w:val="auto"/>
          <w:szCs w:val="20"/>
          <w:highlight w:val="none"/>
        </w:rPr>
        <w:t>9、我方完全理解贵方不一定接受响应报价最低的竞标人为成交供应商的行为。</w:t>
      </w:r>
    </w:p>
    <w:p w14:paraId="49CC0C98">
      <w:pPr>
        <w:pStyle w:val="11"/>
        <w:spacing w:line="360" w:lineRule="auto"/>
        <w:ind w:left="0" w:leftChars="0" w:firstLine="482"/>
        <w:rPr>
          <w:color w:val="auto"/>
          <w:szCs w:val="20"/>
          <w:highlight w:val="none"/>
        </w:rPr>
      </w:pPr>
      <w:r>
        <w:rPr>
          <w:rFonts w:hint="eastAsia"/>
          <w:color w:val="auto"/>
          <w:szCs w:val="20"/>
          <w:highlight w:val="none"/>
        </w:rPr>
        <w:t>10、我方将严格遵守《中华人民共和国政府采购法》第七十七条的规定，即供应商有下列情形之一的，处以采购金额千分之五以上千分之十</w:t>
      </w:r>
      <w:r>
        <w:rPr>
          <w:rFonts w:hint="eastAsia" w:hAnsi="宋体"/>
          <w:color w:val="auto"/>
          <w:szCs w:val="20"/>
          <w:highlight w:val="none"/>
        </w:rPr>
        <w:t>以下的罚款，列入不良行为记录名单，在一至三年内禁止参加政府采购活动，有违法所得的，并处没收违法所得，情节严重的，由工商行政管理机关吊销营业执照；构成犯罪的，依法追究刑事责任：</w:t>
      </w:r>
    </w:p>
    <w:p w14:paraId="78C74776">
      <w:pPr>
        <w:pStyle w:val="11"/>
        <w:tabs>
          <w:tab w:val="left" w:pos="945"/>
        </w:tabs>
        <w:spacing w:line="360" w:lineRule="auto"/>
        <w:ind w:left="720" w:leftChars="0" w:hanging="720"/>
        <w:rPr>
          <w:rFonts w:hint="eastAsia" w:hAnsi="宋体"/>
          <w:color w:val="auto"/>
          <w:szCs w:val="20"/>
          <w:highlight w:val="none"/>
        </w:rPr>
      </w:pPr>
      <w:r>
        <w:rPr>
          <w:rFonts w:hint="eastAsia" w:ascii="宋体" w:hAnsi="宋体"/>
          <w:color w:val="auto"/>
          <w:szCs w:val="20"/>
          <w:highlight w:val="none"/>
        </w:rPr>
        <w:t>（1）</w:t>
      </w:r>
      <w:r>
        <w:rPr>
          <w:rFonts w:hint="eastAsia" w:hAnsi="宋体"/>
          <w:color w:val="auto"/>
          <w:szCs w:val="20"/>
          <w:highlight w:val="none"/>
        </w:rPr>
        <w:t>提供虚假材料谋取中标、成交的；</w:t>
      </w:r>
    </w:p>
    <w:p w14:paraId="4229BABE">
      <w:pPr>
        <w:pStyle w:val="11"/>
        <w:tabs>
          <w:tab w:val="left" w:pos="945"/>
        </w:tabs>
        <w:spacing w:line="360" w:lineRule="auto"/>
        <w:ind w:left="720" w:leftChars="0" w:hanging="720"/>
        <w:rPr>
          <w:rFonts w:hint="eastAsia" w:hAnsi="宋体"/>
          <w:color w:val="auto"/>
          <w:szCs w:val="20"/>
          <w:highlight w:val="none"/>
        </w:rPr>
      </w:pPr>
      <w:r>
        <w:rPr>
          <w:rFonts w:hint="eastAsia" w:ascii="宋体" w:hAnsi="宋体"/>
          <w:color w:val="auto"/>
          <w:szCs w:val="20"/>
          <w:highlight w:val="none"/>
        </w:rPr>
        <w:t>（2）</w:t>
      </w:r>
      <w:r>
        <w:rPr>
          <w:rFonts w:hint="eastAsia" w:hAnsi="宋体"/>
          <w:color w:val="auto"/>
          <w:szCs w:val="20"/>
          <w:highlight w:val="none"/>
        </w:rPr>
        <w:t>采取不正当手段诋毁、排挤其他供应商的；</w:t>
      </w:r>
    </w:p>
    <w:p w14:paraId="3C5FF4E0">
      <w:pPr>
        <w:pStyle w:val="11"/>
        <w:tabs>
          <w:tab w:val="left" w:pos="945"/>
        </w:tabs>
        <w:spacing w:line="360" w:lineRule="auto"/>
        <w:ind w:left="720" w:leftChars="0" w:hanging="720"/>
        <w:rPr>
          <w:color w:val="auto"/>
          <w:szCs w:val="20"/>
          <w:highlight w:val="none"/>
        </w:rPr>
      </w:pPr>
      <w:r>
        <w:rPr>
          <w:rFonts w:hint="eastAsia" w:ascii="宋体" w:hAnsi="宋体"/>
          <w:color w:val="auto"/>
          <w:szCs w:val="20"/>
          <w:highlight w:val="none"/>
        </w:rPr>
        <w:t>（3）</w:t>
      </w:r>
      <w:r>
        <w:rPr>
          <w:rFonts w:hint="eastAsia" w:hAnsi="宋体"/>
          <w:color w:val="auto"/>
          <w:szCs w:val="20"/>
          <w:highlight w:val="none"/>
        </w:rPr>
        <w:t>与采购人、其他供应商或者采购代理机构恶意串通的；</w:t>
      </w:r>
    </w:p>
    <w:p w14:paraId="261EAC87">
      <w:pPr>
        <w:pStyle w:val="11"/>
        <w:tabs>
          <w:tab w:val="left" w:pos="945"/>
        </w:tabs>
        <w:spacing w:line="360" w:lineRule="auto"/>
        <w:ind w:left="720" w:leftChars="0" w:hanging="720"/>
        <w:rPr>
          <w:color w:val="auto"/>
          <w:szCs w:val="20"/>
          <w:highlight w:val="none"/>
        </w:rPr>
      </w:pPr>
      <w:r>
        <w:rPr>
          <w:rFonts w:hint="eastAsia" w:ascii="宋体" w:hAnsi="宋体"/>
          <w:color w:val="auto"/>
          <w:szCs w:val="20"/>
          <w:highlight w:val="none"/>
        </w:rPr>
        <w:t>（4）</w:t>
      </w:r>
      <w:r>
        <w:rPr>
          <w:rFonts w:hint="eastAsia" w:hAnsi="宋体"/>
          <w:color w:val="auto"/>
          <w:szCs w:val="20"/>
          <w:highlight w:val="none"/>
        </w:rPr>
        <w:t>向采购人、采购代理机构行贿或者提供其他不正当利益的；</w:t>
      </w:r>
    </w:p>
    <w:p w14:paraId="2647606A">
      <w:pPr>
        <w:pStyle w:val="11"/>
        <w:tabs>
          <w:tab w:val="left" w:pos="945"/>
        </w:tabs>
        <w:spacing w:line="360" w:lineRule="auto"/>
        <w:ind w:left="720" w:leftChars="0" w:hanging="720"/>
        <w:rPr>
          <w:color w:val="auto"/>
          <w:szCs w:val="20"/>
          <w:highlight w:val="none"/>
        </w:rPr>
      </w:pPr>
      <w:r>
        <w:rPr>
          <w:rFonts w:hint="eastAsia" w:ascii="宋体" w:hAnsi="宋体"/>
          <w:color w:val="auto"/>
          <w:szCs w:val="20"/>
          <w:highlight w:val="none"/>
        </w:rPr>
        <w:t>（5）</w:t>
      </w:r>
      <w:r>
        <w:rPr>
          <w:rFonts w:hint="eastAsia" w:hAnsi="宋体"/>
          <w:color w:val="auto"/>
          <w:szCs w:val="20"/>
          <w:highlight w:val="none"/>
        </w:rPr>
        <w:t>在采购过程中与采购人进行协商谈判的；</w:t>
      </w:r>
    </w:p>
    <w:p w14:paraId="27D32EC9">
      <w:pPr>
        <w:pStyle w:val="11"/>
        <w:tabs>
          <w:tab w:val="left" w:pos="945"/>
        </w:tabs>
        <w:spacing w:line="360" w:lineRule="auto"/>
        <w:ind w:left="720" w:leftChars="0" w:hanging="720"/>
        <w:rPr>
          <w:color w:val="auto"/>
          <w:szCs w:val="20"/>
          <w:highlight w:val="none"/>
        </w:rPr>
      </w:pPr>
      <w:r>
        <w:rPr>
          <w:rFonts w:hint="eastAsia" w:ascii="宋体" w:hAnsi="宋体"/>
          <w:color w:val="auto"/>
          <w:szCs w:val="20"/>
          <w:highlight w:val="none"/>
        </w:rPr>
        <w:t>（6）</w:t>
      </w:r>
      <w:r>
        <w:rPr>
          <w:rFonts w:hint="eastAsia" w:hAnsi="宋体"/>
          <w:color w:val="auto"/>
          <w:szCs w:val="20"/>
          <w:highlight w:val="none"/>
        </w:rPr>
        <w:t>拒绝有关部门监督检查或提供虚假情况的。</w:t>
      </w:r>
    </w:p>
    <w:p w14:paraId="22B2820D">
      <w:pPr>
        <w:pStyle w:val="11"/>
        <w:spacing w:line="360" w:lineRule="auto"/>
        <w:ind w:left="0" w:leftChars="0" w:firstLine="420"/>
        <w:rPr>
          <w:color w:val="auto"/>
          <w:szCs w:val="20"/>
          <w:highlight w:val="none"/>
        </w:rPr>
      </w:pPr>
      <w:r>
        <w:rPr>
          <w:rFonts w:hint="eastAsia" w:hAnsi="宋体" w:cs="宋体"/>
          <w:color w:val="auto"/>
          <w:szCs w:val="20"/>
          <w:highlight w:val="none"/>
        </w:rPr>
        <w:t>11.与本磋商有关的一切正式往来信函请寄</w:t>
      </w:r>
      <w:r>
        <w:rPr>
          <w:rFonts w:hint="eastAsia"/>
          <w:color w:val="auto"/>
          <w:szCs w:val="20"/>
          <w:highlight w:val="none"/>
        </w:rPr>
        <w:t>：</w:t>
      </w:r>
      <w:r>
        <w:rPr>
          <w:rFonts w:hint="eastAsia"/>
          <w:color w:val="auto"/>
          <w:szCs w:val="20"/>
          <w:highlight w:val="none"/>
          <w:u w:val="single"/>
        </w:rPr>
        <w:t xml:space="preserve"> </w:t>
      </w:r>
    </w:p>
    <w:p w14:paraId="4A5BBF65">
      <w:pPr>
        <w:pStyle w:val="11"/>
        <w:spacing w:line="360" w:lineRule="auto"/>
        <w:ind w:left="0" w:leftChars="0" w:firstLine="420"/>
        <w:rPr>
          <w:color w:val="auto"/>
          <w:szCs w:val="20"/>
          <w:highlight w:val="none"/>
        </w:rPr>
      </w:pPr>
      <w:r>
        <w:rPr>
          <w:rFonts w:hint="eastAsia"/>
          <w:color w:val="auto"/>
          <w:szCs w:val="20"/>
          <w:highlight w:val="none"/>
        </w:rPr>
        <w:t>地址：</w:t>
      </w:r>
      <w:r>
        <w:rPr>
          <w:rFonts w:hint="eastAsia"/>
          <w:color w:val="auto"/>
          <w:szCs w:val="20"/>
          <w:highlight w:val="none"/>
          <w:u w:val="single"/>
        </w:rPr>
        <w:t xml:space="preserve">                                                        </w:t>
      </w:r>
      <w:r>
        <w:rPr>
          <w:rFonts w:hint="eastAsia"/>
          <w:color w:val="auto"/>
          <w:szCs w:val="20"/>
          <w:highlight w:val="none"/>
        </w:rPr>
        <w:t xml:space="preserve"> </w:t>
      </w:r>
    </w:p>
    <w:p w14:paraId="4637BD50">
      <w:pPr>
        <w:pStyle w:val="11"/>
        <w:spacing w:line="360" w:lineRule="auto"/>
        <w:ind w:left="0" w:leftChars="0" w:firstLine="420"/>
        <w:rPr>
          <w:color w:val="auto"/>
          <w:szCs w:val="20"/>
          <w:highlight w:val="none"/>
          <w:u w:val="single"/>
        </w:rPr>
      </w:pPr>
      <w:r>
        <w:rPr>
          <w:rFonts w:hint="eastAsia"/>
          <w:color w:val="auto"/>
          <w:szCs w:val="20"/>
          <w:highlight w:val="none"/>
        </w:rPr>
        <w:t>电话：</w:t>
      </w:r>
      <w:r>
        <w:rPr>
          <w:rFonts w:hint="eastAsia"/>
          <w:color w:val="auto"/>
          <w:szCs w:val="20"/>
          <w:highlight w:val="none"/>
          <w:u w:val="single"/>
        </w:rPr>
        <w:t xml:space="preserve">                                      　　　　　　　　　</w:t>
      </w:r>
    </w:p>
    <w:p w14:paraId="6C8D7B19">
      <w:pPr>
        <w:pStyle w:val="11"/>
        <w:spacing w:line="360" w:lineRule="auto"/>
        <w:ind w:left="0" w:leftChars="0" w:firstLine="420"/>
        <w:rPr>
          <w:color w:val="auto"/>
          <w:szCs w:val="20"/>
          <w:highlight w:val="none"/>
        </w:rPr>
      </w:pPr>
      <w:r>
        <w:rPr>
          <w:rFonts w:hint="eastAsia"/>
          <w:color w:val="auto"/>
          <w:szCs w:val="20"/>
          <w:highlight w:val="none"/>
        </w:rPr>
        <w:t>传真：</w:t>
      </w:r>
      <w:r>
        <w:rPr>
          <w:rFonts w:hint="eastAsia"/>
          <w:color w:val="auto"/>
          <w:szCs w:val="20"/>
          <w:highlight w:val="none"/>
          <w:u w:val="single"/>
        </w:rPr>
        <w:t>　　　　　　　　　　　　　　　　　　　　　　　　　　　　</w:t>
      </w:r>
    </w:p>
    <w:p w14:paraId="3E3FFE48">
      <w:pPr>
        <w:pStyle w:val="11"/>
        <w:spacing w:line="360" w:lineRule="auto"/>
        <w:ind w:left="0" w:leftChars="0" w:firstLine="420"/>
        <w:rPr>
          <w:color w:val="auto"/>
          <w:szCs w:val="20"/>
          <w:highlight w:val="none"/>
          <w:u w:val="single"/>
        </w:rPr>
      </w:pPr>
      <w:r>
        <w:rPr>
          <w:rFonts w:hint="eastAsia"/>
          <w:color w:val="auto"/>
          <w:szCs w:val="20"/>
          <w:highlight w:val="none"/>
        </w:rPr>
        <w:t>邮政编码：</w:t>
      </w:r>
      <w:r>
        <w:rPr>
          <w:rFonts w:hint="eastAsia"/>
          <w:color w:val="auto"/>
          <w:szCs w:val="20"/>
          <w:highlight w:val="none"/>
          <w:u w:val="single"/>
        </w:rPr>
        <w:t xml:space="preserve">                                                    </w:t>
      </w:r>
    </w:p>
    <w:p w14:paraId="293A2208">
      <w:pPr>
        <w:pStyle w:val="11"/>
        <w:spacing w:line="360" w:lineRule="auto"/>
        <w:ind w:left="0" w:leftChars="0" w:firstLine="420"/>
        <w:rPr>
          <w:color w:val="auto"/>
          <w:szCs w:val="20"/>
          <w:highlight w:val="none"/>
          <w:u w:val="single"/>
        </w:rPr>
      </w:pPr>
      <w:r>
        <w:rPr>
          <w:rFonts w:hint="eastAsia"/>
          <w:color w:val="auto"/>
          <w:szCs w:val="20"/>
          <w:highlight w:val="none"/>
        </w:rPr>
        <w:t>开户名称：</w:t>
      </w:r>
      <w:r>
        <w:rPr>
          <w:rFonts w:hint="eastAsia"/>
          <w:color w:val="auto"/>
          <w:szCs w:val="20"/>
          <w:highlight w:val="none"/>
          <w:u w:val="single"/>
        </w:rPr>
        <w:t xml:space="preserve">                                                    </w:t>
      </w:r>
    </w:p>
    <w:p w14:paraId="2EA4B1EE">
      <w:pPr>
        <w:pStyle w:val="11"/>
        <w:spacing w:line="360" w:lineRule="auto"/>
        <w:ind w:left="0" w:leftChars="0" w:firstLine="420"/>
        <w:rPr>
          <w:color w:val="auto"/>
          <w:szCs w:val="20"/>
          <w:highlight w:val="none"/>
          <w:u w:val="single"/>
        </w:rPr>
      </w:pPr>
      <w:r>
        <w:rPr>
          <w:rFonts w:hint="eastAsia"/>
          <w:color w:val="auto"/>
          <w:szCs w:val="20"/>
          <w:highlight w:val="none"/>
        </w:rPr>
        <w:t>开户银行：</w:t>
      </w:r>
      <w:r>
        <w:rPr>
          <w:rFonts w:hint="eastAsia"/>
          <w:color w:val="auto"/>
          <w:szCs w:val="20"/>
          <w:highlight w:val="none"/>
          <w:u w:val="single"/>
        </w:rPr>
        <w:t xml:space="preserve">                                                    </w:t>
      </w:r>
    </w:p>
    <w:p w14:paraId="643C0780">
      <w:pPr>
        <w:pStyle w:val="11"/>
        <w:spacing w:line="360" w:lineRule="auto"/>
        <w:ind w:left="0" w:leftChars="0" w:firstLine="420"/>
        <w:rPr>
          <w:color w:val="auto"/>
          <w:szCs w:val="20"/>
          <w:highlight w:val="none"/>
          <w:u w:val="single"/>
        </w:rPr>
      </w:pPr>
      <w:r>
        <w:rPr>
          <w:rFonts w:hint="eastAsia"/>
          <w:color w:val="auto"/>
          <w:szCs w:val="20"/>
          <w:highlight w:val="none"/>
        </w:rPr>
        <w:t>银行账号：</w:t>
      </w:r>
      <w:r>
        <w:rPr>
          <w:rFonts w:hint="eastAsia"/>
          <w:color w:val="auto"/>
          <w:szCs w:val="20"/>
          <w:highlight w:val="none"/>
          <w:u w:val="single"/>
        </w:rPr>
        <w:t xml:space="preserve">                                                    </w:t>
      </w:r>
    </w:p>
    <w:p w14:paraId="5A0A2925">
      <w:pPr>
        <w:tabs>
          <w:tab w:val="left" w:pos="939"/>
        </w:tabs>
        <w:spacing w:line="360" w:lineRule="auto"/>
        <w:ind w:firstLine="300" w:firstLineChars="150"/>
        <w:rPr>
          <w:rFonts w:hint="eastAsia" w:ascii="宋体" w:hAnsi="宋体" w:cs="宋体"/>
          <w:color w:val="auto"/>
          <w:sz w:val="20"/>
          <w:szCs w:val="20"/>
          <w:highlight w:val="none"/>
        </w:rPr>
      </w:pPr>
      <w:r>
        <w:rPr>
          <w:rFonts w:hint="eastAsia" w:ascii="宋体" w:hAnsi="宋体" w:cs="宋体"/>
          <w:color w:val="auto"/>
          <w:sz w:val="20"/>
          <w:szCs w:val="20"/>
          <w:highlight w:val="none"/>
        </w:rPr>
        <w:t>特此承诺。</w:t>
      </w:r>
    </w:p>
    <w:p w14:paraId="71B21A56">
      <w:pPr>
        <w:spacing w:line="360" w:lineRule="auto"/>
        <w:jc w:val="left"/>
        <w:rPr>
          <w:rFonts w:hint="eastAsia" w:ascii="宋体" w:hAnsi="宋体" w:cs="宋体"/>
          <w:color w:val="auto"/>
          <w:szCs w:val="21"/>
          <w:highlight w:val="none"/>
        </w:rPr>
      </w:pPr>
    </w:p>
    <w:p w14:paraId="775CB429">
      <w:pPr>
        <w:autoSpaceDE w:val="0"/>
        <w:autoSpaceDN w:val="0"/>
        <w:spacing w:line="360" w:lineRule="auto"/>
        <w:ind w:left="4335" w:leftChars="1950" w:hanging="240" w:hangingChars="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022AE64D">
      <w:pPr>
        <w:autoSpaceDE w:val="0"/>
        <w:autoSpaceDN w:val="0"/>
        <w:spacing w:line="360" w:lineRule="auto"/>
        <w:jc w:val="right"/>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  年  月   日</w:t>
      </w:r>
    </w:p>
    <w:p w14:paraId="5D7784C3">
      <w:pPr>
        <w:widowControl/>
        <w:spacing w:line="360" w:lineRule="auto"/>
        <w:jc w:val="left"/>
        <w:rPr>
          <w:rFonts w:hint="eastAsia" w:ascii="仿宋_GB2312" w:hAnsi="仿宋" w:eastAsia="仿宋_GB2312" w:cs="仿宋_GB2312"/>
          <w:color w:val="auto"/>
          <w:kern w:val="0"/>
          <w:sz w:val="24"/>
          <w:highlight w:val="none"/>
          <w:lang w:val="zh-CN"/>
        </w:rPr>
        <w:sectPr>
          <w:pgSz w:w="11911" w:h="16838"/>
          <w:pgMar w:top="1417" w:right="1417" w:bottom="1417" w:left="1417" w:header="720" w:footer="720" w:gutter="0"/>
          <w:cols w:space="0" w:num="1"/>
          <w:rtlGutter w:val="0"/>
          <w:docGrid w:linePitch="0" w:charSpace="0"/>
        </w:sectPr>
      </w:pPr>
    </w:p>
    <w:p w14:paraId="755F69AB">
      <w:pPr>
        <w:autoSpaceDE w:val="0"/>
        <w:autoSpaceDN w:val="0"/>
        <w:spacing w:line="360" w:lineRule="auto"/>
        <w:ind w:firstLine="6480" w:firstLineChars="2700"/>
        <w:rPr>
          <w:rFonts w:hint="eastAsia" w:ascii="仿宋_GB2312" w:hAnsi="仿宋" w:eastAsia="仿宋_GB2312" w:cs="仿宋_GB2312"/>
          <w:color w:val="auto"/>
          <w:kern w:val="0"/>
          <w:sz w:val="24"/>
          <w:highlight w:val="none"/>
          <w:lang w:val="zh-CN"/>
        </w:rPr>
      </w:pPr>
    </w:p>
    <w:p w14:paraId="10D64691">
      <w:pPr>
        <w:spacing w:line="520" w:lineRule="exact"/>
        <w:jc w:val="center"/>
        <w:rPr>
          <w:rFonts w:hint="eastAsia" w:ascii="宋体" w:hAnsi="宋体"/>
          <w:b/>
          <w:bCs/>
          <w:color w:val="auto"/>
          <w:sz w:val="32"/>
          <w:szCs w:val="32"/>
          <w:highlight w:val="none"/>
        </w:rPr>
      </w:pPr>
      <w:r>
        <w:rPr>
          <w:rFonts w:hint="eastAsia"/>
          <w:color w:val="auto"/>
          <w:sz w:val="32"/>
          <w:szCs w:val="32"/>
          <w:highlight w:val="none"/>
        </w:rPr>
        <w:t>二</w:t>
      </w:r>
      <w:r>
        <w:rPr>
          <w:rFonts w:hint="eastAsia" w:ascii="宋体" w:hAnsi="宋体"/>
          <w:b/>
          <w:bCs/>
          <w:color w:val="auto"/>
          <w:sz w:val="32"/>
          <w:szCs w:val="32"/>
          <w:highlight w:val="none"/>
        </w:rPr>
        <w:t>、响应报价表</w:t>
      </w:r>
    </w:p>
    <w:p w14:paraId="75893DE7">
      <w:pPr>
        <w:snapToGrid w:val="0"/>
        <w:spacing w:before="50" w:after="50" w:line="360" w:lineRule="auto"/>
        <w:rPr>
          <w:rFonts w:hint="eastAsia" w:ascii="宋体" w:hAnsi="宋体"/>
          <w:color w:val="auto"/>
          <w:sz w:val="24"/>
          <w:highlight w:val="none"/>
        </w:rPr>
      </w:pPr>
      <w:r>
        <w:rPr>
          <w:rFonts w:hint="eastAsia" w:ascii="宋体" w:hAnsi="宋体"/>
          <w:color w:val="auto"/>
          <w:sz w:val="24"/>
          <w:highlight w:val="none"/>
        </w:rPr>
        <w:t>项目名称：</w:t>
      </w:r>
      <w:r>
        <w:rPr>
          <w:rFonts w:hint="eastAsia" w:ascii="宋体" w:hAnsi="宋体"/>
          <w:color w:val="auto"/>
          <w:sz w:val="24"/>
          <w:highlight w:val="none"/>
          <w:u w:val="single"/>
        </w:rPr>
        <w:t xml:space="preserve">  </w:t>
      </w:r>
      <w:r>
        <w:rPr>
          <w:rFonts w:hint="eastAsia" w:ascii="宋体" w:hAnsi="宋体"/>
          <w:color w:val="auto"/>
          <w:sz w:val="24"/>
          <w:highlight w:val="none"/>
          <w:u w:val="single"/>
          <w:lang w:eastAsia="zh-CN"/>
        </w:rPr>
        <w:t>第三方机构审计、核验2025年财政资金计划补助项目服务（3分标重）</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3D339007">
      <w:pPr>
        <w:snapToGrid w:val="0"/>
        <w:spacing w:before="50" w:after="50" w:line="360" w:lineRule="auto"/>
        <w:rPr>
          <w:rFonts w:hint="eastAsia" w:ascii="宋体" w:hAnsi="宋体"/>
          <w:color w:val="auto"/>
          <w:sz w:val="24"/>
          <w:highlight w:val="none"/>
          <w:u w:val="single"/>
        </w:rPr>
      </w:pPr>
      <w:r>
        <w:rPr>
          <w:rFonts w:hint="eastAsia" w:ascii="宋体" w:hAnsi="宋体"/>
          <w:color w:val="auto"/>
          <w:sz w:val="24"/>
          <w:highlight w:val="none"/>
        </w:rPr>
        <w:t>项目编号：</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标项：</w:t>
      </w:r>
      <w:r>
        <w:rPr>
          <w:rFonts w:hint="eastAsia" w:ascii="宋体" w:hAnsi="宋体"/>
          <w:color w:val="auto"/>
          <w:sz w:val="24"/>
          <w:highlight w:val="none"/>
          <w:u w:val="single"/>
        </w:rPr>
        <w:t xml:space="preserve">           </w:t>
      </w:r>
    </w:p>
    <w:p w14:paraId="746E26A0">
      <w:pPr>
        <w:snapToGrid w:val="0"/>
        <w:spacing w:before="50" w:after="50" w:line="360" w:lineRule="auto"/>
        <w:rPr>
          <w:rFonts w:hint="eastAsia" w:ascii="宋体" w:hAnsi="宋体"/>
          <w:color w:val="auto"/>
          <w:sz w:val="24"/>
          <w:highlight w:val="none"/>
          <w:u w:val="single"/>
        </w:rPr>
      </w:pPr>
      <w:r>
        <w:rPr>
          <w:rFonts w:hint="eastAsia" w:hAnsi="宋体"/>
          <w:color w:val="auto"/>
          <w:sz w:val="24"/>
          <w:highlight w:val="none"/>
        </w:rPr>
        <w:t>供应商名称：</w:t>
      </w:r>
      <w:r>
        <w:rPr>
          <w:rFonts w:hAnsi="宋体"/>
          <w:color w:val="auto"/>
          <w:sz w:val="24"/>
          <w:highlight w:val="none"/>
          <w:u w:val="single"/>
        </w:rPr>
        <w:t xml:space="preserve">                     </w:t>
      </w:r>
      <w:r>
        <w:rPr>
          <w:rFonts w:hAnsi="宋体"/>
          <w:color w:val="auto"/>
          <w:sz w:val="24"/>
          <w:highlight w:val="none"/>
        </w:rPr>
        <w:t xml:space="preserve">  </w:t>
      </w:r>
      <w:r>
        <w:rPr>
          <w:rFonts w:hint="eastAsia" w:ascii="宋体" w:hAnsi="宋体" w:cs="仿宋_GB2312"/>
          <w:color w:val="auto"/>
          <w:sz w:val="24"/>
          <w:highlight w:val="none"/>
        </w:rPr>
        <w:t xml:space="preserve">                    </w:t>
      </w:r>
    </w:p>
    <w:tbl>
      <w:tblPr>
        <w:tblStyle w:val="2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9"/>
        <w:gridCol w:w="1189"/>
        <w:gridCol w:w="1952"/>
        <w:gridCol w:w="1020"/>
        <w:gridCol w:w="1191"/>
        <w:gridCol w:w="1434"/>
        <w:gridCol w:w="903"/>
        <w:gridCol w:w="919"/>
      </w:tblGrid>
      <w:tr w14:paraId="5FFBF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366" w:type="pct"/>
            <w:tcBorders>
              <w:top w:val="single" w:color="auto" w:sz="4" w:space="0"/>
              <w:left w:val="single" w:color="auto" w:sz="4" w:space="0"/>
              <w:bottom w:val="single" w:color="auto" w:sz="4" w:space="0"/>
              <w:right w:val="single" w:color="auto" w:sz="4" w:space="0"/>
            </w:tcBorders>
            <w:vAlign w:val="center"/>
          </w:tcPr>
          <w:p w14:paraId="30FD68C7">
            <w:pPr>
              <w:keepNext w:val="0"/>
              <w:keepLines w:val="0"/>
              <w:suppressLineNumbers w:val="0"/>
              <w:spacing w:before="0" w:beforeAutospacing="0" w:after="0" w:afterAutospacing="0"/>
              <w:ind w:left="0" w:right="0"/>
              <w:rPr>
                <w:rFonts w:hint="eastAsia" w:ascii="宋体" w:hAnsi="宋体"/>
                <w:color w:val="auto"/>
                <w:szCs w:val="22"/>
                <w:highlight w:val="none"/>
              </w:rPr>
            </w:pPr>
            <w:r>
              <w:rPr>
                <w:rFonts w:hint="eastAsia" w:ascii="宋体" w:hAnsi="宋体"/>
                <w:color w:val="auto"/>
                <w:szCs w:val="22"/>
                <w:highlight w:val="none"/>
              </w:rPr>
              <w:t>序号</w:t>
            </w:r>
          </w:p>
        </w:tc>
        <w:tc>
          <w:tcPr>
            <w:tcW w:w="640" w:type="pct"/>
            <w:tcBorders>
              <w:top w:val="single" w:color="auto" w:sz="4" w:space="0"/>
              <w:left w:val="single" w:color="auto" w:sz="4" w:space="0"/>
              <w:bottom w:val="single" w:color="auto" w:sz="4" w:space="0"/>
              <w:right w:val="single" w:color="auto" w:sz="4" w:space="0"/>
            </w:tcBorders>
            <w:vAlign w:val="center"/>
          </w:tcPr>
          <w:p w14:paraId="046F42C0">
            <w:pPr>
              <w:keepNext w:val="0"/>
              <w:keepLines w:val="0"/>
              <w:suppressLineNumbers w:val="0"/>
              <w:spacing w:before="0" w:beforeAutospacing="0" w:after="0" w:afterAutospacing="0"/>
              <w:ind w:left="0" w:right="0"/>
              <w:rPr>
                <w:rFonts w:hint="eastAsia" w:ascii="宋体" w:hAnsi="宋体"/>
                <w:color w:val="auto"/>
                <w:szCs w:val="22"/>
                <w:highlight w:val="none"/>
              </w:rPr>
            </w:pPr>
            <w:r>
              <w:rPr>
                <w:rFonts w:hint="eastAsia" w:ascii="宋体" w:hAnsi="宋体"/>
                <w:color w:val="auto"/>
                <w:szCs w:val="22"/>
                <w:highlight w:val="none"/>
              </w:rPr>
              <w:t>服务名称</w:t>
            </w:r>
          </w:p>
        </w:tc>
        <w:tc>
          <w:tcPr>
            <w:tcW w:w="1051" w:type="pct"/>
            <w:tcBorders>
              <w:top w:val="single" w:color="auto" w:sz="4" w:space="0"/>
              <w:left w:val="single" w:color="auto" w:sz="4" w:space="0"/>
              <w:bottom w:val="single" w:color="auto" w:sz="4" w:space="0"/>
              <w:right w:val="single" w:color="auto" w:sz="4" w:space="0"/>
            </w:tcBorders>
            <w:vAlign w:val="center"/>
          </w:tcPr>
          <w:p w14:paraId="0BB93C17">
            <w:pPr>
              <w:keepNext w:val="0"/>
              <w:keepLines w:val="0"/>
              <w:suppressLineNumbers w:val="0"/>
              <w:spacing w:before="0" w:beforeAutospacing="0" w:after="0" w:afterAutospacing="0"/>
              <w:ind w:left="0" w:right="0"/>
              <w:jc w:val="center"/>
              <w:rPr>
                <w:rFonts w:hint="eastAsia" w:ascii="宋体" w:hAnsi="宋体"/>
                <w:color w:val="auto"/>
                <w:szCs w:val="22"/>
                <w:highlight w:val="none"/>
              </w:rPr>
            </w:pPr>
            <w:r>
              <w:rPr>
                <w:rFonts w:hint="eastAsia" w:ascii="宋体" w:hAnsi="宋体"/>
                <w:color w:val="auto"/>
                <w:szCs w:val="22"/>
                <w:highlight w:val="none"/>
              </w:rPr>
              <w:t>具体服务内容（含具体服务范围、服务时间、服务标准等内容）</w:t>
            </w:r>
          </w:p>
        </w:tc>
        <w:tc>
          <w:tcPr>
            <w:tcW w:w="549" w:type="pct"/>
            <w:tcBorders>
              <w:top w:val="single" w:color="auto" w:sz="4" w:space="0"/>
              <w:left w:val="single" w:color="auto" w:sz="4" w:space="0"/>
              <w:bottom w:val="single" w:color="auto" w:sz="4" w:space="0"/>
              <w:right w:val="single" w:color="auto" w:sz="4" w:space="0"/>
            </w:tcBorders>
            <w:vAlign w:val="center"/>
          </w:tcPr>
          <w:p w14:paraId="1554497D">
            <w:pPr>
              <w:keepNext w:val="0"/>
              <w:keepLines w:val="0"/>
              <w:suppressLineNumbers w:val="0"/>
              <w:spacing w:before="0" w:beforeAutospacing="0" w:after="0" w:afterAutospacing="0"/>
              <w:ind w:left="0" w:right="0"/>
              <w:jc w:val="center"/>
              <w:rPr>
                <w:rFonts w:hint="eastAsia" w:ascii="宋体" w:hAnsi="宋体"/>
                <w:color w:val="auto"/>
                <w:szCs w:val="22"/>
                <w:highlight w:val="none"/>
              </w:rPr>
            </w:pPr>
            <w:r>
              <w:rPr>
                <w:rFonts w:hint="eastAsia" w:ascii="宋体" w:hAnsi="宋体"/>
                <w:color w:val="auto"/>
                <w:szCs w:val="22"/>
                <w:highlight w:val="none"/>
              </w:rPr>
              <w:t>数量①</w:t>
            </w:r>
          </w:p>
        </w:tc>
        <w:tc>
          <w:tcPr>
            <w:tcW w:w="641" w:type="pct"/>
            <w:tcBorders>
              <w:top w:val="single" w:color="auto" w:sz="4" w:space="0"/>
              <w:left w:val="single" w:color="auto" w:sz="4" w:space="0"/>
              <w:bottom w:val="single" w:color="auto" w:sz="4" w:space="0"/>
              <w:right w:val="single" w:color="auto" w:sz="4" w:space="0"/>
            </w:tcBorders>
            <w:vAlign w:val="center"/>
          </w:tcPr>
          <w:p w14:paraId="1C009793">
            <w:pPr>
              <w:keepNext w:val="0"/>
              <w:keepLines w:val="0"/>
              <w:suppressLineNumbers w:val="0"/>
              <w:spacing w:before="0" w:beforeAutospacing="0" w:after="0" w:afterAutospacing="0"/>
              <w:ind w:left="0" w:right="0"/>
              <w:rPr>
                <w:rFonts w:hint="eastAsia" w:ascii="宋体" w:hAnsi="宋体"/>
                <w:color w:val="auto"/>
                <w:szCs w:val="22"/>
                <w:highlight w:val="none"/>
              </w:rPr>
            </w:pPr>
            <w:r>
              <w:rPr>
                <w:rFonts w:hint="eastAsia" w:ascii="宋体" w:hAnsi="宋体"/>
                <w:color w:val="auto"/>
                <w:szCs w:val="22"/>
                <w:highlight w:val="none"/>
              </w:rPr>
              <w:t>单价(元)②</w:t>
            </w:r>
          </w:p>
        </w:tc>
        <w:tc>
          <w:tcPr>
            <w:tcW w:w="772" w:type="pct"/>
            <w:tcBorders>
              <w:top w:val="single" w:color="auto" w:sz="4" w:space="0"/>
              <w:left w:val="single" w:color="auto" w:sz="4" w:space="0"/>
              <w:bottom w:val="single" w:color="auto" w:sz="4" w:space="0"/>
              <w:right w:val="single" w:color="auto" w:sz="4" w:space="0"/>
            </w:tcBorders>
            <w:vAlign w:val="center"/>
          </w:tcPr>
          <w:p w14:paraId="49E4BAA9">
            <w:pPr>
              <w:keepNext w:val="0"/>
              <w:keepLines w:val="0"/>
              <w:suppressLineNumbers w:val="0"/>
              <w:spacing w:before="0" w:beforeAutospacing="0" w:after="0" w:afterAutospacing="0"/>
              <w:ind w:left="0" w:right="0"/>
              <w:rPr>
                <w:rFonts w:hint="eastAsia" w:ascii="宋体" w:hAnsi="宋体"/>
                <w:color w:val="auto"/>
                <w:szCs w:val="22"/>
                <w:highlight w:val="none"/>
              </w:rPr>
            </w:pPr>
            <w:r>
              <w:rPr>
                <w:rFonts w:hint="eastAsia" w:ascii="宋体" w:hAnsi="宋体"/>
                <w:color w:val="auto"/>
                <w:szCs w:val="22"/>
                <w:highlight w:val="none"/>
              </w:rPr>
              <w:t>单项合价（元）</w:t>
            </w:r>
          </w:p>
          <w:p w14:paraId="6793357A">
            <w:pPr>
              <w:keepNext w:val="0"/>
              <w:keepLines w:val="0"/>
              <w:suppressLineNumbers w:val="0"/>
              <w:spacing w:before="0" w:beforeAutospacing="0" w:after="0" w:afterAutospacing="0"/>
              <w:ind w:left="0" w:right="0"/>
              <w:rPr>
                <w:rFonts w:hint="eastAsia" w:ascii="宋体" w:hAnsi="宋体"/>
                <w:color w:val="auto"/>
                <w:szCs w:val="22"/>
                <w:highlight w:val="none"/>
              </w:rPr>
            </w:pPr>
            <w:r>
              <w:rPr>
                <w:rFonts w:hint="eastAsia" w:ascii="宋体" w:hAnsi="宋体"/>
                <w:color w:val="auto"/>
                <w:szCs w:val="22"/>
                <w:highlight w:val="none"/>
              </w:rPr>
              <w:t>③＝①×②/费率</w:t>
            </w:r>
          </w:p>
        </w:tc>
        <w:tc>
          <w:tcPr>
            <w:tcW w:w="486" w:type="pct"/>
            <w:tcBorders>
              <w:top w:val="single" w:color="auto" w:sz="4" w:space="0"/>
              <w:left w:val="single" w:color="auto" w:sz="4" w:space="0"/>
              <w:bottom w:val="single" w:color="auto" w:sz="4" w:space="0"/>
              <w:right w:val="single" w:color="auto" w:sz="4" w:space="0"/>
            </w:tcBorders>
          </w:tcPr>
          <w:p w14:paraId="17FD3BD6">
            <w:pPr>
              <w:keepNext w:val="0"/>
              <w:keepLines w:val="0"/>
              <w:suppressLineNumbers w:val="0"/>
              <w:spacing w:before="0" w:beforeAutospacing="0" w:after="0" w:afterAutospacing="0" w:line="360" w:lineRule="auto"/>
              <w:ind w:left="0" w:right="0"/>
              <w:jc w:val="center"/>
              <w:rPr>
                <w:rFonts w:hint="eastAsia" w:ascii="宋体" w:hAnsi="宋体"/>
                <w:color w:val="auto"/>
                <w:szCs w:val="22"/>
                <w:highlight w:val="none"/>
              </w:rPr>
            </w:pPr>
            <w:r>
              <w:rPr>
                <w:rFonts w:hint="eastAsia" w:ascii="宋体" w:hAnsi="宋体"/>
                <w:color w:val="auto"/>
                <w:szCs w:val="22"/>
                <w:highlight w:val="none"/>
              </w:rPr>
              <w:t>服务要求（含服务期限）</w:t>
            </w:r>
          </w:p>
        </w:tc>
        <w:tc>
          <w:tcPr>
            <w:tcW w:w="491" w:type="pct"/>
            <w:tcBorders>
              <w:top w:val="single" w:color="auto" w:sz="4" w:space="0"/>
              <w:left w:val="single" w:color="auto" w:sz="4" w:space="0"/>
              <w:bottom w:val="single" w:color="auto" w:sz="4" w:space="0"/>
              <w:right w:val="single" w:color="auto" w:sz="4" w:space="0"/>
            </w:tcBorders>
            <w:vAlign w:val="center"/>
          </w:tcPr>
          <w:p w14:paraId="2FF22E2B">
            <w:pPr>
              <w:keepNext w:val="0"/>
              <w:keepLines w:val="0"/>
              <w:suppressLineNumbers w:val="0"/>
              <w:spacing w:before="0" w:beforeAutospacing="0" w:after="0" w:afterAutospacing="0"/>
              <w:ind w:left="0" w:right="0"/>
              <w:rPr>
                <w:rFonts w:hint="eastAsia" w:ascii="宋体" w:hAnsi="宋体"/>
                <w:color w:val="auto"/>
                <w:szCs w:val="22"/>
                <w:highlight w:val="none"/>
              </w:rPr>
            </w:pPr>
            <w:r>
              <w:rPr>
                <w:rFonts w:hint="eastAsia" w:ascii="宋体" w:hAnsi="宋体"/>
                <w:color w:val="auto"/>
                <w:szCs w:val="22"/>
                <w:highlight w:val="none"/>
              </w:rPr>
              <w:t>备注</w:t>
            </w:r>
          </w:p>
        </w:tc>
      </w:tr>
      <w:tr w14:paraId="65A61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366" w:type="pct"/>
            <w:tcBorders>
              <w:top w:val="single" w:color="auto" w:sz="4" w:space="0"/>
              <w:left w:val="single" w:color="auto" w:sz="4" w:space="0"/>
              <w:bottom w:val="single" w:color="auto" w:sz="4" w:space="0"/>
              <w:right w:val="single" w:color="auto" w:sz="4" w:space="0"/>
            </w:tcBorders>
            <w:vAlign w:val="center"/>
          </w:tcPr>
          <w:p w14:paraId="4B1C5F01">
            <w:pPr>
              <w:keepNext w:val="0"/>
              <w:keepLines w:val="0"/>
              <w:suppressLineNumbers w:val="0"/>
              <w:spacing w:before="0" w:beforeAutospacing="0" w:after="0" w:afterAutospacing="0"/>
              <w:ind w:left="0" w:right="0"/>
              <w:rPr>
                <w:rFonts w:hint="eastAsia" w:ascii="宋体" w:hAnsi="宋体"/>
                <w:color w:val="auto"/>
                <w:szCs w:val="22"/>
                <w:highlight w:val="none"/>
              </w:rPr>
            </w:pPr>
            <w:r>
              <w:rPr>
                <w:rFonts w:hint="eastAsia" w:ascii="宋体" w:hAnsi="宋体"/>
                <w:color w:val="auto"/>
                <w:szCs w:val="22"/>
                <w:highlight w:val="none"/>
              </w:rPr>
              <w:t>1</w:t>
            </w:r>
          </w:p>
        </w:tc>
        <w:tc>
          <w:tcPr>
            <w:tcW w:w="640" w:type="pct"/>
            <w:tcBorders>
              <w:top w:val="single" w:color="auto" w:sz="4" w:space="0"/>
              <w:left w:val="single" w:color="auto" w:sz="4" w:space="0"/>
              <w:bottom w:val="single" w:color="auto" w:sz="4" w:space="0"/>
              <w:right w:val="single" w:color="auto" w:sz="4" w:space="0"/>
            </w:tcBorders>
            <w:vAlign w:val="center"/>
          </w:tcPr>
          <w:p w14:paraId="54C9AE9D">
            <w:pPr>
              <w:keepNext w:val="0"/>
              <w:keepLines w:val="0"/>
              <w:suppressLineNumbers w:val="0"/>
              <w:spacing w:before="0" w:beforeAutospacing="0" w:after="0" w:afterAutospacing="0"/>
              <w:ind w:left="0" w:right="0"/>
              <w:rPr>
                <w:rFonts w:hint="eastAsia" w:ascii="宋体" w:hAnsi="宋体"/>
                <w:color w:val="auto"/>
                <w:szCs w:val="22"/>
                <w:highlight w:val="none"/>
              </w:rPr>
            </w:pPr>
          </w:p>
        </w:tc>
        <w:tc>
          <w:tcPr>
            <w:tcW w:w="1051" w:type="pct"/>
            <w:tcBorders>
              <w:top w:val="single" w:color="auto" w:sz="4" w:space="0"/>
              <w:left w:val="single" w:color="auto" w:sz="4" w:space="0"/>
              <w:bottom w:val="single" w:color="auto" w:sz="4" w:space="0"/>
              <w:right w:val="single" w:color="auto" w:sz="4" w:space="0"/>
            </w:tcBorders>
            <w:vAlign w:val="center"/>
          </w:tcPr>
          <w:p w14:paraId="6EF20734">
            <w:pPr>
              <w:keepNext w:val="0"/>
              <w:keepLines w:val="0"/>
              <w:suppressLineNumbers w:val="0"/>
              <w:spacing w:before="0" w:beforeAutospacing="0" w:after="0" w:afterAutospacing="0"/>
              <w:ind w:left="0" w:right="0"/>
              <w:rPr>
                <w:rFonts w:hint="eastAsia" w:ascii="宋体" w:hAnsi="宋体"/>
                <w:color w:val="auto"/>
                <w:szCs w:val="22"/>
                <w:highlight w:val="none"/>
              </w:rPr>
            </w:pPr>
          </w:p>
        </w:tc>
        <w:tc>
          <w:tcPr>
            <w:tcW w:w="549" w:type="pct"/>
            <w:tcBorders>
              <w:top w:val="single" w:color="auto" w:sz="4" w:space="0"/>
              <w:left w:val="single" w:color="auto" w:sz="4" w:space="0"/>
              <w:bottom w:val="single" w:color="auto" w:sz="4" w:space="0"/>
              <w:right w:val="single" w:color="auto" w:sz="4" w:space="0"/>
            </w:tcBorders>
            <w:vAlign w:val="center"/>
          </w:tcPr>
          <w:p w14:paraId="15850DE8">
            <w:pPr>
              <w:keepNext w:val="0"/>
              <w:keepLines w:val="0"/>
              <w:suppressLineNumbers w:val="0"/>
              <w:spacing w:before="0" w:beforeAutospacing="0" w:after="0" w:afterAutospacing="0"/>
              <w:ind w:left="0" w:right="0"/>
              <w:rPr>
                <w:rFonts w:hint="eastAsia" w:ascii="宋体" w:hAnsi="宋体"/>
                <w:color w:val="auto"/>
                <w:szCs w:val="22"/>
                <w:highlight w:val="none"/>
              </w:rPr>
            </w:pPr>
          </w:p>
        </w:tc>
        <w:tc>
          <w:tcPr>
            <w:tcW w:w="641" w:type="pct"/>
            <w:tcBorders>
              <w:top w:val="single" w:color="auto" w:sz="4" w:space="0"/>
              <w:left w:val="single" w:color="auto" w:sz="4" w:space="0"/>
              <w:bottom w:val="single" w:color="auto" w:sz="4" w:space="0"/>
              <w:right w:val="single" w:color="auto" w:sz="4" w:space="0"/>
            </w:tcBorders>
            <w:vAlign w:val="center"/>
          </w:tcPr>
          <w:p w14:paraId="693163B8">
            <w:pPr>
              <w:keepNext w:val="0"/>
              <w:keepLines w:val="0"/>
              <w:suppressLineNumbers w:val="0"/>
              <w:spacing w:before="0" w:beforeAutospacing="0" w:after="0" w:afterAutospacing="0"/>
              <w:ind w:left="0" w:right="0"/>
              <w:rPr>
                <w:rFonts w:hint="eastAsia" w:ascii="宋体" w:hAnsi="宋体"/>
                <w:color w:val="auto"/>
                <w:szCs w:val="22"/>
                <w:highlight w:val="none"/>
              </w:rPr>
            </w:pPr>
          </w:p>
        </w:tc>
        <w:tc>
          <w:tcPr>
            <w:tcW w:w="772" w:type="pct"/>
            <w:tcBorders>
              <w:top w:val="single" w:color="auto" w:sz="4" w:space="0"/>
              <w:left w:val="single" w:color="auto" w:sz="4" w:space="0"/>
              <w:bottom w:val="single" w:color="auto" w:sz="4" w:space="0"/>
              <w:right w:val="single" w:color="auto" w:sz="4" w:space="0"/>
            </w:tcBorders>
            <w:vAlign w:val="center"/>
          </w:tcPr>
          <w:p w14:paraId="6F7E2C7C">
            <w:pPr>
              <w:keepNext w:val="0"/>
              <w:keepLines w:val="0"/>
              <w:suppressLineNumbers w:val="0"/>
              <w:spacing w:before="0" w:beforeAutospacing="0" w:after="0" w:afterAutospacing="0"/>
              <w:ind w:left="0" w:right="0"/>
              <w:rPr>
                <w:rFonts w:hint="eastAsia" w:ascii="宋体" w:hAnsi="宋体"/>
                <w:color w:val="auto"/>
                <w:szCs w:val="22"/>
                <w:highlight w:val="none"/>
              </w:rPr>
            </w:pPr>
          </w:p>
        </w:tc>
        <w:tc>
          <w:tcPr>
            <w:tcW w:w="486" w:type="pct"/>
            <w:tcBorders>
              <w:top w:val="single" w:color="auto" w:sz="4" w:space="0"/>
              <w:left w:val="single" w:color="auto" w:sz="4" w:space="0"/>
              <w:bottom w:val="single" w:color="auto" w:sz="4" w:space="0"/>
              <w:right w:val="single" w:color="auto" w:sz="4" w:space="0"/>
            </w:tcBorders>
          </w:tcPr>
          <w:p w14:paraId="41DE9AA4">
            <w:pPr>
              <w:keepNext w:val="0"/>
              <w:keepLines w:val="0"/>
              <w:suppressLineNumbers w:val="0"/>
              <w:spacing w:before="0" w:beforeAutospacing="0" w:after="0" w:afterAutospacing="0"/>
              <w:ind w:left="0" w:right="0"/>
              <w:rPr>
                <w:rFonts w:hint="eastAsia" w:ascii="宋体" w:hAnsi="宋体"/>
                <w:color w:val="auto"/>
                <w:szCs w:val="22"/>
                <w:highlight w:val="none"/>
              </w:rPr>
            </w:pPr>
          </w:p>
        </w:tc>
        <w:tc>
          <w:tcPr>
            <w:tcW w:w="491" w:type="pct"/>
            <w:tcBorders>
              <w:top w:val="single" w:color="auto" w:sz="4" w:space="0"/>
              <w:left w:val="single" w:color="auto" w:sz="4" w:space="0"/>
              <w:bottom w:val="single" w:color="auto" w:sz="4" w:space="0"/>
              <w:right w:val="single" w:color="auto" w:sz="4" w:space="0"/>
            </w:tcBorders>
            <w:vAlign w:val="center"/>
          </w:tcPr>
          <w:p w14:paraId="3F93D094">
            <w:pPr>
              <w:keepNext w:val="0"/>
              <w:keepLines w:val="0"/>
              <w:suppressLineNumbers w:val="0"/>
              <w:spacing w:before="0" w:beforeAutospacing="0" w:after="0" w:afterAutospacing="0"/>
              <w:ind w:left="0" w:right="0"/>
              <w:rPr>
                <w:rFonts w:hint="eastAsia" w:ascii="宋体" w:hAnsi="宋体"/>
                <w:color w:val="auto"/>
                <w:szCs w:val="22"/>
                <w:highlight w:val="none"/>
              </w:rPr>
            </w:pPr>
          </w:p>
        </w:tc>
      </w:tr>
      <w:tr w14:paraId="447A1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366" w:type="pct"/>
            <w:tcBorders>
              <w:top w:val="single" w:color="auto" w:sz="4" w:space="0"/>
              <w:left w:val="single" w:color="auto" w:sz="4" w:space="0"/>
              <w:bottom w:val="single" w:color="auto" w:sz="4" w:space="0"/>
              <w:right w:val="single" w:color="auto" w:sz="4" w:space="0"/>
            </w:tcBorders>
            <w:vAlign w:val="center"/>
          </w:tcPr>
          <w:p w14:paraId="382180EE">
            <w:pPr>
              <w:keepNext w:val="0"/>
              <w:keepLines w:val="0"/>
              <w:suppressLineNumbers w:val="0"/>
              <w:spacing w:before="0" w:beforeAutospacing="0" w:after="0" w:afterAutospacing="0"/>
              <w:ind w:left="0" w:right="0"/>
              <w:rPr>
                <w:rFonts w:hint="eastAsia" w:ascii="宋体" w:hAnsi="宋体"/>
                <w:color w:val="auto"/>
                <w:szCs w:val="22"/>
                <w:highlight w:val="none"/>
              </w:rPr>
            </w:pPr>
            <w:r>
              <w:rPr>
                <w:rFonts w:hint="eastAsia" w:ascii="宋体" w:hAnsi="宋体"/>
                <w:color w:val="auto"/>
                <w:szCs w:val="22"/>
                <w:highlight w:val="none"/>
              </w:rPr>
              <w:t>2</w:t>
            </w:r>
          </w:p>
        </w:tc>
        <w:tc>
          <w:tcPr>
            <w:tcW w:w="640" w:type="pct"/>
            <w:tcBorders>
              <w:top w:val="single" w:color="auto" w:sz="4" w:space="0"/>
              <w:left w:val="single" w:color="auto" w:sz="4" w:space="0"/>
              <w:bottom w:val="single" w:color="auto" w:sz="4" w:space="0"/>
              <w:right w:val="single" w:color="auto" w:sz="4" w:space="0"/>
            </w:tcBorders>
            <w:vAlign w:val="center"/>
          </w:tcPr>
          <w:p w14:paraId="4B6FCDFE">
            <w:pPr>
              <w:keepNext w:val="0"/>
              <w:keepLines w:val="0"/>
              <w:suppressLineNumbers w:val="0"/>
              <w:spacing w:before="0" w:beforeAutospacing="0" w:after="0" w:afterAutospacing="0"/>
              <w:ind w:left="0" w:right="0"/>
              <w:rPr>
                <w:rFonts w:hint="eastAsia" w:ascii="宋体" w:hAnsi="宋体"/>
                <w:color w:val="auto"/>
                <w:szCs w:val="22"/>
                <w:highlight w:val="none"/>
              </w:rPr>
            </w:pPr>
          </w:p>
        </w:tc>
        <w:tc>
          <w:tcPr>
            <w:tcW w:w="1051" w:type="pct"/>
            <w:tcBorders>
              <w:top w:val="single" w:color="auto" w:sz="4" w:space="0"/>
              <w:left w:val="single" w:color="auto" w:sz="4" w:space="0"/>
              <w:bottom w:val="single" w:color="auto" w:sz="4" w:space="0"/>
              <w:right w:val="single" w:color="auto" w:sz="4" w:space="0"/>
            </w:tcBorders>
            <w:vAlign w:val="center"/>
          </w:tcPr>
          <w:p w14:paraId="323FEF9E">
            <w:pPr>
              <w:keepNext w:val="0"/>
              <w:keepLines w:val="0"/>
              <w:suppressLineNumbers w:val="0"/>
              <w:spacing w:before="0" w:beforeAutospacing="0" w:after="0" w:afterAutospacing="0"/>
              <w:ind w:left="0" w:right="0"/>
              <w:rPr>
                <w:rFonts w:hint="eastAsia" w:ascii="宋体" w:hAnsi="宋体"/>
                <w:color w:val="auto"/>
                <w:szCs w:val="22"/>
                <w:highlight w:val="none"/>
              </w:rPr>
            </w:pPr>
          </w:p>
        </w:tc>
        <w:tc>
          <w:tcPr>
            <w:tcW w:w="549" w:type="pct"/>
            <w:tcBorders>
              <w:top w:val="single" w:color="auto" w:sz="4" w:space="0"/>
              <w:left w:val="single" w:color="auto" w:sz="4" w:space="0"/>
              <w:bottom w:val="single" w:color="auto" w:sz="4" w:space="0"/>
              <w:right w:val="single" w:color="auto" w:sz="4" w:space="0"/>
            </w:tcBorders>
            <w:vAlign w:val="center"/>
          </w:tcPr>
          <w:p w14:paraId="4EAA6003">
            <w:pPr>
              <w:keepNext w:val="0"/>
              <w:keepLines w:val="0"/>
              <w:suppressLineNumbers w:val="0"/>
              <w:spacing w:before="0" w:beforeAutospacing="0" w:after="0" w:afterAutospacing="0"/>
              <w:ind w:left="0" w:right="0"/>
              <w:rPr>
                <w:rFonts w:hint="eastAsia" w:ascii="宋体" w:hAnsi="宋体"/>
                <w:color w:val="auto"/>
                <w:szCs w:val="22"/>
                <w:highlight w:val="none"/>
              </w:rPr>
            </w:pPr>
          </w:p>
        </w:tc>
        <w:tc>
          <w:tcPr>
            <w:tcW w:w="641" w:type="pct"/>
            <w:tcBorders>
              <w:top w:val="single" w:color="auto" w:sz="4" w:space="0"/>
              <w:left w:val="single" w:color="auto" w:sz="4" w:space="0"/>
              <w:bottom w:val="single" w:color="auto" w:sz="4" w:space="0"/>
              <w:right w:val="single" w:color="auto" w:sz="4" w:space="0"/>
            </w:tcBorders>
            <w:vAlign w:val="center"/>
          </w:tcPr>
          <w:p w14:paraId="1AAF4C2F">
            <w:pPr>
              <w:keepNext w:val="0"/>
              <w:keepLines w:val="0"/>
              <w:suppressLineNumbers w:val="0"/>
              <w:spacing w:before="0" w:beforeAutospacing="0" w:after="0" w:afterAutospacing="0"/>
              <w:ind w:left="0" w:right="0"/>
              <w:rPr>
                <w:rFonts w:hint="eastAsia" w:ascii="宋体" w:hAnsi="宋体"/>
                <w:color w:val="auto"/>
                <w:szCs w:val="22"/>
                <w:highlight w:val="none"/>
              </w:rPr>
            </w:pPr>
          </w:p>
        </w:tc>
        <w:tc>
          <w:tcPr>
            <w:tcW w:w="772" w:type="pct"/>
            <w:tcBorders>
              <w:top w:val="single" w:color="auto" w:sz="4" w:space="0"/>
              <w:left w:val="single" w:color="auto" w:sz="4" w:space="0"/>
              <w:bottom w:val="single" w:color="auto" w:sz="4" w:space="0"/>
              <w:right w:val="single" w:color="auto" w:sz="4" w:space="0"/>
            </w:tcBorders>
            <w:vAlign w:val="center"/>
          </w:tcPr>
          <w:p w14:paraId="0A5DEE9D">
            <w:pPr>
              <w:keepNext w:val="0"/>
              <w:keepLines w:val="0"/>
              <w:suppressLineNumbers w:val="0"/>
              <w:spacing w:before="0" w:beforeAutospacing="0" w:after="0" w:afterAutospacing="0"/>
              <w:ind w:left="0" w:right="0"/>
              <w:rPr>
                <w:rFonts w:hint="eastAsia" w:ascii="宋体" w:hAnsi="宋体"/>
                <w:color w:val="auto"/>
                <w:szCs w:val="22"/>
                <w:highlight w:val="none"/>
              </w:rPr>
            </w:pPr>
          </w:p>
        </w:tc>
        <w:tc>
          <w:tcPr>
            <w:tcW w:w="486" w:type="pct"/>
            <w:tcBorders>
              <w:top w:val="single" w:color="auto" w:sz="4" w:space="0"/>
              <w:left w:val="single" w:color="auto" w:sz="4" w:space="0"/>
              <w:bottom w:val="single" w:color="auto" w:sz="4" w:space="0"/>
              <w:right w:val="single" w:color="auto" w:sz="4" w:space="0"/>
            </w:tcBorders>
          </w:tcPr>
          <w:p w14:paraId="04EF47A9">
            <w:pPr>
              <w:keepNext w:val="0"/>
              <w:keepLines w:val="0"/>
              <w:suppressLineNumbers w:val="0"/>
              <w:spacing w:before="0" w:beforeAutospacing="0" w:after="0" w:afterAutospacing="0"/>
              <w:ind w:left="0" w:right="0"/>
              <w:rPr>
                <w:rFonts w:hint="eastAsia" w:ascii="宋体" w:hAnsi="宋体"/>
                <w:color w:val="auto"/>
                <w:szCs w:val="22"/>
                <w:highlight w:val="none"/>
              </w:rPr>
            </w:pPr>
          </w:p>
        </w:tc>
        <w:tc>
          <w:tcPr>
            <w:tcW w:w="491" w:type="pct"/>
            <w:tcBorders>
              <w:top w:val="single" w:color="auto" w:sz="4" w:space="0"/>
              <w:left w:val="single" w:color="auto" w:sz="4" w:space="0"/>
              <w:bottom w:val="single" w:color="auto" w:sz="4" w:space="0"/>
              <w:right w:val="single" w:color="auto" w:sz="4" w:space="0"/>
            </w:tcBorders>
            <w:vAlign w:val="center"/>
          </w:tcPr>
          <w:p w14:paraId="00E0B7C2">
            <w:pPr>
              <w:keepNext w:val="0"/>
              <w:keepLines w:val="0"/>
              <w:suppressLineNumbers w:val="0"/>
              <w:spacing w:before="0" w:beforeAutospacing="0" w:after="0" w:afterAutospacing="0"/>
              <w:ind w:left="0" w:right="0"/>
              <w:rPr>
                <w:rFonts w:hint="eastAsia" w:ascii="宋体" w:hAnsi="宋体"/>
                <w:color w:val="auto"/>
                <w:szCs w:val="22"/>
                <w:highlight w:val="none"/>
              </w:rPr>
            </w:pPr>
          </w:p>
        </w:tc>
      </w:tr>
      <w:tr w14:paraId="10BB8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366" w:type="pct"/>
            <w:tcBorders>
              <w:top w:val="single" w:color="auto" w:sz="4" w:space="0"/>
              <w:left w:val="single" w:color="auto" w:sz="4" w:space="0"/>
              <w:bottom w:val="single" w:color="auto" w:sz="4" w:space="0"/>
              <w:right w:val="single" w:color="auto" w:sz="4" w:space="0"/>
            </w:tcBorders>
            <w:vAlign w:val="center"/>
          </w:tcPr>
          <w:p w14:paraId="4DACD29B">
            <w:pPr>
              <w:keepNext w:val="0"/>
              <w:keepLines w:val="0"/>
              <w:suppressLineNumbers w:val="0"/>
              <w:spacing w:before="0" w:beforeAutospacing="0" w:after="0" w:afterAutospacing="0"/>
              <w:ind w:left="0" w:right="0"/>
              <w:rPr>
                <w:rFonts w:hint="eastAsia" w:ascii="宋体" w:hAnsi="宋体"/>
                <w:color w:val="auto"/>
                <w:szCs w:val="22"/>
                <w:highlight w:val="none"/>
              </w:rPr>
            </w:pPr>
            <w:r>
              <w:rPr>
                <w:rFonts w:hint="eastAsia" w:ascii="宋体" w:hAnsi="宋体"/>
                <w:color w:val="auto"/>
                <w:szCs w:val="22"/>
                <w:highlight w:val="none"/>
              </w:rPr>
              <w:t>...</w:t>
            </w:r>
          </w:p>
        </w:tc>
        <w:tc>
          <w:tcPr>
            <w:tcW w:w="640" w:type="pct"/>
            <w:tcBorders>
              <w:top w:val="single" w:color="auto" w:sz="4" w:space="0"/>
              <w:left w:val="single" w:color="auto" w:sz="4" w:space="0"/>
              <w:bottom w:val="single" w:color="auto" w:sz="4" w:space="0"/>
              <w:right w:val="single" w:color="auto" w:sz="4" w:space="0"/>
            </w:tcBorders>
            <w:vAlign w:val="center"/>
          </w:tcPr>
          <w:p w14:paraId="04B4F70B">
            <w:pPr>
              <w:keepNext w:val="0"/>
              <w:keepLines w:val="0"/>
              <w:suppressLineNumbers w:val="0"/>
              <w:spacing w:before="0" w:beforeAutospacing="0" w:after="0" w:afterAutospacing="0"/>
              <w:ind w:left="0" w:right="0"/>
              <w:rPr>
                <w:rFonts w:hint="eastAsia" w:ascii="宋体" w:hAnsi="宋体"/>
                <w:color w:val="auto"/>
                <w:szCs w:val="22"/>
                <w:highlight w:val="none"/>
              </w:rPr>
            </w:pPr>
          </w:p>
        </w:tc>
        <w:tc>
          <w:tcPr>
            <w:tcW w:w="1051" w:type="pct"/>
            <w:tcBorders>
              <w:top w:val="single" w:color="auto" w:sz="4" w:space="0"/>
              <w:left w:val="single" w:color="auto" w:sz="4" w:space="0"/>
              <w:bottom w:val="single" w:color="auto" w:sz="4" w:space="0"/>
              <w:right w:val="single" w:color="auto" w:sz="4" w:space="0"/>
            </w:tcBorders>
            <w:vAlign w:val="center"/>
          </w:tcPr>
          <w:p w14:paraId="07A6E22C">
            <w:pPr>
              <w:keepNext w:val="0"/>
              <w:keepLines w:val="0"/>
              <w:suppressLineNumbers w:val="0"/>
              <w:spacing w:before="0" w:beforeAutospacing="0" w:after="0" w:afterAutospacing="0"/>
              <w:ind w:left="0" w:right="0"/>
              <w:rPr>
                <w:rFonts w:hint="eastAsia" w:ascii="宋体" w:hAnsi="宋体"/>
                <w:color w:val="auto"/>
                <w:szCs w:val="22"/>
                <w:highlight w:val="none"/>
              </w:rPr>
            </w:pPr>
          </w:p>
        </w:tc>
        <w:tc>
          <w:tcPr>
            <w:tcW w:w="549" w:type="pct"/>
            <w:tcBorders>
              <w:top w:val="single" w:color="auto" w:sz="4" w:space="0"/>
              <w:left w:val="single" w:color="auto" w:sz="4" w:space="0"/>
              <w:bottom w:val="single" w:color="auto" w:sz="4" w:space="0"/>
              <w:right w:val="single" w:color="auto" w:sz="4" w:space="0"/>
            </w:tcBorders>
            <w:vAlign w:val="center"/>
          </w:tcPr>
          <w:p w14:paraId="756E4D21">
            <w:pPr>
              <w:keepNext w:val="0"/>
              <w:keepLines w:val="0"/>
              <w:suppressLineNumbers w:val="0"/>
              <w:spacing w:before="0" w:beforeAutospacing="0" w:after="0" w:afterAutospacing="0"/>
              <w:ind w:left="0" w:right="0"/>
              <w:rPr>
                <w:rFonts w:hint="eastAsia" w:ascii="宋体" w:hAnsi="宋体"/>
                <w:color w:val="auto"/>
                <w:szCs w:val="22"/>
                <w:highlight w:val="none"/>
              </w:rPr>
            </w:pPr>
          </w:p>
        </w:tc>
        <w:tc>
          <w:tcPr>
            <w:tcW w:w="641" w:type="pct"/>
            <w:tcBorders>
              <w:top w:val="single" w:color="auto" w:sz="4" w:space="0"/>
              <w:left w:val="single" w:color="auto" w:sz="4" w:space="0"/>
              <w:bottom w:val="single" w:color="auto" w:sz="4" w:space="0"/>
              <w:right w:val="single" w:color="auto" w:sz="4" w:space="0"/>
            </w:tcBorders>
            <w:vAlign w:val="center"/>
          </w:tcPr>
          <w:p w14:paraId="089E6008">
            <w:pPr>
              <w:keepNext w:val="0"/>
              <w:keepLines w:val="0"/>
              <w:suppressLineNumbers w:val="0"/>
              <w:spacing w:before="0" w:beforeAutospacing="0" w:after="0" w:afterAutospacing="0"/>
              <w:ind w:left="0" w:right="0"/>
              <w:rPr>
                <w:rFonts w:hint="eastAsia" w:ascii="宋体" w:hAnsi="宋体"/>
                <w:color w:val="auto"/>
                <w:szCs w:val="22"/>
                <w:highlight w:val="none"/>
              </w:rPr>
            </w:pPr>
          </w:p>
        </w:tc>
        <w:tc>
          <w:tcPr>
            <w:tcW w:w="772" w:type="pct"/>
            <w:tcBorders>
              <w:top w:val="single" w:color="auto" w:sz="4" w:space="0"/>
              <w:left w:val="single" w:color="auto" w:sz="4" w:space="0"/>
              <w:bottom w:val="single" w:color="auto" w:sz="4" w:space="0"/>
              <w:right w:val="single" w:color="auto" w:sz="4" w:space="0"/>
            </w:tcBorders>
            <w:vAlign w:val="center"/>
          </w:tcPr>
          <w:p w14:paraId="4B43554F">
            <w:pPr>
              <w:keepNext w:val="0"/>
              <w:keepLines w:val="0"/>
              <w:suppressLineNumbers w:val="0"/>
              <w:spacing w:before="0" w:beforeAutospacing="0" w:after="0" w:afterAutospacing="0"/>
              <w:ind w:left="0" w:right="0"/>
              <w:rPr>
                <w:rFonts w:hint="eastAsia" w:ascii="宋体" w:hAnsi="宋体"/>
                <w:color w:val="auto"/>
                <w:szCs w:val="22"/>
                <w:highlight w:val="none"/>
              </w:rPr>
            </w:pPr>
          </w:p>
        </w:tc>
        <w:tc>
          <w:tcPr>
            <w:tcW w:w="486" w:type="pct"/>
            <w:tcBorders>
              <w:top w:val="single" w:color="auto" w:sz="4" w:space="0"/>
              <w:left w:val="single" w:color="auto" w:sz="4" w:space="0"/>
              <w:bottom w:val="single" w:color="auto" w:sz="4" w:space="0"/>
              <w:right w:val="single" w:color="auto" w:sz="4" w:space="0"/>
            </w:tcBorders>
          </w:tcPr>
          <w:p w14:paraId="2FC9768E">
            <w:pPr>
              <w:keepNext w:val="0"/>
              <w:keepLines w:val="0"/>
              <w:suppressLineNumbers w:val="0"/>
              <w:spacing w:before="0" w:beforeAutospacing="0" w:after="0" w:afterAutospacing="0"/>
              <w:ind w:left="0" w:right="0"/>
              <w:rPr>
                <w:rFonts w:hint="eastAsia" w:ascii="宋体" w:hAnsi="宋体"/>
                <w:color w:val="auto"/>
                <w:szCs w:val="22"/>
                <w:highlight w:val="none"/>
              </w:rPr>
            </w:pPr>
          </w:p>
        </w:tc>
        <w:tc>
          <w:tcPr>
            <w:tcW w:w="491" w:type="pct"/>
            <w:tcBorders>
              <w:top w:val="single" w:color="auto" w:sz="4" w:space="0"/>
              <w:left w:val="single" w:color="auto" w:sz="4" w:space="0"/>
              <w:bottom w:val="single" w:color="auto" w:sz="4" w:space="0"/>
              <w:right w:val="single" w:color="auto" w:sz="4" w:space="0"/>
            </w:tcBorders>
            <w:vAlign w:val="center"/>
          </w:tcPr>
          <w:p w14:paraId="255ED37F">
            <w:pPr>
              <w:keepNext w:val="0"/>
              <w:keepLines w:val="0"/>
              <w:suppressLineNumbers w:val="0"/>
              <w:spacing w:before="0" w:beforeAutospacing="0" w:after="0" w:afterAutospacing="0"/>
              <w:ind w:left="0" w:right="0"/>
              <w:rPr>
                <w:rFonts w:hint="eastAsia" w:ascii="宋体" w:hAnsi="宋体"/>
                <w:color w:val="auto"/>
                <w:szCs w:val="22"/>
                <w:highlight w:val="none"/>
              </w:rPr>
            </w:pPr>
          </w:p>
        </w:tc>
      </w:tr>
      <w:tr w14:paraId="19C35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5000" w:type="pct"/>
            <w:gridSpan w:val="8"/>
            <w:tcBorders>
              <w:top w:val="single" w:color="auto" w:sz="4" w:space="0"/>
              <w:left w:val="single" w:color="auto" w:sz="4" w:space="0"/>
              <w:bottom w:val="single" w:color="auto" w:sz="4" w:space="0"/>
              <w:right w:val="single" w:color="auto" w:sz="4" w:space="0"/>
            </w:tcBorders>
          </w:tcPr>
          <w:p w14:paraId="3EC6258A">
            <w:pPr>
              <w:keepNext w:val="0"/>
              <w:keepLines w:val="0"/>
              <w:suppressLineNumbers w:val="0"/>
              <w:spacing w:before="0" w:beforeAutospacing="0" w:after="0" w:afterAutospacing="0"/>
              <w:ind w:left="0" w:right="0"/>
              <w:rPr>
                <w:rFonts w:hint="eastAsia" w:ascii="宋体" w:hAnsi="宋体"/>
                <w:color w:val="auto"/>
                <w:szCs w:val="22"/>
                <w:highlight w:val="none"/>
              </w:rPr>
            </w:pPr>
            <w:r>
              <w:rPr>
                <w:rFonts w:hint="eastAsia" w:ascii="宋体" w:hAnsi="宋体"/>
                <w:color w:val="auto"/>
                <w:szCs w:val="22"/>
                <w:highlight w:val="none"/>
              </w:rPr>
              <w:t>报价合计（包含税费等所有费用）：</w:t>
            </w:r>
          </w:p>
          <w:p w14:paraId="0386B39E">
            <w:pPr>
              <w:keepNext w:val="0"/>
              <w:keepLines w:val="0"/>
              <w:suppressLineNumbers w:val="0"/>
              <w:spacing w:before="0" w:beforeAutospacing="0" w:after="0" w:afterAutospacing="0"/>
              <w:ind w:left="0" w:right="0"/>
              <w:rPr>
                <w:rFonts w:hint="eastAsia" w:ascii="宋体" w:hAnsi="宋体"/>
                <w:color w:val="auto"/>
                <w:szCs w:val="22"/>
                <w:highlight w:val="none"/>
              </w:rPr>
            </w:pPr>
            <w:r>
              <w:rPr>
                <w:rFonts w:hint="eastAsia" w:ascii="宋体" w:hAnsi="宋体"/>
                <w:color w:val="auto"/>
                <w:szCs w:val="22"/>
                <w:highlight w:val="none"/>
              </w:rPr>
              <w:t>（大写）人民币                                       （￥                元）</w:t>
            </w:r>
          </w:p>
        </w:tc>
      </w:tr>
      <w:tr w14:paraId="6AED1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5000" w:type="pct"/>
            <w:gridSpan w:val="8"/>
            <w:tcBorders>
              <w:top w:val="single" w:color="auto" w:sz="4" w:space="0"/>
              <w:left w:val="single" w:color="auto" w:sz="4" w:space="0"/>
              <w:bottom w:val="single" w:color="auto" w:sz="4" w:space="0"/>
              <w:right w:val="single" w:color="auto" w:sz="4" w:space="0"/>
            </w:tcBorders>
          </w:tcPr>
          <w:p w14:paraId="1793AAC7">
            <w:pPr>
              <w:keepNext w:val="0"/>
              <w:keepLines w:val="0"/>
              <w:suppressLineNumbers w:val="0"/>
              <w:spacing w:before="0" w:beforeAutospacing="0" w:after="0" w:afterAutospacing="0"/>
              <w:ind w:left="0" w:right="0"/>
              <w:rPr>
                <w:rFonts w:hint="eastAsia" w:ascii="宋体" w:hAnsi="宋体"/>
                <w:color w:val="auto"/>
                <w:szCs w:val="22"/>
                <w:highlight w:val="none"/>
              </w:rPr>
            </w:pPr>
            <w:r>
              <w:rPr>
                <w:rFonts w:hint="eastAsia" w:ascii="宋体" w:hAnsi="宋体"/>
                <w:color w:val="auto"/>
                <w:szCs w:val="21"/>
                <w:highlight w:val="none"/>
                <w:u w:val="single"/>
              </w:rPr>
              <w:t>　　</w:t>
            </w:r>
            <w:r>
              <w:rPr>
                <w:rFonts w:hint="eastAsia" w:ascii="宋体" w:hAnsi="宋体"/>
                <w:color w:val="auto"/>
                <w:szCs w:val="21"/>
                <w:highlight w:val="none"/>
              </w:rPr>
              <w:t>标项（此处有标项时填写具体标项号，无标项时填写“无”）</w:t>
            </w:r>
          </w:p>
        </w:tc>
      </w:tr>
    </w:tbl>
    <w:p w14:paraId="5730C193">
      <w:pPr>
        <w:snapToGrid w:val="0"/>
        <w:spacing w:before="50" w:after="50"/>
        <w:ind w:firstLine="480" w:firstLineChars="200"/>
        <w:jc w:val="left"/>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注： </w:t>
      </w:r>
    </w:p>
    <w:p w14:paraId="3A8995B8">
      <w:pPr>
        <w:snapToGrid w:val="0"/>
        <w:spacing w:before="50" w:after="50"/>
        <w:ind w:firstLine="480" w:firstLineChars="200"/>
        <w:jc w:val="left"/>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1、 供应商需按本表格式填写，不得自行更改，也不得留空, 如有多标项，按标项分别提供响应报价表</w:t>
      </w:r>
      <w:r>
        <w:rPr>
          <w:rFonts w:hint="eastAsia" w:ascii="仿宋_GB2312" w:hAnsi="仿宋" w:eastAsia="仿宋_GB2312" w:cs="仿宋_GB2312"/>
          <w:b/>
          <w:color w:val="auto"/>
          <w:kern w:val="0"/>
          <w:sz w:val="24"/>
          <w:highlight w:val="none"/>
          <w:lang w:val="zh-CN"/>
        </w:rPr>
        <w:t>。</w:t>
      </w:r>
    </w:p>
    <w:p w14:paraId="0188AFDF">
      <w:pPr>
        <w:snapToGrid w:val="0"/>
        <w:spacing w:before="50" w:after="50"/>
        <w:ind w:firstLine="480" w:firstLineChars="200"/>
        <w:jc w:val="left"/>
        <w:rPr>
          <w:rFonts w:hint="eastAsia" w:ascii="仿宋_GB2312" w:hAnsi="仿宋" w:eastAsia="仿宋_GB2312" w:cs="仿宋_GB2312"/>
          <w:b/>
          <w:color w:val="auto"/>
          <w:kern w:val="0"/>
          <w:sz w:val="24"/>
          <w:highlight w:val="none"/>
          <w:lang w:val="zh-CN"/>
        </w:rPr>
      </w:pPr>
      <w:r>
        <w:rPr>
          <w:rFonts w:hint="eastAsia" w:ascii="仿宋_GB2312" w:hAnsi="仿宋" w:eastAsia="仿宋_GB2312" w:cs="仿宋_GB2312"/>
          <w:color w:val="auto"/>
          <w:kern w:val="0"/>
          <w:sz w:val="24"/>
          <w:highlight w:val="none"/>
          <w:lang w:val="zh-CN"/>
        </w:rPr>
        <w:t>2、如为联合体响应的，“供应商名称”处必须列明联合体各方名称，并标注联合体牵头人名称，且盖章处须加盖联合体各方公章</w:t>
      </w:r>
      <w:r>
        <w:rPr>
          <w:rFonts w:hint="eastAsia" w:ascii="仿宋_GB2312" w:hAnsi="仿宋" w:eastAsia="仿宋_GB2312" w:cs="仿宋_GB2312"/>
          <w:b/>
          <w:color w:val="auto"/>
          <w:kern w:val="0"/>
          <w:sz w:val="24"/>
          <w:highlight w:val="none"/>
          <w:lang w:val="zh-CN"/>
        </w:rPr>
        <w:t>。</w:t>
      </w:r>
    </w:p>
    <w:p w14:paraId="283A8D5B">
      <w:pPr>
        <w:snapToGrid w:val="0"/>
        <w:spacing w:before="50" w:after="50"/>
        <w:ind w:firstLine="480" w:firstLineChars="200"/>
        <w:jc w:val="left"/>
        <w:rPr>
          <w:rFonts w:hint="eastAsia" w:ascii="仿宋_GB2312" w:hAnsi="仿宋" w:eastAsia="仿宋_GB2312" w:cs="仿宋_GB2312"/>
          <w:b/>
          <w:color w:val="auto"/>
          <w:kern w:val="0"/>
          <w:sz w:val="24"/>
          <w:highlight w:val="none"/>
          <w:lang w:val="zh-CN"/>
        </w:rPr>
      </w:pPr>
      <w:r>
        <w:rPr>
          <w:rFonts w:hint="eastAsia" w:ascii="仿宋_GB2312" w:hAnsi="仿宋" w:eastAsia="仿宋_GB2312" w:cs="仿宋_GB2312"/>
          <w:color w:val="auto"/>
          <w:kern w:val="0"/>
          <w:sz w:val="24"/>
          <w:highlight w:val="none"/>
          <w:lang w:val="zh-CN"/>
        </w:rPr>
        <w:t>3、以上表格要求细分项目及报价</w:t>
      </w:r>
      <w:r>
        <w:rPr>
          <w:rFonts w:hint="eastAsia" w:ascii="仿宋_GB2312" w:hAnsi="仿宋" w:eastAsia="仿宋_GB2312" w:cs="仿宋_GB2312"/>
          <w:b/>
          <w:color w:val="auto"/>
          <w:kern w:val="0"/>
          <w:sz w:val="24"/>
          <w:highlight w:val="none"/>
          <w:lang w:val="zh-CN"/>
        </w:rPr>
        <w:t>。</w:t>
      </w:r>
    </w:p>
    <w:p w14:paraId="01A2C916">
      <w:pPr>
        <w:snapToGrid w:val="0"/>
        <w:ind w:firstLine="480" w:firstLineChars="200"/>
        <w:jc w:val="left"/>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4、特别提示：采购机构将对项目名称和项目编号，成交供应商名称、地址和成交金额，主要成交标的的名称、服务范围、服务要求、服务时间、服务标准等予以公示。</w:t>
      </w:r>
    </w:p>
    <w:p w14:paraId="2F8F460D">
      <w:pPr>
        <w:snapToGrid w:val="0"/>
        <w:ind w:firstLine="480" w:firstLineChars="200"/>
        <w:jc w:val="left"/>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szCs w:val="22"/>
          <w:highlight w:val="none"/>
          <w:lang w:val="zh-CN"/>
        </w:rPr>
        <w:t>5、</w:t>
      </w:r>
      <w:r>
        <w:rPr>
          <w:rFonts w:hint="eastAsia" w:ascii="仿宋_GB2312" w:hAnsi="仿宋" w:eastAsia="仿宋_GB2312" w:cs="仿宋_GB2312"/>
          <w:color w:val="auto"/>
          <w:kern w:val="0"/>
          <w:sz w:val="24"/>
          <w:highlight w:val="none"/>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76B47698">
      <w:pPr>
        <w:autoSpaceDE w:val="0"/>
        <w:autoSpaceDN w:val="0"/>
        <w:spacing w:line="360" w:lineRule="auto"/>
        <w:ind w:left="4335" w:leftChars="1950" w:hanging="240" w:hangingChars="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369D4FAA">
      <w:pPr>
        <w:widowControl/>
        <w:spacing w:line="360" w:lineRule="auto"/>
        <w:jc w:val="right"/>
        <w:rPr>
          <w:rFonts w:hint="eastAsia" w:ascii="宋体" w:hAnsi="宋体"/>
          <w:b/>
          <w:bCs/>
          <w:color w:val="auto"/>
          <w:sz w:val="32"/>
          <w:szCs w:val="32"/>
          <w:highlight w:val="none"/>
        </w:rPr>
        <w:sectPr>
          <w:pgSz w:w="11911" w:h="16838"/>
          <w:pgMar w:top="1417" w:right="1417" w:bottom="1417" w:left="1417" w:header="720" w:footer="720" w:gutter="0"/>
          <w:cols w:space="0" w:num="1"/>
          <w:rtlGutter w:val="0"/>
          <w:docGrid w:linePitch="0" w:charSpace="0"/>
        </w:sectPr>
      </w:pPr>
      <w:r>
        <w:rPr>
          <w:rFonts w:hint="eastAsia" w:ascii="仿宋_GB2312" w:hAnsi="仿宋" w:eastAsia="仿宋_GB2312" w:cs="仿宋_GB2312"/>
          <w:color w:val="auto"/>
          <w:sz w:val="24"/>
          <w:highlight w:val="none"/>
          <w:lang w:val="zh-CN"/>
        </w:rPr>
        <w:t>日期：  年  月   日</w:t>
      </w:r>
    </w:p>
    <w:p w14:paraId="0D34CF9C">
      <w:pPr>
        <w:pStyle w:val="3"/>
        <w:jc w:val="center"/>
        <w:rPr>
          <w:rFonts w:hint="eastAsia" w:ascii="宋体" w:hAnsi="宋体" w:cs="宋体"/>
          <w:b w:val="0"/>
          <w:color w:val="auto"/>
          <w:highlight w:val="none"/>
        </w:rPr>
      </w:pPr>
      <w:bookmarkStart w:id="78" w:name="_Toc44229899"/>
      <w:bookmarkEnd w:id="78"/>
      <w:bookmarkStart w:id="79" w:name="_Toc31728084"/>
      <w:bookmarkEnd w:id="79"/>
      <w:bookmarkStart w:id="80" w:name="_Toc31723070"/>
      <w:bookmarkEnd w:id="80"/>
      <w:bookmarkStart w:id="81" w:name="_Toc35611438"/>
      <w:bookmarkEnd w:id="81"/>
      <w:bookmarkStart w:id="82" w:name="_Toc35611516"/>
      <w:bookmarkEnd w:id="82"/>
      <w:bookmarkStart w:id="83" w:name="_Toc21156"/>
      <w:bookmarkStart w:id="84" w:name="_Toc80205942"/>
      <w:r>
        <w:rPr>
          <w:rFonts w:hint="eastAsia" w:ascii="宋体" w:hAnsi="宋体"/>
          <w:color w:val="auto"/>
          <w:highlight w:val="none"/>
        </w:rPr>
        <w:t>第五节 其他文书、文件格式</w:t>
      </w:r>
      <w:bookmarkEnd w:id="83"/>
      <w:bookmarkEnd w:id="84"/>
    </w:p>
    <w:p w14:paraId="6A0059DC">
      <w:pPr>
        <w:jc w:val="center"/>
        <w:rPr>
          <w:rFonts w:hint="eastAsia" w:ascii="宋体" w:hAnsi="宋体" w:cs="宋体"/>
          <w:b/>
          <w:bCs/>
          <w:color w:val="auto"/>
          <w:sz w:val="32"/>
          <w:szCs w:val="32"/>
          <w:highlight w:val="none"/>
          <w:lang w:val="en"/>
        </w:rPr>
      </w:pPr>
      <w:r>
        <w:rPr>
          <w:rFonts w:hint="eastAsia" w:ascii="宋体" w:hAnsi="宋体" w:cs="宋体"/>
          <w:b/>
          <w:bCs/>
          <w:color w:val="auto"/>
          <w:sz w:val="32"/>
          <w:szCs w:val="32"/>
          <w:highlight w:val="none"/>
          <w:lang w:val="en"/>
        </w:rPr>
        <w:t>知识产权合规性声明</w:t>
      </w:r>
    </w:p>
    <w:p w14:paraId="456D15CA">
      <w:pP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 xml:space="preserve">    </w:t>
      </w:r>
    </w:p>
    <w:p w14:paraId="6A3FDBD3">
      <w:pPr>
        <w:rPr>
          <w:rFonts w:hint="eastAsia" w:ascii="仿宋_GB2312" w:hAnsi="仿宋_GB2312" w:eastAsia="仿宋_GB2312" w:cs="仿宋_GB2312"/>
          <w:color w:val="auto"/>
          <w:sz w:val="30"/>
          <w:szCs w:val="30"/>
          <w:highlight w:val="none"/>
          <w:lang w:val="en"/>
        </w:rPr>
      </w:pPr>
      <w:r>
        <w:rPr>
          <w:rFonts w:hint="eastAsia" w:ascii="仿宋_GB2312" w:hAnsi="仿宋_GB2312" w:eastAsia="仿宋_GB2312" w:cs="仿宋_GB2312"/>
          <w:color w:val="auto"/>
          <w:sz w:val="30"/>
          <w:szCs w:val="30"/>
          <w:highlight w:val="none"/>
        </w:rPr>
        <w:t xml:space="preserve">    本</w:t>
      </w:r>
      <w:r>
        <w:rPr>
          <w:rFonts w:hint="eastAsia" w:ascii="仿宋_GB2312" w:hAnsi="仿宋_GB2312" w:eastAsia="仿宋_GB2312" w:cs="仿宋_GB2312"/>
          <w:color w:val="auto"/>
          <w:sz w:val="30"/>
          <w:szCs w:val="30"/>
          <w:highlight w:val="none"/>
          <w:lang w:val="en"/>
        </w:rPr>
        <w:t>企业（单位）自愿参与政府投资政府采购的</w:t>
      </w:r>
      <w:r>
        <w:rPr>
          <w:rFonts w:hint="eastAsia" w:ascii="仿宋_GB2312" w:hAnsi="仿宋_GB2312" w:eastAsia="仿宋_GB2312" w:cs="仿宋_GB2312"/>
          <w:color w:val="auto"/>
          <w:sz w:val="30"/>
          <w:szCs w:val="30"/>
          <w:highlight w:val="none"/>
          <w:u w:val="single"/>
          <w:lang w:val="en" w:eastAsia="zh-CN"/>
        </w:rPr>
        <w:t>第三方机构审计、核验2025年财政资金计划补助项目服务（3分标重）</w:t>
      </w:r>
      <w:r>
        <w:rPr>
          <w:rFonts w:hint="eastAsia" w:ascii="仿宋_GB2312" w:hAnsi="仿宋_GB2312" w:eastAsia="仿宋_GB2312" w:cs="仿宋_GB2312"/>
          <w:color w:val="auto"/>
          <w:sz w:val="30"/>
          <w:szCs w:val="30"/>
          <w:highlight w:val="none"/>
          <w:lang w:val="en"/>
        </w:rPr>
        <w:t>，</w:t>
      </w:r>
      <w:r>
        <w:rPr>
          <w:rFonts w:hint="eastAsia" w:ascii="仿宋_GB2312" w:hAnsi="仿宋_GB2312" w:eastAsia="仿宋_GB2312" w:cs="仿宋_GB2312"/>
          <w:b/>
          <w:bCs/>
          <w:color w:val="auto"/>
          <w:sz w:val="30"/>
          <w:szCs w:val="30"/>
          <w:highlight w:val="none"/>
          <w:lang w:val="en"/>
        </w:rPr>
        <w:t>在此郑重承诺：</w:t>
      </w:r>
      <w:r>
        <w:rPr>
          <w:rFonts w:hint="eastAsia" w:ascii="仿宋_GB2312" w:hAnsi="仿宋_GB2312" w:eastAsia="仿宋_GB2312" w:cs="仿宋_GB2312"/>
          <w:color w:val="auto"/>
          <w:sz w:val="30"/>
          <w:szCs w:val="30"/>
          <w:highlight w:val="none"/>
          <w:lang w:val="en"/>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w:t>
      </w:r>
      <w:r>
        <w:rPr>
          <w:rFonts w:hint="eastAsia" w:ascii="仿宋_GB2312" w:hAnsi="仿宋_GB2312" w:eastAsia="仿宋_GB2312" w:cs="仿宋_GB2312"/>
          <w:color w:val="auto"/>
          <w:sz w:val="30"/>
          <w:szCs w:val="30"/>
          <w:highlight w:val="none"/>
        </w:rPr>
        <w:t>单位</w:t>
      </w:r>
      <w:r>
        <w:rPr>
          <w:rFonts w:hint="eastAsia" w:ascii="仿宋_GB2312" w:hAnsi="仿宋_GB2312" w:eastAsia="仿宋_GB2312" w:cs="仿宋_GB2312"/>
          <w:color w:val="auto"/>
          <w:sz w:val="30"/>
          <w:szCs w:val="30"/>
          <w:highlight w:val="none"/>
          <w:lang w:val="en"/>
        </w:rPr>
        <w:t>）将承担由此产生的全部责任。</w:t>
      </w:r>
    </w:p>
    <w:p w14:paraId="53CB1972">
      <w:pPr>
        <w:snapToGrid w:val="0"/>
        <w:spacing w:line="360" w:lineRule="auto"/>
        <w:ind w:left="5137" w:leftChars="1736" w:hanging="1491" w:hangingChars="825"/>
        <w:rPr>
          <w:b/>
          <w:color w:val="auto"/>
          <w:sz w:val="18"/>
          <w:szCs w:val="18"/>
          <w:highlight w:val="none"/>
        </w:rPr>
      </w:pPr>
      <w:r>
        <w:rPr>
          <w:b/>
          <w:color w:val="auto"/>
          <w:sz w:val="18"/>
          <w:szCs w:val="18"/>
          <w:highlight w:val="none"/>
        </w:rPr>
        <w:t xml:space="preserve">           </w:t>
      </w:r>
    </w:p>
    <w:p w14:paraId="2DFCDCA3">
      <w:pPr>
        <w:snapToGrid w:val="0"/>
        <w:spacing w:line="360" w:lineRule="auto"/>
        <w:ind w:left="5137" w:leftChars="1736" w:hanging="1491" w:hangingChars="825"/>
        <w:rPr>
          <w:b/>
          <w:color w:val="auto"/>
          <w:sz w:val="18"/>
          <w:szCs w:val="18"/>
          <w:highlight w:val="none"/>
        </w:rPr>
      </w:pPr>
    </w:p>
    <w:p w14:paraId="725F37D4">
      <w:pPr>
        <w:snapToGrid w:val="0"/>
        <w:spacing w:line="360" w:lineRule="auto"/>
        <w:ind w:left="5137" w:leftChars="1736" w:hanging="1491" w:hangingChars="825"/>
        <w:rPr>
          <w:b/>
          <w:color w:val="auto"/>
          <w:sz w:val="18"/>
          <w:szCs w:val="18"/>
          <w:highlight w:val="none"/>
        </w:rPr>
      </w:pPr>
    </w:p>
    <w:p w14:paraId="5C2EF933">
      <w:pPr>
        <w:snapToGrid w:val="0"/>
        <w:spacing w:line="360" w:lineRule="auto"/>
        <w:ind w:left="5137" w:leftChars="1736" w:hanging="1491" w:hangingChars="825"/>
        <w:rPr>
          <w:b/>
          <w:color w:val="auto"/>
          <w:sz w:val="18"/>
          <w:szCs w:val="18"/>
          <w:highlight w:val="none"/>
        </w:rPr>
      </w:pPr>
    </w:p>
    <w:p w14:paraId="6EC92048">
      <w:pPr>
        <w:snapToGrid w:val="0"/>
        <w:spacing w:line="360" w:lineRule="auto"/>
        <w:ind w:left="5137" w:leftChars="1736" w:hanging="1491" w:hangingChars="825"/>
        <w:rPr>
          <w:rFonts w:hint="eastAsia" w:ascii="仿宋_GB2312" w:hAnsi="仿宋" w:eastAsia="仿宋_GB2312" w:cs="仿宋_GB2312"/>
          <w:color w:val="auto"/>
          <w:kern w:val="0"/>
          <w:sz w:val="24"/>
          <w:highlight w:val="none"/>
        </w:rPr>
      </w:pPr>
      <w:r>
        <w:rPr>
          <w:b/>
          <w:color w:val="auto"/>
          <w:sz w:val="18"/>
          <w:szCs w:val="18"/>
          <w:highlight w:val="none"/>
        </w:rPr>
        <w:t xml:space="preserve">      </w:t>
      </w:r>
      <w:r>
        <w:rPr>
          <w:rFonts w:hint="eastAsia" w:ascii="仿宋_GB2312" w:hAnsi="仿宋" w:eastAsia="仿宋_GB2312" w:cs="仿宋_GB2312"/>
          <w:color w:val="auto"/>
          <w:kern w:val="0"/>
          <w:sz w:val="24"/>
          <w:highlight w:val="none"/>
          <w:lang w:val="zh-CN"/>
        </w:rPr>
        <w:t>供应商名称(电子签章)：</w:t>
      </w:r>
    </w:p>
    <w:p w14:paraId="4F14BAA4">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5AD66485">
      <w:pPr>
        <w:widowControl/>
        <w:jc w:val="left"/>
        <w:rPr>
          <w:rFonts w:hint="eastAsia" w:ascii="宋体" w:hAnsi="宋体" w:cs="仿宋_GB2312"/>
          <w:color w:val="auto"/>
          <w:sz w:val="24"/>
          <w:highlight w:val="none"/>
        </w:rPr>
        <w:sectPr>
          <w:pgSz w:w="11911" w:h="16838"/>
          <w:pgMar w:top="1417" w:right="1417" w:bottom="1417" w:left="1417" w:header="720" w:footer="720" w:gutter="0"/>
          <w:cols w:space="0" w:num="1"/>
          <w:rtlGutter w:val="0"/>
          <w:docGrid w:linePitch="331" w:charSpace="0"/>
        </w:sectPr>
      </w:pPr>
    </w:p>
    <w:p w14:paraId="6ACAAC81">
      <w:pPr>
        <w:spacing w:line="520" w:lineRule="exact"/>
        <w:rPr>
          <w:rFonts w:hint="eastAsia" w:ascii="宋体" w:hAnsi="宋体" w:cs="仿宋_GB2312"/>
          <w:color w:val="auto"/>
          <w:sz w:val="24"/>
          <w:highlight w:val="none"/>
        </w:rPr>
      </w:pPr>
    </w:p>
    <w:p w14:paraId="17D40816">
      <w:pPr>
        <w:spacing w:line="520" w:lineRule="exact"/>
        <w:jc w:val="center"/>
        <w:rPr>
          <w:rFonts w:hint="eastAsia"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color w:val="auto"/>
          <w:sz w:val="44"/>
          <w:szCs w:val="44"/>
          <w:highlight w:val="none"/>
        </w:rPr>
        <w:t>残疾人福利性单位声明函</w:t>
      </w:r>
    </w:p>
    <w:p w14:paraId="3F498337">
      <w:pPr>
        <w:spacing w:line="520" w:lineRule="exact"/>
        <w:rPr>
          <w:rFonts w:hint="eastAsia" w:ascii="仿宋_GB2312" w:hAnsi="仿宋_GB2312" w:eastAsia="仿宋_GB2312" w:cs="仿宋_GB2312"/>
          <w:color w:val="auto"/>
          <w:sz w:val="32"/>
          <w:szCs w:val="32"/>
          <w:highlight w:val="none"/>
        </w:rPr>
      </w:pPr>
    </w:p>
    <w:p w14:paraId="4E8D1BF4">
      <w:pPr>
        <w:spacing w:line="360" w:lineRule="auto"/>
        <w:ind w:firstLine="480" w:firstLineChars="200"/>
        <w:rPr>
          <w:rFonts w:hint="eastAsia" w:ascii="仿宋_GB2312" w:hAnsi="宋体" w:eastAsia="仿宋_GB2312" w:cs="仿宋_GB2312"/>
          <w:color w:val="auto"/>
          <w:sz w:val="24"/>
          <w:highlight w:val="none"/>
        </w:rPr>
      </w:pPr>
      <w:r>
        <w:rPr>
          <w:rFonts w:hint="eastAsia" w:ascii="仿宋_GB2312" w:hAnsi="宋体" w:eastAsia="仿宋_GB2312" w:cs="仿宋_GB2312"/>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仿宋_GB2312" w:hAnsi="宋体" w:eastAsia="仿宋_GB2312" w:cs="仿宋_GB2312"/>
          <w:color w:val="auto"/>
          <w:sz w:val="24"/>
          <w:highlight w:val="none"/>
          <w:u w:val="single"/>
        </w:rPr>
        <w:t xml:space="preserve"> 南宁市工业和信息化局 </w:t>
      </w:r>
      <w:r>
        <w:rPr>
          <w:rFonts w:hint="eastAsia" w:ascii="仿宋_GB2312" w:hAnsi="宋体" w:eastAsia="仿宋_GB2312" w:cs="仿宋_GB2312"/>
          <w:color w:val="auto"/>
          <w:sz w:val="24"/>
          <w:highlight w:val="none"/>
        </w:rPr>
        <w:t>单位的</w:t>
      </w:r>
      <w:r>
        <w:rPr>
          <w:rFonts w:hint="eastAsia" w:ascii="仿宋_GB2312" w:hAnsi="宋体" w:eastAsia="仿宋_GB2312" w:cs="仿宋_GB2312"/>
          <w:color w:val="auto"/>
          <w:sz w:val="24"/>
          <w:highlight w:val="none"/>
          <w:u w:val="single"/>
        </w:rPr>
        <w:t xml:space="preserve"> </w:t>
      </w:r>
      <w:r>
        <w:rPr>
          <w:rFonts w:hint="eastAsia" w:ascii="仿宋_GB2312" w:hAnsi="宋体" w:eastAsia="仿宋_GB2312" w:cs="仿宋_GB2312"/>
          <w:color w:val="auto"/>
          <w:sz w:val="24"/>
          <w:highlight w:val="none"/>
          <w:u w:val="single"/>
          <w:lang w:eastAsia="zh-CN"/>
        </w:rPr>
        <w:t>第三方机构审计、核验2025年财政资金计划补助项目服务（3分标重）</w:t>
      </w:r>
      <w:r>
        <w:rPr>
          <w:rFonts w:hint="eastAsia" w:ascii="仿宋_GB2312" w:hAnsi="宋体" w:eastAsia="仿宋_GB2312" w:cs="仿宋_GB2312"/>
          <w:color w:val="auto"/>
          <w:sz w:val="24"/>
          <w:highlight w:val="none"/>
        </w:rPr>
        <w:t>采购活动由本单位提供服务。</w:t>
      </w:r>
    </w:p>
    <w:p w14:paraId="0F3625CF">
      <w:pPr>
        <w:spacing w:line="360" w:lineRule="auto"/>
        <w:ind w:firstLine="480" w:firstLineChars="200"/>
        <w:rPr>
          <w:rFonts w:hint="eastAsia" w:ascii="仿宋_GB2312" w:hAnsi="宋体" w:eastAsia="仿宋_GB2312" w:cs="仿宋_GB2312"/>
          <w:color w:val="auto"/>
          <w:sz w:val="24"/>
          <w:highlight w:val="none"/>
        </w:rPr>
      </w:pPr>
      <w:r>
        <w:rPr>
          <w:rFonts w:hint="eastAsia" w:ascii="仿宋_GB2312" w:hAnsi="宋体" w:eastAsia="仿宋_GB2312" w:cs="仿宋_GB2312"/>
          <w:color w:val="auto"/>
          <w:sz w:val="24"/>
          <w:highlight w:val="none"/>
        </w:rPr>
        <w:t>本单位对上述声明的真实性负责。如有虚假，将依法承担相应责任。</w:t>
      </w:r>
    </w:p>
    <w:p w14:paraId="35EC273E">
      <w:pPr>
        <w:spacing w:line="360" w:lineRule="auto"/>
        <w:rPr>
          <w:rFonts w:hint="eastAsia" w:ascii="宋体" w:hAnsi="宋体" w:cs="仿宋_GB2312"/>
          <w:color w:val="auto"/>
          <w:sz w:val="24"/>
          <w:highlight w:val="none"/>
        </w:rPr>
      </w:pPr>
    </w:p>
    <w:p w14:paraId="0D03DC0E">
      <w:pPr>
        <w:spacing w:line="360" w:lineRule="auto"/>
        <w:rPr>
          <w:rFonts w:hint="eastAsia" w:ascii="宋体" w:hAnsi="宋体" w:cs="仿宋_GB2312"/>
          <w:color w:val="auto"/>
          <w:sz w:val="24"/>
          <w:highlight w:val="none"/>
        </w:rPr>
      </w:pPr>
    </w:p>
    <w:p w14:paraId="17FC6506">
      <w:pPr>
        <w:spacing w:line="360" w:lineRule="auto"/>
        <w:rPr>
          <w:rFonts w:hint="eastAsia" w:ascii="宋体" w:hAnsi="宋体" w:cs="仿宋_GB2312"/>
          <w:color w:val="auto"/>
          <w:sz w:val="24"/>
          <w:highlight w:val="none"/>
        </w:rPr>
      </w:pPr>
    </w:p>
    <w:p w14:paraId="06CE79A3">
      <w:pPr>
        <w:spacing w:line="360" w:lineRule="auto"/>
        <w:ind w:firstLine="2400" w:firstLineChars="1000"/>
        <w:rPr>
          <w:rFonts w:hint="eastAsia" w:ascii="宋体" w:hAnsi="宋体" w:cs="仿宋_GB2312"/>
          <w:color w:val="auto"/>
          <w:sz w:val="24"/>
          <w:highlight w:val="none"/>
        </w:rPr>
      </w:pPr>
      <w:r>
        <w:rPr>
          <w:rFonts w:hint="eastAsia" w:ascii="宋体" w:hAnsi="宋体" w:cs="仿宋_GB2312"/>
          <w:color w:val="auto"/>
          <w:sz w:val="24"/>
          <w:highlight w:val="none"/>
        </w:rPr>
        <w:t>供应商名称（电子签章）：</w:t>
      </w:r>
    </w:p>
    <w:p w14:paraId="1807AE5E">
      <w:pPr>
        <w:spacing w:line="360" w:lineRule="auto"/>
        <w:ind w:firstLine="4320" w:firstLineChars="1800"/>
        <w:rPr>
          <w:rFonts w:hint="eastAsia" w:ascii="宋体" w:hAnsi="宋体" w:cs="仿宋_GB2312"/>
          <w:color w:val="auto"/>
          <w:sz w:val="24"/>
          <w:highlight w:val="none"/>
        </w:rPr>
      </w:pPr>
      <w:r>
        <w:rPr>
          <w:rFonts w:hint="eastAsia" w:ascii="宋体" w:hAnsi="宋体" w:cs="仿宋_GB2312"/>
          <w:color w:val="auto"/>
          <w:sz w:val="24"/>
          <w:highlight w:val="none"/>
        </w:rPr>
        <w:t>日  期：     年   月   日</w:t>
      </w:r>
    </w:p>
    <w:p w14:paraId="43F9FB67">
      <w:pPr>
        <w:spacing w:line="360" w:lineRule="auto"/>
        <w:rPr>
          <w:rFonts w:hint="eastAsia" w:ascii="宋体" w:hAnsi="宋体" w:cs="仿宋_GB2312"/>
          <w:color w:val="auto"/>
          <w:sz w:val="24"/>
          <w:highlight w:val="none"/>
        </w:rPr>
      </w:pPr>
    </w:p>
    <w:p w14:paraId="1232D57A">
      <w:pPr>
        <w:spacing w:line="360" w:lineRule="auto"/>
        <w:rPr>
          <w:rFonts w:hint="eastAsia" w:ascii="宋体" w:hAnsi="宋体" w:cs="仿宋_GB2312"/>
          <w:color w:val="auto"/>
          <w:sz w:val="24"/>
          <w:highlight w:val="none"/>
        </w:rPr>
      </w:pPr>
    </w:p>
    <w:p w14:paraId="4A82BA63">
      <w:pPr>
        <w:spacing w:line="360" w:lineRule="auto"/>
        <w:rPr>
          <w:rFonts w:hint="eastAsia" w:ascii="宋体" w:hAnsi="宋体" w:cs="仿宋_GB2312"/>
          <w:color w:val="auto"/>
          <w:sz w:val="24"/>
          <w:highlight w:val="none"/>
        </w:rPr>
      </w:pPr>
    </w:p>
    <w:p w14:paraId="0C4DA19C">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供应商提供由省级以上监狱管理局、戒毒管理局（含新疆生产建设兵团）出具的属于监狱企业证明文件的，视同为小型和微型企业。</w:t>
      </w:r>
    </w:p>
    <w:p w14:paraId="2F4103A1">
      <w:pPr>
        <w:spacing w:line="520" w:lineRule="exact"/>
        <w:jc w:val="center"/>
        <w:rPr>
          <w:rFonts w:hint="eastAsia" w:ascii="宋体" w:hAnsi="宋体"/>
          <w:color w:val="auto"/>
          <w:sz w:val="24"/>
          <w:highlight w:val="none"/>
        </w:rPr>
      </w:pPr>
    </w:p>
    <w:p w14:paraId="1C3D8E0E">
      <w:pPr>
        <w:spacing w:line="520" w:lineRule="exact"/>
        <w:jc w:val="center"/>
        <w:rPr>
          <w:rFonts w:hint="eastAsia" w:ascii="宋体" w:hAnsi="宋体"/>
          <w:color w:val="auto"/>
          <w:sz w:val="24"/>
          <w:highlight w:val="none"/>
        </w:rPr>
      </w:pPr>
    </w:p>
    <w:p w14:paraId="48FEEF49">
      <w:pPr>
        <w:spacing w:line="520" w:lineRule="exact"/>
        <w:jc w:val="center"/>
        <w:rPr>
          <w:rFonts w:hint="eastAsia" w:ascii="宋体" w:hAnsi="宋体"/>
          <w:color w:val="auto"/>
          <w:sz w:val="24"/>
          <w:highlight w:val="none"/>
        </w:rPr>
      </w:pPr>
    </w:p>
    <w:p w14:paraId="5BEA264E">
      <w:pPr>
        <w:spacing w:line="520" w:lineRule="exact"/>
        <w:jc w:val="center"/>
        <w:rPr>
          <w:rFonts w:hint="eastAsia" w:ascii="宋体" w:hAnsi="宋体"/>
          <w:color w:val="auto"/>
          <w:sz w:val="24"/>
          <w:highlight w:val="none"/>
        </w:rPr>
      </w:pPr>
    </w:p>
    <w:p w14:paraId="01C30525">
      <w:pPr>
        <w:spacing w:line="520" w:lineRule="exact"/>
        <w:jc w:val="center"/>
        <w:rPr>
          <w:rFonts w:hint="eastAsia" w:ascii="宋体" w:hAnsi="宋体"/>
          <w:color w:val="auto"/>
          <w:sz w:val="24"/>
          <w:highlight w:val="none"/>
        </w:rPr>
      </w:pPr>
    </w:p>
    <w:p w14:paraId="58410C17">
      <w:pPr>
        <w:spacing w:line="520" w:lineRule="exact"/>
        <w:jc w:val="center"/>
        <w:rPr>
          <w:rFonts w:hint="eastAsia" w:ascii="宋体" w:hAnsi="宋体"/>
          <w:color w:val="auto"/>
          <w:sz w:val="24"/>
          <w:highlight w:val="none"/>
        </w:rPr>
      </w:pPr>
    </w:p>
    <w:p w14:paraId="5F248A56">
      <w:pPr>
        <w:spacing w:line="520" w:lineRule="exact"/>
        <w:jc w:val="center"/>
        <w:rPr>
          <w:rFonts w:hint="eastAsia" w:ascii="宋体" w:hAnsi="宋体"/>
          <w:color w:val="auto"/>
          <w:sz w:val="24"/>
          <w:highlight w:val="none"/>
        </w:rPr>
      </w:pPr>
    </w:p>
    <w:p w14:paraId="28BFDB37">
      <w:pPr>
        <w:spacing w:line="520" w:lineRule="exact"/>
        <w:jc w:val="center"/>
        <w:rPr>
          <w:rFonts w:hint="eastAsia" w:ascii="宋体" w:hAnsi="宋体"/>
          <w:color w:val="auto"/>
          <w:sz w:val="24"/>
          <w:highlight w:val="none"/>
        </w:rPr>
      </w:pPr>
    </w:p>
    <w:p w14:paraId="5A337F64">
      <w:pPr>
        <w:spacing w:line="520" w:lineRule="exact"/>
        <w:jc w:val="center"/>
        <w:rPr>
          <w:rFonts w:hint="eastAsia" w:ascii="宋体" w:hAnsi="宋体"/>
          <w:color w:val="auto"/>
          <w:sz w:val="24"/>
          <w:highlight w:val="none"/>
        </w:rPr>
      </w:pPr>
    </w:p>
    <w:p w14:paraId="27B45CA6">
      <w:pPr>
        <w:spacing w:line="520" w:lineRule="exact"/>
        <w:jc w:val="center"/>
        <w:rPr>
          <w:rFonts w:hint="eastAsia" w:ascii="宋体" w:hAnsi="宋体"/>
          <w:color w:val="auto"/>
          <w:sz w:val="24"/>
          <w:highlight w:val="none"/>
        </w:rPr>
      </w:pPr>
    </w:p>
    <w:p w14:paraId="58CC22E2">
      <w:pPr>
        <w:spacing w:line="520" w:lineRule="exact"/>
        <w:jc w:val="center"/>
        <w:rPr>
          <w:rFonts w:hint="eastAsia" w:ascii="宋体" w:hAnsi="宋体"/>
          <w:color w:val="auto"/>
          <w:sz w:val="24"/>
          <w:highlight w:val="none"/>
        </w:rPr>
      </w:pPr>
    </w:p>
    <w:p w14:paraId="6A2C58FA">
      <w:pPr>
        <w:spacing w:line="520" w:lineRule="exact"/>
        <w:jc w:val="center"/>
        <w:rPr>
          <w:rFonts w:hint="eastAsia" w:ascii="宋体" w:hAnsi="宋体"/>
          <w:color w:val="auto"/>
          <w:sz w:val="24"/>
          <w:highlight w:val="none"/>
        </w:rPr>
      </w:pPr>
    </w:p>
    <w:p w14:paraId="32FEEC6D">
      <w:pPr>
        <w:spacing w:line="520" w:lineRule="exact"/>
        <w:jc w:val="center"/>
        <w:rPr>
          <w:rFonts w:hint="eastAsia" w:ascii="宋体" w:hAnsi="宋体"/>
          <w:color w:val="auto"/>
          <w:sz w:val="24"/>
          <w:highlight w:val="none"/>
        </w:rPr>
      </w:pPr>
    </w:p>
    <w:p w14:paraId="3D54F8D0">
      <w:pPr>
        <w:spacing w:line="520" w:lineRule="exact"/>
        <w:jc w:val="center"/>
        <w:rPr>
          <w:rFonts w:hint="eastAsia" w:ascii="宋体" w:hAnsi="宋体"/>
          <w:color w:val="auto"/>
          <w:sz w:val="24"/>
          <w:highlight w:val="none"/>
        </w:rPr>
      </w:pPr>
    </w:p>
    <w:p w14:paraId="4B5C43FA">
      <w:pPr>
        <w:spacing w:line="520" w:lineRule="exact"/>
        <w:jc w:val="center"/>
        <w:rPr>
          <w:rFonts w:hint="eastAsia" w:ascii="宋体" w:hAnsi="宋体"/>
          <w:color w:val="auto"/>
          <w:sz w:val="24"/>
          <w:highlight w:val="none"/>
        </w:rPr>
      </w:pPr>
    </w:p>
    <w:p w14:paraId="1AF055EA">
      <w:pPr>
        <w:pStyle w:val="2"/>
        <w:jc w:val="center"/>
        <w:rPr>
          <w:rFonts w:hint="eastAsia" w:ascii="仿宋_GB2312" w:hAnsi="楷体" w:eastAsia="仿宋_GB2312"/>
          <w:color w:val="auto"/>
          <w:sz w:val="24"/>
          <w:highlight w:val="none"/>
        </w:rPr>
      </w:pPr>
      <w:bookmarkStart w:id="85" w:name="_Toc18784"/>
      <w:r>
        <w:rPr>
          <w:rFonts w:hint="eastAsia" w:ascii="宋体" w:hAnsi="宋体"/>
          <w:b w:val="0"/>
          <w:bCs w:val="0"/>
          <w:color w:val="auto"/>
          <w:highlight w:val="none"/>
        </w:rPr>
        <w:t>第六章  合同文本</w:t>
      </w:r>
      <w:r>
        <w:rPr>
          <w:rFonts w:hint="eastAsia" w:ascii="宋体" w:hAnsi="宋体"/>
          <w:b w:val="0"/>
          <w:bCs w:val="0"/>
          <w:color w:val="auto"/>
          <w:highlight w:val="none"/>
        </w:rPr>
        <w:br w:type="page"/>
      </w:r>
      <w:bookmarkEnd w:id="85"/>
      <w:r>
        <w:rPr>
          <w:rFonts w:hint="eastAsia" w:ascii="仿宋_GB2312" w:hAnsi="楷体" w:eastAsia="仿宋_GB2312"/>
          <w:color w:val="auto"/>
          <w:sz w:val="24"/>
          <w:highlight w:val="none"/>
        </w:rPr>
        <w:t>“广西政府采购云平台”合同编号：</w:t>
      </w:r>
    </w:p>
    <w:p w14:paraId="5B2A1AA8">
      <w:pPr>
        <w:rPr>
          <w:rFonts w:hint="eastAsia" w:ascii="宋体" w:hAnsi="宋体"/>
          <w:b/>
          <w:bCs/>
          <w:color w:val="auto"/>
          <w:highlight w:val="none"/>
        </w:rPr>
      </w:pPr>
    </w:p>
    <w:p w14:paraId="4651AB2D">
      <w:pPr>
        <w:spacing w:line="360" w:lineRule="auto"/>
        <w:jc w:val="center"/>
        <w:rPr>
          <w:rFonts w:ascii="宋体"/>
          <w:b/>
          <w:bCs/>
          <w:color w:val="auto"/>
          <w:sz w:val="52"/>
          <w:highlight w:val="none"/>
        </w:rPr>
      </w:pPr>
      <w:r>
        <w:rPr>
          <w:rFonts w:hint="eastAsia" w:ascii="宋体"/>
          <w:b/>
          <w:bCs/>
          <w:color w:val="auto"/>
          <w:sz w:val="52"/>
          <w:highlight w:val="none"/>
        </w:rPr>
        <w:t>南 宁 市 政 府 采 购</w:t>
      </w:r>
    </w:p>
    <w:p w14:paraId="499D6DF3">
      <w:pPr>
        <w:spacing w:line="360" w:lineRule="auto"/>
        <w:ind w:firstLine="420" w:firstLineChars="200"/>
        <w:rPr>
          <w:rFonts w:ascii="宋体"/>
          <w:color w:val="auto"/>
          <w:highlight w:val="none"/>
        </w:rPr>
      </w:pPr>
    </w:p>
    <w:p w14:paraId="705A6288">
      <w:pPr>
        <w:spacing w:line="360" w:lineRule="auto"/>
        <w:ind w:firstLine="420" w:firstLineChars="200"/>
        <w:rPr>
          <w:rFonts w:ascii="宋体"/>
          <w:color w:val="auto"/>
          <w:highlight w:val="none"/>
        </w:rPr>
      </w:pPr>
      <w:r>
        <w:rPr>
          <w:rFonts w:hint="eastAsia" w:ascii="宋体"/>
          <w:color w:val="auto"/>
          <w:highlight w:val="none"/>
        </w:rPr>
        <w:t xml:space="preserve">                                                 </w:t>
      </w:r>
    </w:p>
    <w:p w14:paraId="370AA825">
      <w:pPr>
        <w:spacing w:line="360" w:lineRule="auto"/>
        <w:jc w:val="center"/>
        <w:rPr>
          <w:rFonts w:ascii="宋体"/>
          <w:b/>
          <w:bCs/>
          <w:color w:val="auto"/>
          <w:sz w:val="44"/>
          <w:highlight w:val="none"/>
        </w:rPr>
      </w:pPr>
      <w:r>
        <w:rPr>
          <w:rFonts w:hint="eastAsia" w:ascii="宋体"/>
          <w:b/>
          <w:bCs/>
          <w:color w:val="auto"/>
          <w:sz w:val="44"/>
          <w:highlight w:val="none"/>
          <w:u w:val="single"/>
        </w:rPr>
        <w:t xml:space="preserve"> </w:t>
      </w:r>
      <w:r>
        <w:rPr>
          <w:rFonts w:hint="eastAsia" w:ascii="宋体"/>
          <w:b/>
          <w:bCs/>
          <w:color w:val="auto"/>
          <w:sz w:val="44"/>
          <w:highlight w:val="none"/>
          <w:u w:val="single"/>
          <w:lang w:eastAsia="zh-CN"/>
        </w:rPr>
        <w:t>第三方机构审计、核验2025年财政资金计划补助项目服务（3分标重）</w:t>
      </w:r>
      <w:r>
        <w:rPr>
          <w:rFonts w:hint="eastAsia" w:ascii="宋体"/>
          <w:b/>
          <w:bCs/>
          <w:color w:val="auto"/>
          <w:sz w:val="44"/>
          <w:highlight w:val="none"/>
        </w:rPr>
        <w:t>合同</w:t>
      </w:r>
    </w:p>
    <w:p w14:paraId="0D664B95">
      <w:pPr>
        <w:spacing w:line="360" w:lineRule="auto"/>
        <w:jc w:val="center"/>
        <w:rPr>
          <w:rFonts w:ascii="宋体"/>
          <w:b/>
          <w:bCs/>
          <w:color w:val="auto"/>
          <w:sz w:val="44"/>
          <w:highlight w:val="none"/>
        </w:rPr>
      </w:pPr>
    </w:p>
    <w:p w14:paraId="23144FBD">
      <w:pPr>
        <w:spacing w:line="360" w:lineRule="auto"/>
        <w:jc w:val="center"/>
        <w:rPr>
          <w:rFonts w:ascii="宋体"/>
          <w:b/>
          <w:bCs/>
          <w:color w:val="auto"/>
          <w:sz w:val="44"/>
          <w:highlight w:val="none"/>
        </w:rPr>
      </w:pPr>
    </w:p>
    <w:p w14:paraId="03FFBBD6">
      <w:pPr>
        <w:ind w:firstLine="354" w:firstLineChars="98"/>
        <w:rPr>
          <w:rFonts w:hint="eastAsia" w:ascii="宋体" w:hAnsi="宋体"/>
          <w:b/>
          <w:color w:val="auto"/>
          <w:sz w:val="36"/>
          <w:szCs w:val="36"/>
          <w:highlight w:val="none"/>
        </w:rPr>
      </w:pPr>
      <w:r>
        <w:rPr>
          <w:rFonts w:hint="eastAsia" w:ascii="宋体" w:hAnsi="宋体"/>
          <w:b/>
          <w:color w:val="auto"/>
          <w:sz w:val="36"/>
          <w:szCs w:val="36"/>
          <w:highlight w:val="none"/>
        </w:rPr>
        <w:t>采购项目编号：</w:t>
      </w:r>
      <w:r>
        <w:rPr>
          <w:rFonts w:hint="eastAsia" w:ascii="宋体" w:hAnsi="宋体"/>
          <w:b/>
          <w:color w:val="auto"/>
          <w:sz w:val="36"/>
          <w:szCs w:val="36"/>
          <w:highlight w:val="none"/>
          <w:u w:val="single"/>
        </w:rPr>
        <w:t xml:space="preserve">                      </w:t>
      </w:r>
    </w:p>
    <w:p w14:paraId="767DE1C5">
      <w:pPr>
        <w:ind w:firstLine="354" w:firstLineChars="98"/>
        <w:rPr>
          <w:rFonts w:hint="eastAsia" w:ascii="宋体" w:hAnsi="宋体"/>
          <w:b/>
          <w:color w:val="auto"/>
          <w:sz w:val="36"/>
          <w:szCs w:val="36"/>
          <w:highlight w:val="none"/>
        </w:rPr>
      </w:pPr>
      <w:r>
        <w:rPr>
          <w:rFonts w:hint="eastAsia" w:ascii="宋体" w:hAnsi="宋体"/>
          <w:b/>
          <w:color w:val="auto"/>
          <w:sz w:val="36"/>
          <w:szCs w:val="36"/>
          <w:highlight w:val="none"/>
        </w:rPr>
        <w:t>采购计划编号：</w:t>
      </w:r>
      <w:r>
        <w:rPr>
          <w:rFonts w:hint="eastAsia" w:ascii="宋体" w:hAnsi="宋体"/>
          <w:b/>
          <w:color w:val="auto"/>
          <w:sz w:val="36"/>
          <w:szCs w:val="36"/>
          <w:highlight w:val="none"/>
          <w:u w:val="single"/>
        </w:rPr>
        <w:t xml:space="preserve">                      </w:t>
      </w:r>
    </w:p>
    <w:p w14:paraId="0F915903">
      <w:pPr>
        <w:ind w:firstLine="1308" w:firstLineChars="545"/>
        <w:rPr>
          <w:rFonts w:hint="eastAsia" w:ascii="宋体" w:hAnsi="宋体" w:cs="宋体"/>
          <w:color w:val="auto"/>
          <w:sz w:val="24"/>
          <w:highlight w:val="none"/>
        </w:rPr>
      </w:pPr>
    </w:p>
    <w:p w14:paraId="6F6BB386">
      <w:pPr>
        <w:ind w:firstLine="1995" w:firstLineChars="552"/>
        <w:rPr>
          <w:rFonts w:hint="eastAsia" w:ascii="宋体" w:hAnsi="宋体"/>
          <w:b/>
          <w:color w:val="auto"/>
          <w:sz w:val="36"/>
          <w:szCs w:val="36"/>
          <w:highlight w:val="none"/>
          <w:u w:val="single"/>
        </w:rPr>
      </w:pPr>
    </w:p>
    <w:p w14:paraId="026BF36F">
      <w:pPr>
        <w:ind w:firstLine="1995" w:firstLineChars="552"/>
        <w:rPr>
          <w:rFonts w:hint="eastAsia" w:ascii="宋体" w:hAnsi="宋体"/>
          <w:b/>
          <w:color w:val="auto"/>
          <w:sz w:val="36"/>
          <w:szCs w:val="36"/>
          <w:highlight w:val="none"/>
          <w:u w:val="single"/>
        </w:rPr>
      </w:pPr>
    </w:p>
    <w:p w14:paraId="2387905A">
      <w:pPr>
        <w:tabs>
          <w:tab w:val="left" w:pos="7200"/>
        </w:tabs>
        <w:spacing w:line="360" w:lineRule="auto"/>
        <w:ind w:firstLine="361" w:firstLineChars="100"/>
        <w:rPr>
          <w:rFonts w:hint="eastAsia" w:ascii="宋体" w:hAnsi="宋体"/>
          <w:b/>
          <w:color w:val="auto"/>
          <w:sz w:val="36"/>
          <w:szCs w:val="36"/>
          <w:highlight w:val="none"/>
          <w:u w:val="single"/>
        </w:rPr>
      </w:pPr>
      <w:r>
        <w:rPr>
          <w:rFonts w:hint="eastAsia" w:ascii="宋体" w:hAnsi="宋体"/>
          <w:b/>
          <w:color w:val="auto"/>
          <w:sz w:val="36"/>
          <w:szCs w:val="36"/>
          <w:highlight w:val="none"/>
        </w:rPr>
        <w:t>采购人：</w:t>
      </w:r>
      <w:r>
        <w:rPr>
          <w:rFonts w:hint="eastAsia" w:ascii="宋体" w:hAnsi="宋体"/>
          <w:b/>
          <w:color w:val="auto"/>
          <w:sz w:val="36"/>
          <w:szCs w:val="36"/>
          <w:highlight w:val="none"/>
          <w:u w:val="single"/>
        </w:rPr>
        <w:t>南宁市工业和信息化局</w:t>
      </w:r>
    </w:p>
    <w:p w14:paraId="418E8AE4">
      <w:pPr>
        <w:tabs>
          <w:tab w:val="left" w:pos="7380"/>
        </w:tabs>
        <w:spacing w:line="360" w:lineRule="auto"/>
        <w:ind w:firstLine="361" w:firstLineChars="100"/>
        <w:rPr>
          <w:rFonts w:ascii="宋体"/>
          <w:b/>
          <w:bCs/>
          <w:color w:val="auto"/>
          <w:sz w:val="44"/>
          <w:highlight w:val="none"/>
        </w:rPr>
      </w:pPr>
      <w:r>
        <w:rPr>
          <w:rFonts w:hint="eastAsia" w:ascii="宋体" w:hAnsi="宋体"/>
          <w:b/>
          <w:color w:val="auto"/>
          <w:sz w:val="36"/>
          <w:szCs w:val="36"/>
          <w:highlight w:val="none"/>
        </w:rPr>
        <w:t>中标供应商：</w:t>
      </w:r>
      <w:r>
        <w:rPr>
          <w:rFonts w:hint="eastAsia" w:ascii="宋体" w:hAnsi="宋体"/>
          <w:b/>
          <w:color w:val="auto"/>
          <w:sz w:val="36"/>
          <w:szCs w:val="36"/>
          <w:highlight w:val="none"/>
          <w:u w:val="single"/>
        </w:rPr>
        <w:t xml:space="preserve">                   </w:t>
      </w:r>
    </w:p>
    <w:p w14:paraId="700C4A69">
      <w:pPr>
        <w:tabs>
          <w:tab w:val="left" w:pos="7380"/>
        </w:tabs>
        <w:spacing w:line="360" w:lineRule="auto"/>
        <w:rPr>
          <w:rFonts w:ascii="宋体"/>
          <w:b/>
          <w:bCs/>
          <w:color w:val="auto"/>
          <w:sz w:val="44"/>
          <w:highlight w:val="none"/>
        </w:rPr>
      </w:pPr>
    </w:p>
    <w:p w14:paraId="281964EC">
      <w:pPr>
        <w:tabs>
          <w:tab w:val="left" w:pos="7380"/>
        </w:tabs>
        <w:spacing w:line="360" w:lineRule="auto"/>
        <w:rPr>
          <w:rFonts w:ascii="宋体"/>
          <w:b/>
          <w:bCs/>
          <w:color w:val="auto"/>
          <w:sz w:val="44"/>
          <w:highlight w:val="none"/>
        </w:rPr>
      </w:pPr>
    </w:p>
    <w:p w14:paraId="5E4D3AE2">
      <w:pPr>
        <w:tabs>
          <w:tab w:val="left" w:pos="7380"/>
        </w:tabs>
        <w:spacing w:line="360" w:lineRule="auto"/>
        <w:rPr>
          <w:rFonts w:ascii="宋体"/>
          <w:b/>
          <w:bCs/>
          <w:color w:val="auto"/>
          <w:sz w:val="44"/>
          <w:highlight w:val="none"/>
        </w:rPr>
      </w:pPr>
    </w:p>
    <w:p w14:paraId="70B15E47">
      <w:pPr>
        <w:tabs>
          <w:tab w:val="left" w:pos="7380"/>
        </w:tabs>
        <w:spacing w:line="360" w:lineRule="auto"/>
        <w:jc w:val="center"/>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签订时间：</w:t>
      </w:r>
      <w:r>
        <w:rPr>
          <w:rFonts w:hint="eastAsia" w:ascii="仿宋_GB2312" w:hAnsi="楷体" w:eastAsia="仿宋_GB2312"/>
          <w:color w:val="auto"/>
          <w:sz w:val="24"/>
          <w:highlight w:val="none"/>
          <w:u w:val="single"/>
          <w:lang w:val="zh-CN"/>
        </w:rPr>
        <w:t xml:space="preserve">     </w:t>
      </w:r>
      <w:r>
        <w:rPr>
          <w:rFonts w:hint="eastAsia" w:ascii="仿宋_GB2312" w:hAnsi="楷体" w:eastAsia="仿宋_GB2312"/>
          <w:color w:val="auto"/>
          <w:sz w:val="24"/>
          <w:highlight w:val="none"/>
          <w:lang w:val="zh-CN"/>
        </w:rPr>
        <w:t>年</w:t>
      </w:r>
      <w:r>
        <w:rPr>
          <w:rFonts w:hint="eastAsia" w:ascii="仿宋_GB2312" w:hAnsi="楷体" w:eastAsia="仿宋_GB2312"/>
          <w:color w:val="auto"/>
          <w:sz w:val="24"/>
          <w:highlight w:val="none"/>
          <w:u w:val="single"/>
          <w:lang w:val="zh-CN"/>
        </w:rPr>
        <w:t xml:space="preserve">    </w:t>
      </w:r>
      <w:r>
        <w:rPr>
          <w:rFonts w:hint="eastAsia" w:ascii="仿宋_GB2312" w:hAnsi="楷体" w:eastAsia="仿宋_GB2312"/>
          <w:color w:val="auto"/>
          <w:sz w:val="24"/>
          <w:highlight w:val="none"/>
          <w:lang w:val="zh-CN"/>
        </w:rPr>
        <w:t>月</w:t>
      </w:r>
      <w:r>
        <w:rPr>
          <w:rFonts w:hint="eastAsia" w:ascii="仿宋_GB2312" w:hAnsi="楷体" w:eastAsia="仿宋_GB2312"/>
          <w:color w:val="auto"/>
          <w:sz w:val="24"/>
          <w:highlight w:val="none"/>
          <w:u w:val="single"/>
          <w:lang w:val="zh-CN"/>
        </w:rPr>
        <w:t xml:space="preserve">    </w:t>
      </w:r>
      <w:r>
        <w:rPr>
          <w:rFonts w:hint="eastAsia" w:ascii="仿宋_GB2312" w:hAnsi="楷体" w:eastAsia="仿宋_GB2312"/>
          <w:color w:val="auto"/>
          <w:sz w:val="24"/>
          <w:highlight w:val="none"/>
          <w:lang w:val="zh-CN"/>
        </w:rPr>
        <w:t>日</w:t>
      </w:r>
    </w:p>
    <w:p w14:paraId="6A6260F6">
      <w:pPr>
        <w:snapToGrid w:val="0"/>
        <w:spacing w:line="360" w:lineRule="auto"/>
        <w:jc w:val="center"/>
        <w:rPr>
          <w:rFonts w:hint="eastAsia" w:ascii="仿宋_GB2312" w:hAnsi="楷体" w:eastAsia="仿宋_GB2312"/>
          <w:b/>
          <w:color w:val="auto"/>
          <w:sz w:val="24"/>
          <w:highlight w:val="none"/>
        </w:rPr>
      </w:pPr>
      <w:r>
        <w:rPr>
          <w:rFonts w:hint="eastAsia" w:ascii="宋体"/>
          <w:b/>
          <w:bCs/>
          <w:color w:val="auto"/>
          <w:sz w:val="44"/>
          <w:highlight w:val="none"/>
        </w:rPr>
        <w:br w:type="page"/>
      </w:r>
      <w:r>
        <w:rPr>
          <w:rFonts w:hint="eastAsia" w:ascii="仿宋_GB2312" w:hAnsi="楷体" w:eastAsia="仿宋_GB2312"/>
          <w:b/>
          <w:color w:val="auto"/>
          <w:sz w:val="24"/>
          <w:highlight w:val="none"/>
        </w:rPr>
        <w:t>合同目录</w:t>
      </w:r>
    </w:p>
    <w:p w14:paraId="289CEFDE">
      <w:pPr>
        <w:snapToGrid w:val="0"/>
        <w:spacing w:line="360" w:lineRule="auto"/>
        <w:jc w:val="center"/>
        <w:rPr>
          <w:rFonts w:ascii="宋体"/>
          <w:b/>
          <w:bCs/>
          <w:color w:val="auto"/>
          <w:sz w:val="44"/>
          <w:highlight w:val="none"/>
        </w:rPr>
      </w:pPr>
    </w:p>
    <w:p w14:paraId="2B1CAD4D">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一、</w:t>
      </w:r>
      <w:r>
        <w:rPr>
          <w:rFonts w:hint="eastAsia" w:ascii="仿宋_GB2312" w:hAnsi="仿宋" w:eastAsia="仿宋_GB2312"/>
          <w:color w:val="auto"/>
          <w:sz w:val="24"/>
          <w:highlight w:val="none"/>
        </w:rPr>
        <w:t>第一部分 合同书</w:t>
      </w:r>
      <w:r>
        <w:rPr>
          <w:rFonts w:hint="eastAsia" w:ascii="仿宋_GB2312" w:hAnsi="仿宋" w:eastAsia="仿宋_GB2312" w:cs="仿宋_GB2312"/>
          <w:color w:val="auto"/>
          <w:kern w:val="0"/>
          <w:sz w:val="24"/>
          <w:highlight w:val="none"/>
        </w:rPr>
        <w:t>…………………………………………………………（页码）</w:t>
      </w:r>
    </w:p>
    <w:p w14:paraId="4592668D">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二、第二部分 合同一般条款…………………………………………………（页码）</w:t>
      </w:r>
    </w:p>
    <w:p w14:paraId="396629D7">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三、第三部分 合同专用条款…………………………………………………（页码）</w:t>
      </w:r>
    </w:p>
    <w:p w14:paraId="53BF6361">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四、</w:t>
      </w:r>
      <w:r>
        <w:rPr>
          <w:rFonts w:hint="eastAsia" w:ascii="仿宋_GB2312" w:hAnsi="仿宋" w:eastAsia="仿宋_GB2312"/>
          <w:color w:val="auto"/>
          <w:sz w:val="24"/>
          <w:highlight w:val="none"/>
        </w:rPr>
        <w:t>第四部分 合同附件</w:t>
      </w:r>
      <w:r>
        <w:rPr>
          <w:rFonts w:hint="eastAsia" w:ascii="仿宋_GB2312" w:hAnsi="仿宋" w:eastAsia="仿宋_GB2312" w:cs="仿宋_GB2312"/>
          <w:color w:val="auto"/>
          <w:kern w:val="0"/>
          <w:sz w:val="24"/>
          <w:highlight w:val="none"/>
        </w:rPr>
        <w:t>………………………………………………………（页码）</w:t>
      </w:r>
    </w:p>
    <w:p w14:paraId="5354EAA0">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4.1成交通知书 ………………………………………………………………（页码）</w:t>
      </w:r>
    </w:p>
    <w:p w14:paraId="36A95DF9">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4.2采购文件服务需求一览表 ………………………………………………（页码）</w:t>
      </w:r>
    </w:p>
    <w:p w14:paraId="155A452F">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4.3采购文件的更改通知（如有） …………………………………………（页码）</w:t>
      </w:r>
    </w:p>
    <w:p w14:paraId="320ACC13">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4.4响应函 ……………………………………………………………………（页码）</w:t>
      </w:r>
    </w:p>
    <w:p w14:paraId="59FDCB54">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4.5响应报价表 ………………………………………………………………（页码）</w:t>
      </w:r>
    </w:p>
    <w:p w14:paraId="6154C3EF">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4.6响应服务技术资料表 ……………………………………………………（页码）</w:t>
      </w:r>
    </w:p>
    <w:p w14:paraId="3CC459CF">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4.7商务条款偏离表 …………………………………………………………（页码）</w:t>
      </w:r>
    </w:p>
    <w:p w14:paraId="5A35769B">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4.8成交供应商澄清函（如有请提供） ……………………………………（页码）</w:t>
      </w:r>
    </w:p>
    <w:p w14:paraId="62404683">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4.9其他与本合同相关的资料（如有请提供） ……………………………（页码）</w:t>
      </w:r>
    </w:p>
    <w:p w14:paraId="2F682C6C">
      <w:pPr>
        <w:snapToGrid w:val="0"/>
        <w:spacing w:line="360" w:lineRule="auto"/>
        <w:rPr>
          <w:rFonts w:hint="eastAsia" w:ascii="仿宋_GB2312" w:hAnsi="仿宋" w:eastAsia="仿宋_GB2312" w:cs="仿宋_GB2312"/>
          <w:color w:val="auto"/>
          <w:kern w:val="0"/>
          <w:sz w:val="24"/>
          <w:highlight w:val="none"/>
        </w:rPr>
      </w:pPr>
    </w:p>
    <w:p w14:paraId="69737A44">
      <w:pPr>
        <w:widowControl/>
        <w:jc w:val="left"/>
        <w:rPr>
          <w:rFonts w:ascii="仿宋_GB2312" w:eastAsia="仿宋_GB2312"/>
          <w:color w:val="auto"/>
          <w:kern w:val="0"/>
          <w:sz w:val="32"/>
          <w:szCs w:val="20"/>
          <w:highlight w:val="none"/>
        </w:rPr>
        <w:sectPr>
          <w:pgSz w:w="11911" w:h="16838"/>
          <w:pgMar w:top="1417" w:right="1417" w:bottom="1417" w:left="1417" w:header="720" w:footer="720" w:gutter="0"/>
          <w:cols w:space="0" w:num="1"/>
          <w:rtlGutter w:val="0"/>
          <w:docGrid w:linePitch="331" w:charSpace="0"/>
        </w:sectPr>
      </w:pPr>
    </w:p>
    <w:p w14:paraId="6F1AABB1">
      <w:pPr>
        <w:ind w:firstLine="562"/>
        <w:jc w:val="center"/>
        <w:outlineLvl w:val="1"/>
        <w:rPr>
          <w:rFonts w:hint="eastAsia" w:ascii="仿宋_GB2312" w:hAnsi="楷体" w:eastAsia="仿宋_GB2312"/>
          <w:b/>
          <w:color w:val="auto"/>
          <w:sz w:val="28"/>
          <w:szCs w:val="28"/>
          <w:highlight w:val="none"/>
        </w:rPr>
      </w:pPr>
      <w:bookmarkStart w:id="86" w:name="_Toc80205944"/>
      <w:bookmarkStart w:id="87" w:name="_Toc4565"/>
      <w:r>
        <w:rPr>
          <w:rFonts w:hint="eastAsia" w:ascii="仿宋_GB2312" w:hAnsi="楷体" w:eastAsia="仿宋_GB2312"/>
          <w:b/>
          <w:color w:val="auto"/>
          <w:sz w:val="28"/>
          <w:szCs w:val="28"/>
          <w:highlight w:val="none"/>
        </w:rPr>
        <w:t>第一部分 合同书</w:t>
      </w:r>
      <w:bookmarkEnd w:id="86"/>
      <w:bookmarkEnd w:id="87"/>
    </w:p>
    <w:p w14:paraId="12133C63">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u w:val="single"/>
          <w:lang w:val="zh-CN"/>
        </w:rPr>
        <w:t xml:space="preserve">     </w:t>
      </w:r>
      <w:r>
        <w:rPr>
          <w:rFonts w:hint="eastAsia" w:ascii="仿宋_GB2312" w:hAnsi="楷体" w:eastAsia="仿宋_GB2312"/>
          <w:color w:val="auto"/>
          <w:sz w:val="24"/>
          <w:highlight w:val="none"/>
          <w:lang w:val="zh-CN"/>
        </w:rPr>
        <w:t>年</w:t>
      </w:r>
      <w:r>
        <w:rPr>
          <w:rFonts w:hint="eastAsia" w:ascii="仿宋_GB2312" w:hAnsi="楷体" w:eastAsia="仿宋_GB2312"/>
          <w:color w:val="auto"/>
          <w:sz w:val="24"/>
          <w:highlight w:val="none"/>
          <w:u w:val="single"/>
          <w:lang w:val="zh-CN"/>
        </w:rPr>
        <w:t xml:space="preserve">    </w:t>
      </w:r>
      <w:r>
        <w:rPr>
          <w:rFonts w:hint="eastAsia" w:ascii="仿宋_GB2312" w:hAnsi="楷体" w:eastAsia="仿宋_GB2312"/>
          <w:color w:val="auto"/>
          <w:sz w:val="24"/>
          <w:highlight w:val="none"/>
          <w:lang w:val="zh-CN"/>
        </w:rPr>
        <w:t>月</w:t>
      </w:r>
      <w:r>
        <w:rPr>
          <w:rFonts w:hint="eastAsia" w:ascii="仿宋_GB2312" w:hAnsi="楷体" w:eastAsia="仿宋_GB2312"/>
          <w:color w:val="auto"/>
          <w:sz w:val="24"/>
          <w:highlight w:val="none"/>
          <w:u w:val="single"/>
          <w:lang w:val="zh-CN"/>
        </w:rPr>
        <w:t xml:space="preserve">    </w:t>
      </w:r>
      <w:r>
        <w:rPr>
          <w:rFonts w:hint="eastAsia" w:ascii="仿宋_GB2312" w:hAnsi="楷体" w:eastAsia="仿宋_GB2312"/>
          <w:color w:val="auto"/>
          <w:sz w:val="24"/>
          <w:highlight w:val="none"/>
          <w:lang w:val="zh-CN"/>
        </w:rPr>
        <w:t>日</w:t>
      </w:r>
      <w:r>
        <w:rPr>
          <w:rFonts w:hint="eastAsia" w:ascii="仿宋_GB2312" w:hAnsi="楷体" w:eastAsia="仿宋_GB2312"/>
          <w:color w:val="auto"/>
          <w:sz w:val="24"/>
          <w:highlight w:val="none"/>
        </w:rPr>
        <w:t>，</w:t>
      </w:r>
      <w:r>
        <w:rPr>
          <w:rFonts w:hint="eastAsia" w:ascii="仿宋_GB2312" w:hAnsi="仿宋" w:eastAsia="仿宋_GB2312"/>
          <w:color w:val="auto"/>
          <w:sz w:val="24"/>
          <w:highlight w:val="none"/>
          <w:u w:val="single"/>
        </w:rPr>
        <w:t xml:space="preserve">  南宁市工业和信息化局   </w:t>
      </w:r>
      <w:r>
        <w:rPr>
          <w:rFonts w:hint="eastAsia" w:ascii="仿宋_GB2312" w:hAnsi="仿宋" w:eastAsia="仿宋_GB2312"/>
          <w:color w:val="auto"/>
          <w:sz w:val="24"/>
          <w:highlight w:val="none"/>
        </w:rPr>
        <w:t>以</w:t>
      </w:r>
      <w:r>
        <w:rPr>
          <w:rFonts w:hint="eastAsia" w:ascii="仿宋_GB2312" w:hAnsi="仿宋" w:eastAsia="仿宋_GB2312"/>
          <w:color w:val="auto"/>
          <w:sz w:val="24"/>
          <w:highlight w:val="none"/>
          <w:u w:val="single"/>
        </w:rPr>
        <w:t xml:space="preserve">   竞争性磋商方式  </w:t>
      </w:r>
      <w:r>
        <w:rPr>
          <w:rFonts w:hint="eastAsia" w:ascii="仿宋_GB2312" w:hAnsi="仿宋" w:eastAsia="仿宋_GB2312"/>
          <w:color w:val="auto"/>
          <w:sz w:val="24"/>
          <w:highlight w:val="none"/>
        </w:rPr>
        <w:t>对</w:t>
      </w:r>
      <w:r>
        <w:rPr>
          <w:rFonts w:hint="eastAsia" w:ascii="仿宋_GB2312" w:hAnsi="仿宋" w:eastAsia="仿宋_GB2312"/>
          <w:color w:val="auto"/>
          <w:sz w:val="24"/>
          <w:highlight w:val="none"/>
          <w:u w:val="single"/>
        </w:rPr>
        <w:t xml:space="preserve">        </w:t>
      </w:r>
      <w:r>
        <w:rPr>
          <w:rFonts w:hint="eastAsia" w:ascii="仿宋_GB2312" w:hAnsi="楷体" w:eastAsia="仿宋_GB2312"/>
          <w:color w:val="auto"/>
          <w:sz w:val="24"/>
          <w:highlight w:val="none"/>
        </w:rPr>
        <w:t>项目进行了采购。经</w:t>
      </w:r>
      <w:r>
        <w:rPr>
          <w:rFonts w:hint="eastAsia" w:ascii="仿宋_GB2312" w:hAnsi="楷体" w:eastAsia="仿宋_GB2312"/>
          <w:color w:val="auto"/>
          <w:sz w:val="24"/>
          <w:highlight w:val="none"/>
          <w:u w:val="single"/>
        </w:rPr>
        <w:t xml:space="preserve">   （相关评定主体名称）   </w:t>
      </w:r>
      <w:r>
        <w:rPr>
          <w:rFonts w:hint="eastAsia" w:ascii="仿宋_GB2312" w:hAnsi="楷体" w:eastAsia="仿宋_GB2312"/>
          <w:color w:val="auto"/>
          <w:sz w:val="24"/>
          <w:highlight w:val="none"/>
        </w:rPr>
        <w:t>评定，</w:t>
      </w:r>
      <w:r>
        <w:rPr>
          <w:rFonts w:hint="eastAsia" w:ascii="仿宋_GB2312" w:hAnsi="楷体" w:eastAsia="仿宋_GB2312"/>
          <w:color w:val="auto"/>
          <w:sz w:val="24"/>
          <w:highlight w:val="none"/>
          <w:u w:val="single"/>
        </w:rPr>
        <w:t xml:space="preserve">   （供应商名称）</w:t>
      </w:r>
      <w:r>
        <w:rPr>
          <w:rFonts w:hint="eastAsia" w:ascii="仿宋_GB2312" w:hAnsi="楷体" w:eastAsia="仿宋_GB2312"/>
          <w:color w:val="auto"/>
          <w:sz w:val="24"/>
          <w:highlight w:val="none"/>
        </w:rPr>
        <w:t>为该项目成交供应商。现于成交通知书发出之日起</w:t>
      </w:r>
      <w:r>
        <w:rPr>
          <w:rFonts w:hint="eastAsia" w:ascii="仿宋_GB2312" w:hAnsi="楷体" w:eastAsia="仿宋_GB2312"/>
          <w:color w:val="auto"/>
          <w:sz w:val="24"/>
          <w:highlight w:val="none"/>
          <w:u w:val="single"/>
        </w:rPr>
        <w:t xml:space="preserve"> 25 </w:t>
      </w:r>
      <w:r>
        <w:rPr>
          <w:rFonts w:hint="eastAsia" w:ascii="仿宋_GB2312" w:hAnsi="楷体" w:eastAsia="仿宋_GB2312"/>
          <w:color w:val="auto"/>
          <w:sz w:val="24"/>
          <w:highlight w:val="none"/>
        </w:rPr>
        <w:t>日（时限根据项目情况而定，不得超过25日）内，按照采购文件确定的事项签订本合同。</w:t>
      </w:r>
    </w:p>
    <w:p w14:paraId="440AA1CE">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lang w:val="zh-CN"/>
        </w:rPr>
        <w:t>根据《中华人民共和国民法典》、《中华人民共和国政府采购法》等相关法律法规之规定，按照平等、自愿、公平和诚实信用的原则，经</w:t>
      </w:r>
      <w:r>
        <w:rPr>
          <w:rFonts w:hint="eastAsia" w:ascii="仿宋_GB2312" w:hAnsi="楷体" w:eastAsia="仿宋_GB2312"/>
          <w:color w:val="auto"/>
          <w:sz w:val="24"/>
          <w:highlight w:val="none"/>
          <w:u w:val="single"/>
        </w:rPr>
        <w:t xml:space="preserve"> 南宁市工业和信息化局  </w:t>
      </w:r>
      <w:r>
        <w:rPr>
          <w:rFonts w:hint="eastAsia" w:ascii="仿宋_GB2312" w:hAnsi="楷体" w:eastAsia="仿宋_GB2312"/>
          <w:color w:val="auto"/>
          <w:sz w:val="24"/>
          <w:highlight w:val="none"/>
          <w:lang w:val="zh-CN"/>
        </w:rPr>
        <w:t>(以下简称：甲方)和</w:t>
      </w:r>
      <w:r>
        <w:rPr>
          <w:rFonts w:hint="eastAsia" w:ascii="仿宋_GB2312" w:hAnsi="楷体" w:eastAsia="仿宋_GB2312"/>
          <w:color w:val="auto"/>
          <w:sz w:val="24"/>
          <w:highlight w:val="none"/>
          <w:u w:val="single"/>
        </w:rPr>
        <w:t xml:space="preserve">   （中标人名称）   </w:t>
      </w:r>
      <w:r>
        <w:rPr>
          <w:rFonts w:hint="eastAsia" w:ascii="仿宋_GB2312" w:hAnsi="楷体" w:eastAsia="仿宋_GB2312"/>
          <w:color w:val="auto"/>
          <w:sz w:val="24"/>
          <w:highlight w:val="none"/>
          <w:lang w:val="zh-CN"/>
        </w:rPr>
        <w:t>(以下简称：乙方)协商一致，约定以下合同</w:t>
      </w:r>
      <w:r>
        <w:rPr>
          <w:rFonts w:hint="eastAsia" w:ascii="仿宋_GB2312" w:hAnsi="楷体" w:eastAsia="仿宋_GB2312"/>
          <w:color w:val="auto"/>
          <w:sz w:val="24"/>
          <w:highlight w:val="none"/>
        </w:rPr>
        <w:t>条款，以兹共同遵守、全面履行。</w:t>
      </w:r>
    </w:p>
    <w:p w14:paraId="2A0EEE5D">
      <w:pPr>
        <w:spacing w:line="360" w:lineRule="auto"/>
        <w:ind w:firstLine="482" w:firstLineChars="200"/>
        <w:rPr>
          <w:rFonts w:hint="eastAsia" w:ascii="仿宋_GB2312" w:hAnsi="楷体" w:eastAsia="仿宋_GB2312"/>
          <w:b/>
          <w:color w:val="auto"/>
          <w:sz w:val="24"/>
          <w:highlight w:val="none"/>
        </w:rPr>
      </w:pPr>
      <w:bookmarkStart w:id="88" w:name="_Toc3029"/>
      <w:bookmarkStart w:id="89" w:name="_Toc2232"/>
      <w:bookmarkStart w:id="90" w:name="_Toc24059"/>
      <w:r>
        <w:rPr>
          <w:rFonts w:hint="eastAsia" w:ascii="仿宋_GB2312" w:hAnsi="楷体" w:eastAsia="仿宋_GB2312"/>
          <w:b/>
          <w:color w:val="auto"/>
          <w:sz w:val="24"/>
          <w:highlight w:val="none"/>
        </w:rPr>
        <w:t>1.1 合同组成部分</w:t>
      </w:r>
      <w:bookmarkEnd w:id="88"/>
      <w:bookmarkEnd w:id="89"/>
      <w:bookmarkEnd w:id="90"/>
    </w:p>
    <w:p w14:paraId="63F96E2C">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下列文件为本合同的组成部分，并构成一个整体，需综合解释、相互补充。如果下列文件内容出现不一致的情形，在保证按照采购文件确定的事项的前提下，组成本合同的多个文件的优先适用顺序如下：</w:t>
      </w:r>
    </w:p>
    <w:p w14:paraId="43CC0B2B">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1.1.1 本合同及其补充合同、变更协议；</w:t>
      </w:r>
    </w:p>
    <w:p w14:paraId="0D1268EF">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1.1.2 成交通知书；</w:t>
      </w:r>
    </w:p>
    <w:p w14:paraId="57171531">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1.1.3 采购文件及“响应报价”（含澄清或者说明文件）；</w:t>
      </w:r>
    </w:p>
    <w:p w14:paraId="6D76A4C2">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1.1.4 采购文件（含澄清或者修改文件）；</w:t>
      </w:r>
    </w:p>
    <w:p w14:paraId="26CECA51">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1.1.5 其他相关采购文件。</w:t>
      </w:r>
    </w:p>
    <w:p w14:paraId="33436768">
      <w:pPr>
        <w:spacing w:line="360" w:lineRule="auto"/>
        <w:ind w:firstLine="482" w:firstLineChars="200"/>
        <w:rPr>
          <w:rFonts w:hint="eastAsia" w:ascii="仿宋_GB2312" w:hAnsi="楷体" w:eastAsia="仿宋_GB2312"/>
          <w:b/>
          <w:color w:val="auto"/>
          <w:sz w:val="24"/>
          <w:highlight w:val="none"/>
        </w:rPr>
      </w:pPr>
      <w:bookmarkStart w:id="91" w:name="_Toc21295"/>
      <w:bookmarkStart w:id="92" w:name="_Toc24300"/>
      <w:bookmarkStart w:id="93" w:name="_Toc27126"/>
      <w:r>
        <w:rPr>
          <w:rFonts w:hint="eastAsia" w:ascii="仿宋_GB2312" w:hAnsi="楷体" w:eastAsia="仿宋_GB2312"/>
          <w:b/>
          <w:color w:val="auto"/>
          <w:sz w:val="24"/>
          <w:highlight w:val="none"/>
        </w:rPr>
        <w:t>1.2 标的物</w:t>
      </w:r>
      <w:bookmarkEnd w:id="91"/>
      <w:bookmarkEnd w:id="92"/>
      <w:bookmarkEnd w:id="93"/>
    </w:p>
    <w:p w14:paraId="78EB8443">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1.2.1 标的物1信息</w:t>
      </w:r>
    </w:p>
    <w:p w14:paraId="61020B62">
      <w:pPr>
        <w:spacing w:line="360" w:lineRule="auto"/>
        <w:ind w:firstLine="480" w:firstLineChars="200"/>
        <w:rPr>
          <w:rFonts w:hint="eastAsia" w:ascii="仿宋_GB2312" w:hAnsi="楷体" w:eastAsia="仿宋_GB2312"/>
          <w:color w:val="auto"/>
          <w:sz w:val="24"/>
          <w:highlight w:val="none"/>
          <w:u w:val="single"/>
        </w:rPr>
      </w:pPr>
      <w:r>
        <w:rPr>
          <w:rFonts w:hint="eastAsia" w:ascii="仿宋_GB2312" w:hAnsi="楷体" w:eastAsia="仿宋_GB2312"/>
          <w:color w:val="auto"/>
          <w:sz w:val="24"/>
          <w:highlight w:val="none"/>
        </w:rPr>
        <w:t>1.2.1.1名称：</w:t>
      </w:r>
      <w:r>
        <w:rPr>
          <w:rFonts w:hint="eastAsia" w:ascii="仿宋_GB2312" w:hAnsi="楷体" w:eastAsia="仿宋_GB2312"/>
          <w:color w:val="auto"/>
          <w:sz w:val="24"/>
          <w:highlight w:val="none"/>
          <w:u w:val="single"/>
          <w:lang w:val="en-US" w:eastAsia="zh-CN"/>
        </w:rPr>
        <w:t xml:space="preserve">                               </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w:t>
      </w:r>
    </w:p>
    <w:p w14:paraId="19D514FF">
      <w:pPr>
        <w:spacing w:line="360" w:lineRule="auto"/>
        <w:ind w:firstLine="480" w:firstLineChars="200"/>
        <w:rPr>
          <w:rFonts w:hint="eastAsia" w:ascii="仿宋_GB2312" w:hAnsi="楷体" w:eastAsia="仿宋_GB2312"/>
          <w:color w:val="auto"/>
          <w:sz w:val="24"/>
          <w:highlight w:val="none"/>
          <w:u w:val="single"/>
        </w:rPr>
      </w:pPr>
      <w:r>
        <w:rPr>
          <w:rFonts w:hint="eastAsia" w:ascii="仿宋_GB2312" w:hAnsi="楷体" w:eastAsia="仿宋_GB2312"/>
          <w:color w:val="auto"/>
          <w:sz w:val="24"/>
          <w:highlight w:val="none"/>
        </w:rPr>
        <w:t>1.2.1.2数量：</w:t>
      </w:r>
      <w:r>
        <w:rPr>
          <w:rFonts w:hint="eastAsia" w:ascii="仿宋_GB2312" w:hAnsi="楷体" w:eastAsia="仿宋_GB2312"/>
          <w:color w:val="auto"/>
          <w:sz w:val="24"/>
          <w:highlight w:val="none"/>
          <w:u w:val="single"/>
        </w:rPr>
        <w:t xml:space="preserve">                </w:t>
      </w:r>
      <w:r>
        <w:rPr>
          <w:rFonts w:ascii="仿宋_GB2312" w:hAnsi="楷体" w:eastAsia="仿宋_GB2312"/>
          <w:color w:val="auto"/>
          <w:sz w:val="24"/>
          <w:highlight w:val="none"/>
          <w:u w:val="single"/>
        </w:rPr>
        <w:t>1</w:t>
      </w:r>
      <w:r>
        <w:rPr>
          <w:rFonts w:hint="eastAsia" w:ascii="仿宋_GB2312" w:hAnsi="楷体" w:eastAsia="仿宋_GB2312"/>
          <w:color w:val="auto"/>
          <w:sz w:val="24"/>
          <w:highlight w:val="none"/>
          <w:u w:val="single"/>
        </w:rPr>
        <w:t xml:space="preserve">项                        </w:t>
      </w:r>
      <w:r>
        <w:rPr>
          <w:rFonts w:hint="eastAsia" w:ascii="仿宋_GB2312" w:hAnsi="楷体" w:eastAsia="仿宋_GB2312"/>
          <w:color w:val="auto"/>
          <w:sz w:val="24"/>
          <w:highlight w:val="none"/>
        </w:rPr>
        <w:t>；</w:t>
      </w:r>
    </w:p>
    <w:p w14:paraId="051A2722">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1.2.1.3质量：</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w:t>
      </w:r>
    </w:p>
    <w:p w14:paraId="50AEA1F1">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w:t>
      </w:r>
    </w:p>
    <w:p w14:paraId="510CFC2B">
      <w:pPr>
        <w:spacing w:line="360" w:lineRule="auto"/>
        <w:ind w:firstLine="482" w:firstLineChars="200"/>
        <w:rPr>
          <w:rFonts w:hint="eastAsia" w:ascii="仿宋_GB2312" w:hAnsi="楷体" w:eastAsia="仿宋_GB2312"/>
          <w:b/>
          <w:color w:val="auto"/>
          <w:sz w:val="24"/>
          <w:highlight w:val="none"/>
        </w:rPr>
      </w:pPr>
      <w:bookmarkStart w:id="94" w:name="_Toc21631"/>
      <w:bookmarkStart w:id="95" w:name="_Toc23292"/>
      <w:bookmarkStart w:id="96" w:name="_Toc21551"/>
      <w:r>
        <w:rPr>
          <w:rFonts w:hint="eastAsia" w:ascii="仿宋_GB2312" w:hAnsi="楷体" w:eastAsia="仿宋_GB2312"/>
          <w:b/>
          <w:color w:val="auto"/>
          <w:sz w:val="24"/>
          <w:highlight w:val="none"/>
        </w:rPr>
        <w:t>1.3 价款</w:t>
      </w:r>
      <w:bookmarkEnd w:id="94"/>
      <w:bookmarkEnd w:id="95"/>
      <w:bookmarkEnd w:id="96"/>
    </w:p>
    <w:p w14:paraId="32C1530A">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本合同总价为：人民币</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元（大写：</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元人民币，含税）。</w:t>
      </w:r>
    </w:p>
    <w:p w14:paraId="69899E44">
      <w:pPr>
        <w:spacing w:line="360" w:lineRule="auto"/>
        <w:ind w:firstLine="480" w:firstLineChars="200"/>
        <w:rPr>
          <w:rFonts w:hint="eastAsia" w:ascii="仿宋_GB2312" w:hAnsi="楷体" w:eastAsia="仿宋_GB2312"/>
          <w:color w:val="auto"/>
          <w:sz w:val="24"/>
          <w:highlight w:val="none"/>
          <w:u w:val="single"/>
        </w:rPr>
      </w:pPr>
      <w:r>
        <w:rPr>
          <w:rFonts w:hint="eastAsia" w:ascii="仿宋_GB2312" w:hAnsi="楷体" w:eastAsia="仿宋_GB2312"/>
          <w:color w:val="auto"/>
          <w:sz w:val="24"/>
          <w:highlight w:val="none"/>
        </w:rPr>
        <w:t>分项价格：</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32881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51489EF">
            <w:pPr>
              <w:keepNext w:val="0"/>
              <w:keepLines w:val="0"/>
              <w:suppressLineNumbers w:val="0"/>
              <w:spacing w:before="0" w:beforeAutospacing="0" w:after="0" w:afterAutospacing="0" w:line="360" w:lineRule="auto"/>
              <w:ind w:left="0" w:right="0"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7C5AFDDE">
            <w:pPr>
              <w:keepNext w:val="0"/>
              <w:keepLines w:val="0"/>
              <w:suppressLineNumbers w:val="0"/>
              <w:spacing w:before="0" w:beforeAutospacing="0" w:after="0" w:afterAutospacing="0" w:line="360" w:lineRule="auto"/>
              <w:ind w:left="0" w:right="0"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5DD9F87F">
            <w:pPr>
              <w:keepNext w:val="0"/>
              <w:keepLines w:val="0"/>
              <w:suppressLineNumbers w:val="0"/>
              <w:spacing w:before="0" w:beforeAutospacing="0" w:after="0" w:afterAutospacing="0" w:line="360" w:lineRule="auto"/>
              <w:ind w:left="0" w:right="0"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分项价格</w:t>
            </w:r>
          </w:p>
        </w:tc>
      </w:tr>
      <w:tr w14:paraId="1B463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56258FF">
            <w:pPr>
              <w:keepNext w:val="0"/>
              <w:keepLines w:val="0"/>
              <w:suppressLineNumbers w:val="0"/>
              <w:spacing w:before="0" w:beforeAutospacing="0" w:after="0" w:afterAutospacing="0" w:line="360" w:lineRule="auto"/>
              <w:ind w:left="0" w:right="0" w:firstLine="480" w:firstLineChars="200"/>
              <w:rPr>
                <w:rFonts w:hint="eastAsia" w:ascii="仿宋_GB2312" w:hAnsi="楷体" w:eastAsia="仿宋_GB2312"/>
                <w:color w:val="auto"/>
                <w:sz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78BEFCB6">
            <w:pPr>
              <w:keepNext w:val="0"/>
              <w:keepLines w:val="0"/>
              <w:suppressLineNumbers w:val="0"/>
              <w:spacing w:before="0" w:beforeAutospacing="0" w:after="0" w:afterAutospacing="0" w:line="360" w:lineRule="auto"/>
              <w:ind w:left="0" w:right="0" w:firstLine="480" w:firstLineChars="200"/>
              <w:rPr>
                <w:rFonts w:hint="eastAsia" w:ascii="仿宋_GB2312" w:hAnsi="楷体" w:eastAsia="仿宋_GB2312"/>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5E4A67CA">
            <w:pPr>
              <w:keepNext w:val="0"/>
              <w:keepLines w:val="0"/>
              <w:suppressLineNumbers w:val="0"/>
              <w:spacing w:before="0" w:beforeAutospacing="0" w:after="0" w:afterAutospacing="0" w:line="360" w:lineRule="auto"/>
              <w:ind w:left="0" w:right="0" w:firstLine="480" w:firstLineChars="200"/>
              <w:rPr>
                <w:rFonts w:hint="eastAsia" w:ascii="仿宋_GB2312" w:hAnsi="楷体" w:eastAsia="仿宋_GB2312"/>
                <w:color w:val="auto"/>
                <w:sz w:val="24"/>
                <w:highlight w:val="none"/>
              </w:rPr>
            </w:pPr>
          </w:p>
        </w:tc>
      </w:tr>
      <w:tr w14:paraId="76C94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ACA6A29">
            <w:pPr>
              <w:keepNext w:val="0"/>
              <w:keepLines w:val="0"/>
              <w:suppressLineNumbers w:val="0"/>
              <w:spacing w:before="0" w:beforeAutospacing="0" w:after="0" w:afterAutospacing="0" w:line="360" w:lineRule="auto"/>
              <w:ind w:left="0" w:right="0" w:firstLine="480" w:firstLineChars="200"/>
              <w:rPr>
                <w:rFonts w:hint="eastAsia" w:ascii="仿宋_GB2312" w:hAnsi="楷体" w:eastAsia="仿宋_GB2312"/>
                <w:color w:val="auto"/>
                <w:sz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3DE4893A">
            <w:pPr>
              <w:keepNext w:val="0"/>
              <w:keepLines w:val="0"/>
              <w:suppressLineNumbers w:val="0"/>
              <w:spacing w:before="0" w:beforeAutospacing="0" w:after="0" w:afterAutospacing="0" w:line="360" w:lineRule="auto"/>
              <w:ind w:left="0" w:right="0" w:firstLine="480" w:firstLineChars="200"/>
              <w:rPr>
                <w:rFonts w:hint="eastAsia" w:ascii="仿宋_GB2312" w:hAnsi="楷体" w:eastAsia="仿宋_GB2312"/>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343F47AE">
            <w:pPr>
              <w:keepNext w:val="0"/>
              <w:keepLines w:val="0"/>
              <w:suppressLineNumbers w:val="0"/>
              <w:spacing w:before="0" w:beforeAutospacing="0" w:after="0" w:afterAutospacing="0" w:line="360" w:lineRule="auto"/>
              <w:ind w:left="0" w:right="0" w:firstLine="480" w:firstLineChars="200"/>
              <w:rPr>
                <w:rFonts w:hint="eastAsia" w:ascii="仿宋_GB2312" w:hAnsi="楷体" w:eastAsia="仿宋_GB2312"/>
                <w:color w:val="auto"/>
                <w:sz w:val="24"/>
                <w:highlight w:val="none"/>
              </w:rPr>
            </w:pPr>
          </w:p>
        </w:tc>
      </w:tr>
      <w:tr w14:paraId="703D0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F14DCC3">
            <w:pPr>
              <w:keepNext w:val="0"/>
              <w:keepLines w:val="0"/>
              <w:suppressLineNumbers w:val="0"/>
              <w:spacing w:before="0" w:beforeAutospacing="0" w:after="0" w:afterAutospacing="0" w:line="360" w:lineRule="auto"/>
              <w:ind w:left="0" w:right="0" w:firstLine="480" w:firstLineChars="200"/>
              <w:rPr>
                <w:rFonts w:hint="eastAsia" w:ascii="仿宋_GB2312" w:hAnsi="楷体" w:eastAsia="仿宋_GB2312"/>
                <w:color w:val="auto"/>
                <w:sz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6F63F606">
            <w:pPr>
              <w:keepNext w:val="0"/>
              <w:keepLines w:val="0"/>
              <w:suppressLineNumbers w:val="0"/>
              <w:spacing w:before="0" w:beforeAutospacing="0" w:after="0" w:afterAutospacing="0" w:line="360" w:lineRule="auto"/>
              <w:ind w:left="0" w:right="0" w:firstLine="480" w:firstLineChars="200"/>
              <w:rPr>
                <w:rFonts w:hint="eastAsia" w:ascii="仿宋_GB2312" w:hAnsi="楷体" w:eastAsia="仿宋_GB2312"/>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77886216">
            <w:pPr>
              <w:keepNext w:val="0"/>
              <w:keepLines w:val="0"/>
              <w:suppressLineNumbers w:val="0"/>
              <w:spacing w:before="0" w:beforeAutospacing="0" w:after="0" w:afterAutospacing="0" w:line="360" w:lineRule="auto"/>
              <w:ind w:left="0" w:right="0" w:firstLine="480" w:firstLineChars="200"/>
              <w:rPr>
                <w:rFonts w:hint="eastAsia" w:ascii="仿宋_GB2312" w:hAnsi="楷体" w:eastAsia="仿宋_GB2312"/>
                <w:color w:val="auto"/>
                <w:sz w:val="24"/>
                <w:highlight w:val="none"/>
              </w:rPr>
            </w:pPr>
          </w:p>
        </w:tc>
      </w:tr>
      <w:tr w14:paraId="1FC21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0E376D20">
            <w:pPr>
              <w:keepNext w:val="0"/>
              <w:keepLines w:val="0"/>
              <w:suppressLineNumbers w:val="0"/>
              <w:spacing w:before="0" w:beforeAutospacing="0" w:after="0" w:afterAutospacing="0" w:line="360" w:lineRule="auto"/>
              <w:ind w:left="0" w:right="0"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6B64FE90">
            <w:pPr>
              <w:keepNext w:val="0"/>
              <w:keepLines w:val="0"/>
              <w:suppressLineNumbers w:val="0"/>
              <w:spacing w:before="0" w:beforeAutospacing="0" w:after="0" w:afterAutospacing="0" w:line="360" w:lineRule="auto"/>
              <w:ind w:left="0" w:right="0" w:firstLine="480" w:firstLineChars="200"/>
              <w:rPr>
                <w:rFonts w:hint="eastAsia" w:ascii="仿宋_GB2312" w:hAnsi="楷体" w:eastAsia="仿宋_GB2312"/>
                <w:color w:val="auto"/>
                <w:sz w:val="24"/>
                <w:highlight w:val="none"/>
              </w:rPr>
            </w:pPr>
          </w:p>
        </w:tc>
      </w:tr>
    </w:tbl>
    <w:p w14:paraId="6B2E8C51">
      <w:pPr>
        <w:spacing w:line="360" w:lineRule="auto"/>
        <w:ind w:firstLine="482" w:firstLineChars="200"/>
        <w:rPr>
          <w:rFonts w:hint="eastAsia" w:ascii="仿宋_GB2312" w:hAnsi="楷体" w:eastAsia="仿宋_GB2312"/>
          <w:b/>
          <w:color w:val="auto"/>
          <w:sz w:val="24"/>
          <w:highlight w:val="none"/>
        </w:rPr>
      </w:pPr>
      <w:bookmarkStart w:id="97" w:name="_Toc10340"/>
      <w:bookmarkStart w:id="98" w:name="_Toc22618"/>
      <w:bookmarkStart w:id="99" w:name="_Toc1814"/>
      <w:r>
        <w:rPr>
          <w:rFonts w:hint="eastAsia" w:ascii="仿宋_GB2312" w:hAnsi="楷体" w:eastAsia="仿宋_GB2312"/>
          <w:b/>
          <w:color w:val="auto"/>
          <w:sz w:val="24"/>
          <w:highlight w:val="none"/>
        </w:rPr>
        <w:t>1.4 付款方式和发票开具方式</w:t>
      </w:r>
      <w:bookmarkEnd w:id="97"/>
      <w:bookmarkEnd w:id="98"/>
      <w:bookmarkEnd w:id="99"/>
    </w:p>
    <w:p w14:paraId="484F27EF">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1.4.1 付款方式：</w:t>
      </w:r>
      <w:r>
        <w:rPr>
          <w:rFonts w:hint="eastAsia" w:ascii="仿宋_GB2312" w:hAnsi="楷体" w:eastAsia="仿宋_GB2312"/>
          <w:color w:val="auto"/>
          <w:sz w:val="24"/>
          <w:highlight w:val="none"/>
          <w:u w:val="single"/>
          <w:lang w:val="en-US" w:eastAsia="zh-CN"/>
        </w:rPr>
        <w:t xml:space="preserve"> </w:t>
      </w:r>
      <w:r>
        <w:rPr>
          <w:rFonts w:hint="eastAsia" w:ascii="仿宋_GB2312" w:hAnsi="仿宋" w:eastAsia="仿宋_GB2312"/>
          <w:color w:val="auto"/>
          <w:sz w:val="24"/>
          <w:highlight w:val="none"/>
          <w:u w:val="single"/>
          <w:lang w:val="en-US" w:eastAsia="zh-CN"/>
        </w:rPr>
        <w:t>乙方</w:t>
      </w:r>
      <w:r>
        <w:rPr>
          <w:rFonts w:hint="eastAsia" w:ascii="仿宋_GB2312" w:hAnsi="仿宋" w:eastAsia="仿宋_GB2312"/>
          <w:color w:val="auto"/>
          <w:sz w:val="24"/>
          <w:highlight w:val="none"/>
          <w:u w:val="single"/>
        </w:rPr>
        <w:t>组织项目团队开展工作10日后，由</w:t>
      </w:r>
      <w:r>
        <w:rPr>
          <w:rFonts w:hint="eastAsia" w:ascii="仿宋_GB2312" w:hAnsi="仿宋" w:eastAsia="仿宋_GB2312"/>
          <w:color w:val="auto"/>
          <w:sz w:val="24"/>
          <w:highlight w:val="none"/>
          <w:u w:val="single"/>
          <w:lang w:val="en-US" w:eastAsia="zh-CN"/>
        </w:rPr>
        <w:t>甲方</w:t>
      </w:r>
      <w:r>
        <w:rPr>
          <w:rFonts w:hint="eastAsia" w:ascii="仿宋_GB2312" w:hAnsi="仿宋" w:eastAsia="仿宋_GB2312"/>
          <w:color w:val="auto"/>
          <w:sz w:val="24"/>
          <w:highlight w:val="none"/>
          <w:u w:val="single"/>
        </w:rPr>
        <w:t>支付合同金额的30%款项；本年全部审计、核验项目交付成果后，由</w:t>
      </w:r>
      <w:r>
        <w:rPr>
          <w:rFonts w:hint="eastAsia" w:ascii="仿宋_GB2312" w:hAnsi="仿宋" w:eastAsia="仿宋_GB2312"/>
          <w:color w:val="auto"/>
          <w:sz w:val="24"/>
          <w:highlight w:val="none"/>
          <w:u w:val="single"/>
          <w:lang w:val="en-US" w:eastAsia="zh-CN"/>
        </w:rPr>
        <w:t>甲方</w:t>
      </w:r>
      <w:r>
        <w:rPr>
          <w:rFonts w:hint="eastAsia" w:ascii="仿宋_GB2312" w:hAnsi="仿宋" w:eastAsia="仿宋_GB2312"/>
          <w:color w:val="auto"/>
          <w:sz w:val="24"/>
          <w:highlight w:val="none"/>
          <w:u w:val="single"/>
        </w:rPr>
        <w:t>支付合同金额剩余70%款项。</w:t>
      </w:r>
      <w:r>
        <w:rPr>
          <w:rFonts w:hint="eastAsia" w:ascii="仿宋_GB2312" w:hAnsi="仿宋" w:eastAsia="仿宋_GB2312"/>
          <w:color w:val="auto"/>
          <w:sz w:val="24"/>
          <w:highlight w:val="none"/>
          <w:u w:val="single"/>
          <w:lang w:val="en-US" w:eastAsia="zh-CN"/>
        </w:rPr>
        <w:t>乙方</w:t>
      </w:r>
      <w:r>
        <w:rPr>
          <w:rFonts w:hint="eastAsia" w:ascii="仿宋_GB2312" w:hAnsi="仿宋" w:eastAsia="仿宋_GB2312"/>
          <w:color w:val="auto"/>
          <w:sz w:val="24"/>
          <w:highlight w:val="none"/>
          <w:u w:val="single"/>
        </w:rPr>
        <w:t>应在申请付款时开具财务发票给</w:t>
      </w:r>
      <w:r>
        <w:rPr>
          <w:rFonts w:hint="eastAsia" w:ascii="仿宋_GB2312" w:hAnsi="仿宋" w:eastAsia="仿宋_GB2312"/>
          <w:color w:val="auto"/>
          <w:sz w:val="24"/>
          <w:highlight w:val="none"/>
          <w:u w:val="single"/>
          <w:lang w:val="en-US" w:eastAsia="zh-CN"/>
        </w:rPr>
        <w:t>甲方</w:t>
      </w:r>
      <w:r>
        <w:rPr>
          <w:rFonts w:hint="eastAsia" w:ascii="仿宋_GB2312" w:hAnsi="楷体" w:eastAsia="仿宋_GB2312"/>
          <w:color w:val="auto"/>
          <w:sz w:val="24"/>
          <w:highlight w:val="none"/>
          <w:u w:val="single"/>
        </w:rPr>
        <w:t xml:space="preserve">。 </w:t>
      </w:r>
    </w:p>
    <w:p w14:paraId="55E1FD63">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1.4.2 发票开具方式：</w:t>
      </w:r>
      <w:r>
        <w:rPr>
          <w:rFonts w:hint="eastAsia" w:ascii="仿宋_GB2312" w:hAnsi="楷体" w:eastAsia="仿宋_GB2312"/>
          <w:color w:val="auto"/>
          <w:sz w:val="24"/>
          <w:highlight w:val="none"/>
          <w:u w:val="single"/>
        </w:rPr>
        <w:t>乙方按国家相关规定开具</w:t>
      </w:r>
      <w:r>
        <w:rPr>
          <w:rFonts w:hint="eastAsia" w:ascii="仿宋_GB2312" w:hAnsi="楷体" w:eastAsia="仿宋_GB2312"/>
          <w:color w:val="auto"/>
          <w:sz w:val="24"/>
          <w:highlight w:val="none"/>
        </w:rPr>
        <w:t>。</w:t>
      </w:r>
    </w:p>
    <w:p w14:paraId="277343AC">
      <w:pPr>
        <w:spacing w:line="360" w:lineRule="auto"/>
        <w:ind w:firstLine="482" w:firstLineChars="200"/>
        <w:rPr>
          <w:rFonts w:hint="eastAsia" w:ascii="仿宋_GB2312" w:hAnsi="楷体" w:eastAsia="仿宋_GB2312"/>
          <w:b/>
          <w:color w:val="auto"/>
          <w:sz w:val="24"/>
          <w:highlight w:val="none"/>
        </w:rPr>
      </w:pPr>
      <w:bookmarkStart w:id="100" w:name="_Toc19304"/>
      <w:bookmarkStart w:id="101" w:name="_Toc2846"/>
      <w:bookmarkStart w:id="102" w:name="_Toc32071"/>
      <w:r>
        <w:rPr>
          <w:rFonts w:hint="eastAsia" w:ascii="仿宋_GB2312" w:hAnsi="楷体" w:eastAsia="仿宋_GB2312"/>
          <w:b/>
          <w:color w:val="auto"/>
          <w:sz w:val="24"/>
          <w:highlight w:val="none"/>
        </w:rPr>
        <w:t>1.5 标的物交付期限、地点、方式</w:t>
      </w:r>
      <w:bookmarkEnd w:id="100"/>
      <w:bookmarkEnd w:id="101"/>
      <w:bookmarkEnd w:id="102"/>
      <w:r>
        <w:rPr>
          <w:rFonts w:hint="eastAsia" w:ascii="仿宋_GB2312" w:hAnsi="楷体" w:eastAsia="仿宋_GB2312"/>
          <w:b/>
          <w:color w:val="auto"/>
          <w:sz w:val="24"/>
          <w:highlight w:val="none"/>
        </w:rPr>
        <w:t>和服务期限</w:t>
      </w:r>
    </w:p>
    <w:p w14:paraId="1441879D">
      <w:pPr>
        <w:spacing w:line="360" w:lineRule="auto"/>
        <w:ind w:firstLine="480" w:firstLineChars="200"/>
        <w:rPr>
          <w:rFonts w:hint="eastAsia" w:ascii="仿宋_GB2312" w:hAnsi="楷体" w:eastAsia="仿宋_GB2312"/>
          <w:color w:val="auto"/>
          <w:sz w:val="24"/>
          <w:highlight w:val="none"/>
          <w:u w:val="single"/>
        </w:rPr>
      </w:pPr>
      <w:r>
        <w:rPr>
          <w:rFonts w:hint="eastAsia" w:ascii="仿宋_GB2312" w:hAnsi="楷体" w:eastAsia="仿宋_GB2312"/>
          <w:color w:val="auto"/>
          <w:sz w:val="24"/>
          <w:highlight w:val="none"/>
        </w:rPr>
        <w:t>1.5.1 交付期限：</w:t>
      </w:r>
      <w:r>
        <w:rPr>
          <w:rFonts w:hint="eastAsia" w:ascii="仿宋_GB2312" w:hAnsi="楷体" w:eastAsia="仿宋_GB2312"/>
          <w:color w:val="auto"/>
          <w:sz w:val="24"/>
          <w:highlight w:val="none"/>
          <w:u w:val="single"/>
        </w:rPr>
        <w:t xml:space="preserve">              ；</w:t>
      </w:r>
    </w:p>
    <w:p w14:paraId="23D6479F">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1.5.2 交付地点：</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u w:val="single"/>
          <w:lang w:val="en-US" w:eastAsia="zh-CN"/>
        </w:rPr>
        <w:t xml:space="preserve">              </w:t>
      </w:r>
      <w:r>
        <w:rPr>
          <w:rFonts w:hint="eastAsia" w:ascii="仿宋_GB2312" w:hAnsi="楷体" w:eastAsia="仿宋_GB2312"/>
          <w:color w:val="auto"/>
          <w:sz w:val="24"/>
          <w:highlight w:val="none"/>
        </w:rPr>
        <w:t>；</w:t>
      </w:r>
    </w:p>
    <w:p w14:paraId="244F8ED6">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1.5.3 交付方式：</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u w:val="single"/>
          <w:lang w:val="en-US" w:eastAsia="zh-CN"/>
        </w:rPr>
        <w:t xml:space="preserve">    </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w:t>
      </w:r>
    </w:p>
    <w:p w14:paraId="6E2A7AB6">
      <w:pPr>
        <w:spacing w:line="360" w:lineRule="auto"/>
        <w:ind w:firstLine="480" w:firstLineChars="200"/>
        <w:rPr>
          <w:rFonts w:hint="eastAsia" w:ascii="仿宋_GB2312" w:hAnsi="楷体" w:eastAsia="仿宋_GB2312"/>
          <w:color w:val="auto"/>
          <w:sz w:val="24"/>
          <w:highlight w:val="none"/>
          <w:u w:val="single"/>
        </w:rPr>
      </w:pPr>
      <w:r>
        <w:rPr>
          <w:rFonts w:hint="eastAsia" w:ascii="仿宋_GB2312" w:hAnsi="楷体" w:eastAsia="仿宋_GB2312"/>
          <w:color w:val="auto"/>
          <w:sz w:val="24"/>
          <w:highlight w:val="none"/>
        </w:rPr>
        <w:t>1.5.4 服务及质保期限：</w:t>
      </w:r>
      <w:r>
        <w:rPr>
          <w:rFonts w:hint="eastAsia" w:ascii="仿宋_GB2312" w:hAnsi="楷体" w:eastAsia="仿宋_GB2312"/>
          <w:color w:val="auto"/>
          <w:sz w:val="24"/>
          <w:highlight w:val="none"/>
          <w:u w:val="single"/>
        </w:rPr>
        <w:t xml:space="preserve">               ；</w:t>
      </w:r>
    </w:p>
    <w:p w14:paraId="438523E0">
      <w:pPr>
        <w:spacing w:line="360" w:lineRule="auto"/>
        <w:ind w:firstLine="480" w:firstLineChars="200"/>
        <w:rPr>
          <w:rFonts w:hint="eastAsia" w:ascii="仿宋_GB2312" w:hAnsi="楷体" w:eastAsia="仿宋_GB2312"/>
          <w:color w:val="auto"/>
          <w:sz w:val="24"/>
          <w:highlight w:val="none"/>
          <w:u w:val="none"/>
        </w:rPr>
      </w:pPr>
      <w:r>
        <w:rPr>
          <w:rFonts w:hint="eastAsia" w:ascii="仿宋_GB2312" w:hAnsi="楷体" w:eastAsia="仿宋_GB2312"/>
          <w:color w:val="auto"/>
          <w:sz w:val="24"/>
          <w:highlight w:val="none"/>
          <w:u w:val="none"/>
        </w:rPr>
        <w:t xml:space="preserve">2、服务响应时间： </w:t>
      </w:r>
      <w:r>
        <w:rPr>
          <w:rFonts w:hint="eastAsia" w:ascii="仿宋_GB2312" w:hAnsi="楷体" w:eastAsia="仿宋_GB2312"/>
          <w:color w:val="auto"/>
          <w:sz w:val="24"/>
          <w:highlight w:val="none"/>
          <w:u w:val="single"/>
        </w:rPr>
        <w:t xml:space="preserve">               ；</w:t>
      </w:r>
    </w:p>
    <w:p w14:paraId="45C12A9E">
      <w:pPr>
        <w:spacing w:line="360" w:lineRule="auto"/>
        <w:ind w:firstLine="480" w:firstLineChars="200"/>
        <w:rPr>
          <w:rFonts w:hint="eastAsia" w:ascii="仿宋_GB2312" w:hAnsi="楷体" w:eastAsia="仿宋_GB2312"/>
          <w:color w:val="auto"/>
          <w:sz w:val="24"/>
          <w:highlight w:val="none"/>
          <w:u w:val="none"/>
        </w:rPr>
      </w:pPr>
      <w:r>
        <w:rPr>
          <w:rFonts w:hint="eastAsia" w:ascii="仿宋_GB2312" w:hAnsi="楷体" w:eastAsia="仿宋_GB2312"/>
          <w:color w:val="auto"/>
          <w:sz w:val="24"/>
          <w:highlight w:val="none"/>
          <w:u w:val="none"/>
        </w:rPr>
        <w:t>3、服务配套设备要求：</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u w:val="none"/>
        </w:rPr>
        <w:t>。</w:t>
      </w:r>
    </w:p>
    <w:p w14:paraId="1F242B87">
      <w:pPr>
        <w:spacing w:line="360" w:lineRule="auto"/>
        <w:ind w:firstLine="482" w:firstLineChars="200"/>
        <w:rPr>
          <w:rFonts w:hint="eastAsia" w:ascii="仿宋_GB2312" w:hAnsi="楷体" w:eastAsia="仿宋_GB2312"/>
          <w:b/>
          <w:color w:val="auto"/>
          <w:sz w:val="24"/>
          <w:highlight w:val="none"/>
        </w:rPr>
      </w:pPr>
      <w:bookmarkStart w:id="103" w:name="_Toc27250"/>
      <w:bookmarkStart w:id="104" w:name="_Toc19554"/>
      <w:bookmarkStart w:id="105" w:name="_Toc21423"/>
      <w:r>
        <w:rPr>
          <w:rFonts w:hint="eastAsia" w:ascii="仿宋_GB2312" w:hAnsi="楷体" w:eastAsia="仿宋_GB2312"/>
          <w:b/>
          <w:color w:val="auto"/>
          <w:sz w:val="24"/>
          <w:highlight w:val="none"/>
        </w:rPr>
        <w:t>1.6 违约责任</w:t>
      </w:r>
      <w:bookmarkEnd w:id="103"/>
      <w:bookmarkEnd w:id="104"/>
      <w:bookmarkEnd w:id="105"/>
    </w:p>
    <w:p w14:paraId="1474E2A1">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1.6.1 除不可抗力外，如果乙方没有按照本合同约定的期限、地点和方式交付标的物，甲方可要求乙方支付违约金，违约金按每迟延交付标的物一日的应交付而未交付标的物价格的</w:t>
      </w:r>
      <w:r>
        <w:rPr>
          <w:rFonts w:hint="eastAsia" w:ascii="仿宋_GB2312" w:hAnsi="楷体" w:eastAsia="仿宋_GB2312"/>
          <w:color w:val="auto"/>
          <w:sz w:val="24"/>
          <w:highlight w:val="none"/>
          <w:u w:val="single"/>
        </w:rPr>
        <w:t>万分之五</w:t>
      </w:r>
      <w:r>
        <w:rPr>
          <w:rFonts w:hint="eastAsia" w:ascii="仿宋_GB2312" w:hAnsi="楷体" w:eastAsia="仿宋_GB2312"/>
          <w:color w:val="auto"/>
          <w:sz w:val="24"/>
          <w:highlight w:val="none"/>
        </w:rPr>
        <w:t>（根据项目实际填写，一般为万分之五）计算，最高限额为本合同总价的</w:t>
      </w:r>
      <w:r>
        <w:rPr>
          <w:rFonts w:hint="eastAsia" w:ascii="仿宋_GB2312" w:hAnsi="楷体" w:eastAsia="仿宋_GB2312"/>
          <w:color w:val="auto"/>
          <w:sz w:val="24"/>
          <w:highlight w:val="none"/>
          <w:u w:val="single"/>
        </w:rPr>
        <w:t xml:space="preserve"> 20  </w:t>
      </w:r>
      <w:r>
        <w:rPr>
          <w:rFonts w:hint="eastAsia" w:ascii="仿宋_GB2312" w:hAnsi="楷体" w:eastAsia="仿宋_GB2312"/>
          <w:color w:val="auto"/>
          <w:sz w:val="24"/>
          <w:highlight w:val="none"/>
        </w:rPr>
        <w:t>%（根据项目实际填写，一般为20%）；迟延超过【30】日的，甲方有权在要求乙方支付违约金的同时，书面通知乙方解除本合同，乙方应退回全部已收取的合同价款并按合同总金额的</w:t>
      </w:r>
      <w:r>
        <w:rPr>
          <w:rFonts w:hint="eastAsia" w:ascii="仿宋_GB2312" w:hAnsi="楷体" w:eastAsia="仿宋_GB2312"/>
          <w:color w:val="auto"/>
          <w:sz w:val="24"/>
          <w:highlight w:val="none"/>
          <w:u w:val="single"/>
        </w:rPr>
        <w:t xml:space="preserve"> 20  </w:t>
      </w:r>
      <w:r>
        <w:rPr>
          <w:rFonts w:hint="eastAsia" w:ascii="仿宋_GB2312" w:hAnsi="楷体" w:eastAsia="仿宋_GB2312"/>
          <w:color w:val="auto"/>
          <w:sz w:val="24"/>
          <w:highlight w:val="none"/>
        </w:rPr>
        <w:t>%（根据项目实际填写，一般为20%）向甲方支付违约金；</w:t>
      </w:r>
    </w:p>
    <w:p w14:paraId="2A816B4C">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1.6.2 除不可抗力外，如果甲方没有按照本合同约定的付款方式付款，乙方可要求甲方支付违约金，违约金按每迟延付款一日的应付而未付款的</w:t>
      </w:r>
      <w:r>
        <w:rPr>
          <w:rFonts w:hint="eastAsia" w:ascii="仿宋_GB2312" w:hAnsi="楷体" w:eastAsia="仿宋_GB2312"/>
          <w:color w:val="auto"/>
          <w:sz w:val="24"/>
          <w:highlight w:val="none"/>
          <w:u w:val="single"/>
        </w:rPr>
        <w:t>万分之五</w:t>
      </w:r>
      <w:r>
        <w:rPr>
          <w:rFonts w:hint="eastAsia" w:ascii="仿宋_GB2312" w:hAnsi="楷体" w:eastAsia="仿宋_GB2312"/>
          <w:color w:val="auto"/>
          <w:sz w:val="24"/>
          <w:highlight w:val="none"/>
        </w:rPr>
        <w:t>（根据项目实际填写，一般为万分之五）计算，最高限额为欠付金额的</w:t>
      </w:r>
      <w:r>
        <w:rPr>
          <w:rFonts w:hint="eastAsia" w:ascii="仿宋_GB2312" w:hAnsi="楷体" w:eastAsia="仿宋_GB2312"/>
          <w:color w:val="auto"/>
          <w:sz w:val="24"/>
          <w:highlight w:val="none"/>
          <w:u w:val="single"/>
        </w:rPr>
        <w:t xml:space="preserve"> 20  </w:t>
      </w:r>
      <w:r>
        <w:rPr>
          <w:rFonts w:hint="eastAsia" w:ascii="仿宋_GB2312" w:hAnsi="楷体" w:eastAsia="仿宋_GB2312"/>
          <w:color w:val="auto"/>
          <w:sz w:val="24"/>
          <w:highlight w:val="none"/>
        </w:rPr>
        <w:t>%（根据项目实际填写，一般为20%）；迟延付款的违约金计算数额达到前述最高限额之日起，乙方有权在要求甲方支付违约金的同时，书面通知甲方解除本合同；</w:t>
      </w:r>
    </w:p>
    <w:p w14:paraId="470C72D3">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D78FA88">
      <w:pPr>
        <w:spacing w:line="360" w:lineRule="auto"/>
        <w:ind w:left="239" w:leftChars="114" w:firstLine="240" w:firstLineChars="100"/>
        <w:rPr>
          <w:rFonts w:hint="eastAsia" w:ascii="仿宋" w:hAnsi="仿宋" w:eastAsia="仿宋" w:cs="仿宋"/>
          <w:color w:val="auto"/>
          <w:sz w:val="24"/>
          <w:highlight w:val="none"/>
        </w:rPr>
      </w:pPr>
      <w:r>
        <w:rPr>
          <w:rFonts w:hint="eastAsia" w:ascii="仿宋_GB2312" w:hAnsi="楷体" w:eastAsia="仿宋_GB2312"/>
          <w:color w:val="auto"/>
          <w:sz w:val="24"/>
          <w:highlight w:val="none"/>
        </w:rPr>
        <w:t>1.6.4乙方在质保期内未按承诺提供售后等服务的，每发生一次向甲方支付</w:t>
      </w:r>
      <w:r>
        <w:rPr>
          <w:rFonts w:hint="eastAsia" w:ascii="仿宋" w:hAnsi="仿宋" w:eastAsia="仿宋" w:cs="仿宋"/>
          <w:color w:val="auto"/>
          <w:sz w:val="24"/>
          <w:highlight w:val="none"/>
          <w:u w:val="single"/>
        </w:rPr>
        <w:t xml:space="preserve"> 2000 </w:t>
      </w:r>
      <w:r>
        <w:rPr>
          <w:rFonts w:hint="eastAsia" w:ascii="仿宋_GB2312" w:hAnsi="楷体" w:eastAsia="仿宋_GB2312"/>
          <w:color w:val="auto"/>
          <w:sz w:val="24"/>
          <w:highlight w:val="none"/>
        </w:rPr>
        <w:t>元（根据项目实际填写，一般为2000元）的违约金。</w:t>
      </w:r>
    </w:p>
    <w:p w14:paraId="428B6EDD">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1.6.5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50FC1ED5">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7B4B2F4C">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1.6.7 如果出现政府采购监督管理部门在处理投诉事项期间，书面通知甲方暂停采购活动的情形，或者询问或质疑事项可能影响中标结果的，导致甲方中止履行合同的情形，均不视为甲方违约。</w:t>
      </w:r>
    </w:p>
    <w:p w14:paraId="781D3504">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 xml:space="preserve">1.6.7 </w:t>
      </w:r>
      <w:r>
        <w:rPr>
          <w:rFonts w:hint="eastAsia"/>
          <w:color w:val="auto"/>
          <w:highlight w:val="none"/>
        </w:rPr>
        <w:t>如项目验收不合格，由乙方按要求整改后再行验收，以及给甲方造成的损失等费用由乙方承担。连续两次项目验收不合格的，甲方有权终止合同，并追究乙方的责任，由此带来的一切损失由乙方自行承担。</w:t>
      </w:r>
    </w:p>
    <w:p w14:paraId="3259B1A6">
      <w:pPr>
        <w:spacing w:line="360" w:lineRule="auto"/>
        <w:ind w:firstLine="482" w:firstLineChars="200"/>
        <w:rPr>
          <w:rFonts w:hint="eastAsia" w:ascii="仿宋_GB2312" w:hAnsi="楷体" w:eastAsia="仿宋_GB2312"/>
          <w:b/>
          <w:color w:val="auto"/>
          <w:sz w:val="24"/>
          <w:highlight w:val="none"/>
        </w:rPr>
      </w:pPr>
      <w:bookmarkStart w:id="106" w:name="_Toc15583"/>
      <w:bookmarkStart w:id="107" w:name="_Toc16021"/>
      <w:bookmarkStart w:id="108" w:name="_Toc28375"/>
      <w:r>
        <w:rPr>
          <w:rFonts w:hint="eastAsia" w:ascii="仿宋_GB2312" w:hAnsi="楷体" w:eastAsia="仿宋_GB2312"/>
          <w:b/>
          <w:color w:val="auto"/>
          <w:sz w:val="24"/>
          <w:highlight w:val="none"/>
        </w:rPr>
        <w:t>1.7 合同争议的解决</w:t>
      </w:r>
      <w:bookmarkEnd w:id="106"/>
      <w:bookmarkEnd w:id="107"/>
      <w:bookmarkEnd w:id="108"/>
    </w:p>
    <w:p w14:paraId="10F16D19">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本合同履行过程中发生的任何争议，双方当事人均可通过和解或者调解解决；不愿和解、调解或者和解、调解不成的，可以选择下列第</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种方式解决：</w:t>
      </w:r>
    </w:p>
    <w:p w14:paraId="28BF3907">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1.7.1 将争议提交</w:t>
      </w:r>
      <w:r>
        <w:rPr>
          <w:rFonts w:hint="eastAsia" w:ascii="仿宋_GB2312" w:hAnsi="楷体" w:eastAsia="仿宋_GB2312"/>
          <w:color w:val="auto"/>
          <w:sz w:val="24"/>
          <w:highlight w:val="none"/>
          <w:u w:val="single"/>
        </w:rPr>
        <w:t>南宁</w:t>
      </w:r>
      <w:r>
        <w:rPr>
          <w:rFonts w:hint="eastAsia" w:ascii="仿宋_GB2312" w:hAnsi="楷体" w:eastAsia="仿宋_GB2312"/>
          <w:color w:val="auto"/>
          <w:sz w:val="24"/>
          <w:highlight w:val="none"/>
        </w:rPr>
        <w:t>仲裁委员会依申请仲裁时其现行有效的仲裁规则裁决；</w:t>
      </w:r>
    </w:p>
    <w:p w14:paraId="3CCEC534">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1.7.2 向</w:t>
      </w:r>
      <w:r>
        <w:rPr>
          <w:rFonts w:hint="eastAsia" w:ascii="仿宋_GB2312" w:hAnsi="楷体" w:eastAsia="仿宋_GB2312"/>
          <w:color w:val="auto"/>
          <w:sz w:val="24"/>
          <w:highlight w:val="none"/>
          <w:u w:val="single"/>
        </w:rPr>
        <w:t xml:space="preserve">   甲方所在地  </w:t>
      </w:r>
      <w:r>
        <w:rPr>
          <w:rFonts w:hint="eastAsia" w:ascii="仿宋_GB2312" w:hAnsi="楷体" w:eastAsia="仿宋_GB2312"/>
          <w:color w:val="auto"/>
          <w:sz w:val="24"/>
          <w:highlight w:val="none"/>
        </w:rPr>
        <w:t>人民法院起诉。</w:t>
      </w:r>
    </w:p>
    <w:p w14:paraId="779E4464">
      <w:pPr>
        <w:spacing w:line="360" w:lineRule="auto"/>
        <w:ind w:firstLine="482" w:firstLineChars="200"/>
        <w:rPr>
          <w:rFonts w:hint="eastAsia" w:ascii="仿宋_GB2312" w:hAnsi="楷体" w:eastAsia="仿宋_GB2312"/>
          <w:b/>
          <w:color w:val="auto"/>
          <w:sz w:val="24"/>
          <w:highlight w:val="none"/>
        </w:rPr>
      </w:pPr>
      <w:bookmarkStart w:id="109" w:name="_Toc15322"/>
      <w:bookmarkStart w:id="110" w:name="_Toc7245"/>
      <w:bookmarkStart w:id="111" w:name="_Toc11173"/>
      <w:r>
        <w:rPr>
          <w:rFonts w:hint="eastAsia" w:ascii="仿宋_GB2312" w:hAnsi="楷体" w:eastAsia="仿宋_GB2312"/>
          <w:b/>
          <w:color w:val="auto"/>
          <w:sz w:val="24"/>
          <w:highlight w:val="none"/>
        </w:rPr>
        <w:t>1.8 合同生效</w:t>
      </w:r>
      <w:bookmarkEnd w:id="109"/>
      <w:bookmarkEnd w:id="110"/>
      <w:bookmarkEnd w:id="111"/>
    </w:p>
    <w:p w14:paraId="1D89452F">
      <w:pPr>
        <w:spacing w:line="360" w:lineRule="auto"/>
        <w:ind w:firstLine="480" w:firstLineChars="200"/>
        <w:rPr>
          <w:rFonts w:hint="eastAsia" w:ascii="仿宋_GB2312" w:hAnsi="楷体" w:eastAsia="仿宋_GB2312"/>
          <w:b/>
          <w:color w:val="auto"/>
          <w:sz w:val="24"/>
          <w:highlight w:val="none"/>
        </w:rPr>
      </w:pPr>
      <w:r>
        <w:rPr>
          <w:rFonts w:hint="eastAsia" w:ascii="仿宋_GB2312" w:hAnsi="楷体" w:eastAsia="仿宋_GB2312"/>
          <w:color w:val="auto"/>
          <w:sz w:val="24"/>
          <w:highlight w:val="none"/>
        </w:rPr>
        <w:t>本合同自双方当事人加盖有效电子公章时生效。</w:t>
      </w:r>
    </w:p>
    <w:p w14:paraId="4C486EF8">
      <w:pPr>
        <w:spacing w:line="360" w:lineRule="auto"/>
        <w:ind w:firstLine="200"/>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甲方：                                   乙方：</w:t>
      </w:r>
    </w:p>
    <w:p w14:paraId="336C6395">
      <w:pPr>
        <w:spacing w:line="360" w:lineRule="auto"/>
        <w:ind w:firstLine="200"/>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统一社会信用代码：                        统一社会信用代码或身份证号码：</w:t>
      </w:r>
    </w:p>
    <w:p w14:paraId="594AF97D">
      <w:pPr>
        <w:spacing w:line="360" w:lineRule="auto"/>
        <w:ind w:firstLine="200"/>
        <w:rPr>
          <w:rFonts w:hint="eastAsia" w:ascii="仿宋_GB2312" w:hAnsi="楷体" w:eastAsia="仿宋_GB2312"/>
          <w:color w:val="auto"/>
          <w:sz w:val="24"/>
          <w:highlight w:val="none"/>
          <w:lang w:val="zh-CN"/>
        </w:rPr>
      </w:pPr>
    </w:p>
    <w:p w14:paraId="0E5B7CCF">
      <w:pPr>
        <w:spacing w:line="360" w:lineRule="auto"/>
        <w:ind w:firstLine="200"/>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住所：                                   住所：</w:t>
      </w:r>
    </w:p>
    <w:p w14:paraId="3DB357F6">
      <w:pPr>
        <w:spacing w:line="360" w:lineRule="auto"/>
        <w:ind w:firstLine="200"/>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法定代表人或                             法定代表人</w:t>
      </w:r>
    </w:p>
    <w:p w14:paraId="25C3B3B5">
      <w:pPr>
        <w:spacing w:line="360" w:lineRule="auto"/>
        <w:ind w:firstLine="200"/>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 xml:space="preserve">授权代表（签字或盖章）：                 或授权代表（签字或盖章）: </w:t>
      </w:r>
    </w:p>
    <w:p w14:paraId="2D7745F2">
      <w:pPr>
        <w:spacing w:line="360" w:lineRule="auto"/>
        <w:ind w:firstLine="200"/>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联系人：                                 联系人：</w:t>
      </w:r>
    </w:p>
    <w:p w14:paraId="3EF69F73">
      <w:pPr>
        <w:spacing w:line="360" w:lineRule="auto"/>
        <w:ind w:firstLine="200"/>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约定送达地址：                           约定送达地址：</w:t>
      </w:r>
    </w:p>
    <w:p w14:paraId="6E6CB4DE">
      <w:pPr>
        <w:spacing w:line="360" w:lineRule="auto"/>
        <w:ind w:firstLine="200"/>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邮政编码：                               邮政编码：</w:t>
      </w:r>
    </w:p>
    <w:p w14:paraId="3750BF7A">
      <w:pPr>
        <w:spacing w:line="360" w:lineRule="auto"/>
        <w:ind w:firstLine="200"/>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 xml:space="preserve">电话:                                    电话: </w:t>
      </w:r>
    </w:p>
    <w:p w14:paraId="5174A904">
      <w:pPr>
        <w:spacing w:line="360" w:lineRule="auto"/>
        <w:ind w:firstLine="200"/>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传真:                                    传真:</w:t>
      </w:r>
    </w:p>
    <w:p w14:paraId="263734A8">
      <w:pPr>
        <w:spacing w:line="360" w:lineRule="auto"/>
        <w:ind w:firstLine="200"/>
        <w:rPr>
          <w:rFonts w:hint="eastAsia" w:ascii="仿宋_GB2312" w:hAnsi="楷体" w:eastAsia="仿宋_GB2312"/>
          <w:color w:val="auto"/>
          <w:sz w:val="24"/>
          <w:highlight w:val="none"/>
        </w:rPr>
      </w:pPr>
      <w:r>
        <w:rPr>
          <w:rFonts w:hint="eastAsia" w:ascii="仿宋_GB2312" w:hAnsi="楷体" w:eastAsia="仿宋_GB2312"/>
          <w:color w:val="auto"/>
          <w:sz w:val="24"/>
          <w:highlight w:val="none"/>
          <w:lang w:val="zh-CN"/>
        </w:rPr>
        <w:t>电子邮箱：                               电子邮箱：</w:t>
      </w:r>
    </w:p>
    <w:p w14:paraId="50F7D673">
      <w:pPr>
        <w:spacing w:line="360" w:lineRule="auto"/>
        <w:ind w:firstLine="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 xml:space="preserve">开户银行：                               开户银行： </w:t>
      </w:r>
    </w:p>
    <w:p w14:paraId="0A905295">
      <w:pPr>
        <w:spacing w:line="360" w:lineRule="auto"/>
        <w:ind w:firstLine="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 xml:space="preserve">开户名称：                               开户名称： </w:t>
      </w:r>
    </w:p>
    <w:p w14:paraId="4909D9B6">
      <w:pPr>
        <w:spacing w:line="360" w:lineRule="auto"/>
        <w:ind w:firstLine="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开户账号：</w:t>
      </w:r>
      <w:r>
        <w:rPr>
          <w:rFonts w:hint="eastAsia" w:ascii="仿宋_GB2312" w:hAnsi="楷体" w:eastAsia="仿宋_GB2312"/>
          <w:color w:val="auto"/>
          <w:sz w:val="24"/>
          <w:highlight w:val="none"/>
          <w:lang w:val="zh-CN"/>
        </w:rPr>
        <w:t xml:space="preserve">                               </w:t>
      </w:r>
      <w:r>
        <w:rPr>
          <w:rFonts w:hint="eastAsia" w:ascii="仿宋_GB2312" w:hAnsi="楷体" w:eastAsia="仿宋_GB2312"/>
          <w:color w:val="auto"/>
          <w:sz w:val="24"/>
          <w:highlight w:val="none"/>
        </w:rPr>
        <w:t>开户账号：</w:t>
      </w:r>
    </w:p>
    <w:p w14:paraId="7252BDB3">
      <w:pPr>
        <w:ind w:firstLine="482"/>
        <w:jc w:val="center"/>
        <w:outlineLvl w:val="1"/>
        <w:rPr>
          <w:rFonts w:hint="eastAsia" w:ascii="仿宋_GB2312" w:hAnsi="楷体" w:eastAsia="仿宋_GB2312"/>
          <w:b/>
          <w:color w:val="auto"/>
          <w:sz w:val="28"/>
          <w:szCs w:val="28"/>
          <w:highlight w:val="none"/>
        </w:rPr>
      </w:pPr>
      <w:r>
        <w:rPr>
          <w:rFonts w:hint="eastAsia" w:ascii="仿宋_GB2312" w:hAnsi="楷体" w:eastAsia="仿宋_GB2312"/>
          <w:b/>
          <w:color w:val="auto"/>
          <w:highlight w:val="none"/>
        </w:rPr>
        <w:br w:type="page"/>
      </w:r>
      <w:bookmarkStart w:id="112" w:name="_Toc4455"/>
      <w:bookmarkStart w:id="113" w:name="_Toc331685783"/>
      <w:bookmarkStart w:id="114" w:name="_Toc80205945"/>
      <w:r>
        <w:rPr>
          <w:rFonts w:hint="eastAsia" w:ascii="仿宋_GB2312" w:hAnsi="楷体" w:eastAsia="仿宋_GB2312"/>
          <w:b/>
          <w:color w:val="auto"/>
          <w:sz w:val="28"/>
          <w:szCs w:val="28"/>
          <w:highlight w:val="none"/>
        </w:rPr>
        <w:t>第二部分 合同一般条款</w:t>
      </w:r>
      <w:bookmarkEnd w:id="112"/>
      <w:bookmarkEnd w:id="113"/>
      <w:bookmarkEnd w:id="114"/>
    </w:p>
    <w:p w14:paraId="7026339C">
      <w:pPr>
        <w:spacing w:line="360" w:lineRule="auto"/>
        <w:ind w:firstLine="482" w:firstLineChars="200"/>
        <w:rPr>
          <w:rFonts w:hint="eastAsia" w:ascii="仿宋_GB2312" w:hAnsi="楷体" w:eastAsia="仿宋_GB2312"/>
          <w:b/>
          <w:color w:val="auto"/>
          <w:sz w:val="24"/>
          <w:highlight w:val="none"/>
        </w:rPr>
      </w:pPr>
      <w:bookmarkStart w:id="115" w:name="_Ref467379195"/>
      <w:bookmarkStart w:id="116" w:name="_Toc16917"/>
      <w:bookmarkStart w:id="117" w:name="_Ref467379225"/>
      <w:bookmarkStart w:id="118" w:name="_Ref467379101"/>
      <w:bookmarkStart w:id="119" w:name="_Ref467379109"/>
      <w:bookmarkStart w:id="120" w:name="_Ref467379214"/>
      <w:bookmarkStart w:id="121" w:name="_Ref467378499"/>
      <w:bookmarkStart w:id="122" w:name="_Toc279701240"/>
      <w:bookmarkStart w:id="123" w:name="_Ref467378404"/>
      <w:bookmarkStart w:id="124" w:name="_Ref467379205"/>
      <w:bookmarkStart w:id="125" w:name="_Ref467378463"/>
      <w:bookmarkStart w:id="126" w:name="_Ref467379094"/>
      <w:bookmarkStart w:id="127" w:name="_Toc19614"/>
      <w:bookmarkStart w:id="128" w:name="_Toc28763"/>
      <w:bookmarkStart w:id="129" w:name="_Toc259093669"/>
      <w:bookmarkStart w:id="130" w:name="_Toc487900349"/>
      <w:r>
        <w:rPr>
          <w:rFonts w:hint="eastAsia" w:ascii="仿宋_GB2312" w:hAnsi="楷体" w:eastAsia="仿宋_GB2312"/>
          <w:b/>
          <w:color w:val="auto"/>
          <w:sz w:val="24"/>
          <w:highlight w:val="none"/>
        </w:rPr>
        <w:t>2.1 定义</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14:paraId="2EB01FBB">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本合同中的下列词语应按以下内容进行解释：</w:t>
      </w:r>
    </w:p>
    <w:p w14:paraId="04939392">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2.1.1 “合同”系指采购人和中标人签订的载明双方当事人所达成的协议，并包括所有的附件、附录和构成合同的其他文件。</w:t>
      </w:r>
    </w:p>
    <w:p w14:paraId="1C5ED334">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2.1.2 “合同价”系指根据合同约定，中标人在完全履行合同义务后，采购人应支付给中标人的价格。</w:t>
      </w:r>
    </w:p>
    <w:p w14:paraId="2F98C95B">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2.1.3 “标的物”系指中标人根据合同约定应向采购人交付的一切各种形态和种类的货物、服务和工程，包括但不限于原材料、燃料、设备、机械、仪表、备件、计算机软件、信息化系统、信息化维保、物业服务、产品等，并包括工具、手册等其他相关资料。</w:t>
      </w:r>
    </w:p>
    <w:p w14:paraId="5069F853">
      <w:pPr>
        <w:spacing w:line="360" w:lineRule="auto"/>
        <w:ind w:firstLine="480" w:firstLineChars="200"/>
        <w:rPr>
          <w:rFonts w:hint="eastAsia" w:ascii="仿宋_GB2312" w:hAnsi="楷体" w:eastAsia="仿宋_GB2312"/>
          <w:color w:val="auto"/>
          <w:sz w:val="24"/>
          <w:highlight w:val="none"/>
        </w:rPr>
      </w:pPr>
      <w:bookmarkStart w:id="131" w:name="_Ref467378840"/>
      <w:r>
        <w:rPr>
          <w:rFonts w:hint="eastAsia" w:ascii="仿宋_GB2312" w:hAnsi="楷体" w:eastAsia="仿宋_GB2312"/>
          <w:color w:val="auto"/>
          <w:sz w:val="24"/>
          <w:highlight w:val="none"/>
        </w:rPr>
        <w:t>2.1.4 “甲方”系指与中标人签署合同的采购人</w:t>
      </w:r>
      <w:bookmarkEnd w:id="131"/>
      <w:r>
        <w:rPr>
          <w:rFonts w:hint="eastAsia" w:ascii="仿宋_GB2312" w:hAnsi="楷体" w:eastAsia="仿宋_GB2312"/>
          <w:color w:val="auto"/>
          <w:sz w:val="24"/>
          <w:highlight w:val="none"/>
        </w:rPr>
        <w:t>；采购人委托采购机构代表其与乙方签订合同的，采购人的授权委托书作为合同附件。</w:t>
      </w:r>
    </w:p>
    <w:p w14:paraId="348DD752">
      <w:pPr>
        <w:spacing w:line="360" w:lineRule="auto"/>
        <w:ind w:firstLine="480" w:firstLineChars="200"/>
        <w:rPr>
          <w:rFonts w:hint="eastAsia" w:ascii="仿宋_GB2312" w:hAnsi="楷体" w:eastAsia="仿宋_GB2312"/>
          <w:color w:val="auto"/>
          <w:sz w:val="24"/>
          <w:highlight w:val="none"/>
        </w:rPr>
      </w:pPr>
      <w:bookmarkStart w:id="132" w:name="_Ref467379400"/>
      <w:r>
        <w:rPr>
          <w:rFonts w:hint="eastAsia" w:ascii="仿宋_GB2312" w:hAnsi="楷体" w:eastAsia="仿宋_GB2312"/>
          <w:color w:val="auto"/>
          <w:sz w:val="24"/>
          <w:highlight w:val="none"/>
        </w:rPr>
        <w:t>2.1.5 “乙方”系指根据合同约定交付标的物的</w:t>
      </w:r>
      <w:bookmarkEnd w:id="132"/>
      <w:r>
        <w:rPr>
          <w:rFonts w:hint="eastAsia" w:ascii="仿宋_GB2312" w:hAnsi="楷体" w:eastAsia="仿宋_GB2312"/>
          <w:color w:val="auto"/>
          <w:sz w:val="24"/>
          <w:highlight w:val="none"/>
        </w:rPr>
        <w:t>中标人；两个以上的自然人、法人或者其他组织组成一个联合体，以一个供应商的身份共同参加政府采购的，联合体各方均应为乙方或者与乙方相同地位的合同当事人，并就合同约定的事项对甲方承担连带责任。</w:t>
      </w:r>
    </w:p>
    <w:p w14:paraId="5B71E423">
      <w:pPr>
        <w:spacing w:line="360" w:lineRule="auto"/>
        <w:ind w:firstLine="480" w:firstLineChars="200"/>
        <w:rPr>
          <w:rFonts w:hint="eastAsia" w:ascii="仿宋_GB2312" w:hAnsi="楷体" w:eastAsia="仿宋_GB2312"/>
          <w:color w:val="auto"/>
          <w:sz w:val="24"/>
          <w:highlight w:val="none"/>
        </w:rPr>
      </w:pPr>
      <w:bookmarkStart w:id="133" w:name="_Ref467379436"/>
      <w:r>
        <w:rPr>
          <w:rFonts w:hint="eastAsia" w:ascii="仿宋_GB2312" w:hAnsi="楷体" w:eastAsia="仿宋_GB2312"/>
          <w:color w:val="auto"/>
          <w:sz w:val="24"/>
          <w:highlight w:val="none"/>
        </w:rPr>
        <w:t>2.1.6 “现场”系指合同约定标的物将要运至或者实施或者安装的地点。</w:t>
      </w:r>
      <w:bookmarkEnd w:id="133"/>
    </w:p>
    <w:p w14:paraId="18329002">
      <w:pPr>
        <w:spacing w:line="360" w:lineRule="auto"/>
        <w:ind w:firstLine="482" w:firstLineChars="200"/>
        <w:rPr>
          <w:rFonts w:hint="eastAsia" w:ascii="仿宋_GB2312" w:hAnsi="楷体" w:eastAsia="仿宋_GB2312"/>
          <w:b/>
          <w:color w:val="auto"/>
          <w:sz w:val="24"/>
          <w:highlight w:val="none"/>
        </w:rPr>
      </w:pPr>
      <w:bookmarkStart w:id="134" w:name="_Toc279701241"/>
      <w:bookmarkStart w:id="135" w:name="_Toc13336"/>
      <w:bookmarkStart w:id="136" w:name="_Toc32504"/>
      <w:bookmarkStart w:id="137" w:name="_Toc487900350"/>
      <w:bookmarkStart w:id="138" w:name="_Toc259093670"/>
      <w:bookmarkStart w:id="139" w:name="_Toc27635"/>
      <w:r>
        <w:rPr>
          <w:rFonts w:hint="eastAsia" w:ascii="仿宋_GB2312" w:hAnsi="楷体" w:eastAsia="仿宋_GB2312"/>
          <w:b/>
          <w:color w:val="auto"/>
          <w:sz w:val="24"/>
          <w:highlight w:val="none"/>
        </w:rPr>
        <w:t>2.2 技术规范</w:t>
      </w:r>
      <w:bookmarkEnd w:id="134"/>
      <w:bookmarkEnd w:id="135"/>
      <w:bookmarkEnd w:id="136"/>
      <w:bookmarkEnd w:id="137"/>
      <w:bookmarkEnd w:id="138"/>
      <w:bookmarkEnd w:id="139"/>
    </w:p>
    <w:p w14:paraId="14EB116B">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14:paraId="0A4A0381">
      <w:pPr>
        <w:spacing w:line="360" w:lineRule="auto"/>
        <w:ind w:firstLine="482" w:firstLineChars="200"/>
        <w:rPr>
          <w:rFonts w:hint="eastAsia" w:ascii="仿宋_GB2312" w:hAnsi="楷体" w:eastAsia="仿宋_GB2312"/>
          <w:b/>
          <w:color w:val="auto"/>
          <w:sz w:val="24"/>
          <w:highlight w:val="none"/>
        </w:rPr>
      </w:pPr>
      <w:bookmarkStart w:id="140" w:name="_Toc259093671"/>
      <w:bookmarkStart w:id="141" w:name="_Toc279701242"/>
      <w:bookmarkStart w:id="142" w:name="_Toc487900351"/>
      <w:bookmarkStart w:id="143" w:name="_Toc31634"/>
      <w:bookmarkStart w:id="144" w:name="_Toc9829"/>
      <w:bookmarkStart w:id="145" w:name="_Toc27853"/>
      <w:r>
        <w:rPr>
          <w:rFonts w:hint="eastAsia" w:ascii="仿宋_GB2312" w:hAnsi="楷体" w:eastAsia="仿宋_GB2312"/>
          <w:b/>
          <w:color w:val="auto"/>
          <w:sz w:val="24"/>
          <w:highlight w:val="none"/>
        </w:rPr>
        <w:t>2.3 知识产权</w:t>
      </w:r>
      <w:bookmarkEnd w:id="140"/>
      <w:bookmarkEnd w:id="141"/>
      <w:bookmarkEnd w:id="142"/>
      <w:bookmarkEnd w:id="143"/>
      <w:bookmarkEnd w:id="144"/>
      <w:bookmarkEnd w:id="145"/>
    </w:p>
    <w:p w14:paraId="6F359FBC">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14:paraId="3B08B052">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2.3.2具有知识产权的计算机软件等标的物的知识产权归属，详见</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w:t>
      </w:r>
    </w:p>
    <w:p w14:paraId="404E13F4">
      <w:pPr>
        <w:spacing w:line="360" w:lineRule="auto"/>
        <w:ind w:firstLine="482" w:firstLineChars="200"/>
        <w:rPr>
          <w:rFonts w:hint="eastAsia" w:ascii="仿宋_GB2312" w:hAnsi="楷体" w:eastAsia="仿宋_GB2312"/>
          <w:b/>
          <w:color w:val="auto"/>
          <w:sz w:val="24"/>
          <w:highlight w:val="none"/>
        </w:rPr>
      </w:pPr>
      <w:bookmarkStart w:id="146" w:name="_Toc11932"/>
      <w:bookmarkStart w:id="147" w:name="_Toc4194"/>
      <w:bookmarkStart w:id="148" w:name="_Toc29149"/>
      <w:r>
        <w:rPr>
          <w:rFonts w:hint="eastAsia" w:ascii="仿宋_GB2312" w:hAnsi="楷体" w:eastAsia="仿宋_GB2312"/>
          <w:b/>
          <w:color w:val="auto"/>
          <w:sz w:val="24"/>
          <w:highlight w:val="none"/>
        </w:rPr>
        <w:t>2.4 包装和装运</w:t>
      </w:r>
      <w:bookmarkEnd w:id="146"/>
      <w:bookmarkEnd w:id="147"/>
      <w:bookmarkEnd w:id="148"/>
    </w:p>
    <w:p w14:paraId="467EC336">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2.4.1除</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14:paraId="29B5CF1A">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2.4.2 装运标的物的要求和通知，详见</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w:t>
      </w:r>
    </w:p>
    <w:p w14:paraId="1758AB11">
      <w:pPr>
        <w:spacing w:line="360" w:lineRule="auto"/>
        <w:ind w:firstLine="482" w:firstLineChars="200"/>
        <w:rPr>
          <w:rFonts w:hint="eastAsia" w:ascii="仿宋_GB2312" w:hAnsi="楷体" w:eastAsia="仿宋_GB2312"/>
          <w:b/>
          <w:color w:val="auto"/>
          <w:sz w:val="24"/>
          <w:highlight w:val="none"/>
        </w:rPr>
      </w:pPr>
      <w:bookmarkStart w:id="149" w:name="_Ref467379536"/>
      <w:bookmarkStart w:id="150" w:name="_Ref467378591"/>
      <w:bookmarkStart w:id="151" w:name="_Ref467379527"/>
      <w:bookmarkStart w:id="152" w:name="_Ref467378541"/>
      <w:bookmarkStart w:id="153" w:name="_Toc487900354"/>
      <w:bookmarkStart w:id="154" w:name="_Ref467379542"/>
      <w:bookmarkStart w:id="155" w:name="_Toc259093674"/>
      <w:bookmarkStart w:id="156" w:name="_Toc279701245"/>
      <w:bookmarkStart w:id="157" w:name="_Toc19074"/>
      <w:bookmarkStart w:id="158" w:name="_Toc26182"/>
      <w:bookmarkStart w:id="159" w:name="_Toc30272"/>
      <w:r>
        <w:rPr>
          <w:rFonts w:hint="eastAsia" w:ascii="仿宋_GB2312" w:hAnsi="楷体" w:eastAsia="仿宋_GB2312"/>
          <w:b/>
          <w:color w:val="auto"/>
          <w:sz w:val="24"/>
          <w:highlight w:val="none"/>
        </w:rPr>
        <w:t>2.</w:t>
      </w:r>
      <w:bookmarkEnd w:id="149"/>
      <w:bookmarkEnd w:id="150"/>
      <w:bookmarkEnd w:id="151"/>
      <w:bookmarkEnd w:id="152"/>
      <w:bookmarkEnd w:id="153"/>
      <w:bookmarkEnd w:id="154"/>
      <w:bookmarkEnd w:id="155"/>
      <w:bookmarkEnd w:id="156"/>
      <w:r>
        <w:rPr>
          <w:rFonts w:hint="eastAsia" w:ascii="仿宋_GB2312" w:hAnsi="楷体" w:eastAsia="仿宋_GB2312"/>
          <w:b/>
          <w:color w:val="auto"/>
          <w:sz w:val="24"/>
          <w:highlight w:val="none"/>
        </w:rPr>
        <w:t>5 履约检查和问题反馈</w:t>
      </w:r>
      <w:bookmarkEnd w:id="157"/>
      <w:bookmarkEnd w:id="158"/>
      <w:bookmarkEnd w:id="159"/>
    </w:p>
    <w:p w14:paraId="183BEACF">
      <w:pPr>
        <w:spacing w:line="360" w:lineRule="auto"/>
        <w:ind w:firstLine="480" w:firstLineChars="200"/>
        <w:rPr>
          <w:rFonts w:hint="eastAsia" w:ascii="仿宋_GB2312" w:hAnsi="楷体" w:eastAsia="仿宋_GB2312"/>
          <w:color w:val="auto"/>
          <w:sz w:val="24"/>
          <w:highlight w:val="none"/>
        </w:rPr>
      </w:pPr>
      <w:bookmarkStart w:id="160" w:name="_Ref467379657"/>
      <w:r>
        <w:rPr>
          <w:rFonts w:hint="eastAsia" w:ascii="仿宋_GB2312" w:hAnsi="楷体" w:eastAsia="仿宋_GB2312"/>
          <w:color w:val="auto"/>
          <w:sz w:val="24"/>
          <w:highlight w:val="none"/>
        </w:rPr>
        <w:t>2.5.1</w:t>
      </w:r>
      <w:bookmarkEnd w:id="160"/>
      <w:bookmarkStart w:id="161" w:name="_Toc186431854"/>
      <w:bookmarkStart w:id="162" w:name="_Toc279701247"/>
      <w:bookmarkStart w:id="163" w:name="_Toc487900357"/>
      <w:bookmarkStart w:id="164" w:name="_Ref467379793"/>
      <w:bookmarkStart w:id="165" w:name="_Toc259093676"/>
      <w:bookmarkStart w:id="166" w:name="_Ref467379807"/>
      <w:r>
        <w:rPr>
          <w:rFonts w:hint="eastAsia" w:ascii="仿宋_GB2312" w:hAnsi="楷体" w:eastAsia="仿宋_GB2312"/>
          <w:color w:val="auto"/>
          <w:sz w:val="24"/>
          <w:highlight w:val="none"/>
        </w:rPr>
        <w:t>甲方有权在其认为必要时，对乙方是否能够按照合同约定交付标的物进行履约检查，以确保乙方所交付的标的物能够依约满足甲方之项目需求，但不得因履约检查妨碍乙方的正常工作，乙方应予积极配合；</w:t>
      </w:r>
    </w:p>
    <w:p w14:paraId="1D7AE801">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2.5.2 合同履行期间，甲方有权将履行过程中出现的问题反馈给乙方，双方当事人应以书面形式约定需要完善和改进的内容</w:t>
      </w:r>
      <w:bookmarkEnd w:id="161"/>
      <w:bookmarkStart w:id="167" w:name="_Toc186431855"/>
      <w:r>
        <w:rPr>
          <w:rFonts w:hint="eastAsia" w:ascii="仿宋_GB2312" w:hAnsi="楷体" w:eastAsia="仿宋_GB2312"/>
          <w:color w:val="auto"/>
          <w:sz w:val="24"/>
          <w:highlight w:val="none"/>
        </w:rPr>
        <w:t>。</w:t>
      </w:r>
    </w:p>
    <w:bookmarkEnd w:id="167"/>
    <w:p w14:paraId="018C9BBC">
      <w:pPr>
        <w:spacing w:line="360" w:lineRule="auto"/>
        <w:ind w:firstLine="482" w:firstLineChars="200"/>
        <w:rPr>
          <w:rFonts w:hint="eastAsia" w:ascii="仿宋_GB2312" w:hAnsi="楷体" w:eastAsia="仿宋_GB2312"/>
          <w:b/>
          <w:color w:val="auto"/>
          <w:sz w:val="24"/>
          <w:highlight w:val="none"/>
        </w:rPr>
      </w:pPr>
      <w:bookmarkStart w:id="168" w:name="_Toc7836"/>
      <w:bookmarkStart w:id="169" w:name="_Toc19219"/>
      <w:bookmarkStart w:id="170" w:name="_Toc28451"/>
      <w:r>
        <w:rPr>
          <w:rFonts w:hint="eastAsia" w:ascii="仿宋_GB2312" w:hAnsi="楷体" w:eastAsia="仿宋_GB2312"/>
          <w:b/>
          <w:color w:val="auto"/>
          <w:sz w:val="24"/>
          <w:highlight w:val="none"/>
        </w:rPr>
        <w:t>2.6 结算方式和付款条件</w:t>
      </w:r>
      <w:bookmarkEnd w:id="162"/>
      <w:bookmarkEnd w:id="163"/>
      <w:bookmarkEnd w:id="164"/>
      <w:bookmarkEnd w:id="165"/>
      <w:bookmarkEnd w:id="166"/>
      <w:bookmarkEnd w:id="168"/>
      <w:bookmarkEnd w:id="169"/>
      <w:bookmarkEnd w:id="170"/>
    </w:p>
    <w:p w14:paraId="439046F4">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详见</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w:t>
      </w:r>
    </w:p>
    <w:p w14:paraId="5C6B1AA5">
      <w:pPr>
        <w:spacing w:line="360" w:lineRule="auto"/>
        <w:ind w:firstLine="482" w:firstLineChars="200"/>
        <w:rPr>
          <w:rFonts w:hint="eastAsia" w:ascii="仿宋_GB2312" w:hAnsi="楷体" w:eastAsia="仿宋_GB2312"/>
          <w:b/>
          <w:color w:val="auto"/>
          <w:sz w:val="24"/>
          <w:highlight w:val="none"/>
        </w:rPr>
      </w:pPr>
      <w:bookmarkStart w:id="171" w:name="_Ref467379863"/>
      <w:bookmarkStart w:id="172" w:name="_Toc259093677"/>
      <w:bookmarkStart w:id="173" w:name="_Toc279701248"/>
      <w:bookmarkStart w:id="174" w:name="_Toc487900358"/>
      <w:bookmarkStart w:id="175" w:name="_Ref467379852"/>
      <w:bookmarkStart w:id="176" w:name="_Ref467379923"/>
      <w:bookmarkStart w:id="177" w:name="_Toc774"/>
      <w:bookmarkStart w:id="178" w:name="_Toc3225"/>
      <w:bookmarkStart w:id="179" w:name="_Toc16110"/>
      <w:r>
        <w:rPr>
          <w:rFonts w:hint="eastAsia" w:ascii="仿宋_GB2312" w:hAnsi="楷体" w:eastAsia="仿宋_GB2312"/>
          <w:b/>
          <w:color w:val="auto"/>
          <w:sz w:val="24"/>
          <w:highlight w:val="none"/>
        </w:rPr>
        <w:t>2.7 技术资料</w:t>
      </w:r>
      <w:bookmarkEnd w:id="171"/>
      <w:bookmarkEnd w:id="172"/>
      <w:bookmarkEnd w:id="173"/>
      <w:bookmarkEnd w:id="174"/>
      <w:bookmarkEnd w:id="175"/>
      <w:bookmarkEnd w:id="176"/>
      <w:r>
        <w:rPr>
          <w:rFonts w:hint="eastAsia" w:ascii="仿宋_GB2312" w:hAnsi="楷体" w:eastAsia="仿宋_GB2312"/>
          <w:b/>
          <w:color w:val="auto"/>
          <w:sz w:val="24"/>
          <w:highlight w:val="none"/>
        </w:rPr>
        <w:t>和保密义务</w:t>
      </w:r>
      <w:bookmarkEnd w:id="177"/>
      <w:bookmarkEnd w:id="178"/>
      <w:bookmarkEnd w:id="179"/>
    </w:p>
    <w:p w14:paraId="678A965F">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2.7.1 乙方有权依据合同约定和项目需要，向甲方了解有关情况，调阅有关资料等，甲方应予积极配合；</w:t>
      </w:r>
    </w:p>
    <w:p w14:paraId="6CFB1C8D">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2.7.2 乙方有义务妥善保管和保护由甲方提供的前款信息和资料等；</w:t>
      </w:r>
    </w:p>
    <w:p w14:paraId="6B3E7BA6">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4120C1DC">
      <w:pPr>
        <w:spacing w:line="360" w:lineRule="auto"/>
        <w:ind w:firstLine="482" w:firstLineChars="200"/>
        <w:rPr>
          <w:rFonts w:hint="eastAsia" w:ascii="仿宋_GB2312" w:hAnsi="楷体" w:eastAsia="仿宋_GB2312"/>
          <w:b/>
          <w:color w:val="auto"/>
          <w:sz w:val="24"/>
          <w:highlight w:val="none"/>
        </w:rPr>
      </w:pPr>
      <w:bookmarkStart w:id="180" w:name="_Toc7860"/>
      <w:r>
        <w:rPr>
          <w:rFonts w:hint="eastAsia" w:ascii="仿宋_GB2312" w:hAnsi="楷体" w:eastAsia="仿宋_GB2312"/>
          <w:b/>
          <w:color w:val="auto"/>
          <w:sz w:val="24"/>
          <w:highlight w:val="none"/>
        </w:rPr>
        <w:t>2.8 质量保证</w:t>
      </w:r>
      <w:bookmarkEnd w:id="180"/>
    </w:p>
    <w:p w14:paraId="19CA3805">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2.8.1 乙方应建立和完善履行合同的内部质量保证体系，并提供相关内部规章制度给甲方，以便甲方进行监督检查；</w:t>
      </w:r>
    </w:p>
    <w:p w14:paraId="1C895740">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2.8.2 乙方应保证履行合同的人员数量和素质、软件和硬件设备的配置、场地、环境和设施等满足全面履行合同的要求，并应接受甲方的监督检查。</w:t>
      </w:r>
    </w:p>
    <w:p w14:paraId="30135B0F">
      <w:pPr>
        <w:spacing w:line="360" w:lineRule="auto"/>
        <w:ind w:firstLine="480" w:firstLineChars="200"/>
        <w:rPr>
          <w:rFonts w:hint="eastAsia" w:ascii="仿宋_GB2312" w:hAnsi="仿宋" w:eastAsia="仿宋_GB2312" w:cs="仿宋_GB2312"/>
          <w:color w:val="auto"/>
          <w:kern w:val="0"/>
          <w:sz w:val="24"/>
          <w:highlight w:val="none"/>
        </w:rPr>
      </w:pPr>
      <w:r>
        <w:rPr>
          <w:rFonts w:hint="eastAsia" w:ascii="仿宋_GB2312" w:hAnsi="仿宋" w:eastAsia="仿宋_GB2312"/>
          <w:color w:val="auto"/>
          <w:sz w:val="24"/>
          <w:highlight w:val="none"/>
        </w:rPr>
        <w:t>2.8.3乙方应确保项目技术人员的数量和水平与响应文件一致。未经甲方书面同意，乙方不得擅自更换响应文件中注明的项目负责人和技术负责人。否则</w:t>
      </w:r>
      <w:r>
        <w:rPr>
          <w:rFonts w:hint="eastAsia" w:ascii="仿宋_GB2312" w:hAnsi="仿宋" w:eastAsia="仿宋_GB2312" w:cs="仿宋_GB2312"/>
          <w:color w:val="auto"/>
          <w:kern w:val="0"/>
          <w:sz w:val="24"/>
          <w:highlight w:val="none"/>
        </w:rPr>
        <w:t>甲方有权放弃或终止合同。</w:t>
      </w:r>
    </w:p>
    <w:p w14:paraId="4C66601F">
      <w:pPr>
        <w:spacing w:line="360" w:lineRule="auto"/>
        <w:ind w:firstLine="480" w:firstLineChars="200"/>
        <w:rPr>
          <w:rFonts w:hint="eastAsia" w:ascii="仿宋_GB2312" w:hAnsi="楷体" w:eastAsia="仿宋_GB2312"/>
          <w:color w:val="auto"/>
          <w:sz w:val="24"/>
          <w:highlight w:val="none"/>
        </w:rPr>
      </w:pPr>
      <w:r>
        <w:rPr>
          <w:rFonts w:hint="eastAsia" w:ascii="仿宋_GB2312" w:hAnsi="仿宋" w:eastAsia="仿宋_GB2312"/>
          <w:color w:val="auto"/>
          <w:sz w:val="24"/>
          <w:highlight w:val="none"/>
        </w:rPr>
        <w:t>2.8.4因乙方原因造成甲方其他系统不能正常运行，酿成重大事故（工作日系统中断一天以上）的，乙方应承担全部法律责任，并赔偿经济损失，赔偿金额为项目总价的</w:t>
      </w:r>
      <w:r>
        <w:rPr>
          <w:rFonts w:hint="eastAsia" w:ascii="仿宋_GB2312" w:hAnsi="仿宋" w:eastAsia="仿宋_GB2312"/>
          <w:color w:val="auto"/>
          <w:sz w:val="24"/>
          <w:highlight w:val="none"/>
          <w:u w:val="single"/>
        </w:rPr>
        <w:t>30%</w:t>
      </w:r>
      <w:r>
        <w:rPr>
          <w:rFonts w:hint="eastAsia" w:ascii="仿宋_GB2312" w:hAnsi="仿宋" w:eastAsia="仿宋_GB2312"/>
          <w:color w:val="auto"/>
          <w:sz w:val="24"/>
          <w:highlight w:val="none"/>
        </w:rPr>
        <w:t>（根据项目实际情况填写，一般为30%）。</w:t>
      </w:r>
    </w:p>
    <w:p w14:paraId="0F73DFB7">
      <w:pPr>
        <w:spacing w:line="360" w:lineRule="auto"/>
        <w:ind w:firstLine="482" w:firstLineChars="200"/>
        <w:rPr>
          <w:rFonts w:hint="eastAsia" w:ascii="仿宋_GB2312" w:hAnsi="楷体" w:eastAsia="仿宋_GB2312"/>
          <w:b/>
          <w:color w:val="auto"/>
          <w:sz w:val="24"/>
          <w:highlight w:val="none"/>
        </w:rPr>
      </w:pPr>
      <w:bookmarkStart w:id="181" w:name="_Toc17244"/>
      <w:bookmarkStart w:id="182" w:name="_Toc259093681"/>
      <w:bookmarkStart w:id="183" w:name="_Toc279701252"/>
      <w:bookmarkStart w:id="184" w:name="_Toc487900362"/>
      <w:r>
        <w:rPr>
          <w:rFonts w:hint="eastAsia" w:ascii="仿宋_GB2312" w:hAnsi="楷体" w:eastAsia="仿宋_GB2312"/>
          <w:b/>
          <w:color w:val="auto"/>
          <w:sz w:val="24"/>
          <w:highlight w:val="none"/>
        </w:rPr>
        <w:t>2.9 标的物的风险负担</w:t>
      </w:r>
      <w:bookmarkEnd w:id="181"/>
    </w:p>
    <w:p w14:paraId="2D7FDED9">
      <w:pPr>
        <w:spacing w:line="360" w:lineRule="auto"/>
        <w:ind w:firstLine="480" w:firstLineChars="200"/>
        <w:rPr>
          <w:rFonts w:hint="eastAsia" w:ascii="仿宋_GB2312" w:hAnsi="楷体" w:eastAsia="仿宋_GB2312"/>
          <w:b/>
          <w:color w:val="auto"/>
          <w:sz w:val="24"/>
          <w:highlight w:val="none"/>
        </w:rPr>
      </w:pPr>
      <w:r>
        <w:rPr>
          <w:rFonts w:hint="eastAsia" w:ascii="仿宋_GB2312" w:hAnsi="楷体" w:eastAsia="仿宋_GB2312"/>
          <w:color w:val="auto"/>
          <w:sz w:val="24"/>
          <w:highlight w:val="none"/>
        </w:rPr>
        <w:t>标的物或者在途标的物或者交付给第一承运人后的标的物毁损、灭失的风险负担详见</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w:t>
      </w:r>
    </w:p>
    <w:p w14:paraId="3CD1535C">
      <w:pPr>
        <w:spacing w:line="360" w:lineRule="auto"/>
        <w:ind w:firstLine="482" w:firstLineChars="200"/>
        <w:rPr>
          <w:rFonts w:hint="eastAsia" w:ascii="仿宋_GB2312" w:hAnsi="楷体" w:eastAsia="仿宋_GB2312"/>
          <w:b/>
          <w:color w:val="auto"/>
          <w:sz w:val="24"/>
          <w:highlight w:val="none"/>
        </w:rPr>
      </w:pPr>
      <w:bookmarkStart w:id="185" w:name="_Toc14055"/>
      <w:r>
        <w:rPr>
          <w:rFonts w:hint="eastAsia" w:ascii="仿宋_GB2312" w:hAnsi="楷体" w:eastAsia="仿宋_GB2312"/>
          <w:b/>
          <w:color w:val="auto"/>
          <w:sz w:val="24"/>
          <w:highlight w:val="none"/>
        </w:rPr>
        <w:t>2.10 延迟交货</w:t>
      </w:r>
      <w:bookmarkEnd w:id="182"/>
      <w:bookmarkEnd w:id="183"/>
      <w:bookmarkEnd w:id="184"/>
      <w:bookmarkEnd w:id="185"/>
      <w:r>
        <w:rPr>
          <w:rFonts w:hint="eastAsia" w:ascii="仿宋_GB2312" w:hAnsi="楷体" w:eastAsia="仿宋_GB2312"/>
          <w:b/>
          <w:color w:val="auto"/>
          <w:sz w:val="24"/>
          <w:highlight w:val="none"/>
        </w:rPr>
        <w:t>/交付</w:t>
      </w:r>
    </w:p>
    <w:p w14:paraId="074F9938">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14:paraId="6A086F6E">
      <w:pPr>
        <w:spacing w:line="360" w:lineRule="auto"/>
        <w:ind w:firstLine="482" w:firstLineChars="200"/>
        <w:rPr>
          <w:rFonts w:hint="eastAsia" w:ascii="仿宋_GB2312" w:hAnsi="楷体" w:eastAsia="仿宋_GB2312"/>
          <w:b/>
          <w:color w:val="auto"/>
          <w:sz w:val="24"/>
          <w:highlight w:val="none"/>
        </w:rPr>
      </w:pPr>
      <w:bookmarkStart w:id="186" w:name="_Toc7502"/>
      <w:bookmarkStart w:id="187" w:name="_Ref467378121"/>
      <w:bookmarkStart w:id="188" w:name="_Toc259093683"/>
      <w:bookmarkStart w:id="189" w:name="_Toc279701254"/>
      <w:bookmarkStart w:id="190" w:name="_Toc487900364"/>
      <w:r>
        <w:rPr>
          <w:rFonts w:hint="eastAsia" w:ascii="仿宋_GB2312" w:hAnsi="楷体" w:eastAsia="仿宋_GB2312"/>
          <w:b/>
          <w:color w:val="auto"/>
          <w:sz w:val="24"/>
          <w:highlight w:val="none"/>
        </w:rPr>
        <w:t>2.11 合同变更</w:t>
      </w:r>
      <w:bookmarkEnd w:id="186"/>
    </w:p>
    <w:p w14:paraId="23C98CE5">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27D27C38">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2.11.2 合同继续履行将损害国家利益和社会公共利益的，双方当事人应当以书面形式变更合同。有过错的一方应当承担赔偿责任，双方当事人都有过错的，各自承担相应的责任。</w:t>
      </w:r>
      <w:bookmarkStart w:id="191" w:name="_Toc259093688"/>
      <w:bookmarkStart w:id="192" w:name="_Toc279701259"/>
      <w:bookmarkStart w:id="193" w:name="_Toc487900369"/>
    </w:p>
    <w:p w14:paraId="163B0729">
      <w:pPr>
        <w:spacing w:line="360" w:lineRule="auto"/>
        <w:ind w:firstLine="482" w:firstLineChars="200"/>
        <w:rPr>
          <w:rFonts w:hint="eastAsia" w:ascii="仿宋_GB2312" w:hAnsi="楷体" w:eastAsia="仿宋_GB2312"/>
          <w:b/>
          <w:color w:val="auto"/>
          <w:sz w:val="24"/>
          <w:highlight w:val="none"/>
        </w:rPr>
      </w:pPr>
      <w:bookmarkStart w:id="194" w:name="_Toc22955"/>
      <w:bookmarkStart w:id="195" w:name="_Toc10366"/>
      <w:bookmarkStart w:id="196" w:name="_Toc15237"/>
      <w:r>
        <w:rPr>
          <w:rFonts w:hint="eastAsia" w:ascii="仿宋_GB2312" w:hAnsi="楷体" w:eastAsia="仿宋_GB2312"/>
          <w:b/>
          <w:color w:val="auto"/>
          <w:sz w:val="24"/>
          <w:highlight w:val="none"/>
        </w:rPr>
        <w:t>2.12 合同转让</w:t>
      </w:r>
      <w:bookmarkEnd w:id="191"/>
      <w:bookmarkEnd w:id="192"/>
      <w:bookmarkEnd w:id="193"/>
      <w:r>
        <w:rPr>
          <w:rFonts w:hint="eastAsia" w:ascii="仿宋_GB2312" w:hAnsi="楷体" w:eastAsia="仿宋_GB2312"/>
          <w:b/>
          <w:color w:val="auto"/>
          <w:sz w:val="24"/>
          <w:highlight w:val="none"/>
        </w:rPr>
        <w:t>和分包</w:t>
      </w:r>
      <w:bookmarkEnd w:id="194"/>
      <w:bookmarkEnd w:id="195"/>
      <w:bookmarkEnd w:id="196"/>
    </w:p>
    <w:p w14:paraId="5E6B704E">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1A59A6F4">
      <w:pPr>
        <w:spacing w:line="360" w:lineRule="auto"/>
        <w:ind w:firstLine="482" w:firstLineChars="200"/>
        <w:rPr>
          <w:rFonts w:hint="eastAsia" w:ascii="仿宋_GB2312" w:hAnsi="楷体" w:eastAsia="仿宋_GB2312"/>
          <w:b/>
          <w:color w:val="auto"/>
          <w:sz w:val="24"/>
          <w:highlight w:val="none"/>
        </w:rPr>
      </w:pPr>
      <w:bookmarkStart w:id="197" w:name="_Toc14066"/>
      <w:bookmarkStart w:id="198" w:name="_Toc16508"/>
      <w:bookmarkStart w:id="199" w:name="_Toc13566"/>
      <w:r>
        <w:rPr>
          <w:rFonts w:hint="eastAsia" w:ascii="仿宋_GB2312" w:hAnsi="楷体" w:eastAsia="仿宋_GB2312"/>
          <w:b/>
          <w:color w:val="auto"/>
          <w:sz w:val="24"/>
          <w:highlight w:val="none"/>
        </w:rPr>
        <w:t>2.13 不可抗力</w:t>
      </w:r>
      <w:bookmarkEnd w:id="197"/>
      <w:bookmarkEnd w:id="198"/>
      <w:bookmarkEnd w:id="199"/>
    </w:p>
    <w:p w14:paraId="1DE5892D">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2.13.1如果任何一方遭遇法律规定的不可抗力，致使合同履行受阻时，履行合同的期限应予延长，延长的期限应相当于不可抗力所影响的时间；</w:t>
      </w:r>
    </w:p>
    <w:p w14:paraId="52326EB0">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2.13.2受不可抗力影响的一方在不可抗力发生后，应在</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约定时间内以书面形式通知对方当事人，并在</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约定时间内，将有关部门出具的证明文件送达对方当事人。</w:t>
      </w:r>
    </w:p>
    <w:p w14:paraId="61C1DBAB">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2.13.3 因不可抗力致使不能实现合同目的的，当事人可以解除合同；</w:t>
      </w:r>
    </w:p>
    <w:p w14:paraId="7EF13909">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2.13.4 因不可抗力致使合同有变更必要的，双方当事人应在</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约定时间内以书面形式变更合同；</w:t>
      </w:r>
    </w:p>
    <w:p w14:paraId="6129F518">
      <w:pPr>
        <w:spacing w:line="360" w:lineRule="auto"/>
        <w:ind w:firstLine="482" w:firstLineChars="200"/>
        <w:rPr>
          <w:rFonts w:hint="eastAsia" w:ascii="仿宋_GB2312" w:hAnsi="楷体" w:eastAsia="仿宋_GB2312"/>
          <w:b/>
          <w:color w:val="auto"/>
          <w:sz w:val="24"/>
          <w:highlight w:val="none"/>
        </w:rPr>
      </w:pPr>
      <w:bookmarkStart w:id="200" w:name="_Toc259093684"/>
      <w:bookmarkStart w:id="201" w:name="_Toc6969"/>
      <w:bookmarkStart w:id="202" w:name="_Toc689"/>
      <w:bookmarkStart w:id="203" w:name="_Toc30676"/>
      <w:bookmarkStart w:id="204" w:name="_Toc487900365"/>
      <w:bookmarkStart w:id="205" w:name="_Toc279701255"/>
      <w:r>
        <w:rPr>
          <w:rFonts w:hint="eastAsia" w:ascii="仿宋_GB2312" w:hAnsi="楷体" w:eastAsia="仿宋_GB2312"/>
          <w:b/>
          <w:color w:val="auto"/>
          <w:sz w:val="24"/>
          <w:highlight w:val="none"/>
        </w:rPr>
        <w:t>2.14 税费</w:t>
      </w:r>
      <w:bookmarkEnd w:id="200"/>
      <w:bookmarkEnd w:id="201"/>
      <w:bookmarkEnd w:id="202"/>
      <w:bookmarkEnd w:id="203"/>
      <w:bookmarkEnd w:id="204"/>
      <w:bookmarkEnd w:id="205"/>
    </w:p>
    <w:p w14:paraId="6006AEE0">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与合同有关的一切税费，均按照中华人民共和国法律的相关规定执行。</w:t>
      </w:r>
    </w:p>
    <w:p w14:paraId="60F2008E">
      <w:pPr>
        <w:spacing w:line="360" w:lineRule="auto"/>
        <w:ind w:firstLine="482" w:firstLineChars="200"/>
        <w:rPr>
          <w:rFonts w:hint="eastAsia" w:ascii="仿宋_GB2312" w:hAnsi="楷体" w:eastAsia="仿宋_GB2312"/>
          <w:b/>
          <w:color w:val="auto"/>
          <w:sz w:val="24"/>
          <w:highlight w:val="none"/>
        </w:rPr>
      </w:pPr>
      <w:bookmarkStart w:id="206" w:name="_Toc259093687"/>
      <w:bookmarkStart w:id="207" w:name="_Toc16959"/>
      <w:bookmarkStart w:id="208" w:name="_Toc8298"/>
      <w:bookmarkStart w:id="209" w:name="_Toc7102"/>
      <w:bookmarkStart w:id="210" w:name="_Toc279701258"/>
      <w:bookmarkStart w:id="211" w:name="_Toc487900368"/>
      <w:r>
        <w:rPr>
          <w:rFonts w:hint="eastAsia" w:ascii="仿宋_GB2312" w:hAnsi="楷体" w:eastAsia="仿宋_GB2312"/>
          <w:b/>
          <w:color w:val="auto"/>
          <w:sz w:val="24"/>
          <w:highlight w:val="none"/>
        </w:rPr>
        <w:t>2.15 乙方破产</w:t>
      </w:r>
      <w:bookmarkEnd w:id="206"/>
      <w:bookmarkEnd w:id="207"/>
      <w:bookmarkEnd w:id="208"/>
      <w:bookmarkEnd w:id="209"/>
      <w:bookmarkEnd w:id="210"/>
      <w:bookmarkEnd w:id="211"/>
    </w:p>
    <w:p w14:paraId="63721F17">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024DBC3">
      <w:pPr>
        <w:spacing w:line="360" w:lineRule="auto"/>
        <w:ind w:firstLine="482" w:firstLineChars="200"/>
        <w:rPr>
          <w:rFonts w:hint="eastAsia" w:ascii="仿宋_GB2312" w:hAnsi="楷体" w:eastAsia="仿宋_GB2312"/>
          <w:b/>
          <w:color w:val="auto"/>
          <w:sz w:val="24"/>
          <w:highlight w:val="none"/>
        </w:rPr>
      </w:pPr>
      <w:bookmarkStart w:id="212" w:name="_Toc15387"/>
      <w:bookmarkStart w:id="213" w:name="_Toc29333"/>
      <w:bookmarkStart w:id="214" w:name="_Toc6134"/>
      <w:r>
        <w:rPr>
          <w:rFonts w:hint="eastAsia" w:ascii="仿宋_GB2312" w:hAnsi="楷体" w:eastAsia="仿宋_GB2312"/>
          <w:b/>
          <w:color w:val="auto"/>
          <w:sz w:val="24"/>
          <w:highlight w:val="none"/>
        </w:rPr>
        <w:t>2.16 合同中止、终止</w:t>
      </w:r>
      <w:bookmarkEnd w:id="212"/>
      <w:bookmarkEnd w:id="213"/>
      <w:bookmarkEnd w:id="214"/>
    </w:p>
    <w:p w14:paraId="40BABC63">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2.16.1 双方当事人不得擅自中止或者终止合同；</w:t>
      </w:r>
    </w:p>
    <w:p w14:paraId="61AF7CC7">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2.16.2合同继续履行将损害国家利益和社会公共利益的，双方当事人应当中止或者终止合同。有过错的一方应当承担赔偿责任，双方当事人都有过错的，各自承担相应的责任。</w:t>
      </w:r>
    </w:p>
    <w:p w14:paraId="1DBC2996">
      <w:pPr>
        <w:spacing w:line="360" w:lineRule="auto"/>
        <w:ind w:firstLine="482" w:firstLineChars="200"/>
        <w:rPr>
          <w:rFonts w:hint="eastAsia" w:ascii="仿宋_GB2312" w:hAnsi="楷体" w:eastAsia="仿宋_GB2312"/>
          <w:b/>
          <w:color w:val="auto"/>
          <w:sz w:val="24"/>
          <w:highlight w:val="none"/>
        </w:rPr>
      </w:pPr>
      <w:bookmarkStart w:id="215" w:name="_Toc6596"/>
      <w:bookmarkStart w:id="216" w:name="_Toc14563"/>
      <w:bookmarkStart w:id="217" w:name="_Toc1125"/>
      <w:r>
        <w:rPr>
          <w:rFonts w:hint="eastAsia" w:ascii="仿宋_GB2312" w:hAnsi="楷体" w:eastAsia="仿宋_GB2312"/>
          <w:b/>
          <w:color w:val="auto"/>
          <w:sz w:val="24"/>
          <w:highlight w:val="none"/>
        </w:rPr>
        <w:t>2.17 检验和验收</w:t>
      </w:r>
      <w:bookmarkEnd w:id="215"/>
      <w:bookmarkEnd w:id="216"/>
      <w:bookmarkEnd w:id="217"/>
    </w:p>
    <w:p w14:paraId="3B72C981">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2.17.1标的物交付前，乙方应对标的物的质量、数量等方面进行详细、全面的检验，并向甲方出具证明标的物符合合同约定的文件；标的物交付时，乙方在</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约定时间内组织验收，并可依法邀请相关方参加，验收应出具验收书。</w:t>
      </w:r>
    </w:p>
    <w:p w14:paraId="5861E5A8">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0A145214">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2.17.3 检验和验收标准、程序等具体内容以及前述验收书的效力详见</w:t>
      </w:r>
      <w:r>
        <w:rPr>
          <w:rFonts w:hint="eastAsia" w:ascii="仿宋_GB2312" w:hAnsi="楷体" w:eastAsia="仿宋_GB2312"/>
          <w:b/>
          <w:i/>
          <w:color w:val="auto"/>
          <w:sz w:val="24"/>
          <w:highlight w:val="none"/>
          <w:u w:val="single"/>
        </w:rPr>
        <w:t>合同专用条款</w:t>
      </w:r>
      <w:r>
        <w:rPr>
          <w:rFonts w:hint="eastAsia" w:ascii="仿宋_GB2312" w:hAnsi="楷体" w:eastAsia="仿宋_GB2312"/>
          <w:i/>
          <w:color w:val="auto"/>
          <w:sz w:val="24"/>
          <w:highlight w:val="none"/>
        </w:rPr>
        <w:t>。</w:t>
      </w:r>
    </w:p>
    <w:bookmarkEnd w:id="187"/>
    <w:bookmarkEnd w:id="188"/>
    <w:bookmarkEnd w:id="189"/>
    <w:bookmarkEnd w:id="190"/>
    <w:p w14:paraId="1B40BAE0">
      <w:pPr>
        <w:spacing w:line="360" w:lineRule="auto"/>
        <w:ind w:firstLine="482" w:firstLineChars="200"/>
        <w:rPr>
          <w:rFonts w:hint="eastAsia" w:ascii="仿宋_GB2312" w:hAnsi="楷体" w:eastAsia="仿宋_GB2312"/>
          <w:b/>
          <w:color w:val="auto"/>
          <w:sz w:val="24"/>
          <w:highlight w:val="none"/>
        </w:rPr>
      </w:pPr>
      <w:bookmarkStart w:id="218" w:name="_Toc259093690"/>
      <w:bookmarkStart w:id="219" w:name="_Toc279701261"/>
      <w:bookmarkStart w:id="220" w:name="_Toc487900371"/>
      <w:bookmarkStart w:id="221" w:name="_Toc11284"/>
      <w:bookmarkStart w:id="222" w:name="_Toc19604"/>
      <w:bookmarkStart w:id="223" w:name="_Toc25182"/>
      <w:r>
        <w:rPr>
          <w:rFonts w:hint="eastAsia" w:ascii="仿宋_GB2312" w:hAnsi="楷体" w:eastAsia="仿宋_GB2312"/>
          <w:b/>
          <w:color w:val="auto"/>
          <w:sz w:val="24"/>
          <w:highlight w:val="none"/>
        </w:rPr>
        <w:t>2.18 通知</w:t>
      </w:r>
      <w:bookmarkEnd w:id="218"/>
      <w:bookmarkEnd w:id="219"/>
      <w:bookmarkEnd w:id="220"/>
      <w:r>
        <w:rPr>
          <w:rFonts w:hint="eastAsia" w:ascii="仿宋_GB2312" w:hAnsi="楷体" w:eastAsia="仿宋_GB2312"/>
          <w:b/>
          <w:color w:val="auto"/>
          <w:sz w:val="24"/>
          <w:highlight w:val="none"/>
        </w:rPr>
        <w:t>和送达</w:t>
      </w:r>
      <w:bookmarkEnd w:id="221"/>
      <w:bookmarkEnd w:id="222"/>
      <w:bookmarkEnd w:id="223"/>
    </w:p>
    <w:p w14:paraId="2D79D392">
      <w:pPr>
        <w:spacing w:line="360" w:lineRule="auto"/>
        <w:ind w:firstLine="480" w:firstLineChars="200"/>
        <w:rPr>
          <w:rFonts w:hint="eastAsia" w:ascii="仿宋_GB2312" w:hAnsi="楷体" w:eastAsia="仿宋_GB2312"/>
          <w:color w:val="auto"/>
          <w:sz w:val="24"/>
          <w:highlight w:val="none"/>
        </w:rPr>
      </w:pPr>
      <w:bookmarkStart w:id="224" w:name="_Toc6698"/>
      <w:bookmarkStart w:id="225" w:name="_Toc3135"/>
      <w:bookmarkStart w:id="226" w:name="_Toc259093691"/>
      <w:bookmarkStart w:id="227" w:name="_Toc487900372"/>
      <w:bookmarkStart w:id="228" w:name="_Toc279701262"/>
      <w:r>
        <w:rPr>
          <w:rFonts w:hint="eastAsia" w:ascii="仿宋_GB2312" w:hAnsi="楷体" w:eastAsia="仿宋_GB2312"/>
          <w:color w:val="auto"/>
          <w:sz w:val="24"/>
          <w:highlight w:val="none"/>
        </w:rPr>
        <w:t>2.18.1 任何一方因履行合同而以合同第一部分尾部所列明的</w:t>
      </w:r>
      <w:r>
        <w:rPr>
          <w:rFonts w:hint="eastAsia" w:ascii="仿宋_GB2312" w:hAnsi="楷体" w:eastAsia="仿宋_GB2312"/>
          <w:color w:val="auto"/>
          <w:sz w:val="24"/>
          <w:highlight w:val="none"/>
          <w:u w:val="single"/>
        </w:rPr>
        <w:t>“约定送达地址”</w:t>
      </w:r>
      <w:r>
        <w:rPr>
          <w:rFonts w:hint="eastAsia" w:ascii="仿宋_GB2312" w:hAnsi="楷体" w:eastAsia="仿宋_GB2312"/>
          <w:color w:val="auto"/>
          <w:sz w:val="24"/>
          <w:highlight w:val="none"/>
        </w:rPr>
        <w:t>为收件地址的所有通知、文件、材料，均视为已向对方当事人送达；任何一方变更上述送达方式或者地址的，应于</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个工作日内（根据项目实际填写）书面通知对方当事人，在对方当事人收到有关变更通知之前，变更前的约定送达方式或者地址仍视为有效。</w:t>
      </w:r>
      <w:bookmarkEnd w:id="224"/>
      <w:bookmarkEnd w:id="225"/>
    </w:p>
    <w:p w14:paraId="3F6098A7">
      <w:pPr>
        <w:spacing w:line="360" w:lineRule="auto"/>
        <w:ind w:firstLine="480" w:firstLineChars="200"/>
        <w:rPr>
          <w:rFonts w:hint="eastAsia" w:ascii="仿宋_GB2312" w:hAnsi="楷体" w:eastAsia="仿宋_GB2312"/>
          <w:color w:val="auto"/>
          <w:sz w:val="24"/>
          <w:highlight w:val="none"/>
        </w:rPr>
      </w:pPr>
      <w:bookmarkStart w:id="229" w:name="_Toc23128"/>
      <w:bookmarkStart w:id="230" w:name="_Toc23294"/>
      <w:r>
        <w:rPr>
          <w:rFonts w:hint="eastAsia" w:ascii="仿宋_GB2312" w:hAnsi="楷体" w:eastAsia="仿宋_GB2312"/>
          <w:color w:val="auto"/>
          <w:sz w:val="24"/>
          <w:highlight w:val="none"/>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29"/>
      <w:bookmarkEnd w:id="230"/>
    </w:p>
    <w:p w14:paraId="7C4FAD0E">
      <w:pPr>
        <w:spacing w:line="360" w:lineRule="auto"/>
        <w:ind w:firstLine="482" w:firstLineChars="200"/>
        <w:rPr>
          <w:rFonts w:hint="eastAsia" w:ascii="仿宋_GB2312" w:hAnsi="楷体" w:eastAsia="仿宋_GB2312"/>
          <w:b/>
          <w:color w:val="auto"/>
          <w:sz w:val="24"/>
          <w:highlight w:val="none"/>
        </w:rPr>
      </w:pPr>
      <w:bookmarkStart w:id="231" w:name="_Toc18540"/>
      <w:bookmarkStart w:id="232" w:name="_Toc4355"/>
      <w:bookmarkStart w:id="233" w:name="_Toc30599"/>
      <w:r>
        <w:rPr>
          <w:rFonts w:hint="eastAsia" w:ascii="仿宋_GB2312" w:hAnsi="楷体" w:eastAsia="仿宋_GB2312"/>
          <w:b/>
          <w:color w:val="auto"/>
          <w:sz w:val="24"/>
          <w:highlight w:val="none"/>
        </w:rPr>
        <w:t>2.19 计量单位</w:t>
      </w:r>
      <w:bookmarkEnd w:id="226"/>
      <w:bookmarkEnd w:id="227"/>
      <w:bookmarkEnd w:id="228"/>
      <w:bookmarkEnd w:id="231"/>
      <w:bookmarkEnd w:id="232"/>
      <w:bookmarkEnd w:id="233"/>
    </w:p>
    <w:p w14:paraId="388E6652">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除技术规范中另有规定外,合同的计量单位均使用国家法定计量单位。</w:t>
      </w:r>
    </w:p>
    <w:p w14:paraId="0F8F403C">
      <w:pPr>
        <w:spacing w:line="360" w:lineRule="auto"/>
        <w:ind w:firstLine="482" w:firstLineChars="200"/>
        <w:rPr>
          <w:rFonts w:hint="eastAsia" w:ascii="仿宋_GB2312" w:hAnsi="楷体" w:eastAsia="仿宋_GB2312"/>
          <w:b/>
          <w:color w:val="auto"/>
          <w:sz w:val="24"/>
          <w:highlight w:val="none"/>
        </w:rPr>
      </w:pPr>
      <w:bookmarkStart w:id="234" w:name="_Toc12773"/>
      <w:bookmarkStart w:id="235" w:name="_Toc259093692"/>
      <w:bookmarkStart w:id="236" w:name="_Toc279701263"/>
      <w:bookmarkStart w:id="237" w:name="_Toc10330"/>
      <w:bookmarkStart w:id="238" w:name="_Toc18567"/>
      <w:bookmarkStart w:id="239" w:name="_Toc487900373"/>
      <w:r>
        <w:rPr>
          <w:rFonts w:hint="eastAsia" w:ascii="仿宋_GB2312" w:hAnsi="楷体" w:eastAsia="仿宋_GB2312"/>
          <w:b/>
          <w:color w:val="auto"/>
          <w:sz w:val="24"/>
          <w:highlight w:val="none"/>
        </w:rPr>
        <w:t>2.20 合同使用的文字和适用的法律</w:t>
      </w:r>
      <w:bookmarkEnd w:id="234"/>
      <w:bookmarkEnd w:id="235"/>
      <w:bookmarkEnd w:id="236"/>
      <w:bookmarkEnd w:id="237"/>
      <w:bookmarkEnd w:id="238"/>
      <w:bookmarkEnd w:id="239"/>
    </w:p>
    <w:p w14:paraId="624F4E82">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2.20.1 合同使用汉语书就、变更和解释；</w:t>
      </w:r>
    </w:p>
    <w:p w14:paraId="2135FF9B">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2.20.2 合同适用中华人民共和国法律。</w:t>
      </w:r>
    </w:p>
    <w:p w14:paraId="2C0D0BD7">
      <w:pPr>
        <w:spacing w:line="360" w:lineRule="auto"/>
        <w:ind w:firstLine="482" w:firstLineChars="200"/>
        <w:rPr>
          <w:rFonts w:hint="eastAsia" w:ascii="仿宋_GB2312" w:hAnsi="楷体" w:eastAsia="仿宋_GB2312"/>
          <w:b/>
          <w:color w:val="auto"/>
          <w:sz w:val="24"/>
          <w:highlight w:val="none"/>
        </w:rPr>
      </w:pPr>
      <w:bookmarkStart w:id="240" w:name="_Toc16673"/>
      <w:bookmarkStart w:id="241" w:name="_Toc12004"/>
      <w:bookmarkStart w:id="242" w:name="_Toc259093693"/>
      <w:bookmarkStart w:id="243" w:name="_Toc279701264"/>
      <w:bookmarkStart w:id="244" w:name="_Toc3148"/>
      <w:bookmarkStart w:id="245" w:name="_Toc487900374"/>
      <w:r>
        <w:rPr>
          <w:rFonts w:hint="eastAsia" w:ascii="仿宋_GB2312" w:hAnsi="楷体" w:eastAsia="仿宋_GB2312"/>
          <w:b/>
          <w:color w:val="auto"/>
          <w:sz w:val="24"/>
          <w:highlight w:val="none"/>
        </w:rPr>
        <w:t>2.21 履约保证金</w:t>
      </w:r>
      <w:bookmarkEnd w:id="240"/>
      <w:bookmarkEnd w:id="241"/>
      <w:bookmarkEnd w:id="242"/>
      <w:bookmarkEnd w:id="243"/>
      <w:bookmarkEnd w:id="244"/>
    </w:p>
    <w:p w14:paraId="2ED122DA">
      <w:pPr>
        <w:spacing w:line="360" w:lineRule="auto"/>
        <w:ind w:firstLine="480" w:firstLineChars="200"/>
        <w:rPr>
          <w:rFonts w:hint="eastAsia" w:ascii="仿宋_GB2312" w:hAnsi="仿宋" w:eastAsia="仿宋_GB2312" w:cs="Arial"/>
          <w:snapToGrid w:val="0"/>
          <w:color w:val="auto"/>
          <w:kern w:val="0"/>
          <w:sz w:val="24"/>
          <w:highlight w:val="none"/>
        </w:rPr>
      </w:pPr>
      <w:r>
        <w:rPr>
          <w:rFonts w:hint="eastAsia" w:ascii="仿宋_GB2312" w:hAnsi="楷体" w:eastAsia="仿宋_GB2312"/>
          <w:color w:val="auto"/>
          <w:sz w:val="24"/>
          <w:highlight w:val="none"/>
        </w:rPr>
        <w:t>本项目不收取履约保证金</w:t>
      </w:r>
    </w:p>
    <w:p w14:paraId="2F02C215">
      <w:pPr>
        <w:spacing w:line="360" w:lineRule="auto"/>
        <w:ind w:firstLine="482" w:firstLineChars="200"/>
        <w:rPr>
          <w:rFonts w:hint="eastAsia" w:ascii="仿宋_GB2312" w:hAnsi="仿宋" w:eastAsia="仿宋_GB2312"/>
          <w:color w:val="auto"/>
          <w:kern w:val="0"/>
          <w:sz w:val="24"/>
          <w:highlight w:val="none"/>
          <w:lang w:val="zh-CN"/>
        </w:rPr>
      </w:pPr>
      <w:r>
        <w:rPr>
          <w:rFonts w:hint="eastAsia" w:ascii="仿宋_GB2312" w:hAnsi="楷体" w:eastAsia="仿宋_GB2312"/>
          <w:b/>
          <w:color w:val="auto"/>
          <w:sz w:val="24"/>
          <w:highlight w:val="none"/>
        </w:rPr>
        <w:t>2.22 中小企业政策</w:t>
      </w:r>
    </w:p>
    <w:p w14:paraId="62A4896D">
      <w:pPr>
        <w:spacing w:line="360" w:lineRule="auto"/>
        <w:ind w:firstLine="480" w:firstLineChars="200"/>
        <w:rPr>
          <w:rFonts w:hint="eastAsia" w:ascii="仿宋_GB2312" w:hAnsi="仿宋" w:eastAsia="仿宋_GB2312"/>
          <w:color w:val="auto"/>
          <w:kern w:val="0"/>
          <w:sz w:val="24"/>
          <w:highlight w:val="none"/>
          <w:lang w:val="zh-CN"/>
        </w:rPr>
      </w:pPr>
      <w:r>
        <w:rPr>
          <w:rFonts w:hint="eastAsia" w:ascii="仿宋_GB2312" w:hAnsi="仿宋" w:eastAsia="仿宋_GB2312"/>
          <w:color w:val="auto"/>
          <w:kern w:val="0"/>
          <w:sz w:val="24"/>
          <w:highlight w:val="none"/>
          <w:lang w:val="zh-CN"/>
        </w:rPr>
        <w:t>2.22.1本合同（□是  □否）为中小企业“政采贷”可融资合同，关于中小企业信用融资事项见采购文件“供应商须知正文”。</w:t>
      </w:r>
    </w:p>
    <w:p w14:paraId="4B9F7B12">
      <w:pPr>
        <w:spacing w:line="360" w:lineRule="auto"/>
        <w:ind w:firstLine="480" w:firstLineChars="200"/>
        <w:rPr>
          <w:rFonts w:hint="eastAsia" w:ascii="仿宋_GB2312" w:hAnsi="仿宋" w:eastAsia="仿宋_GB2312"/>
          <w:color w:val="auto"/>
          <w:kern w:val="0"/>
          <w:sz w:val="24"/>
          <w:highlight w:val="none"/>
          <w:lang w:val="zh-CN"/>
        </w:rPr>
      </w:pPr>
      <w:r>
        <w:rPr>
          <w:rFonts w:hint="eastAsia" w:ascii="仿宋_GB2312" w:hAnsi="仿宋" w:eastAsia="仿宋_GB2312"/>
          <w:color w:val="auto"/>
          <w:kern w:val="0"/>
          <w:sz w:val="24"/>
          <w:highlight w:val="none"/>
          <w:lang w:val="zh-CN"/>
        </w:rPr>
        <w:t>2.22.2本合同（☑是  □否）为中小企业预留合同。</w:t>
      </w:r>
    </w:p>
    <w:bookmarkEnd w:id="245"/>
    <w:p w14:paraId="38B66E23">
      <w:pPr>
        <w:spacing w:line="360" w:lineRule="auto"/>
        <w:ind w:firstLine="482" w:firstLineChars="200"/>
        <w:rPr>
          <w:rFonts w:hint="eastAsia" w:ascii="仿宋_GB2312" w:hAnsi="楷体" w:eastAsia="仿宋_GB2312"/>
          <w:b/>
          <w:color w:val="auto"/>
          <w:sz w:val="24"/>
          <w:highlight w:val="none"/>
        </w:rPr>
      </w:pPr>
      <w:bookmarkStart w:id="246" w:name="_Toc14001"/>
      <w:bookmarkStart w:id="247" w:name="_Toc6885"/>
      <w:bookmarkStart w:id="248" w:name="_Toc19890"/>
      <w:r>
        <w:rPr>
          <w:rFonts w:hint="eastAsia" w:ascii="仿宋_GB2312" w:hAnsi="楷体" w:eastAsia="仿宋_GB2312"/>
          <w:b/>
          <w:color w:val="auto"/>
          <w:sz w:val="24"/>
          <w:highlight w:val="none"/>
        </w:rPr>
        <w:t>2.23 合同份数</w:t>
      </w:r>
      <w:bookmarkEnd w:id="246"/>
      <w:bookmarkEnd w:id="247"/>
      <w:bookmarkEnd w:id="248"/>
    </w:p>
    <w:p w14:paraId="2FBDD085">
      <w:pPr>
        <w:spacing w:line="360" w:lineRule="auto"/>
        <w:ind w:firstLine="480" w:firstLineChars="200"/>
        <w:rPr>
          <w:rFonts w:hint="eastAsia" w:ascii="仿宋_GB2312" w:hAnsi="楷体" w:eastAsia="仿宋_GB2312"/>
          <w:color w:val="auto"/>
          <w:sz w:val="24"/>
          <w:highlight w:val="none"/>
        </w:rPr>
      </w:pPr>
      <w:r>
        <w:rPr>
          <w:rFonts w:hint="eastAsia" w:ascii="仿宋_GB2312" w:hAnsi="宋体" w:eastAsia="仿宋_GB2312"/>
          <w:color w:val="auto"/>
          <w:sz w:val="24"/>
          <w:highlight w:val="none"/>
        </w:rPr>
        <w:t>本合同壹式</w:t>
      </w:r>
      <w:r>
        <w:rPr>
          <w:rFonts w:hint="eastAsia" w:ascii="仿宋_GB2312" w:hAnsi="宋体" w:eastAsia="仿宋_GB2312"/>
          <w:color w:val="auto"/>
          <w:sz w:val="24"/>
          <w:highlight w:val="none"/>
          <w:u w:val="single"/>
        </w:rPr>
        <w:t xml:space="preserve">  </w:t>
      </w:r>
      <w:r>
        <w:rPr>
          <w:rFonts w:hint="eastAsia" w:ascii="仿宋_GB2312" w:hAnsi="仿宋" w:eastAsia="仿宋_GB2312"/>
          <w:color w:val="auto"/>
          <w:sz w:val="24"/>
          <w:highlight w:val="none"/>
          <w:u w:val="single"/>
        </w:rPr>
        <w:t xml:space="preserve"> </w:t>
      </w:r>
      <w:r>
        <w:rPr>
          <w:rFonts w:hint="eastAsia" w:ascii="仿宋_GB2312" w:hAnsi="宋体" w:eastAsia="仿宋_GB2312"/>
          <w:color w:val="auto"/>
          <w:sz w:val="24"/>
          <w:highlight w:val="none"/>
        </w:rPr>
        <w:t>份，甲方执</w:t>
      </w:r>
      <w:r>
        <w:rPr>
          <w:rFonts w:hint="eastAsia" w:ascii="仿宋_GB2312" w:hAnsi="宋体" w:eastAsia="仿宋_GB2312"/>
          <w:color w:val="auto"/>
          <w:sz w:val="24"/>
          <w:highlight w:val="none"/>
          <w:u w:val="single"/>
        </w:rPr>
        <w:t xml:space="preserve">  </w:t>
      </w:r>
      <w:r>
        <w:rPr>
          <w:rFonts w:hint="eastAsia" w:ascii="仿宋_GB2312" w:hAnsi="仿宋" w:eastAsia="仿宋_GB2312"/>
          <w:color w:val="auto"/>
          <w:sz w:val="24"/>
          <w:highlight w:val="none"/>
          <w:u w:val="single"/>
        </w:rPr>
        <w:t xml:space="preserve"> </w:t>
      </w:r>
      <w:r>
        <w:rPr>
          <w:rFonts w:hint="eastAsia" w:ascii="仿宋_GB2312" w:hAnsi="宋体" w:eastAsia="仿宋_GB2312"/>
          <w:color w:val="auto"/>
          <w:sz w:val="24"/>
          <w:highlight w:val="none"/>
        </w:rPr>
        <w:t>份，乙方执</w:t>
      </w:r>
      <w:r>
        <w:rPr>
          <w:rFonts w:hint="eastAsia" w:ascii="仿宋_GB2312" w:hAnsi="仿宋" w:eastAsia="仿宋_GB2312"/>
          <w:color w:val="auto"/>
          <w:sz w:val="24"/>
          <w:highlight w:val="none"/>
          <w:u w:val="single"/>
        </w:rPr>
        <w:t xml:space="preserve">  </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份。</w:t>
      </w:r>
      <w:r>
        <w:rPr>
          <w:rFonts w:hint="eastAsia" w:ascii="仿宋_GB2312" w:hAnsi="楷体" w:eastAsia="仿宋_GB2312"/>
          <w:color w:val="auto"/>
          <w:sz w:val="24"/>
          <w:highlight w:val="none"/>
        </w:rPr>
        <w:t>每份均具有同等法律效力。</w:t>
      </w:r>
    </w:p>
    <w:p w14:paraId="73BDA05F">
      <w:pPr>
        <w:jc w:val="center"/>
        <w:outlineLvl w:val="1"/>
        <w:rPr>
          <w:rFonts w:hint="eastAsia" w:ascii="仿宋_GB2312" w:hAnsi="楷体" w:eastAsia="仿宋_GB2312"/>
          <w:b/>
          <w:color w:val="auto"/>
          <w:sz w:val="28"/>
          <w:szCs w:val="28"/>
          <w:highlight w:val="none"/>
        </w:rPr>
      </w:pPr>
      <w:r>
        <w:rPr>
          <w:rFonts w:hint="eastAsia" w:ascii="仿宋_GB2312" w:hAnsi="楷体" w:eastAsia="仿宋_GB2312"/>
          <w:color w:val="auto"/>
          <w:highlight w:val="none"/>
        </w:rPr>
        <w:br w:type="page"/>
      </w:r>
      <w:bookmarkStart w:id="249" w:name="_Toc80205946"/>
      <w:bookmarkStart w:id="250" w:name="_Toc331685784"/>
      <w:bookmarkStart w:id="251" w:name="_Toc11028"/>
      <w:r>
        <w:rPr>
          <w:rFonts w:hint="eastAsia" w:ascii="仿宋_GB2312" w:hAnsi="楷体" w:eastAsia="仿宋_GB2312"/>
          <w:b/>
          <w:color w:val="auto"/>
          <w:sz w:val="28"/>
          <w:szCs w:val="28"/>
          <w:highlight w:val="none"/>
        </w:rPr>
        <w:t>第三部分  合同专用条款</w:t>
      </w:r>
      <w:bookmarkEnd w:id="249"/>
      <w:bookmarkEnd w:id="250"/>
      <w:bookmarkEnd w:id="251"/>
    </w:p>
    <w:p w14:paraId="46E72EE9">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p w14:paraId="00C2B451">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3.1具有知识产权的标的物知识产权归属：</w:t>
      </w:r>
    </w:p>
    <w:p w14:paraId="1D802938">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u w:val="single"/>
        </w:rPr>
        <w:t>甲方</w:t>
      </w:r>
    </w:p>
    <w:p w14:paraId="73CC1E63">
      <w:pPr>
        <w:spacing w:line="360" w:lineRule="auto"/>
        <w:ind w:firstLine="480" w:firstLineChars="200"/>
        <w:rPr>
          <w:rFonts w:hint="eastAsia" w:ascii="仿宋_GB2312" w:hAnsi="楷体" w:eastAsia="仿宋_GB2312"/>
          <w:color w:val="auto"/>
          <w:sz w:val="24"/>
          <w:highlight w:val="none"/>
        </w:rPr>
      </w:pPr>
    </w:p>
    <w:p w14:paraId="75DB0B66">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3.2包装和装运专用条款（如果有）：</w:t>
      </w:r>
    </w:p>
    <w:p w14:paraId="1D5A021C">
      <w:pPr>
        <w:spacing w:line="360" w:lineRule="auto"/>
        <w:ind w:firstLine="480" w:firstLineChars="200"/>
        <w:rPr>
          <w:rFonts w:hint="eastAsia" w:ascii="仿宋_GB2312" w:hAnsi="楷体" w:eastAsia="仿宋_GB2312"/>
          <w:color w:val="auto"/>
          <w:sz w:val="24"/>
          <w:highlight w:val="none"/>
          <w:u w:val="single"/>
        </w:rPr>
      </w:pPr>
    </w:p>
    <w:p w14:paraId="690D661E">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3.3装运标的物的要求和通知：</w:t>
      </w:r>
    </w:p>
    <w:p w14:paraId="02147748">
      <w:pPr>
        <w:spacing w:line="360" w:lineRule="auto"/>
        <w:ind w:firstLine="480" w:firstLineChars="200"/>
        <w:rPr>
          <w:rFonts w:hint="eastAsia" w:ascii="仿宋_GB2312" w:hAnsi="楷体" w:eastAsia="仿宋_GB2312"/>
          <w:color w:val="auto"/>
          <w:sz w:val="24"/>
          <w:highlight w:val="none"/>
          <w:u w:val="single"/>
        </w:rPr>
      </w:pPr>
    </w:p>
    <w:p w14:paraId="040CA538">
      <w:pPr>
        <w:spacing w:line="360" w:lineRule="auto"/>
        <w:ind w:firstLine="480" w:firstLineChars="200"/>
        <w:rPr>
          <w:rFonts w:hint="eastAsia" w:ascii="仿宋_GB2312" w:hAnsi="楷体" w:eastAsia="仿宋_GB2312"/>
          <w:b/>
          <w:color w:val="auto"/>
          <w:sz w:val="24"/>
          <w:highlight w:val="none"/>
        </w:rPr>
      </w:pPr>
      <w:r>
        <w:rPr>
          <w:rFonts w:hint="eastAsia" w:ascii="仿宋_GB2312" w:hAnsi="楷体" w:eastAsia="仿宋_GB2312"/>
          <w:color w:val="auto"/>
          <w:sz w:val="24"/>
          <w:highlight w:val="none"/>
        </w:rPr>
        <w:t>3.4</w:t>
      </w:r>
      <w:r>
        <w:rPr>
          <w:rFonts w:hint="eastAsia" w:ascii="仿宋_GB2312" w:hAnsi="楷体" w:eastAsia="仿宋_GB2312"/>
          <w:b/>
          <w:color w:val="auto"/>
          <w:sz w:val="24"/>
          <w:highlight w:val="none"/>
        </w:rPr>
        <w:t>结算方式和付款条件</w:t>
      </w:r>
    </w:p>
    <w:p w14:paraId="114EB19F">
      <w:pPr>
        <w:spacing w:line="360" w:lineRule="auto"/>
        <w:ind w:firstLine="480" w:firstLineChars="200"/>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本次项目合同总价为大写人民币</w:t>
      </w:r>
      <w:r>
        <w:rPr>
          <w:rFonts w:hint="eastAsia" w:ascii="仿宋_GB2312" w:hAnsi="仿宋_GB2312" w:eastAsia="仿宋_GB2312" w:cs="仿宋_GB2312"/>
          <w:color w:val="auto"/>
          <w:kern w:val="0"/>
          <w:sz w:val="24"/>
          <w:highlight w:val="none"/>
          <w:u w:val="single"/>
          <w:lang w:val="zh-CN"/>
        </w:rPr>
        <w:t xml:space="preserve">            （</w:t>
      </w:r>
      <w:r>
        <w:rPr>
          <w:rFonts w:hint="eastAsia" w:ascii="仿宋_GB2312" w:hAnsi="仿宋_GB2312" w:eastAsia="仿宋_GB2312" w:cs="仿宋_GB2312"/>
          <w:color w:val="auto"/>
          <w:kern w:val="0"/>
          <w:sz w:val="24"/>
          <w:highlight w:val="none"/>
          <w:lang w:val="zh-CN"/>
        </w:rPr>
        <w:t>￥    元）。本项目采用以下勾选结算方式进行支付：</w:t>
      </w:r>
    </w:p>
    <w:p w14:paraId="1C51D4F8">
      <w:pPr>
        <w:spacing w:line="360" w:lineRule="auto"/>
        <w:ind w:firstLine="480" w:firstLineChars="200"/>
        <w:rPr>
          <w:rFonts w:ascii="仿宋_GB2312" w:eastAsia="仿宋_GB2312" w:cs="仿宋_GB2312"/>
          <w:color w:val="auto"/>
          <w:kern w:val="0"/>
          <w:sz w:val="24"/>
          <w:highlight w:val="none"/>
          <w:u w:val="single"/>
        </w:rPr>
      </w:pPr>
      <w:r>
        <w:rPr>
          <w:rFonts w:hint="eastAsia" w:ascii="仿宋_GB2312" w:eastAsia="仿宋_GB2312" w:cs="仿宋_GB2312"/>
          <w:color w:val="auto"/>
          <w:kern w:val="0"/>
          <w:sz w:val="24"/>
          <w:highlight w:val="none"/>
          <w:lang w:val="zh-CN"/>
        </w:rPr>
        <w:t>□采用一次性支付方式，付款条件为：</w:t>
      </w:r>
      <w:r>
        <w:rPr>
          <w:rFonts w:hint="eastAsia" w:ascii="仿宋_GB2312" w:eastAsia="仿宋_GB2312" w:cs="仿宋_GB2312"/>
          <w:color w:val="auto"/>
          <w:kern w:val="0"/>
          <w:sz w:val="24"/>
          <w:highlight w:val="none"/>
          <w:u w:val="single"/>
        </w:rPr>
        <w:t xml:space="preserve">           </w:t>
      </w:r>
    </w:p>
    <w:p w14:paraId="48D908AA">
      <w:pPr>
        <w:spacing w:line="360" w:lineRule="auto"/>
        <w:ind w:firstLine="480" w:firstLineChars="200"/>
        <w:rPr>
          <w:rFonts w:ascii="仿宋_GB2312" w:eastAsia="仿宋_GB2312" w:cs="仿宋_GB2312"/>
          <w:color w:val="auto"/>
          <w:kern w:val="0"/>
          <w:sz w:val="24"/>
          <w:highlight w:val="none"/>
        </w:rPr>
      </w:pPr>
      <w:r>
        <w:rPr>
          <w:rFonts w:hint="eastAsia" w:ascii="仿宋_GB2312" w:hAnsi="宋体" w:eastAsia="仿宋_GB2312"/>
          <w:color w:val="auto"/>
          <w:sz w:val="24"/>
          <w:highlight w:val="none"/>
        </w:rPr>
        <w:sym w:font="Wingdings 2" w:char="F052"/>
      </w:r>
      <w:r>
        <w:rPr>
          <w:rFonts w:hint="eastAsia" w:ascii="仿宋_GB2312" w:eastAsia="仿宋_GB2312" w:cs="仿宋_GB2312"/>
          <w:color w:val="auto"/>
          <w:kern w:val="0"/>
          <w:sz w:val="24"/>
          <w:highlight w:val="none"/>
          <w:lang w:val="zh-CN"/>
        </w:rPr>
        <w:t>采用分期付款方式，付款条件为</w:t>
      </w:r>
      <w:r>
        <w:rPr>
          <w:rFonts w:hint="eastAsia" w:ascii="仿宋_GB2312" w:eastAsia="仿宋_GB2312" w:cs="仿宋_GB2312"/>
          <w:color w:val="auto"/>
          <w:kern w:val="0"/>
          <w:sz w:val="24"/>
          <w:highlight w:val="none"/>
        </w:rPr>
        <w:t>：</w:t>
      </w:r>
    </w:p>
    <w:p w14:paraId="03B7137C">
      <w:pPr>
        <w:spacing w:line="360" w:lineRule="auto"/>
        <w:ind w:firstLine="480" w:firstLineChars="200"/>
        <w:rPr>
          <w:rFonts w:hint="eastAsia" w:ascii="仿宋_GB2312" w:hAnsi="仿宋" w:eastAsia="仿宋_GB2312"/>
          <w:color w:val="auto"/>
          <w:sz w:val="24"/>
          <w:highlight w:val="none"/>
          <w:u w:val="single"/>
        </w:rPr>
      </w:pPr>
      <w:r>
        <w:rPr>
          <w:rFonts w:hint="eastAsia" w:ascii="仿宋_GB2312" w:hAnsi="仿宋" w:eastAsia="仿宋_GB2312"/>
          <w:color w:val="auto"/>
          <w:sz w:val="24"/>
          <w:highlight w:val="none"/>
          <w:u w:val="single"/>
          <w:lang w:val="en-US" w:eastAsia="zh-CN"/>
        </w:rPr>
        <w:t>乙方</w:t>
      </w:r>
      <w:r>
        <w:rPr>
          <w:rFonts w:hint="eastAsia" w:ascii="仿宋_GB2312" w:hAnsi="仿宋" w:eastAsia="仿宋_GB2312"/>
          <w:color w:val="auto"/>
          <w:sz w:val="24"/>
          <w:highlight w:val="none"/>
          <w:u w:val="single"/>
        </w:rPr>
        <w:t>组织项目团队开展工作10日后，由</w:t>
      </w:r>
      <w:r>
        <w:rPr>
          <w:rFonts w:hint="eastAsia" w:ascii="仿宋_GB2312" w:hAnsi="仿宋" w:eastAsia="仿宋_GB2312"/>
          <w:color w:val="auto"/>
          <w:sz w:val="24"/>
          <w:highlight w:val="none"/>
          <w:u w:val="single"/>
          <w:lang w:val="en-US" w:eastAsia="zh-CN"/>
        </w:rPr>
        <w:t>甲方</w:t>
      </w:r>
      <w:r>
        <w:rPr>
          <w:rFonts w:hint="eastAsia" w:ascii="仿宋_GB2312" w:hAnsi="仿宋" w:eastAsia="仿宋_GB2312"/>
          <w:color w:val="auto"/>
          <w:sz w:val="24"/>
          <w:highlight w:val="none"/>
          <w:u w:val="single"/>
        </w:rPr>
        <w:t>支付合同金额的30%款项；本年全部审计、核验项目交付成果后，由</w:t>
      </w:r>
      <w:r>
        <w:rPr>
          <w:rFonts w:hint="eastAsia" w:ascii="仿宋_GB2312" w:hAnsi="仿宋" w:eastAsia="仿宋_GB2312"/>
          <w:color w:val="auto"/>
          <w:sz w:val="24"/>
          <w:highlight w:val="none"/>
          <w:u w:val="single"/>
          <w:lang w:val="en-US" w:eastAsia="zh-CN"/>
        </w:rPr>
        <w:t>甲方</w:t>
      </w:r>
      <w:r>
        <w:rPr>
          <w:rFonts w:hint="eastAsia" w:ascii="仿宋_GB2312" w:hAnsi="仿宋" w:eastAsia="仿宋_GB2312"/>
          <w:color w:val="auto"/>
          <w:sz w:val="24"/>
          <w:highlight w:val="none"/>
          <w:u w:val="single"/>
        </w:rPr>
        <w:t>支付合同金额剩余70%款项。</w:t>
      </w:r>
      <w:r>
        <w:rPr>
          <w:rFonts w:hint="eastAsia" w:ascii="仿宋_GB2312" w:hAnsi="仿宋" w:eastAsia="仿宋_GB2312"/>
          <w:color w:val="auto"/>
          <w:sz w:val="24"/>
          <w:highlight w:val="none"/>
          <w:u w:val="single"/>
          <w:lang w:val="en-US" w:eastAsia="zh-CN"/>
        </w:rPr>
        <w:t>乙方</w:t>
      </w:r>
      <w:r>
        <w:rPr>
          <w:rFonts w:hint="eastAsia" w:ascii="仿宋_GB2312" w:hAnsi="仿宋" w:eastAsia="仿宋_GB2312"/>
          <w:color w:val="auto"/>
          <w:sz w:val="24"/>
          <w:highlight w:val="none"/>
          <w:u w:val="single"/>
        </w:rPr>
        <w:t>应在申请付款时开具财务发票给</w:t>
      </w:r>
      <w:r>
        <w:rPr>
          <w:rFonts w:hint="eastAsia" w:ascii="仿宋_GB2312" w:hAnsi="仿宋" w:eastAsia="仿宋_GB2312"/>
          <w:color w:val="auto"/>
          <w:sz w:val="24"/>
          <w:highlight w:val="none"/>
          <w:u w:val="single"/>
          <w:lang w:val="en-US" w:eastAsia="zh-CN"/>
        </w:rPr>
        <w:t>甲方</w:t>
      </w:r>
      <w:r>
        <w:rPr>
          <w:rFonts w:hint="eastAsia" w:ascii="仿宋_GB2312" w:hAnsi="仿宋" w:eastAsia="仿宋_GB2312"/>
          <w:color w:val="auto"/>
          <w:sz w:val="24"/>
          <w:highlight w:val="none"/>
          <w:u w:val="single"/>
        </w:rPr>
        <w:t>。</w:t>
      </w:r>
    </w:p>
    <w:p w14:paraId="04E5B9F7">
      <w:pPr>
        <w:spacing w:line="360" w:lineRule="auto"/>
        <w:ind w:firstLine="480" w:firstLineChars="200"/>
        <w:rPr>
          <w:rFonts w:hint="eastAsia" w:ascii="仿宋_GB2312" w:hAnsi="仿宋_GB2312" w:eastAsia="仿宋_GB2312" w:cs="仿宋_GB2312"/>
          <w:color w:val="auto"/>
          <w:kern w:val="0"/>
          <w:sz w:val="24"/>
          <w:highlight w:val="none"/>
          <w:lang w:val="zh-CN"/>
        </w:rPr>
      </w:pPr>
      <w:r>
        <w:rPr>
          <w:rFonts w:hint="eastAsia" w:ascii="仿宋_GB2312" w:hAnsi="仿宋" w:eastAsia="仿宋_GB2312"/>
          <w:color w:val="auto"/>
          <w:sz w:val="24"/>
          <w:highlight w:val="none"/>
        </w:rPr>
        <w:t>甲方无故逾期支付服务费用的，按照每逾期一日支付欠付服务费额度的</w:t>
      </w:r>
      <w:r>
        <w:rPr>
          <w:rFonts w:hint="eastAsia" w:ascii="仿宋_GB2312" w:hAnsi="仿宋" w:eastAsia="仿宋_GB2312"/>
          <w:color w:val="auto"/>
          <w:sz w:val="24"/>
          <w:highlight w:val="none"/>
          <w:u w:val="single"/>
        </w:rPr>
        <w:t xml:space="preserve"> 万分之五 </w:t>
      </w:r>
      <w:r>
        <w:rPr>
          <w:rFonts w:hint="eastAsia" w:ascii="仿宋_GB2312" w:hAnsi="仿宋" w:eastAsia="仿宋_GB2312"/>
          <w:color w:val="auto"/>
          <w:sz w:val="24"/>
          <w:highlight w:val="none"/>
        </w:rPr>
        <w:t>承担违约责任，违约金上限按照《合同书》约定执行</w:t>
      </w:r>
      <w:r>
        <w:rPr>
          <w:rFonts w:hint="eastAsia" w:ascii="仿宋_GB2312" w:hAnsi="仿宋_GB2312" w:eastAsia="仿宋_GB2312" w:cs="仿宋_GB2312"/>
          <w:color w:val="auto"/>
          <w:kern w:val="0"/>
          <w:sz w:val="24"/>
          <w:highlight w:val="none"/>
          <w:lang w:val="zh-CN"/>
        </w:rPr>
        <w:t xml:space="preserve">。 </w:t>
      </w:r>
    </w:p>
    <w:p w14:paraId="59DC95B3">
      <w:pPr>
        <w:spacing w:line="360" w:lineRule="auto"/>
        <w:ind w:firstLine="480" w:firstLineChars="200"/>
        <w:rPr>
          <w:rFonts w:hint="eastAsia" w:ascii="仿宋_GB2312" w:hAnsi="楷体" w:eastAsia="仿宋_GB2312"/>
          <w:b/>
          <w:color w:val="auto"/>
          <w:sz w:val="24"/>
          <w:highlight w:val="none"/>
        </w:rPr>
      </w:pPr>
      <w:r>
        <w:rPr>
          <w:rFonts w:hint="eastAsia" w:ascii="仿宋_GB2312" w:hAnsi="楷体" w:eastAsia="仿宋_GB2312"/>
          <w:color w:val="auto"/>
          <w:sz w:val="24"/>
          <w:highlight w:val="none"/>
        </w:rPr>
        <w:t>3.5</w:t>
      </w:r>
      <w:r>
        <w:rPr>
          <w:rFonts w:hint="eastAsia" w:ascii="仿宋_GB2312" w:hAnsi="楷体" w:eastAsia="仿宋_GB2312"/>
          <w:b/>
          <w:color w:val="auto"/>
          <w:sz w:val="24"/>
          <w:highlight w:val="none"/>
        </w:rPr>
        <w:t>标的物的风险负担</w:t>
      </w:r>
    </w:p>
    <w:p w14:paraId="37D5E797">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标的物或者在途标的物或者交付给第一承运人后的标的物毁损、灭失的风险负担：</w:t>
      </w:r>
    </w:p>
    <w:p w14:paraId="6F0AC441">
      <w:pPr>
        <w:spacing w:line="360" w:lineRule="auto"/>
        <w:ind w:firstLine="480" w:firstLineChars="200"/>
        <w:rPr>
          <w:rFonts w:hint="eastAsia" w:ascii="仿宋_GB2312" w:hAnsi="楷体" w:eastAsia="仿宋_GB2312"/>
          <w:color w:val="auto"/>
          <w:sz w:val="24"/>
          <w:highlight w:val="none"/>
          <w:u w:val="single"/>
        </w:rPr>
      </w:pPr>
      <w:r>
        <w:rPr>
          <w:rFonts w:hint="eastAsia" w:ascii="仿宋_GB2312" w:hAnsi="楷体" w:eastAsia="仿宋_GB2312"/>
          <w:color w:val="auto"/>
          <w:sz w:val="24"/>
          <w:highlight w:val="none"/>
          <w:u w:val="single"/>
        </w:rPr>
        <w:t xml:space="preserve">乙方                                                                       </w:t>
      </w:r>
    </w:p>
    <w:p w14:paraId="32099D96">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3.5.1受不可抗力影响的一方在不可抗力发生后，应在日内（根据项目实际填写）以书面形式通知对方当事人，并在日内（根据项目实际填写），将有关部门出具的证明文件送达对方当事人。</w:t>
      </w:r>
    </w:p>
    <w:p w14:paraId="0C6A7CE6">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3.5.2因不可抗力致使合同有变更必要的，双方当事人应在日内（根据项目实际填写）以书面形式变更合同；</w:t>
      </w:r>
    </w:p>
    <w:p w14:paraId="70DD66AB">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3.5.3标的物交付前，乙方应对标的物的质量、数量等方面进行详细、全面的检验，并向甲方出具证明标的物符合合同约定的文件；标的物交付时，乙方在日内（根据项目实际填写）发起验收，并可依法邀请相关方参加，验收应出具验收书。</w:t>
      </w:r>
    </w:p>
    <w:p w14:paraId="2F40E1D5">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3.5.4检验和验收标准、程序等具体内容以及前述验收书的效力：</w:t>
      </w:r>
    </w:p>
    <w:p w14:paraId="71BEE3AF">
      <w:pPr>
        <w:spacing w:line="360" w:lineRule="auto"/>
        <w:ind w:firstLine="480" w:firstLineChars="200"/>
        <w:rPr>
          <w:rFonts w:hint="eastAsia" w:ascii="仿宋_GB2312" w:hAnsi="楷体" w:eastAsia="仿宋_GB2312"/>
          <w:color w:val="auto"/>
          <w:sz w:val="24"/>
          <w:highlight w:val="none"/>
          <w:u w:val="single"/>
        </w:rPr>
      </w:pPr>
    </w:p>
    <w:p w14:paraId="676ADF40">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3.5.5 其他：</w:t>
      </w:r>
    </w:p>
    <w:p w14:paraId="28D71368">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3.6项目验收：</w:t>
      </w:r>
    </w:p>
    <w:p w14:paraId="7307E79D">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3.6.1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14:paraId="7D0D506A">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3.6.2严格按照采购合同开展履约验收。甲方成立验收小组，按照采购合同的约定对供应商履约情况进行验收，验收时，按照采购合同的约定对每一项技术、服务、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14:paraId="4228FDA0">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3.6.3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14:paraId="7FBCAA96">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3.6.4验收产生的费用由乙方支付。</w:t>
      </w:r>
    </w:p>
    <w:p w14:paraId="051819B0">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3.6.5验收内容及资料要求：</w:t>
      </w:r>
    </w:p>
    <w:p w14:paraId="376FFB15">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根根据采购文件确定的技术指标或者服务要求确定验收指标和标准。未进行相应约定的，应当符合国家强制性规定、政策要求、安全标准、行业或企业有关标准等。</w:t>
      </w:r>
    </w:p>
    <w:p w14:paraId="74ABE023">
      <w:pPr>
        <w:tabs>
          <w:tab w:val="left" w:pos="904"/>
        </w:tabs>
        <w:snapToGrid w:val="0"/>
        <w:spacing w:line="360" w:lineRule="auto"/>
        <w:ind w:firstLine="480" w:firstLineChars="200"/>
        <w:jc w:val="left"/>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3.6.4验收内容</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1632"/>
        <w:gridCol w:w="5930"/>
      </w:tblGrid>
      <w:tr w14:paraId="6B881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tcBorders>
              <w:top w:val="single" w:color="auto" w:sz="4" w:space="0"/>
              <w:left w:val="single" w:color="auto" w:sz="4" w:space="0"/>
              <w:bottom w:val="single" w:color="auto" w:sz="4" w:space="0"/>
              <w:right w:val="single" w:color="auto" w:sz="4" w:space="0"/>
            </w:tcBorders>
            <w:vAlign w:val="center"/>
          </w:tcPr>
          <w:p w14:paraId="1A3AB445">
            <w:pPr>
              <w:keepNext w:val="0"/>
              <w:keepLines w:val="0"/>
              <w:widowControl/>
              <w:suppressLineNumbers w:val="0"/>
              <w:spacing w:before="0" w:beforeAutospacing="0" w:after="0" w:afterAutospacing="0" w:line="360" w:lineRule="auto"/>
              <w:ind w:left="0" w:right="0" w:firstLine="200"/>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序号</w:t>
            </w:r>
          </w:p>
        </w:tc>
        <w:tc>
          <w:tcPr>
            <w:tcW w:w="1632" w:type="dxa"/>
            <w:tcBorders>
              <w:top w:val="single" w:color="auto" w:sz="4" w:space="0"/>
              <w:left w:val="single" w:color="auto" w:sz="4" w:space="0"/>
              <w:bottom w:val="single" w:color="auto" w:sz="4" w:space="0"/>
              <w:right w:val="single" w:color="auto" w:sz="4" w:space="0"/>
            </w:tcBorders>
            <w:vAlign w:val="center"/>
          </w:tcPr>
          <w:p w14:paraId="6DDCEDD6">
            <w:pPr>
              <w:keepNext w:val="0"/>
              <w:keepLines w:val="0"/>
              <w:widowControl/>
              <w:suppressLineNumbers w:val="0"/>
              <w:spacing w:before="0" w:beforeAutospacing="0" w:after="0" w:afterAutospacing="0" w:line="360" w:lineRule="auto"/>
              <w:ind w:left="0" w:right="0" w:firstLine="200"/>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验收内容</w:t>
            </w:r>
          </w:p>
        </w:tc>
        <w:tc>
          <w:tcPr>
            <w:tcW w:w="5930" w:type="dxa"/>
            <w:tcBorders>
              <w:top w:val="single" w:color="auto" w:sz="4" w:space="0"/>
              <w:left w:val="single" w:color="auto" w:sz="4" w:space="0"/>
              <w:bottom w:val="single" w:color="auto" w:sz="4" w:space="0"/>
              <w:right w:val="single" w:color="auto" w:sz="4" w:space="0"/>
            </w:tcBorders>
            <w:vAlign w:val="center"/>
          </w:tcPr>
          <w:p w14:paraId="2370B160">
            <w:pPr>
              <w:keepNext w:val="0"/>
              <w:keepLines w:val="0"/>
              <w:widowControl/>
              <w:suppressLineNumbers w:val="0"/>
              <w:spacing w:before="0" w:beforeAutospacing="0" w:after="0" w:afterAutospacing="0" w:line="360" w:lineRule="auto"/>
              <w:ind w:left="0" w:right="0" w:firstLine="200"/>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 xml:space="preserve"> 验收标准</w:t>
            </w:r>
          </w:p>
        </w:tc>
      </w:tr>
      <w:tr w14:paraId="63A97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55" w:type="dxa"/>
            <w:tcBorders>
              <w:top w:val="single" w:color="auto" w:sz="4" w:space="0"/>
              <w:left w:val="single" w:color="auto" w:sz="4" w:space="0"/>
              <w:bottom w:val="single" w:color="auto" w:sz="4" w:space="0"/>
              <w:right w:val="single" w:color="auto" w:sz="4" w:space="0"/>
            </w:tcBorders>
            <w:vAlign w:val="center"/>
          </w:tcPr>
          <w:p w14:paraId="1C1BACF9">
            <w:pPr>
              <w:keepNext w:val="0"/>
              <w:keepLines w:val="0"/>
              <w:widowControl/>
              <w:suppressLineNumbers w:val="0"/>
              <w:spacing w:before="0" w:beforeAutospacing="0" w:after="0" w:afterAutospacing="0" w:line="360" w:lineRule="auto"/>
              <w:ind w:left="0" w:right="0" w:firstLine="200"/>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1</w:t>
            </w:r>
          </w:p>
        </w:tc>
        <w:tc>
          <w:tcPr>
            <w:tcW w:w="1632" w:type="dxa"/>
            <w:tcBorders>
              <w:top w:val="single" w:color="auto" w:sz="4" w:space="0"/>
              <w:left w:val="single" w:color="auto" w:sz="4" w:space="0"/>
              <w:bottom w:val="single" w:color="auto" w:sz="4" w:space="0"/>
              <w:right w:val="single" w:color="auto" w:sz="4" w:space="0"/>
            </w:tcBorders>
            <w:vAlign w:val="center"/>
          </w:tcPr>
          <w:p w14:paraId="3E9126CF">
            <w:pPr>
              <w:keepNext w:val="0"/>
              <w:keepLines w:val="0"/>
              <w:widowControl/>
              <w:suppressLineNumbers w:val="0"/>
              <w:spacing w:before="0" w:beforeAutospacing="0" w:after="0" w:afterAutospacing="0" w:line="360" w:lineRule="auto"/>
              <w:ind w:left="0" w:right="0" w:firstLine="200"/>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服务要求</w:t>
            </w:r>
          </w:p>
        </w:tc>
        <w:tc>
          <w:tcPr>
            <w:tcW w:w="5930" w:type="dxa"/>
            <w:tcBorders>
              <w:top w:val="single" w:color="auto" w:sz="4" w:space="0"/>
              <w:left w:val="single" w:color="auto" w:sz="4" w:space="0"/>
              <w:bottom w:val="single" w:color="auto" w:sz="4" w:space="0"/>
              <w:right w:val="single" w:color="auto" w:sz="4" w:space="0"/>
            </w:tcBorders>
            <w:vAlign w:val="center"/>
          </w:tcPr>
          <w:p w14:paraId="68A36551">
            <w:pPr>
              <w:keepNext w:val="0"/>
              <w:keepLines w:val="0"/>
              <w:widowControl/>
              <w:suppressLineNumbers w:val="0"/>
              <w:spacing w:before="0" w:beforeAutospacing="0" w:after="0" w:afterAutospacing="0" w:line="360" w:lineRule="auto"/>
              <w:ind w:left="0" w:right="0" w:firstLine="20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是否按照采购文件及响应文件的承诺提供服务</w:t>
            </w:r>
          </w:p>
        </w:tc>
      </w:tr>
    </w:tbl>
    <w:p w14:paraId="33F851FC">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温馨提示：根据《广西壮族自治区财政厅关于进一步发挥政府采购政策功能促进企业发展的通知》（桂财采〔2022〕30号）规定，采购人应当在项目完成且收到供应商验收申请后5个工作日内组织开展履约验收；对于满足合同约定支付条件的项目，应在收到发票后30日内将资金支付到合同约定的供应商账户，不得以进行审计作为支付供应商款项的条件。加快采购资金支付进度，对于200万元以下的货物和服务项目，鼓励采购人一次性全额支付给供应商。采购人不得以机构变动、人员更替、政策调整、履行内部付款流程等为由延迟付款。）</w:t>
      </w:r>
    </w:p>
    <w:p w14:paraId="5F3A21D9">
      <w:pPr>
        <w:spacing w:line="360" w:lineRule="auto"/>
        <w:ind w:firstLine="480" w:firstLineChars="200"/>
        <w:rPr>
          <w:rFonts w:hint="eastAsia" w:ascii="仿宋_GB2312" w:hAnsi="楷体" w:eastAsia="仿宋_GB2312"/>
          <w:color w:val="auto"/>
          <w:sz w:val="24"/>
          <w:highlight w:val="none"/>
        </w:rPr>
      </w:pPr>
      <w:r>
        <w:rPr>
          <w:rFonts w:hint="eastAsia" w:ascii="仿宋" w:hAnsi="仿宋" w:eastAsia="仿宋" w:cs="仿宋"/>
          <w:color w:val="auto"/>
          <w:sz w:val="24"/>
          <w:highlight w:val="none"/>
        </w:rPr>
        <w:t>3.6.7</w:t>
      </w:r>
      <w:r>
        <w:rPr>
          <w:rFonts w:hint="eastAsia" w:ascii="仿宋_GB2312" w:hAnsi="楷体" w:eastAsia="仿宋_GB2312"/>
          <w:color w:val="auto"/>
          <w:sz w:val="24"/>
          <w:highlight w:val="none"/>
        </w:rPr>
        <w:t>验收资料要求</w:t>
      </w:r>
    </w:p>
    <w:p w14:paraId="2AEF8707">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验收资料要求包括（不限于）以下内容：</w:t>
      </w:r>
    </w:p>
    <w:p w14:paraId="35142E67">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（1）采购文件；</w:t>
      </w:r>
    </w:p>
    <w:p w14:paraId="49608912">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（2）响应文件；</w:t>
      </w:r>
    </w:p>
    <w:p w14:paraId="2D06E9B8">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（3）采购合同；</w:t>
      </w:r>
    </w:p>
    <w:p w14:paraId="7B19D0C0">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（4）到货核验单（需采购核验人、复核人及乙方交货人三方签字盖章）、产品拍照图片、产品说明书、产品合格证、质量保证书原件、三包凭证、产品的检测报告、原厂质保承诺函等；</w:t>
      </w:r>
    </w:p>
    <w:p w14:paraId="5F43D987">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（5）其他需提供的相关材料。</w:t>
      </w:r>
    </w:p>
    <w:p w14:paraId="681D1564">
      <w:pPr>
        <w:spacing w:line="360" w:lineRule="auto"/>
        <w:ind w:firstLine="480" w:firstLineChars="200"/>
        <w:rPr>
          <w:rFonts w:hint="eastAsia" w:ascii="仿宋_GB2312" w:hAnsi="楷体" w:eastAsia="仿宋_GB2312"/>
          <w:color w:val="auto"/>
          <w:sz w:val="24"/>
          <w:highlight w:val="none"/>
        </w:rPr>
      </w:pPr>
    </w:p>
    <w:p w14:paraId="56E406BF">
      <w:pPr>
        <w:spacing w:line="360" w:lineRule="auto"/>
        <w:ind w:firstLine="480" w:firstLineChars="200"/>
        <w:rPr>
          <w:rFonts w:hint="eastAsia" w:ascii="仿宋_GB2312" w:hAnsi="楷体" w:eastAsia="仿宋_GB2312"/>
          <w:color w:val="auto"/>
          <w:sz w:val="24"/>
          <w:highlight w:val="none"/>
        </w:rPr>
      </w:pPr>
    </w:p>
    <w:p w14:paraId="3992CF01">
      <w:pPr>
        <w:spacing w:line="360" w:lineRule="auto"/>
        <w:ind w:firstLine="480" w:firstLineChars="200"/>
        <w:rPr>
          <w:rFonts w:hint="eastAsia" w:ascii="仿宋_GB2312" w:hAnsi="楷体" w:eastAsia="仿宋_GB2312"/>
          <w:color w:val="auto"/>
          <w:sz w:val="24"/>
          <w:highlight w:val="none"/>
        </w:rPr>
      </w:pPr>
    </w:p>
    <w:p w14:paraId="5C042261">
      <w:pPr>
        <w:spacing w:line="360" w:lineRule="auto"/>
        <w:ind w:firstLine="480" w:firstLineChars="200"/>
        <w:rPr>
          <w:rFonts w:hint="eastAsia" w:ascii="仿宋_GB2312" w:hAnsi="楷体" w:eastAsia="仿宋_GB2312"/>
          <w:color w:val="auto"/>
          <w:sz w:val="24"/>
          <w:highlight w:val="none"/>
        </w:rPr>
      </w:pPr>
    </w:p>
    <w:p w14:paraId="59201FE9">
      <w:pPr>
        <w:spacing w:line="360" w:lineRule="auto"/>
        <w:ind w:firstLine="480" w:firstLineChars="200"/>
        <w:rPr>
          <w:rFonts w:hint="eastAsia" w:ascii="仿宋_GB2312" w:hAnsi="楷体" w:eastAsia="仿宋_GB2312"/>
          <w:color w:val="auto"/>
          <w:sz w:val="24"/>
          <w:highlight w:val="none"/>
        </w:rPr>
      </w:pPr>
    </w:p>
    <w:p w14:paraId="4114820F">
      <w:pPr>
        <w:spacing w:line="360" w:lineRule="auto"/>
        <w:ind w:firstLine="480" w:firstLineChars="200"/>
        <w:rPr>
          <w:rFonts w:hint="eastAsia" w:ascii="仿宋_GB2312" w:hAnsi="楷体" w:eastAsia="仿宋_GB2312"/>
          <w:color w:val="auto"/>
          <w:sz w:val="24"/>
          <w:highlight w:val="none"/>
        </w:rPr>
      </w:pPr>
    </w:p>
    <w:p w14:paraId="2D7F5B84">
      <w:pPr>
        <w:spacing w:line="360" w:lineRule="auto"/>
        <w:ind w:firstLine="480" w:firstLineChars="200"/>
        <w:rPr>
          <w:rFonts w:hint="eastAsia" w:ascii="仿宋_GB2312" w:hAnsi="楷体" w:eastAsia="仿宋_GB2312"/>
          <w:color w:val="auto"/>
          <w:sz w:val="24"/>
          <w:highlight w:val="none"/>
        </w:rPr>
      </w:pPr>
    </w:p>
    <w:p w14:paraId="6FDFF84B">
      <w:pPr>
        <w:spacing w:line="360" w:lineRule="auto"/>
        <w:ind w:firstLine="480" w:firstLineChars="200"/>
        <w:rPr>
          <w:rFonts w:hint="eastAsia" w:ascii="仿宋_GB2312" w:hAnsi="楷体" w:eastAsia="仿宋_GB2312"/>
          <w:color w:val="auto"/>
          <w:sz w:val="24"/>
          <w:highlight w:val="none"/>
        </w:rPr>
      </w:pPr>
    </w:p>
    <w:p w14:paraId="072F5BE6">
      <w:pPr>
        <w:spacing w:line="360" w:lineRule="auto"/>
        <w:ind w:firstLine="480" w:firstLineChars="200"/>
        <w:rPr>
          <w:rFonts w:hint="eastAsia" w:ascii="仿宋_GB2312" w:hAnsi="楷体" w:eastAsia="仿宋_GB2312"/>
          <w:color w:val="auto"/>
          <w:sz w:val="24"/>
          <w:highlight w:val="none"/>
        </w:rPr>
      </w:pPr>
    </w:p>
    <w:p w14:paraId="6363045F">
      <w:pPr>
        <w:tabs>
          <w:tab w:val="left" w:pos="3261"/>
        </w:tabs>
        <w:spacing w:line="360" w:lineRule="auto"/>
        <w:jc w:val="center"/>
        <w:rPr>
          <w:rFonts w:hint="eastAsia" w:ascii="宋体" w:hAnsi="宋体" w:cs="仿宋_GB2312"/>
          <w:b/>
          <w:color w:val="auto"/>
          <w:sz w:val="44"/>
          <w:szCs w:val="44"/>
          <w:highlight w:val="none"/>
        </w:rPr>
      </w:pPr>
    </w:p>
    <w:p w14:paraId="6532FF15">
      <w:pPr>
        <w:tabs>
          <w:tab w:val="left" w:pos="3261"/>
        </w:tabs>
        <w:spacing w:line="360" w:lineRule="auto"/>
        <w:jc w:val="center"/>
        <w:rPr>
          <w:rFonts w:hint="eastAsia" w:ascii="宋体" w:hAnsi="宋体" w:cs="仿宋_GB2312"/>
          <w:b/>
          <w:color w:val="auto"/>
          <w:sz w:val="44"/>
          <w:szCs w:val="44"/>
          <w:highlight w:val="none"/>
        </w:rPr>
      </w:pPr>
    </w:p>
    <w:p w14:paraId="78513329">
      <w:pPr>
        <w:tabs>
          <w:tab w:val="left" w:pos="3261"/>
        </w:tabs>
        <w:spacing w:line="360" w:lineRule="auto"/>
        <w:jc w:val="center"/>
        <w:rPr>
          <w:rFonts w:hint="eastAsia" w:ascii="宋体" w:hAnsi="宋体" w:cs="仿宋_GB2312"/>
          <w:b/>
          <w:color w:val="auto"/>
          <w:sz w:val="44"/>
          <w:szCs w:val="44"/>
          <w:highlight w:val="none"/>
        </w:rPr>
      </w:pPr>
    </w:p>
    <w:p w14:paraId="4E2BAF58">
      <w:pPr>
        <w:tabs>
          <w:tab w:val="left" w:pos="3261"/>
        </w:tabs>
        <w:spacing w:line="360" w:lineRule="auto"/>
        <w:jc w:val="center"/>
        <w:rPr>
          <w:rFonts w:hint="eastAsia" w:ascii="宋体" w:hAnsi="宋体" w:cs="仿宋_GB2312"/>
          <w:b/>
          <w:color w:val="auto"/>
          <w:sz w:val="44"/>
          <w:szCs w:val="44"/>
          <w:highlight w:val="none"/>
        </w:rPr>
      </w:pPr>
    </w:p>
    <w:p w14:paraId="290E4EF3">
      <w:pPr>
        <w:tabs>
          <w:tab w:val="left" w:pos="3261"/>
        </w:tabs>
        <w:spacing w:line="360" w:lineRule="auto"/>
        <w:jc w:val="center"/>
        <w:rPr>
          <w:rFonts w:hint="eastAsia" w:ascii="宋体" w:hAnsi="宋体" w:cs="仿宋_GB2312"/>
          <w:b/>
          <w:color w:val="auto"/>
          <w:sz w:val="44"/>
          <w:szCs w:val="44"/>
          <w:highlight w:val="none"/>
        </w:rPr>
      </w:pPr>
    </w:p>
    <w:p w14:paraId="6DE15DFB">
      <w:pPr>
        <w:tabs>
          <w:tab w:val="left" w:pos="3261"/>
        </w:tabs>
        <w:spacing w:line="360" w:lineRule="auto"/>
        <w:jc w:val="center"/>
        <w:rPr>
          <w:rFonts w:hint="eastAsia" w:ascii="宋体" w:hAnsi="宋体" w:cs="仿宋_GB2312"/>
          <w:b/>
          <w:color w:val="auto"/>
          <w:sz w:val="44"/>
          <w:szCs w:val="44"/>
          <w:highlight w:val="none"/>
        </w:rPr>
      </w:pPr>
    </w:p>
    <w:p w14:paraId="3ABAF49B">
      <w:pPr>
        <w:pStyle w:val="2"/>
        <w:jc w:val="center"/>
        <w:rPr>
          <w:rFonts w:hint="eastAsia" w:ascii="宋体" w:hAnsi="宋体" w:cs="仿宋_GB2312"/>
          <w:color w:val="auto"/>
          <w:highlight w:val="none"/>
        </w:rPr>
      </w:pPr>
      <w:bookmarkStart w:id="252" w:name="_Toc27474"/>
      <w:r>
        <w:rPr>
          <w:rFonts w:hint="eastAsia" w:ascii="宋体" w:hAnsi="宋体" w:cs="仿宋_GB2312"/>
          <w:b w:val="0"/>
          <w:color w:val="auto"/>
          <w:highlight w:val="none"/>
        </w:rPr>
        <w:t>第七章 质疑、投诉材料格式</w:t>
      </w:r>
      <w:bookmarkEnd w:id="252"/>
    </w:p>
    <w:p w14:paraId="7CD8183E">
      <w:pPr>
        <w:widowControl/>
        <w:spacing w:line="576" w:lineRule="auto"/>
        <w:jc w:val="left"/>
        <w:rPr>
          <w:rFonts w:hint="eastAsia" w:ascii="宋体" w:hAnsi="宋体" w:cs="仿宋_GB2312"/>
          <w:b/>
          <w:bCs/>
          <w:color w:val="auto"/>
          <w:kern w:val="44"/>
          <w:sz w:val="44"/>
          <w:szCs w:val="44"/>
          <w:highlight w:val="none"/>
        </w:rPr>
        <w:sectPr>
          <w:pgSz w:w="11911" w:h="16838"/>
          <w:pgMar w:top="1417" w:right="1417" w:bottom="1417" w:left="1417" w:header="720" w:footer="720" w:gutter="0"/>
          <w:cols w:space="0" w:num="1"/>
          <w:rtlGutter w:val="0"/>
          <w:docGrid w:linePitch="0" w:charSpace="0"/>
        </w:sectPr>
      </w:pPr>
    </w:p>
    <w:p w14:paraId="46134D39">
      <w:pPr>
        <w:spacing w:line="360" w:lineRule="auto"/>
        <w:jc w:val="center"/>
        <w:rPr>
          <w:rFonts w:hint="eastAsia" w:ascii="宋体" w:hAnsi="宋体"/>
          <w:b/>
          <w:bCs/>
          <w:color w:val="auto"/>
          <w:sz w:val="32"/>
          <w:szCs w:val="32"/>
          <w:highlight w:val="none"/>
        </w:rPr>
      </w:pPr>
      <w:r>
        <w:rPr>
          <w:rFonts w:hint="eastAsia" w:ascii="宋体" w:hAnsi="宋体"/>
          <w:b/>
          <w:bCs/>
          <w:color w:val="auto"/>
          <w:sz w:val="32"/>
          <w:szCs w:val="32"/>
          <w:highlight w:val="none"/>
        </w:rPr>
        <w:t>质疑函（格式）</w:t>
      </w:r>
    </w:p>
    <w:p w14:paraId="25D18E25">
      <w:pPr>
        <w:pStyle w:val="11"/>
        <w:spacing w:line="360" w:lineRule="auto"/>
        <w:ind w:left="0" w:leftChars="0" w:firstLine="482" w:firstLineChars="200"/>
        <w:rPr>
          <w:rFonts w:hint="eastAsia" w:hAnsi="宋体"/>
          <w:b/>
          <w:bCs/>
          <w:color w:val="auto"/>
          <w:sz w:val="24"/>
          <w:highlight w:val="none"/>
        </w:rPr>
      </w:pPr>
      <w:r>
        <w:rPr>
          <w:rFonts w:hint="eastAsia" w:hAnsi="宋体"/>
          <w:b/>
          <w:bCs/>
          <w:color w:val="auto"/>
          <w:sz w:val="24"/>
          <w:highlight w:val="none"/>
        </w:rPr>
        <w:t>一、质疑供应商基本信息：</w:t>
      </w:r>
    </w:p>
    <w:p w14:paraId="65A44C22">
      <w:pPr>
        <w:pStyle w:val="11"/>
        <w:spacing w:line="360" w:lineRule="auto"/>
        <w:ind w:left="0" w:leftChars="0" w:firstLine="480" w:firstLineChars="200"/>
        <w:rPr>
          <w:rFonts w:hint="eastAsia" w:hAnsi="宋体"/>
          <w:bCs/>
          <w:color w:val="auto"/>
          <w:sz w:val="24"/>
          <w:highlight w:val="none"/>
          <w:u w:val="single"/>
        </w:rPr>
      </w:pPr>
      <w:r>
        <w:rPr>
          <w:rFonts w:hint="eastAsia" w:hAnsi="宋体"/>
          <w:bCs/>
          <w:color w:val="auto"/>
          <w:sz w:val="24"/>
          <w:highlight w:val="none"/>
        </w:rPr>
        <w:t>质疑供应商：</w:t>
      </w:r>
      <w:r>
        <w:rPr>
          <w:rFonts w:hint="eastAsia" w:hAnsi="宋体"/>
          <w:bCs/>
          <w:color w:val="auto"/>
          <w:sz w:val="24"/>
          <w:highlight w:val="none"/>
          <w:u w:val="single"/>
        </w:rPr>
        <w:t xml:space="preserve">                                       </w:t>
      </w:r>
      <w:r>
        <w:rPr>
          <w:rFonts w:hint="eastAsia" w:hAnsi="宋体"/>
          <w:bCs/>
          <w:color w:val="auto"/>
          <w:sz w:val="24"/>
          <w:highlight w:val="none"/>
        </w:rPr>
        <w:t xml:space="preserve">                 </w:t>
      </w:r>
    </w:p>
    <w:p w14:paraId="74FF71F5">
      <w:pPr>
        <w:pStyle w:val="11"/>
        <w:spacing w:line="360" w:lineRule="auto"/>
        <w:ind w:left="0" w:leftChars="0" w:firstLine="480" w:firstLineChars="200"/>
        <w:rPr>
          <w:rFonts w:hint="eastAsia" w:hAnsi="宋体"/>
          <w:bCs/>
          <w:color w:val="auto"/>
          <w:sz w:val="24"/>
          <w:highlight w:val="none"/>
        </w:rPr>
      </w:pPr>
      <w:r>
        <w:rPr>
          <w:rFonts w:hint="eastAsia" w:hAnsi="宋体"/>
          <w:bCs/>
          <w:color w:val="auto"/>
          <w:sz w:val="24"/>
          <w:highlight w:val="none"/>
        </w:rPr>
        <w:t>地址：</w:t>
      </w:r>
      <w:r>
        <w:rPr>
          <w:rFonts w:hint="eastAsia" w:hAnsi="宋体"/>
          <w:bCs/>
          <w:color w:val="auto"/>
          <w:sz w:val="24"/>
          <w:highlight w:val="none"/>
          <w:u w:val="single"/>
        </w:rPr>
        <w:t xml:space="preserve">                                          </w:t>
      </w:r>
      <w:r>
        <w:rPr>
          <w:rFonts w:hint="eastAsia" w:hAnsi="宋体"/>
          <w:bCs/>
          <w:color w:val="auto"/>
          <w:sz w:val="24"/>
          <w:highlight w:val="none"/>
        </w:rPr>
        <w:t>邮编：</w:t>
      </w:r>
      <w:r>
        <w:rPr>
          <w:rFonts w:hint="eastAsia" w:hAnsi="宋体"/>
          <w:bCs/>
          <w:color w:val="auto"/>
          <w:sz w:val="24"/>
          <w:highlight w:val="none"/>
          <w:u w:val="single"/>
        </w:rPr>
        <w:t xml:space="preserve">                  </w:t>
      </w:r>
      <w:r>
        <w:rPr>
          <w:rFonts w:hint="eastAsia" w:hAnsi="宋体"/>
          <w:bCs/>
          <w:color w:val="auto"/>
          <w:sz w:val="24"/>
          <w:highlight w:val="none"/>
        </w:rPr>
        <w:t xml:space="preserve">                 </w:t>
      </w:r>
    </w:p>
    <w:p w14:paraId="15F13E33">
      <w:pPr>
        <w:pStyle w:val="11"/>
        <w:spacing w:line="360" w:lineRule="auto"/>
        <w:ind w:left="0" w:leftChars="0" w:firstLine="480" w:firstLineChars="200"/>
        <w:rPr>
          <w:rFonts w:hint="eastAsia" w:hAnsi="宋体"/>
          <w:bCs/>
          <w:color w:val="auto"/>
          <w:sz w:val="24"/>
          <w:highlight w:val="none"/>
        </w:rPr>
      </w:pPr>
      <w:r>
        <w:rPr>
          <w:rFonts w:hint="eastAsia" w:hAnsi="宋体"/>
          <w:bCs/>
          <w:color w:val="auto"/>
          <w:sz w:val="24"/>
          <w:highlight w:val="none"/>
        </w:rPr>
        <w:t>联系人：</w:t>
      </w:r>
      <w:r>
        <w:rPr>
          <w:rFonts w:hint="eastAsia" w:hAnsi="宋体"/>
          <w:bCs/>
          <w:color w:val="auto"/>
          <w:sz w:val="24"/>
          <w:highlight w:val="none"/>
          <w:u w:val="single"/>
        </w:rPr>
        <w:t xml:space="preserve">                     </w:t>
      </w:r>
      <w:r>
        <w:rPr>
          <w:rFonts w:hint="eastAsia" w:hAnsi="宋体"/>
          <w:bCs/>
          <w:color w:val="auto"/>
          <w:sz w:val="24"/>
          <w:highlight w:val="none"/>
        </w:rPr>
        <w:t>联系电话：</w:t>
      </w:r>
      <w:r>
        <w:rPr>
          <w:rFonts w:hint="eastAsia" w:hAnsi="宋体"/>
          <w:bCs/>
          <w:color w:val="auto"/>
          <w:sz w:val="24"/>
          <w:highlight w:val="none"/>
          <w:u w:val="single"/>
        </w:rPr>
        <w:t xml:space="preserve">                 </w:t>
      </w:r>
    </w:p>
    <w:p w14:paraId="365076C4">
      <w:pPr>
        <w:pStyle w:val="11"/>
        <w:spacing w:line="360" w:lineRule="auto"/>
        <w:ind w:left="0" w:leftChars="0" w:firstLine="480" w:firstLineChars="200"/>
        <w:rPr>
          <w:rFonts w:hint="eastAsia" w:hAnsi="宋体"/>
          <w:bCs/>
          <w:color w:val="auto"/>
          <w:sz w:val="24"/>
          <w:highlight w:val="none"/>
        </w:rPr>
      </w:pPr>
      <w:r>
        <w:rPr>
          <w:rFonts w:hint="eastAsia" w:hAnsi="宋体"/>
          <w:bCs/>
          <w:color w:val="auto"/>
          <w:sz w:val="24"/>
          <w:highlight w:val="none"/>
        </w:rPr>
        <w:t>授权代表：</w:t>
      </w:r>
      <w:r>
        <w:rPr>
          <w:rFonts w:hint="eastAsia" w:hAnsi="宋体"/>
          <w:bCs/>
          <w:color w:val="auto"/>
          <w:sz w:val="24"/>
          <w:highlight w:val="none"/>
          <w:u w:val="single"/>
        </w:rPr>
        <w:t xml:space="preserve">                      </w:t>
      </w:r>
    </w:p>
    <w:p w14:paraId="6AD26BBF">
      <w:pPr>
        <w:pStyle w:val="11"/>
        <w:spacing w:line="360" w:lineRule="auto"/>
        <w:ind w:left="0" w:leftChars="0" w:firstLine="480" w:firstLineChars="200"/>
        <w:rPr>
          <w:rFonts w:hint="eastAsia" w:hAnsi="宋体"/>
          <w:bCs/>
          <w:color w:val="auto"/>
          <w:sz w:val="24"/>
          <w:highlight w:val="none"/>
          <w:u w:val="single"/>
        </w:rPr>
      </w:pPr>
      <w:r>
        <w:rPr>
          <w:rFonts w:hint="eastAsia" w:hAnsi="宋体"/>
          <w:bCs/>
          <w:color w:val="auto"/>
          <w:sz w:val="24"/>
          <w:highlight w:val="none"/>
        </w:rPr>
        <w:t>联系电话：</w:t>
      </w:r>
      <w:r>
        <w:rPr>
          <w:rFonts w:hint="eastAsia" w:hAnsi="宋体"/>
          <w:bCs/>
          <w:color w:val="auto"/>
          <w:sz w:val="24"/>
          <w:highlight w:val="none"/>
          <w:u w:val="single"/>
        </w:rPr>
        <w:t xml:space="preserve">                      </w:t>
      </w:r>
    </w:p>
    <w:p w14:paraId="05561E34">
      <w:pPr>
        <w:pStyle w:val="11"/>
        <w:spacing w:line="360" w:lineRule="auto"/>
        <w:ind w:left="0" w:leftChars="0" w:firstLine="480" w:firstLineChars="200"/>
        <w:rPr>
          <w:rFonts w:hint="eastAsia" w:hAnsi="宋体"/>
          <w:bCs/>
          <w:color w:val="auto"/>
          <w:sz w:val="24"/>
          <w:highlight w:val="none"/>
        </w:rPr>
      </w:pPr>
      <w:r>
        <w:rPr>
          <w:rFonts w:hint="eastAsia" w:hAnsi="宋体"/>
          <w:bCs/>
          <w:color w:val="auto"/>
          <w:sz w:val="24"/>
          <w:highlight w:val="none"/>
        </w:rPr>
        <w:t>地址：</w:t>
      </w:r>
      <w:r>
        <w:rPr>
          <w:rFonts w:hint="eastAsia" w:hAnsi="宋体"/>
          <w:bCs/>
          <w:color w:val="auto"/>
          <w:sz w:val="24"/>
          <w:highlight w:val="none"/>
          <w:u w:val="single"/>
        </w:rPr>
        <w:t xml:space="preserve">                 </w:t>
      </w:r>
      <w:r>
        <w:rPr>
          <w:rFonts w:hint="eastAsia" w:hAnsi="宋体"/>
          <w:bCs/>
          <w:color w:val="auto"/>
          <w:sz w:val="24"/>
          <w:highlight w:val="none"/>
        </w:rPr>
        <w:t>邮编：</w:t>
      </w:r>
      <w:r>
        <w:rPr>
          <w:rFonts w:hint="eastAsia" w:hAnsi="宋体"/>
          <w:bCs/>
          <w:color w:val="auto"/>
          <w:sz w:val="24"/>
          <w:highlight w:val="none"/>
          <w:u w:val="single"/>
        </w:rPr>
        <w:t xml:space="preserve">                  </w:t>
      </w:r>
      <w:r>
        <w:rPr>
          <w:rFonts w:hint="eastAsia" w:hAnsi="宋体"/>
          <w:bCs/>
          <w:color w:val="auto"/>
          <w:sz w:val="24"/>
          <w:highlight w:val="none"/>
        </w:rPr>
        <w:t xml:space="preserve">     </w:t>
      </w:r>
    </w:p>
    <w:p w14:paraId="1478DAFF">
      <w:pPr>
        <w:pStyle w:val="11"/>
        <w:spacing w:line="360" w:lineRule="auto"/>
        <w:ind w:left="0" w:leftChars="0" w:firstLine="482" w:firstLineChars="200"/>
        <w:rPr>
          <w:rFonts w:hint="eastAsia" w:hAnsi="宋体"/>
          <w:b/>
          <w:bCs/>
          <w:color w:val="auto"/>
          <w:sz w:val="24"/>
          <w:highlight w:val="none"/>
        </w:rPr>
      </w:pPr>
      <w:r>
        <w:rPr>
          <w:rFonts w:hint="eastAsia" w:hAnsi="宋体"/>
          <w:b/>
          <w:bCs/>
          <w:color w:val="auto"/>
          <w:sz w:val="24"/>
          <w:highlight w:val="none"/>
        </w:rPr>
        <w:t>二、质疑项目基本情况：</w:t>
      </w:r>
    </w:p>
    <w:p w14:paraId="434DA54C">
      <w:pPr>
        <w:pStyle w:val="11"/>
        <w:spacing w:line="360" w:lineRule="auto"/>
        <w:ind w:left="25" w:leftChars="12" w:firstLine="472" w:firstLineChars="197"/>
        <w:contextualSpacing/>
        <w:rPr>
          <w:rFonts w:hint="eastAsia" w:hAnsi="宋体"/>
          <w:color w:val="auto"/>
          <w:sz w:val="24"/>
          <w:highlight w:val="none"/>
        </w:rPr>
      </w:pPr>
      <w:r>
        <w:rPr>
          <w:rFonts w:hint="eastAsia" w:hAnsi="宋体"/>
          <w:bCs/>
          <w:color w:val="auto"/>
          <w:sz w:val="24"/>
          <w:highlight w:val="none"/>
        </w:rPr>
        <w:t>质疑</w:t>
      </w:r>
      <w:r>
        <w:rPr>
          <w:rFonts w:hint="eastAsia" w:hAnsi="宋体"/>
          <w:color w:val="auto"/>
          <w:sz w:val="24"/>
          <w:highlight w:val="none"/>
        </w:rPr>
        <w:t>项目的名称：</w:t>
      </w:r>
      <w:r>
        <w:rPr>
          <w:rFonts w:hint="eastAsia" w:hAnsi="宋体"/>
          <w:bCs/>
          <w:color w:val="auto"/>
          <w:sz w:val="24"/>
          <w:highlight w:val="none"/>
          <w:u w:val="single"/>
        </w:rPr>
        <w:t xml:space="preserve"> </w:t>
      </w:r>
      <w:r>
        <w:rPr>
          <w:rFonts w:hint="eastAsia" w:hAnsi="宋体"/>
          <w:bCs/>
          <w:color w:val="auto"/>
          <w:sz w:val="24"/>
          <w:highlight w:val="none"/>
          <w:u w:val="single"/>
          <w:lang w:eastAsia="zh-CN"/>
        </w:rPr>
        <w:t>第三方机构审计、核验2025年财政资金计划补助项目服务（3分标重）</w:t>
      </w:r>
      <w:r>
        <w:rPr>
          <w:rFonts w:hint="eastAsia" w:hAnsi="宋体"/>
          <w:bCs/>
          <w:color w:val="auto"/>
          <w:sz w:val="24"/>
          <w:highlight w:val="none"/>
          <w:u w:val="single"/>
        </w:rPr>
        <w:t xml:space="preserve"> </w:t>
      </w:r>
    </w:p>
    <w:p w14:paraId="3868C8BA">
      <w:pPr>
        <w:pStyle w:val="11"/>
        <w:spacing w:line="360" w:lineRule="auto"/>
        <w:ind w:left="25" w:leftChars="12" w:firstLine="472" w:firstLineChars="197"/>
        <w:contextualSpacing/>
        <w:rPr>
          <w:rFonts w:hint="eastAsia" w:hAnsi="宋体"/>
          <w:color w:val="auto"/>
          <w:sz w:val="24"/>
          <w:highlight w:val="none"/>
        </w:rPr>
      </w:pPr>
      <w:r>
        <w:rPr>
          <w:rFonts w:hint="eastAsia" w:hAnsi="宋体"/>
          <w:bCs/>
          <w:color w:val="auto"/>
          <w:sz w:val="24"/>
          <w:highlight w:val="none"/>
        </w:rPr>
        <w:t>质疑</w:t>
      </w:r>
      <w:r>
        <w:rPr>
          <w:rFonts w:hint="eastAsia" w:hAnsi="宋体"/>
          <w:color w:val="auto"/>
          <w:sz w:val="24"/>
          <w:highlight w:val="none"/>
        </w:rPr>
        <w:t>项目的编号：</w:t>
      </w:r>
      <w:r>
        <w:rPr>
          <w:rFonts w:hint="eastAsia" w:hAnsi="宋体"/>
          <w:bCs/>
          <w:color w:val="auto"/>
          <w:sz w:val="24"/>
          <w:highlight w:val="none"/>
          <w:u w:val="single"/>
        </w:rPr>
        <w:t xml:space="preserve">                 </w:t>
      </w:r>
    </w:p>
    <w:p w14:paraId="7E086E04">
      <w:pPr>
        <w:pStyle w:val="11"/>
        <w:spacing w:line="360" w:lineRule="auto"/>
        <w:ind w:left="25" w:leftChars="12" w:firstLine="472" w:firstLineChars="197"/>
        <w:contextualSpacing/>
        <w:rPr>
          <w:rFonts w:hint="eastAsia" w:hAnsi="宋体"/>
          <w:color w:val="auto"/>
          <w:sz w:val="24"/>
          <w:highlight w:val="none"/>
        </w:rPr>
      </w:pPr>
      <w:r>
        <w:rPr>
          <w:rFonts w:hint="eastAsia" w:hAnsi="宋体"/>
          <w:color w:val="auto"/>
          <w:sz w:val="24"/>
          <w:highlight w:val="none"/>
        </w:rPr>
        <w:t>采购人名称：</w:t>
      </w:r>
      <w:r>
        <w:rPr>
          <w:rFonts w:hint="eastAsia" w:hAnsi="宋体"/>
          <w:bCs/>
          <w:color w:val="auto"/>
          <w:sz w:val="24"/>
          <w:highlight w:val="none"/>
          <w:u w:val="single"/>
        </w:rPr>
        <w:t xml:space="preserve">   南宁市工业和信息化局  </w:t>
      </w:r>
    </w:p>
    <w:p w14:paraId="33EEDF64">
      <w:pPr>
        <w:pStyle w:val="11"/>
        <w:spacing w:line="360" w:lineRule="auto"/>
        <w:ind w:left="25" w:leftChars="12" w:firstLine="472" w:firstLineChars="197"/>
        <w:contextualSpacing/>
        <w:rPr>
          <w:rFonts w:hint="eastAsia" w:hAnsi="宋体"/>
          <w:color w:val="auto"/>
          <w:sz w:val="24"/>
          <w:highlight w:val="none"/>
        </w:rPr>
      </w:pPr>
      <w:r>
        <w:rPr>
          <w:rFonts w:hint="eastAsia" w:hAnsi="宋体"/>
          <w:color w:val="auto"/>
          <w:sz w:val="24"/>
          <w:highlight w:val="none"/>
        </w:rPr>
        <w:t>质疑事项：</w:t>
      </w:r>
    </w:p>
    <w:p w14:paraId="0EA8D56B">
      <w:pPr>
        <w:pStyle w:val="11"/>
        <w:spacing w:line="360" w:lineRule="auto"/>
        <w:ind w:left="25" w:leftChars="12" w:firstLine="352" w:firstLineChars="147"/>
        <w:contextualSpacing/>
        <w:rPr>
          <w:rFonts w:hint="eastAsia" w:hAnsi="宋体"/>
          <w:color w:val="auto"/>
          <w:sz w:val="24"/>
          <w:highlight w:val="none"/>
        </w:rPr>
      </w:pPr>
      <w:r>
        <w:rPr>
          <w:rFonts w:hint="eastAsia" w:hAnsi="宋体"/>
          <w:color w:val="auto"/>
          <w:sz w:val="24"/>
          <w:highlight w:val="none"/>
        </w:rPr>
        <w:t>□采购文件   采购文件获取日期：</w:t>
      </w:r>
      <w:r>
        <w:rPr>
          <w:rFonts w:hint="eastAsia" w:hAnsi="宋体"/>
          <w:bCs/>
          <w:color w:val="auto"/>
          <w:sz w:val="24"/>
          <w:highlight w:val="none"/>
          <w:u w:val="single"/>
        </w:rPr>
        <w:t xml:space="preserve">                                   </w:t>
      </w:r>
    </w:p>
    <w:p w14:paraId="54D5E338">
      <w:pPr>
        <w:pStyle w:val="11"/>
        <w:spacing w:line="360" w:lineRule="auto"/>
        <w:ind w:left="25" w:leftChars="12" w:firstLine="352" w:firstLineChars="147"/>
        <w:contextualSpacing/>
        <w:rPr>
          <w:rFonts w:hint="eastAsia" w:hAnsi="宋体"/>
          <w:color w:val="auto"/>
          <w:sz w:val="24"/>
          <w:highlight w:val="none"/>
        </w:rPr>
      </w:pPr>
      <w:r>
        <w:rPr>
          <w:rFonts w:hint="eastAsia" w:hAnsi="宋体"/>
          <w:color w:val="auto"/>
          <w:sz w:val="24"/>
          <w:highlight w:val="none"/>
        </w:rPr>
        <w:t xml:space="preserve">□采购过程   </w:t>
      </w:r>
    </w:p>
    <w:p w14:paraId="2C7B7BD8">
      <w:pPr>
        <w:pStyle w:val="11"/>
        <w:spacing w:line="360" w:lineRule="auto"/>
        <w:ind w:left="25" w:leftChars="12" w:firstLine="352" w:firstLineChars="147"/>
        <w:contextualSpacing/>
        <w:rPr>
          <w:rFonts w:hint="eastAsia" w:hAnsi="宋体"/>
          <w:bCs/>
          <w:color w:val="auto"/>
          <w:sz w:val="24"/>
          <w:highlight w:val="none"/>
          <w:u w:val="single"/>
        </w:rPr>
      </w:pPr>
      <w:r>
        <w:rPr>
          <w:rFonts w:hint="eastAsia" w:hAnsi="宋体"/>
          <w:color w:val="auto"/>
          <w:sz w:val="24"/>
          <w:highlight w:val="none"/>
        </w:rPr>
        <w:t xml:space="preserve">□成交结果   </w:t>
      </w:r>
    </w:p>
    <w:p w14:paraId="3F9971D7">
      <w:pPr>
        <w:pStyle w:val="11"/>
        <w:spacing w:line="360" w:lineRule="auto"/>
        <w:ind w:left="25" w:leftChars="12" w:firstLine="472" w:firstLineChars="196"/>
        <w:contextualSpacing/>
        <w:rPr>
          <w:rFonts w:hint="eastAsia" w:hAnsi="宋体"/>
          <w:b/>
          <w:color w:val="auto"/>
          <w:sz w:val="24"/>
          <w:highlight w:val="none"/>
        </w:rPr>
      </w:pPr>
      <w:r>
        <w:rPr>
          <w:rFonts w:hint="eastAsia" w:hAnsi="宋体"/>
          <w:b/>
          <w:color w:val="auto"/>
          <w:sz w:val="24"/>
          <w:highlight w:val="none"/>
        </w:rPr>
        <w:t>三、质疑事项具体内容</w:t>
      </w:r>
    </w:p>
    <w:p w14:paraId="609F0D9C">
      <w:pPr>
        <w:pStyle w:val="11"/>
        <w:spacing w:line="360" w:lineRule="auto"/>
        <w:ind w:left="25" w:leftChars="12" w:firstLine="472" w:firstLineChars="197"/>
        <w:contextualSpacing/>
        <w:rPr>
          <w:rFonts w:hint="eastAsia" w:hAnsi="宋体"/>
          <w:color w:val="auto"/>
          <w:sz w:val="24"/>
          <w:highlight w:val="none"/>
        </w:rPr>
      </w:pPr>
      <w:r>
        <w:rPr>
          <w:rFonts w:hint="eastAsia" w:hAnsi="宋体"/>
          <w:color w:val="auto"/>
          <w:sz w:val="24"/>
          <w:highlight w:val="none"/>
        </w:rPr>
        <w:t>质疑事项1：</w:t>
      </w:r>
      <w:r>
        <w:rPr>
          <w:rFonts w:hint="eastAsia" w:hAnsi="宋体"/>
          <w:bCs/>
          <w:color w:val="auto"/>
          <w:sz w:val="24"/>
          <w:highlight w:val="none"/>
          <w:u w:val="single"/>
        </w:rPr>
        <w:t xml:space="preserve">                                                                    </w:t>
      </w:r>
    </w:p>
    <w:p w14:paraId="5BB25260">
      <w:pPr>
        <w:pStyle w:val="11"/>
        <w:spacing w:line="360" w:lineRule="auto"/>
        <w:ind w:left="25" w:leftChars="12" w:firstLine="472" w:firstLineChars="197"/>
        <w:contextualSpacing/>
        <w:rPr>
          <w:rFonts w:hint="eastAsia" w:hAnsi="宋体"/>
          <w:color w:val="auto"/>
          <w:sz w:val="24"/>
          <w:highlight w:val="none"/>
        </w:rPr>
      </w:pPr>
      <w:r>
        <w:rPr>
          <w:rFonts w:hint="eastAsia" w:hAnsi="宋体"/>
          <w:color w:val="auto"/>
          <w:sz w:val="24"/>
          <w:highlight w:val="none"/>
        </w:rPr>
        <w:t>事实依据：</w:t>
      </w:r>
      <w:r>
        <w:rPr>
          <w:rFonts w:hint="eastAsia" w:hAnsi="宋体"/>
          <w:bCs/>
          <w:color w:val="auto"/>
          <w:sz w:val="24"/>
          <w:highlight w:val="none"/>
          <w:u w:val="single"/>
        </w:rPr>
        <w:t xml:space="preserve">                                                                      </w:t>
      </w:r>
    </w:p>
    <w:p w14:paraId="47755C1E">
      <w:pPr>
        <w:pStyle w:val="11"/>
        <w:spacing w:line="360" w:lineRule="auto"/>
        <w:ind w:left="25" w:leftChars="12" w:firstLine="472" w:firstLineChars="197"/>
        <w:contextualSpacing/>
        <w:rPr>
          <w:rFonts w:hint="eastAsia" w:hAnsi="宋体"/>
          <w:color w:val="auto"/>
          <w:sz w:val="24"/>
          <w:highlight w:val="none"/>
        </w:rPr>
      </w:pPr>
      <w:r>
        <w:rPr>
          <w:rFonts w:hint="eastAsia" w:hAnsi="宋体"/>
          <w:color w:val="auto"/>
          <w:sz w:val="24"/>
          <w:highlight w:val="none"/>
        </w:rPr>
        <w:t>法律依据：</w:t>
      </w:r>
      <w:r>
        <w:rPr>
          <w:rFonts w:hint="eastAsia" w:hAnsi="宋体"/>
          <w:color w:val="auto"/>
          <w:sz w:val="24"/>
          <w:highlight w:val="none"/>
          <w:u w:val="single"/>
        </w:rPr>
        <w:t xml:space="preserve">                                                        </w:t>
      </w:r>
      <w:r>
        <w:rPr>
          <w:rFonts w:hint="eastAsia" w:hAnsi="宋体"/>
          <w:bCs/>
          <w:color w:val="auto"/>
          <w:sz w:val="24"/>
          <w:highlight w:val="none"/>
          <w:u w:val="single"/>
        </w:rPr>
        <w:t xml:space="preserve">               </w:t>
      </w:r>
    </w:p>
    <w:p w14:paraId="654A565D">
      <w:pPr>
        <w:pStyle w:val="11"/>
        <w:spacing w:line="360" w:lineRule="auto"/>
        <w:ind w:left="25" w:leftChars="12" w:firstLine="472" w:firstLineChars="197"/>
        <w:contextualSpacing/>
        <w:rPr>
          <w:rFonts w:hint="eastAsia" w:hAnsi="宋体"/>
          <w:color w:val="auto"/>
          <w:sz w:val="24"/>
          <w:highlight w:val="none"/>
        </w:rPr>
      </w:pPr>
      <w:r>
        <w:rPr>
          <w:rFonts w:hint="eastAsia" w:hAnsi="宋体"/>
          <w:color w:val="auto"/>
          <w:sz w:val="24"/>
          <w:highlight w:val="none"/>
        </w:rPr>
        <w:t>质疑事项2</w:t>
      </w:r>
    </w:p>
    <w:p w14:paraId="2E33BC0E">
      <w:pPr>
        <w:pStyle w:val="11"/>
        <w:spacing w:line="360" w:lineRule="auto"/>
        <w:ind w:left="25" w:leftChars="12" w:firstLine="472" w:firstLineChars="197"/>
        <w:contextualSpacing/>
        <w:rPr>
          <w:rFonts w:hint="eastAsia" w:hAnsi="宋体"/>
          <w:color w:val="auto"/>
          <w:sz w:val="24"/>
          <w:highlight w:val="none"/>
        </w:rPr>
      </w:pPr>
      <w:r>
        <w:rPr>
          <w:rFonts w:hint="eastAsia" w:hAnsi="宋体"/>
          <w:color w:val="auto"/>
          <w:sz w:val="24"/>
          <w:highlight w:val="none"/>
        </w:rPr>
        <w:t>……</w:t>
      </w:r>
    </w:p>
    <w:p w14:paraId="61C3C479">
      <w:pPr>
        <w:pStyle w:val="11"/>
        <w:spacing w:line="360" w:lineRule="auto"/>
        <w:ind w:left="25" w:leftChars="12" w:firstLine="472" w:firstLineChars="197"/>
        <w:contextualSpacing/>
        <w:rPr>
          <w:rFonts w:hint="eastAsia" w:hAnsi="宋体"/>
          <w:color w:val="auto"/>
          <w:sz w:val="24"/>
          <w:highlight w:val="none"/>
        </w:rPr>
      </w:pPr>
      <w:r>
        <w:rPr>
          <w:rFonts w:hint="eastAsia" w:hAnsi="宋体"/>
          <w:color w:val="auto"/>
          <w:sz w:val="24"/>
          <w:highlight w:val="none"/>
        </w:rPr>
        <w:t>四、与质疑事项相关的质疑请求：</w:t>
      </w:r>
    </w:p>
    <w:p w14:paraId="50D9B7EB">
      <w:pPr>
        <w:pStyle w:val="11"/>
        <w:spacing w:line="360" w:lineRule="auto"/>
        <w:ind w:left="25" w:leftChars="12" w:firstLine="472" w:firstLineChars="197"/>
        <w:contextualSpacing/>
        <w:rPr>
          <w:rFonts w:hint="eastAsia" w:hAnsi="宋体"/>
          <w:color w:val="auto"/>
          <w:sz w:val="24"/>
          <w:highlight w:val="none"/>
        </w:rPr>
      </w:pPr>
      <w:r>
        <w:rPr>
          <w:rFonts w:hint="eastAsia" w:hAnsi="宋体"/>
          <w:color w:val="auto"/>
          <w:sz w:val="24"/>
          <w:highlight w:val="none"/>
        </w:rPr>
        <w:t>请求：</w:t>
      </w:r>
      <w:r>
        <w:rPr>
          <w:rFonts w:hint="eastAsia" w:hAnsi="宋体"/>
          <w:bCs/>
          <w:color w:val="auto"/>
          <w:sz w:val="24"/>
          <w:highlight w:val="none"/>
          <w:u w:val="single"/>
        </w:rPr>
        <w:t xml:space="preserve">                                                                </w:t>
      </w:r>
    </w:p>
    <w:p w14:paraId="6829D93E">
      <w:pPr>
        <w:pStyle w:val="11"/>
        <w:spacing w:line="360" w:lineRule="auto"/>
        <w:ind w:left="25" w:leftChars="12" w:firstLine="352" w:firstLineChars="147"/>
        <w:contextualSpacing/>
        <w:rPr>
          <w:rFonts w:hint="eastAsia" w:hAnsi="宋体"/>
          <w:color w:val="auto"/>
          <w:sz w:val="24"/>
          <w:highlight w:val="none"/>
        </w:rPr>
      </w:pPr>
    </w:p>
    <w:p w14:paraId="426FAFE7">
      <w:pPr>
        <w:pStyle w:val="11"/>
        <w:spacing w:line="360" w:lineRule="auto"/>
        <w:ind w:left="25" w:leftChars="12" w:firstLine="472" w:firstLineChars="197"/>
        <w:contextualSpacing/>
        <w:rPr>
          <w:rFonts w:hint="eastAsia" w:hAnsi="宋体"/>
          <w:color w:val="auto"/>
          <w:sz w:val="24"/>
          <w:highlight w:val="none"/>
        </w:rPr>
      </w:pPr>
      <w:r>
        <w:rPr>
          <w:rFonts w:hint="eastAsia" w:hAnsi="宋体"/>
          <w:color w:val="auto"/>
          <w:sz w:val="24"/>
          <w:highlight w:val="none"/>
        </w:rPr>
        <w:t>签字（签章）：                                       公章：</w:t>
      </w:r>
    </w:p>
    <w:p w14:paraId="15AB70CA">
      <w:pPr>
        <w:pStyle w:val="11"/>
        <w:spacing w:line="360" w:lineRule="auto"/>
        <w:ind w:left="25" w:leftChars="12" w:firstLine="352" w:firstLineChars="147"/>
        <w:contextualSpacing/>
        <w:rPr>
          <w:rFonts w:hint="eastAsia" w:hAnsi="宋体"/>
          <w:color w:val="auto"/>
          <w:sz w:val="24"/>
          <w:highlight w:val="none"/>
        </w:rPr>
      </w:pPr>
    </w:p>
    <w:p w14:paraId="476E9278">
      <w:pPr>
        <w:pStyle w:val="11"/>
        <w:spacing w:line="360" w:lineRule="auto"/>
        <w:ind w:left="25" w:leftChars="12" w:firstLine="472" w:firstLineChars="197"/>
        <w:contextualSpacing/>
        <w:rPr>
          <w:rFonts w:hint="eastAsia" w:hAnsi="宋体"/>
          <w:color w:val="auto"/>
          <w:sz w:val="24"/>
          <w:highlight w:val="none"/>
        </w:rPr>
      </w:pPr>
      <w:r>
        <w:rPr>
          <w:rFonts w:hint="eastAsia" w:hAnsi="宋体"/>
          <w:color w:val="auto"/>
          <w:sz w:val="24"/>
          <w:highlight w:val="none"/>
        </w:rPr>
        <w:t>日期：</w:t>
      </w:r>
    </w:p>
    <w:p w14:paraId="30139B52">
      <w:pPr>
        <w:pStyle w:val="11"/>
        <w:spacing w:line="360" w:lineRule="auto"/>
        <w:rPr>
          <w:rFonts w:hint="eastAsia" w:hAnsi="宋体"/>
          <w:b/>
          <w:color w:val="auto"/>
          <w:sz w:val="24"/>
          <w:highlight w:val="none"/>
        </w:rPr>
      </w:pPr>
    </w:p>
    <w:p w14:paraId="34D07706">
      <w:pPr>
        <w:pStyle w:val="11"/>
        <w:spacing w:line="360" w:lineRule="auto"/>
        <w:rPr>
          <w:rFonts w:hint="eastAsia" w:hAnsi="宋体"/>
          <w:b/>
          <w:color w:val="auto"/>
          <w:sz w:val="24"/>
          <w:highlight w:val="none"/>
        </w:rPr>
      </w:pPr>
    </w:p>
    <w:p w14:paraId="3D2519C1">
      <w:pPr>
        <w:pStyle w:val="11"/>
        <w:spacing w:line="360" w:lineRule="auto"/>
        <w:rPr>
          <w:rFonts w:hint="eastAsia" w:hAnsi="宋体"/>
          <w:b/>
          <w:color w:val="auto"/>
          <w:sz w:val="24"/>
          <w:highlight w:val="none"/>
        </w:rPr>
      </w:pPr>
      <w:r>
        <w:rPr>
          <w:rFonts w:hint="eastAsia" w:hAnsi="宋体"/>
          <w:b/>
          <w:color w:val="auto"/>
          <w:sz w:val="24"/>
          <w:highlight w:val="none"/>
        </w:rPr>
        <w:t>说明：</w:t>
      </w:r>
    </w:p>
    <w:p w14:paraId="366F9DA8">
      <w:pPr>
        <w:pStyle w:val="11"/>
        <w:spacing w:line="360" w:lineRule="auto"/>
        <w:ind w:left="25" w:leftChars="12" w:firstLine="354" w:firstLineChars="147"/>
        <w:contextualSpacing/>
        <w:rPr>
          <w:rFonts w:hint="eastAsia" w:hAnsi="宋体"/>
          <w:b/>
          <w:bCs/>
          <w:color w:val="auto"/>
          <w:sz w:val="24"/>
          <w:highlight w:val="none"/>
        </w:rPr>
      </w:pPr>
      <w:r>
        <w:rPr>
          <w:rFonts w:hint="eastAsia" w:hAnsi="宋体"/>
          <w:b/>
          <w:color w:val="auto"/>
          <w:sz w:val="24"/>
          <w:highlight w:val="none"/>
        </w:rPr>
        <w:t>1.供应商提出质疑时，应提交质疑函和必要的证明材料</w:t>
      </w:r>
      <w:r>
        <w:rPr>
          <w:rFonts w:hint="eastAsia" w:hAnsi="宋体"/>
          <w:b/>
          <w:bCs/>
          <w:color w:val="auto"/>
          <w:sz w:val="24"/>
          <w:highlight w:val="none"/>
        </w:rPr>
        <w:t>。</w:t>
      </w:r>
    </w:p>
    <w:p w14:paraId="2E7BDD02">
      <w:pPr>
        <w:pStyle w:val="11"/>
        <w:spacing w:line="360" w:lineRule="auto"/>
        <w:ind w:left="25" w:leftChars="12" w:firstLine="354" w:firstLineChars="147"/>
        <w:contextualSpacing/>
        <w:rPr>
          <w:rFonts w:hint="eastAsia" w:hAnsi="宋体"/>
          <w:b/>
          <w:color w:val="auto"/>
          <w:sz w:val="24"/>
          <w:highlight w:val="none"/>
        </w:rPr>
      </w:pPr>
      <w:r>
        <w:rPr>
          <w:rFonts w:hint="eastAsia" w:hAnsi="宋体"/>
          <w:b/>
          <w:color w:val="auto"/>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105FF721">
      <w:pPr>
        <w:pStyle w:val="11"/>
        <w:spacing w:line="360" w:lineRule="auto"/>
        <w:ind w:left="25" w:leftChars="12" w:firstLine="354" w:firstLineChars="147"/>
        <w:contextualSpacing/>
        <w:rPr>
          <w:rFonts w:hint="eastAsia" w:hAnsi="宋体"/>
          <w:b/>
          <w:color w:val="auto"/>
          <w:sz w:val="24"/>
          <w:highlight w:val="none"/>
        </w:rPr>
      </w:pPr>
      <w:r>
        <w:rPr>
          <w:rFonts w:hint="eastAsia" w:hAnsi="宋体"/>
          <w:b/>
          <w:color w:val="auto"/>
          <w:sz w:val="24"/>
          <w:highlight w:val="none"/>
        </w:rPr>
        <w:t>3.质疑函的质疑事项应具体、明确，并有必要的事实依据和法律依据。</w:t>
      </w:r>
    </w:p>
    <w:p w14:paraId="236915A7">
      <w:pPr>
        <w:pStyle w:val="11"/>
        <w:spacing w:line="360" w:lineRule="auto"/>
        <w:ind w:left="25" w:leftChars="12" w:firstLine="354" w:firstLineChars="147"/>
        <w:contextualSpacing/>
        <w:rPr>
          <w:rFonts w:hint="eastAsia" w:hAnsi="宋体"/>
          <w:b/>
          <w:color w:val="auto"/>
          <w:sz w:val="24"/>
          <w:highlight w:val="none"/>
        </w:rPr>
      </w:pPr>
      <w:r>
        <w:rPr>
          <w:rFonts w:hint="eastAsia" w:hAnsi="宋体"/>
          <w:b/>
          <w:color w:val="auto"/>
          <w:sz w:val="24"/>
          <w:highlight w:val="none"/>
        </w:rPr>
        <w:t>4.质疑函的质疑请求应与质疑事项相关。</w:t>
      </w:r>
    </w:p>
    <w:p w14:paraId="2F322184">
      <w:pPr>
        <w:pStyle w:val="11"/>
        <w:spacing w:line="360" w:lineRule="auto"/>
        <w:ind w:left="25" w:leftChars="12" w:firstLine="354" w:firstLineChars="147"/>
        <w:contextualSpacing/>
        <w:rPr>
          <w:rFonts w:hint="eastAsia" w:hAnsi="宋体"/>
          <w:b/>
          <w:color w:val="auto"/>
          <w:highlight w:val="none"/>
        </w:rPr>
      </w:pPr>
      <w:r>
        <w:rPr>
          <w:rFonts w:hint="eastAsia" w:hAnsi="宋体"/>
          <w:b/>
          <w:color w:val="auto"/>
          <w:sz w:val="24"/>
          <w:highlight w:val="none"/>
        </w:rPr>
        <w:t>5.质疑供应商为法人或者其他组织的，质疑函应由法定代表人、主要负责人，或者其授权代表签字或者盖章，并加盖公章。</w:t>
      </w:r>
    </w:p>
    <w:p w14:paraId="57866C02">
      <w:pPr>
        <w:pStyle w:val="11"/>
        <w:snapToGrid w:val="0"/>
        <w:rPr>
          <w:b/>
          <w:color w:val="auto"/>
          <w:sz w:val="24"/>
          <w:highlight w:val="none"/>
        </w:rPr>
      </w:pPr>
    </w:p>
    <w:p w14:paraId="5F8AE973">
      <w:pPr>
        <w:spacing w:line="460" w:lineRule="exact"/>
        <w:jc w:val="center"/>
        <w:rPr>
          <w:rFonts w:eastAsia="隶书"/>
          <w:color w:val="auto"/>
          <w:sz w:val="44"/>
          <w:highlight w:val="none"/>
        </w:rPr>
      </w:pPr>
      <w:r>
        <w:rPr>
          <w:rFonts w:eastAsia="隶书"/>
          <w:color w:val="auto"/>
          <w:sz w:val="44"/>
          <w:highlight w:val="none"/>
        </w:rPr>
        <w:br w:type="page"/>
      </w:r>
    </w:p>
    <w:p w14:paraId="5B944BB8">
      <w:pPr>
        <w:spacing w:line="360" w:lineRule="auto"/>
        <w:jc w:val="center"/>
        <w:rPr>
          <w:rFonts w:hint="eastAsia" w:ascii="宋体" w:hAnsi="宋体"/>
          <w:b/>
          <w:bCs/>
          <w:color w:val="auto"/>
          <w:sz w:val="32"/>
          <w:szCs w:val="32"/>
          <w:highlight w:val="none"/>
        </w:rPr>
      </w:pPr>
      <w:r>
        <w:rPr>
          <w:rFonts w:hint="eastAsia" w:ascii="宋体" w:hAnsi="宋体"/>
          <w:b/>
          <w:bCs/>
          <w:color w:val="auto"/>
          <w:sz w:val="32"/>
          <w:szCs w:val="32"/>
          <w:highlight w:val="none"/>
        </w:rPr>
        <w:t>投诉书（格式）</w:t>
      </w:r>
    </w:p>
    <w:p w14:paraId="7368CC99">
      <w:pPr>
        <w:pStyle w:val="11"/>
        <w:snapToGrid w:val="0"/>
        <w:spacing w:line="360" w:lineRule="auto"/>
        <w:ind w:left="0" w:leftChars="0" w:firstLine="482" w:firstLineChars="200"/>
        <w:rPr>
          <w:rFonts w:hint="eastAsia" w:hAnsi="宋体"/>
          <w:b/>
          <w:bCs/>
          <w:color w:val="auto"/>
          <w:sz w:val="24"/>
          <w:highlight w:val="none"/>
        </w:rPr>
      </w:pPr>
      <w:r>
        <w:rPr>
          <w:rFonts w:hint="eastAsia" w:hAnsi="宋体"/>
          <w:b/>
          <w:bCs/>
          <w:color w:val="auto"/>
          <w:sz w:val="24"/>
          <w:highlight w:val="none"/>
        </w:rPr>
        <w:t>一、投诉相关主体基本情况：</w:t>
      </w:r>
    </w:p>
    <w:p w14:paraId="257CE61F">
      <w:pPr>
        <w:pStyle w:val="11"/>
        <w:snapToGrid w:val="0"/>
        <w:spacing w:line="360" w:lineRule="auto"/>
        <w:ind w:left="0" w:leftChars="0" w:firstLine="480" w:firstLineChars="200"/>
        <w:rPr>
          <w:rFonts w:hint="eastAsia" w:hAnsi="宋体"/>
          <w:bCs/>
          <w:color w:val="auto"/>
          <w:sz w:val="24"/>
          <w:highlight w:val="none"/>
          <w:u w:val="single"/>
        </w:rPr>
      </w:pPr>
      <w:r>
        <w:rPr>
          <w:rFonts w:hint="eastAsia" w:hAnsi="宋体"/>
          <w:bCs/>
          <w:color w:val="auto"/>
          <w:sz w:val="24"/>
          <w:highlight w:val="none"/>
        </w:rPr>
        <w:t>供应商：</w:t>
      </w:r>
      <w:r>
        <w:rPr>
          <w:rFonts w:hint="eastAsia" w:hAnsi="宋体"/>
          <w:bCs/>
          <w:color w:val="auto"/>
          <w:sz w:val="24"/>
          <w:highlight w:val="none"/>
          <w:u w:val="single"/>
        </w:rPr>
        <w:t xml:space="preserve">                                                                        </w:t>
      </w:r>
      <w:r>
        <w:rPr>
          <w:rFonts w:hint="eastAsia" w:hAnsi="宋体"/>
          <w:bCs/>
          <w:color w:val="auto"/>
          <w:sz w:val="24"/>
          <w:highlight w:val="none"/>
        </w:rPr>
        <w:t xml:space="preserve">                 </w:t>
      </w:r>
    </w:p>
    <w:p w14:paraId="70A111BC">
      <w:pPr>
        <w:pStyle w:val="11"/>
        <w:snapToGrid w:val="0"/>
        <w:spacing w:line="360" w:lineRule="auto"/>
        <w:ind w:left="0" w:leftChars="0" w:firstLine="480" w:firstLineChars="200"/>
        <w:rPr>
          <w:rFonts w:hint="eastAsia" w:hAnsi="宋体"/>
          <w:bCs/>
          <w:color w:val="auto"/>
          <w:sz w:val="24"/>
          <w:highlight w:val="none"/>
        </w:rPr>
      </w:pPr>
      <w:r>
        <w:rPr>
          <w:rFonts w:hint="eastAsia" w:hAnsi="宋体"/>
          <w:bCs/>
          <w:color w:val="auto"/>
          <w:sz w:val="24"/>
          <w:highlight w:val="none"/>
        </w:rPr>
        <w:t>地址：</w:t>
      </w:r>
      <w:r>
        <w:rPr>
          <w:rFonts w:hint="eastAsia" w:hAnsi="宋体"/>
          <w:bCs/>
          <w:color w:val="auto"/>
          <w:sz w:val="24"/>
          <w:highlight w:val="none"/>
          <w:u w:val="single"/>
        </w:rPr>
        <w:t xml:space="preserve">                                          </w:t>
      </w:r>
      <w:r>
        <w:rPr>
          <w:rFonts w:hint="eastAsia" w:hAnsi="宋体"/>
          <w:bCs/>
          <w:color w:val="auto"/>
          <w:sz w:val="24"/>
          <w:highlight w:val="none"/>
        </w:rPr>
        <w:t>邮编：</w:t>
      </w:r>
      <w:r>
        <w:rPr>
          <w:rFonts w:hint="eastAsia" w:hAnsi="宋体"/>
          <w:bCs/>
          <w:color w:val="auto"/>
          <w:sz w:val="24"/>
          <w:highlight w:val="none"/>
          <w:u w:val="single"/>
        </w:rPr>
        <w:t xml:space="preserve">                          </w:t>
      </w:r>
      <w:r>
        <w:rPr>
          <w:rFonts w:hint="eastAsia" w:hAnsi="宋体"/>
          <w:bCs/>
          <w:color w:val="auto"/>
          <w:sz w:val="24"/>
          <w:highlight w:val="none"/>
        </w:rPr>
        <w:t xml:space="preserve">                 </w:t>
      </w:r>
    </w:p>
    <w:p w14:paraId="5079DD9C">
      <w:pPr>
        <w:pStyle w:val="11"/>
        <w:snapToGrid w:val="0"/>
        <w:spacing w:line="360" w:lineRule="auto"/>
        <w:ind w:left="0" w:leftChars="0" w:firstLine="480" w:firstLineChars="200"/>
        <w:rPr>
          <w:rFonts w:hint="eastAsia" w:hAnsi="宋体"/>
          <w:bCs/>
          <w:color w:val="auto"/>
          <w:sz w:val="24"/>
          <w:highlight w:val="none"/>
          <w:u w:val="single"/>
        </w:rPr>
      </w:pPr>
      <w:r>
        <w:rPr>
          <w:rFonts w:hint="eastAsia" w:hAnsi="宋体"/>
          <w:bCs/>
          <w:color w:val="auto"/>
          <w:sz w:val="24"/>
          <w:highlight w:val="none"/>
        </w:rPr>
        <w:t>法定代表人/主要负责人：</w:t>
      </w:r>
      <w:r>
        <w:rPr>
          <w:rFonts w:hint="eastAsia" w:hAnsi="宋体"/>
          <w:bCs/>
          <w:color w:val="auto"/>
          <w:sz w:val="24"/>
          <w:highlight w:val="none"/>
          <w:u w:val="single"/>
        </w:rPr>
        <w:t xml:space="preserve">                                                         </w:t>
      </w:r>
    </w:p>
    <w:p w14:paraId="7A1FFE57">
      <w:pPr>
        <w:pStyle w:val="11"/>
        <w:snapToGrid w:val="0"/>
        <w:spacing w:line="360" w:lineRule="auto"/>
        <w:ind w:left="0" w:leftChars="0" w:firstLine="480" w:firstLineChars="200"/>
        <w:rPr>
          <w:rFonts w:hint="eastAsia" w:hAnsi="宋体"/>
          <w:bCs/>
          <w:color w:val="auto"/>
          <w:sz w:val="24"/>
          <w:highlight w:val="none"/>
        </w:rPr>
      </w:pPr>
      <w:r>
        <w:rPr>
          <w:rFonts w:hint="eastAsia" w:hAnsi="宋体"/>
          <w:bCs/>
          <w:color w:val="auto"/>
          <w:sz w:val="24"/>
          <w:highlight w:val="none"/>
        </w:rPr>
        <w:t>联系电话：</w:t>
      </w:r>
      <w:r>
        <w:rPr>
          <w:rFonts w:hint="eastAsia" w:hAnsi="宋体"/>
          <w:bCs/>
          <w:color w:val="auto"/>
          <w:sz w:val="24"/>
          <w:highlight w:val="none"/>
          <w:u w:val="single"/>
        </w:rPr>
        <w:t xml:space="preserve">                                         </w:t>
      </w:r>
    </w:p>
    <w:p w14:paraId="45A868A1">
      <w:pPr>
        <w:pStyle w:val="11"/>
        <w:snapToGrid w:val="0"/>
        <w:spacing w:line="360" w:lineRule="auto"/>
        <w:ind w:left="0" w:leftChars="0" w:firstLine="480" w:firstLineChars="200"/>
        <w:rPr>
          <w:rFonts w:hint="eastAsia" w:hAnsi="宋体"/>
          <w:bCs/>
          <w:color w:val="auto"/>
          <w:sz w:val="24"/>
          <w:highlight w:val="none"/>
          <w:u w:val="single"/>
        </w:rPr>
      </w:pPr>
      <w:r>
        <w:rPr>
          <w:rFonts w:hint="eastAsia" w:hAnsi="宋体"/>
          <w:bCs/>
          <w:color w:val="auto"/>
          <w:sz w:val="24"/>
          <w:highlight w:val="none"/>
        </w:rPr>
        <w:t>授权代表：</w:t>
      </w:r>
      <w:r>
        <w:rPr>
          <w:rFonts w:hint="eastAsia" w:hAnsi="宋体"/>
          <w:bCs/>
          <w:color w:val="auto"/>
          <w:sz w:val="24"/>
          <w:highlight w:val="none"/>
          <w:u w:val="single"/>
        </w:rPr>
        <w:t xml:space="preserve">                                         </w:t>
      </w:r>
      <w:r>
        <w:rPr>
          <w:rFonts w:hint="eastAsia" w:hAnsi="宋体"/>
          <w:bCs/>
          <w:color w:val="auto"/>
          <w:sz w:val="24"/>
          <w:highlight w:val="none"/>
        </w:rPr>
        <w:t>联系电话：</w:t>
      </w:r>
      <w:r>
        <w:rPr>
          <w:rFonts w:hint="eastAsia" w:hAnsi="宋体"/>
          <w:bCs/>
          <w:color w:val="auto"/>
          <w:sz w:val="24"/>
          <w:highlight w:val="none"/>
          <w:u w:val="single"/>
        </w:rPr>
        <w:t xml:space="preserve">                   </w:t>
      </w:r>
    </w:p>
    <w:p w14:paraId="53366EAA">
      <w:pPr>
        <w:pStyle w:val="11"/>
        <w:snapToGrid w:val="0"/>
        <w:spacing w:line="360" w:lineRule="auto"/>
        <w:ind w:left="0" w:leftChars="0" w:firstLine="480" w:firstLineChars="200"/>
        <w:rPr>
          <w:rFonts w:hint="eastAsia" w:hAnsi="宋体"/>
          <w:bCs/>
          <w:color w:val="auto"/>
          <w:sz w:val="24"/>
          <w:highlight w:val="none"/>
          <w:u w:val="single"/>
        </w:rPr>
      </w:pPr>
      <w:r>
        <w:rPr>
          <w:rFonts w:hint="eastAsia" w:hAnsi="宋体"/>
          <w:bCs/>
          <w:color w:val="auto"/>
          <w:sz w:val="24"/>
          <w:highlight w:val="none"/>
        </w:rPr>
        <w:t>地址：</w:t>
      </w:r>
      <w:r>
        <w:rPr>
          <w:rFonts w:hint="eastAsia" w:hAnsi="宋体"/>
          <w:bCs/>
          <w:color w:val="auto"/>
          <w:sz w:val="24"/>
          <w:highlight w:val="none"/>
          <w:u w:val="single"/>
        </w:rPr>
        <w:t xml:space="preserve">                                                            </w:t>
      </w:r>
    </w:p>
    <w:p w14:paraId="1F5B6CE4">
      <w:pPr>
        <w:pStyle w:val="11"/>
        <w:snapToGrid w:val="0"/>
        <w:spacing w:line="360" w:lineRule="auto"/>
        <w:ind w:left="0" w:leftChars="0" w:firstLine="480" w:firstLineChars="200"/>
        <w:rPr>
          <w:rFonts w:hint="eastAsia" w:hAnsi="宋体"/>
          <w:bCs/>
          <w:color w:val="auto"/>
          <w:sz w:val="24"/>
          <w:highlight w:val="none"/>
        </w:rPr>
      </w:pPr>
      <w:r>
        <w:rPr>
          <w:rFonts w:hint="eastAsia" w:hAnsi="宋体"/>
          <w:bCs/>
          <w:color w:val="auto"/>
          <w:sz w:val="24"/>
          <w:highlight w:val="none"/>
        </w:rPr>
        <w:t>邮编：</w:t>
      </w:r>
      <w:r>
        <w:rPr>
          <w:rFonts w:hint="eastAsia" w:hAnsi="宋体"/>
          <w:bCs/>
          <w:color w:val="auto"/>
          <w:sz w:val="24"/>
          <w:highlight w:val="none"/>
          <w:u w:val="single"/>
        </w:rPr>
        <w:t xml:space="preserve">         </w:t>
      </w:r>
      <w:r>
        <w:rPr>
          <w:rFonts w:hint="eastAsia" w:hAnsi="宋体"/>
          <w:bCs/>
          <w:color w:val="auto"/>
          <w:sz w:val="24"/>
          <w:highlight w:val="none"/>
        </w:rPr>
        <w:t xml:space="preserve">   </w:t>
      </w:r>
    </w:p>
    <w:p w14:paraId="3A05BFDE">
      <w:pPr>
        <w:pStyle w:val="11"/>
        <w:snapToGrid w:val="0"/>
        <w:spacing w:line="360" w:lineRule="auto"/>
        <w:ind w:left="0" w:leftChars="0" w:firstLine="480" w:firstLineChars="200"/>
        <w:rPr>
          <w:rFonts w:hint="eastAsia" w:hAnsi="宋体"/>
          <w:bCs/>
          <w:color w:val="auto"/>
          <w:sz w:val="24"/>
          <w:highlight w:val="none"/>
        </w:rPr>
      </w:pPr>
      <w:r>
        <w:rPr>
          <w:rFonts w:hint="eastAsia" w:hAnsi="宋体"/>
          <w:bCs/>
          <w:color w:val="auto"/>
          <w:sz w:val="24"/>
          <w:highlight w:val="none"/>
        </w:rPr>
        <w:t>被投诉人1：</w:t>
      </w:r>
    </w:p>
    <w:p w14:paraId="75087580">
      <w:pPr>
        <w:pStyle w:val="11"/>
        <w:snapToGrid w:val="0"/>
        <w:spacing w:line="360" w:lineRule="auto"/>
        <w:ind w:left="0" w:leftChars="0" w:firstLine="480" w:firstLineChars="200"/>
        <w:rPr>
          <w:rFonts w:hint="eastAsia" w:hAnsi="宋体"/>
          <w:bCs/>
          <w:color w:val="auto"/>
          <w:sz w:val="24"/>
          <w:highlight w:val="none"/>
          <w:u w:val="single"/>
        </w:rPr>
      </w:pPr>
      <w:r>
        <w:rPr>
          <w:rFonts w:hint="eastAsia" w:hAnsi="宋体"/>
          <w:bCs/>
          <w:color w:val="auto"/>
          <w:sz w:val="24"/>
          <w:highlight w:val="none"/>
        </w:rPr>
        <w:t>地址：</w:t>
      </w:r>
      <w:r>
        <w:rPr>
          <w:rFonts w:hint="eastAsia" w:hAnsi="宋体"/>
          <w:bCs/>
          <w:color w:val="auto"/>
          <w:sz w:val="24"/>
          <w:highlight w:val="none"/>
          <w:u w:val="single"/>
        </w:rPr>
        <w:t xml:space="preserve">                                                            </w:t>
      </w:r>
    </w:p>
    <w:p w14:paraId="6D37ED70">
      <w:pPr>
        <w:pStyle w:val="11"/>
        <w:snapToGrid w:val="0"/>
        <w:spacing w:line="360" w:lineRule="auto"/>
        <w:ind w:left="0" w:leftChars="0" w:firstLine="480" w:firstLineChars="200"/>
        <w:rPr>
          <w:rFonts w:hint="eastAsia" w:hAnsi="宋体"/>
          <w:bCs/>
          <w:color w:val="auto"/>
          <w:sz w:val="24"/>
          <w:highlight w:val="none"/>
        </w:rPr>
      </w:pPr>
      <w:r>
        <w:rPr>
          <w:rFonts w:hint="eastAsia" w:hAnsi="宋体"/>
          <w:bCs/>
          <w:color w:val="auto"/>
          <w:sz w:val="24"/>
          <w:highlight w:val="none"/>
        </w:rPr>
        <w:t>邮编：</w:t>
      </w:r>
      <w:r>
        <w:rPr>
          <w:rFonts w:hint="eastAsia" w:hAnsi="宋体"/>
          <w:bCs/>
          <w:color w:val="auto"/>
          <w:sz w:val="24"/>
          <w:highlight w:val="none"/>
          <w:u w:val="single"/>
        </w:rPr>
        <w:t xml:space="preserve">         </w:t>
      </w:r>
      <w:r>
        <w:rPr>
          <w:rFonts w:hint="eastAsia" w:hAnsi="宋体"/>
          <w:bCs/>
          <w:color w:val="auto"/>
          <w:sz w:val="24"/>
          <w:highlight w:val="none"/>
        </w:rPr>
        <w:t xml:space="preserve">  </w:t>
      </w:r>
    </w:p>
    <w:p w14:paraId="1F79DCE6">
      <w:pPr>
        <w:pStyle w:val="11"/>
        <w:snapToGrid w:val="0"/>
        <w:spacing w:line="360" w:lineRule="auto"/>
        <w:ind w:left="0" w:leftChars="0" w:firstLine="480" w:firstLineChars="200"/>
        <w:rPr>
          <w:rFonts w:hint="eastAsia" w:hAnsi="宋体"/>
          <w:bCs/>
          <w:color w:val="auto"/>
          <w:sz w:val="24"/>
          <w:highlight w:val="none"/>
          <w:u w:val="single"/>
        </w:rPr>
      </w:pPr>
      <w:r>
        <w:rPr>
          <w:rFonts w:hint="eastAsia" w:hAnsi="宋体"/>
          <w:bCs/>
          <w:color w:val="auto"/>
          <w:sz w:val="24"/>
          <w:highlight w:val="none"/>
        </w:rPr>
        <w:t>联系人：</w:t>
      </w:r>
      <w:r>
        <w:rPr>
          <w:rFonts w:hint="eastAsia" w:hAnsi="宋体"/>
          <w:bCs/>
          <w:color w:val="auto"/>
          <w:sz w:val="24"/>
          <w:highlight w:val="none"/>
          <w:u w:val="single"/>
        </w:rPr>
        <w:t xml:space="preserve">                                                </w:t>
      </w:r>
      <w:r>
        <w:rPr>
          <w:rFonts w:hint="eastAsia" w:hAnsi="宋体"/>
          <w:bCs/>
          <w:color w:val="auto"/>
          <w:sz w:val="24"/>
          <w:highlight w:val="none"/>
        </w:rPr>
        <w:t>联系电话：</w:t>
      </w:r>
      <w:r>
        <w:rPr>
          <w:rFonts w:hint="eastAsia" w:hAnsi="宋体"/>
          <w:bCs/>
          <w:color w:val="auto"/>
          <w:sz w:val="24"/>
          <w:highlight w:val="none"/>
          <w:u w:val="single"/>
        </w:rPr>
        <w:t xml:space="preserve">                </w:t>
      </w:r>
    </w:p>
    <w:p w14:paraId="5E94E13A">
      <w:pPr>
        <w:pStyle w:val="11"/>
        <w:snapToGrid w:val="0"/>
        <w:spacing w:line="360" w:lineRule="auto"/>
        <w:ind w:left="0" w:leftChars="0" w:firstLine="480" w:firstLineChars="200"/>
        <w:rPr>
          <w:rFonts w:hint="eastAsia" w:hAnsi="宋体"/>
          <w:bCs/>
          <w:color w:val="auto"/>
          <w:sz w:val="24"/>
          <w:highlight w:val="none"/>
        </w:rPr>
      </w:pPr>
      <w:r>
        <w:rPr>
          <w:rFonts w:hint="eastAsia" w:hAnsi="宋体"/>
          <w:bCs/>
          <w:color w:val="auto"/>
          <w:sz w:val="24"/>
          <w:highlight w:val="none"/>
        </w:rPr>
        <w:t>被投诉人2：</w:t>
      </w:r>
    </w:p>
    <w:p w14:paraId="41831669">
      <w:pPr>
        <w:pStyle w:val="11"/>
        <w:snapToGrid w:val="0"/>
        <w:spacing w:line="360" w:lineRule="auto"/>
        <w:ind w:left="0" w:leftChars="0" w:firstLine="480" w:firstLineChars="200"/>
        <w:rPr>
          <w:rFonts w:hint="eastAsia" w:hAnsi="宋体"/>
          <w:bCs/>
          <w:color w:val="auto"/>
          <w:sz w:val="24"/>
          <w:highlight w:val="none"/>
        </w:rPr>
      </w:pPr>
      <w:r>
        <w:rPr>
          <w:rFonts w:hint="eastAsia" w:hAnsi="宋体"/>
          <w:bCs/>
          <w:color w:val="auto"/>
          <w:sz w:val="24"/>
          <w:highlight w:val="none"/>
        </w:rPr>
        <w:t>……</w:t>
      </w:r>
    </w:p>
    <w:p w14:paraId="04A4FE83">
      <w:pPr>
        <w:pStyle w:val="11"/>
        <w:snapToGrid w:val="0"/>
        <w:spacing w:line="360" w:lineRule="auto"/>
        <w:ind w:left="0" w:leftChars="0" w:firstLine="480" w:firstLineChars="200"/>
        <w:rPr>
          <w:rFonts w:hint="eastAsia" w:hAnsi="宋体"/>
          <w:bCs/>
          <w:color w:val="auto"/>
          <w:sz w:val="24"/>
          <w:highlight w:val="none"/>
          <w:u w:val="single"/>
        </w:rPr>
      </w:pPr>
      <w:r>
        <w:rPr>
          <w:rFonts w:hint="eastAsia" w:hAnsi="宋体"/>
          <w:bCs/>
          <w:color w:val="auto"/>
          <w:sz w:val="24"/>
          <w:highlight w:val="none"/>
        </w:rPr>
        <w:t>相关供应商：</w:t>
      </w:r>
      <w:r>
        <w:rPr>
          <w:rFonts w:hint="eastAsia" w:hAnsi="宋体"/>
          <w:bCs/>
          <w:color w:val="auto"/>
          <w:sz w:val="24"/>
          <w:highlight w:val="none"/>
          <w:u w:val="single"/>
        </w:rPr>
        <w:t xml:space="preserve">                                                                       </w:t>
      </w:r>
    </w:p>
    <w:p w14:paraId="32BDC60B">
      <w:pPr>
        <w:pStyle w:val="11"/>
        <w:snapToGrid w:val="0"/>
        <w:spacing w:line="360" w:lineRule="auto"/>
        <w:ind w:left="0" w:leftChars="0" w:firstLine="480" w:firstLineChars="200"/>
        <w:rPr>
          <w:rFonts w:hint="eastAsia" w:hAnsi="宋体"/>
          <w:bCs/>
          <w:color w:val="auto"/>
          <w:sz w:val="24"/>
          <w:highlight w:val="none"/>
          <w:u w:val="single"/>
        </w:rPr>
      </w:pPr>
      <w:r>
        <w:rPr>
          <w:rFonts w:hint="eastAsia" w:hAnsi="宋体"/>
          <w:bCs/>
          <w:color w:val="auto"/>
          <w:sz w:val="24"/>
          <w:highlight w:val="none"/>
        </w:rPr>
        <w:t>地址：</w:t>
      </w:r>
      <w:r>
        <w:rPr>
          <w:rFonts w:hint="eastAsia" w:hAnsi="宋体"/>
          <w:bCs/>
          <w:color w:val="auto"/>
          <w:sz w:val="24"/>
          <w:highlight w:val="none"/>
          <w:u w:val="single"/>
        </w:rPr>
        <w:t xml:space="preserve">                                              </w:t>
      </w:r>
      <w:r>
        <w:rPr>
          <w:rFonts w:hint="eastAsia" w:hAnsi="宋体"/>
          <w:bCs/>
          <w:color w:val="auto"/>
          <w:sz w:val="24"/>
          <w:highlight w:val="none"/>
        </w:rPr>
        <w:t>邮编：</w:t>
      </w:r>
      <w:r>
        <w:rPr>
          <w:rFonts w:hint="eastAsia" w:hAnsi="宋体"/>
          <w:bCs/>
          <w:color w:val="auto"/>
          <w:sz w:val="24"/>
          <w:highlight w:val="none"/>
          <w:u w:val="single"/>
        </w:rPr>
        <w:t xml:space="preserve">                         </w:t>
      </w:r>
    </w:p>
    <w:p w14:paraId="34D0B103">
      <w:pPr>
        <w:pStyle w:val="11"/>
        <w:snapToGrid w:val="0"/>
        <w:spacing w:line="360" w:lineRule="auto"/>
        <w:ind w:left="0" w:leftChars="0" w:firstLine="480" w:firstLineChars="200"/>
        <w:rPr>
          <w:rFonts w:hint="eastAsia" w:hAnsi="宋体"/>
          <w:bCs/>
          <w:color w:val="auto"/>
          <w:sz w:val="24"/>
          <w:highlight w:val="none"/>
        </w:rPr>
      </w:pPr>
      <w:r>
        <w:rPr>
          <w:rFonts w:hint="eastAsia" w:hAnsi="宋体"/>
          <w:bCs/>
          <w:color w:val="auto"/>
          <w:sz w:val="24"/>
          <w:highlight w:val="none"/>
        </w:rPr>
        <w:t>联系人：</w:t>
      </w:r>
      <w:r>
        <w:rPr>
          <w:rFonts w:hint="eastAsia" w:hAnsi="宋体"/>
          <w:bCs/>
          <w:color w:val="auto"/>
          <w:sz w:val="24"/>
          <w:highlight w:val="none"/>
          <w:u w:val="single"/>
        </w:rPr>
        <w:t xml:space="preserve">                                            </w:t>
      </w:r>
      <w:r>
        <w:rPr>
          <w:rFonts w:hint="eastAsia" w:hAnsi="宋体"/>
          <w:bCs/>
          <w:color w:val="auto"/>
          <w:sz w:val="24"/>
          <w:highlight w:val="none"/>
        </w:rPr>
        <w:t>联系电话：</w:t>
      </w:r>
      <w:r>
        <w:rPr>
          <w:rFonts w:hint="eastAsia" w:hAnsi="宋体"/>
          <w:bCs/>
          <w:color w:val="auto"/>
          <w:sz w:val="24"/>
          <w:highlight w:val="none"/>
          <w:u w:val="single"/>
        </w:rPr>
        <w:t xml:space="preserve">                     </w:t>
      </w:r>
      <w:r>
        <w:rPr>
          <w:rFonts w:hint="eastAsia" w:hAnsi="宋体"/>
          <w:bCs/>
          <w:color w:val="auto"/>
          <w:sz w:val="24"/>
          <w:highlight w:val="none"/>
        </w:rPr>
        <w:t xml:space="preserve">                </w:t>
      </w:r>
    </w:p>
    <w:p w14:paraId="1E66C2F0">
      <w:pPr>
        <w:pStyle w:val="11"/>
        <w:snapToGrid w:val="0"/>
        <w:spacing w:line="360" w:lineRule="auto"/>
        <w:ind w:left="0" w:leftChars="0" w:firstLine="482" w:firstLineChars="200"/>
        <w:rPr>
          <w:rFonts w:hint="eastAsia" w:hAnsi="宋体"/>
          <w:b/>
          <w:bCs/>
          <w:color w:val="auto"/>
          <w:sz w:val="24"/>
          <w:highlight w:val="none"/>
        </w:rPr>
      </w:pPr>
      <w:r>
        <w:rPr>
          <w:rFonts w:hint="eastAsia" w:hAnsi="宋体"/>
          <w:b/>
          <w:bCs/>
          <w:color w:val="auto"/>
          <w:sz w:val="24"/>
          <w:highlight w:val="none"/>
        </w:rPr>
        <w:t>二、投诉项目基本情况：</w:t>
      </w:r>
    </w:p>
    <w:p w14:paraId="3757E63C">
      <w:pPr>
        <w:pStyle w:val="11"/>
        <w:spacing w:line="360" w:lineRule="auto"/>
        <w:ind w:left="25" w:leftChars="12" w:firstLine="472" w:firstLineChars="197"/>
        <w:rPr>
          <w:rFonts w:hint="eastAsia" w:hAnsi="宋体"/>
          <w:color w:val="auto"/>
          <w:sz w:val="24"/>
          <w:highlight w:val="none"/>
        </w:rPr>
      </w:pPr>
      <w:r>
        <w:rPr>
          <w:rFonts w:hint="eastAsia" w:hAnsi="宋体"/>
          <w:bCs/>
          <w:color w:val="auto"/>
          <w:sz w:val="24"/>
          <w:highlight w:val="none"/>
        </w:rPr>
        <w:t>采购</w:t>
      </w:r>
      <w:r>
        <w:rPr>
          <w:rFonts w:hint="eastAsia" w:hAnsi="宋体"/>
          <w:color w:val="auto"/>
          <w:sz w:val="24"/>
          <w:highlight w:val="none"/>
        </w:rPr>
        <w:t>项目的名称：</w:t>
      </w:r>
      <w:r>
        <w:rPr>
          <w:rFonts w:hint="eastAsia" w:hAnsi="宋体"/>
          <w:bCs/>
          <w:color w:val="auto"/>
          <w:sz w:val="24"/>
          <w:highlight w:val="none"/>
          <w:u w:val="single"/>
        </w:rPr>
        <w:t xml:space="preserve">  </w:t>
      </w:r>
      <w:r>
        <w:rPr>
          <w:rFonts w:hint="eastAsia" w:hAnsi="宋体"/>
          <w:bCs/>
          <w:color w:val="auto"/>
          <w:sz w:val="24"/>
          <w:highlight w:val="none"/>
          <w:u w:val="single"/>
          <w:lang w:eastAsia="zh-CN"/>
        </w:rPr>
        <w:t>第三方机构审计、核验2025年财政资金计划补助项目服务（3分标重）</w:t>
      </w:r>
      <w:r>
        <w:rPr>
          <w:rFonts w:hint="eastAsia" w:hAnsi="宋体"/>
          <w:bCs/>
          <w:color w:val="auto"/>
          <w:sz w:val="24"/>
          <w:highlight w:val="none"/>
          <w:u w:val="single"/>
        </w:rPr>
        <w:t xml:space="preserve">    </w:t>
      </w:r>
    </w:p>
    <w:p w14:paraId="6B6F9126">
      <w:pPr>
        <w:pStyle w:val="11"/>
        <w:spacing w:line="360" w:lineRule="auto"/>
        <w:ind w:left="25" w:leftChars="12" w:firstLine="472" w:firstLineChars="197"/>
        <w:rPr>
          <w:rFonts w:hint="eastAsia" w:hAnsi="宋体"/>
          <w:color w:val="auto"/>
          <w:sz w:val="24"/>
          <w:highlight w:val="none"/>
        </w:rPr>
      </w:pPr>
      <w:r>
        <w:rPr>
          <w:rFonts w:hint="eastAsia" w:hAnsi="宋体"/>
          <w:bCs/>
          <w:color w:val="auto"/>
          <w:sz w:val="24"/>
          <w:highlight w:val="none"/>
        </w:rPr>
        <w:t>采购</w:t>
      </w:r>
      <w:r>
        <w:rPr>
          <w:rFonts w:hint="eastAsia" w:hAnsi="宋体"/>
          <w:color w:val="auto"/>
          <w:sz w:val="24"/>
          <w:highlight w:val="none"/>
        </w:rPr>
        <w:t>项目的编号：</w:t>
      </w:r>
      <w:r>
        <w:rPr>
          <w:rFonts w:hint="eastAsia" w:hAnsi="宋体"/>
          <w:bCs/>
          <w:color w:val="auto"/>
          <w:sz w:val="24"/>
          <w:highlight w:val="none"/>
          <w:u w:val="single"/>
        </w:rPr>
        <w:t xml:space="preserve">                      </w:t>
      </w:r>
    </w:p>
    <w:p w14:paraId="76DCD7EB">
      <w:pPr>
        <w:pStyle w:val="11"/>
        <w:spacing w:line="360" w:lineRule="auto"/>
        <w:ind w:left="25" w:leftChars="12" w:firstLine="472" w:firstLineChars="197"/>
        <w:rPr>
          <w:rFonts w:hint="eastAsia" w:hAnsi="宋体"/>
          <w:bCs/>
          <w:color w:val="auto"/>
          <w:sz w:val="24"/>
          <w:highlight w:val="none"/>
          <w:u w:val="single"/>
        </w:rPr>
      </w:pPr>
      <w:r>
        <w:rPr>
          <w:rFonts w:hint="eastAsia" w:hAnsi="宋体"/>
          <w:color w:val="auto"/>
          <w:sz w:val="24"/>
          <w:highlight w:val="none"/>
        </w:rPr>
        <w:t>采购人名称：</w:t>
      </w:r>
      <w:r>
        <w:rPr>
          <w:rFonts w:hint="eastAsia" w:hAnsi="宋体"/>
          <w:bCs/>
          <w:color w:val="auto"/>
          <w:sz w:val="24"/>
          <w:highlight w:val="none"/>
          <w:u w:val="single"/>
        </w:rPr>
        <w:t xml:space="preserve"> 南宁市工业和信息化局                </w:t>
      </w:r>
    </w:p>
    <w:p w14:paraId="680D0115">
      <w:pPr>
        <w:pStyle w:val="11"/>
        <w:spacing w:line="360" w:lineRule="auto"/>
        <w:ind w:left="25" w:leftChars="12" w:firstLine="472" w:firstLineChars="197"/>
        <w:rPr>
          <w:rFonts w:hint="eastAsia" w:hAnsi="宋体"/>
          <w:bCs/>
          <w:color w:val="auto"/>
          <w:sz w:val="24"/>
          <w:highlight w:val="none"/>
          <w:u w:val="single"/>
        </w:rPr>
      </w:pPr>
      <w:r>
        <w:rPr>
          <w:rFonts w:hint="eastAsia" w:hAnsi="宋体"/>
          <w:color w:val="auto"/>
          <w:sz w:val="24"/>
          <w:highlight w:val="none"/>
        </w:rPr>
        <w:t>代理机构名称：</w:t>
      </w:r>
      <w:r>
        <w:rPr>
          <w:rFonts w:hint="eastAsia" w:hAnsi="宋体"/>
          <w:bCs/>
          <w:color w:val="auto"/>
          <w:sz w:val="24"/>
          <w:highlight w:val="none"/>
          <w:u w:val="single"/>
        </w:rPr>
        <w:t xml:space="preserve"> 广西机电设备招标有限公司                </w:t>
      </w:r>
    </w:p>
    <w:p w14:paraId="594CE810">
      <w:pPr>
        <w:pStyle w:val="11"/>
        <w:spacing w:line="360" w:lineRule="auto"/>
        <w:ind w:left="25" w:leftChars="12" w:firstLine="472" w:firstLineChars="197"/>
        <w:rPr>
          <w:rFonts w:hint="eastAsia" w:hAnsi="宋体"/>
          <w:bCs/>
          <w:color w:val="auto"/>
          <w:sz w:val="24"/>
          <w:highlight w:val="none"/>
          <w:u w:val="single"/>
        </w:rPr>
      </w:pPr>
      <w:r>
        <w:rPr>
          <w:rFonts w:hint="eastAsia" w:hAnsi="宋体"/>
          <w:bCs/>
          <w:color w:val="auto"/>
          <w:sz w:val="24"/>
          <w:highlight w:val="none"/>
        </w:rPr>
        <w:t>采购文件公告：</w:t>
      </w:r>
      <w:r>
        <w:rPr>
          <w:rFonts w:hint="eastAsia" w:hAnsi="宋体"/>
          <w:bCs/>
          <w:color w:val="auto"/>
          <w:sz w:val="24"/>
          <w:highlight w:val="none"/>
          <w:u w:val="single"/>
        </w:rPr>
        <w:t>是/否</w:t>
      </w:r>
      <w:r>
        <w:rPr>
          <w:rFonts w:hint="eastAsia" w:hAnsi="宋体"/>
          <w:bCs/>
          <w:color w:val="auto"/>
          <w:sz w:val="24"/>
          <w:highlight w:val="none"/>
        </w:rPr>
        <w:t>公告期限：</w:t>
      </w:r>
      <w:r>
        <w:rPr>
          <w:rFonts w:hint="eastAsia" w:hAnsi="宋体"/>
          <w:bCs/>
          <w:color w:val="auto"/>
          <w:sz w:val="24"/>
          <w:highlight w:val="none"/>
          <w:u w:val="single"/>
        </w:rPr>
        <w:t xml:space="preserve">                                                       </w:t>
      </w:r>
    </w:p>
    <w:p w14:paraId="466D8A86">
      <w:pPr>
        <w:pStyle w:val="11"/>
        <w:spacing w:line="360" w:lineRule="auto"/>
        <w:ind w:left="25" w:leftChars="12" w:firstLine="472" w:firstLineChars="197"/>
        <w:rPr>
          <w:rFonts w:hint="eastAsia" w:hAnsi="宋体"/>
          <w:b/>
          <w:color w:val="auto"/>
          <w:sz w:val="24"/>
          <w:highlight w:val="none"/>
        </w:rPr>
      </w:pPr>
      <w:r>
        <w:rPr>
          <w:rFonts w:hint="eastAsia" w:hAnsi="宋体"/>
          <w:bCs/>
          <w:color w:val="auto"/>
          <w:sz w:val="24"/>
          <w:highlight w:val="none"/>
        </w:rPr>
        <w:t>采购结果公告：</w:t>
      </w:r>
      <w:r>
        <w:rPr>
          <w:rFonts w:hint="eastAsia" w:hAnsi="宋体"/>
          <w:bCs/>
          <w:color w:val="auto"/>
          <w:sz w:val="24"/>
          <w:highlight w:val="none"/>
          <w:u w:val="single"/>
        </w:rPr>
        <w:t>是/否</w:t>
      </w:r>
      <w:r>
        <w:rPr>
          <w:rFonts w:hint="eastAsia" w:hAnsi="宋体"/>
          <w:bCs/>
          <w:color w:val="auto"/>
          <w:sz w:val="24"/>
          <w:highlight w:val="none"/>
        </w:rPr>
        <w:t>公告期限：</w:t>
      </w:r>
      <w:r>
        <w:rPr>
          <w:rFonts w:hint="eastAsia" w:hAnsi="宋体"/>
          <w:bCs/>
          <w:color w:val="auto"/>
          <w:sz w:val="24"/>
          <w:highlight w:val="none"/>
          <w:u w:val="single"/>
        </w:rPr>
        <w:t xml:space="preserve">                                                       </w:t>
      </w:r>
    </w:p>
    <w:p w14:paraId="23E7AAC5">
      <w:pPr>
        <w:pStyle w:val="11"/>
        <w:spacing w:line="360" w:lineRule="auto"/>
        <w:ind w:left="25" w:leftChars="12" w:firstLine="472" w:firstLineChars="196"/>
        <w:rPr>
          <w:rFonts w:hint="eastAsia" w:hAnsi="宋体"/>
          <w:b/>
          <w:color w:val="auto"/>
          <w:sz w:val="24"/>
          <w:highlight w:val="none"/>
        </w:rPr>
      </w:pPr>
      <w:r>
        <w:rPr>
          <w:rFonts w:hint="eastAsia" w:hAnsi="宋体"/>
          <w:b/>
          <w:color w:val="auto"/>
          <w:sz w:val="24"/>
          <w:highlight w:val="none"/>
        </w:rPr>
        <w:t>三、质疑基本情况</w:t>
      </w:r>
    </w:p>
    <w:p w14:paraId="216C682D">
      <w:pPr>
        <w:pStyle w:val="11"/>
        <w:spacing w:line="360" w:lineRule="auto"/>
        <w:ind w:left="0" w:leftChars="0" w:firstLine="480" w:firstLineChars="200"/>
        <w:rPr>
          <w:rFonts w:hint="eastAsia" w:hAnsi="宋体"/>
          <w:color w:val="auto"/>
          <w:sz w:val="24"/>
          <w:highlight w:val="none"/>
        </w:rPr>
      </w:pPr>
      <w:r>
        <w:rPr>
          <w:rFonts w:hint="eastAsia" w:hAnsi="宋体"/>
          <w:color w:val="auto"/>
          <w:sz w:val="24"/>
          <w:highlight w:val="none"/>
        </w:rPr>
        <w:t>投诉人于</w:t>
      </w:r>
      <w:r>
        <w:rPr>
          <w:rFonts w:hint="eastAsia" w:hAnsi="宋体"/>
          <w:color w:val="auto"/>
          <w:sz w:val="24"/>
          <w:highlight w:val="none"/>
          <w:u w:val="single"/>
        </w:rPr>
        <w:t xml:space="preserve">      </w:t>
      </w:r>
      <w:r>
        <w:rPr>
          <w:rFonts w:hint="eastAsia" w:hAnsi="宋体"/>
          <w:color w:val="auto"/>
          <w:sz w:val="24"/>
          <w:highlight w:val="none"/>
        </w:rPr>
        <w:t>年</w:t>
      </w:r>
      <w:r>
        <w:rPr>
          <w:rFonts w:hint="eastAsia" w:hAnsi="宋体"/>
          <w:color w:val="auto"/>
          <w:sz w:val="24"/>
          <w:highlight w:val="none"/>
          <w:u w:val="single"/>
        </w:rPr>
        <w:t xml:space="preserve">   </w:t>
      </w:r>
      <w:r>
        <w:rPr>
          <w:rFonts w:hint="eastAsia" w:hAnsi="宋体"/>
          <w:color w:val="auto"/>
          <w:sz w:val="24"/>
          <w:highlight w:val="none"/>
        </w:rPr>
        <w:t>月</w:t>
      </w:r>
      <w:r>
        <w:rPr>
          <w:rFonts w:hint="eastAsia" w:hAnsi="宋体"/>
          <w:color w:val="auto"/>
          <w:sz w:val="24"/>
          <w:highlight w:val="none"/>
          <w:u w:val="single"/>
        </w:rPr>
        <w:t xml:space="preserve">   </w:t>
      </w:r>
      <w:r>
        <w:rPr>
          <w:rFonts w:hint="eastAsia" w:hAnsi="宋体"/>
          <w:color w:val="auto"/>
          <w:sz w:val="24"/>
          <w:highlight w:val="none"/>
        </w:rPr>
        <w:t>日，向</w:t>
      </w:r>
      <w:r>
        <w:rPr>
          <w:rFonts w:hint="eastAsia" w:hAnsi="宋体"/>
          <w:color w:val="auto"/>
          <w:sz w:val="24"/>
          <w:highlight w:val="none"/>
          <w:u w:val="single"/>
        </w:rPr>
        <w:t xml:space="preserve">                                </w:t>
      </w:r>
      <w:r>
        <w:rPr>
          <w:rFonts w:hint="eastAsia" w:hAnsi="宋体"/>
          <w:color w:val="auto"/>
          <w:sz w:val="24"/>
          <w:highlight w:val="none"/>
        </w:rPr>
        <w:t>提出质疑，质疑事项为：</w:t>
      </w:r>
    </w:p>
    <w:p w14:paraId="71D1BBB1">
      <w:pPr>
        <w:pStyle w:val="11"/>
        <w:spacing w:line="360" w:lineRule="auto"/>
        <w:ind w:left="0" w:leftChars="0" w:firstLine="241"/>
        <w:rPr>
          <w:rFonts w:hint="eastAsia" w:hAnsi="宋体"/>
          <w:bCs/>
          <w:color w:val="auto"/>
          <w:sz w:val="24"/>
          <w:highlight w:val="none"/>
          <w:u w:val="single"/>
        </w:rPr>
      </w:pPr>
      <w:r>
        <w:rPr>
          <w:rFonts w:hint="eastAsia" w:hAnsi="宋体"/>
          <w:color w:val="auto"/>
          <w:sz w:val="24"/>
          <w:highlight w:val="none"/>
        </w:rPr>
        <w:t xml:space="preserve">    </w:t>
      </w:r>
      <w:r>
        <w:rPr>
          <w:rFonts w:hint="eastAsia" w:hAnsi="宋体"/>
          <w:bCs/>
          <w:color w:val="auto"/>
          <w:sz w:val="24"/>
          <w:highlight w:val="none"/>
          <w:u w:val="single"/>
        </w:rPr>
        <w:t xml:space="preserve">                                                                                      </w:t>
      </w:r>
    </w:p>
    <w:p w14:paraId="166357F1">
      <w:pPr>
        <w:pStyle w:val="11"/>
        <w:spacing w:line="360" w:lineRule="auto"/>
        <w:ind w:left="0" w:leftChars="0" w:firstLine="241"/>
        <w:rPr>
          <w:rFonts w:hint="eastAsia" w:hAnsi="宋体"/>
          <w:bCs/>
          <w:color w:val="auto"/>
          <w:sz w:val="24"/>
          <w:highlight w:val="none"/>
          <w:u w:val="single"/>
        </w:rPr>
      </w:pPr>
      <w:r>
        <w:rPr>
          <w:rFonts w:hint="eastAsia" w:hAnsi="宋体"/>
          <w:bCs/>
          <w:color w:val="auto"/>
          <w:sz w:val="24"/>
          <w:highlight w:val="none"/>
        </w:rPr>
        <w:t xml:space="preserve">    </w:t>
      </w:r>
      <w:r>
        <w:rPr>
          <w:rFonts w:hint="eastAsia" w:hAnsi="宋体"/>
          <w:bCs/>
          <w:color w:val="auto"/>
          <w:sz w:val="24"/>
          <w:highlight w:val="none"/>
          <w:u w:val="single"/>
        </w:rPr>
        <w:t xml:space="preserve">                                                                                      </w:t>
      </w:r>
    </w:p>
    <w:p w14:paraId="10E04A09">
      <w:pPr>
        <w:pStyle w:val="11"/>
        <w:spacing w:line="360" w:lineRule="auto"/>
        <w:ind w:left="0" w:leftChars="0" w:firstLine="480" w:firstLineChars="200"/>
        <w:rPr>
          <w:rFonts w:hint="eastAsia" w:hAnsi="宋体"/>
          <w:color w:val="auto"/>
          <w:sz w:val="24"/>
          <w:highlight w:val="none"/>
        </w:rPr>
      </w:pPr>
      <w:r>
        <w:rPr>
          <w:rFonts w:hint="eastAsia" w:hAnsi="宋体"/>
          <w:bCs/>
          <w:color w:val="auto"/>
          <w:sz w:val="24"/>
          <w:highlight w:val="none"/>
          <w:u w:val="single"/>
        </w:rPr>
        <w:t>采购人/代理机构</w:t>
      </w:r>
      <w:r>
        <w:rPr>
          <w:rFonts w:hint="eastAsia" w:hAnsi="宋体"/>
          <w:bCs/>
          <w:color w:val="auto"/>
          <w:sz w:val="24"/>
          <w:highlight w:val="none"/>
        </w:rPr>
        <w:t>于</w:t>
      </w:r>
      <w:r>
        <w:rPr>
          <w:rFonts w:hint="eastAsia" w:hAnsi="宋体"/>
          <w:color w:val="auto"/>
          <w:sz w:val="24"/>
          <w:highlight w:val="none"/>
          <w:u w:val="single"/>
        </w:rPr>
        <w:t xml:space="preserve">      </w:t>
      </w:r>
      <w:r>
        <w:rPr>
          <w:rFonts w:hint="eastAsia" w:hAnsi="宋体"/>
          <w:color w:val="auto"/>
          <w:sz w:val="24"/>
          <w:highlight w:val="none"/>
        </w:rPr>
        <w:t>年</w:t>
      </w:r>
      <w:r>
        <w:rPr>
          <w:rFonts w:hint="eastAsia" w:hAnsi="宋体"/>
          <w:color w:val="auto"/>
          <w:sz w:val="24"/>
          <w:highlight w:val="none"/>
          <w:u w:val="single"/>
        </w:rPr>
        <w:t xml:space="preserve">   </w:t>
      </w:r>
      <w:r>
        <w:rPr>
          <w:rFonts w:hint="eastAsia" w:hAnsi="宋体"/>
          <w:color w:val="auto"/>
          <w:sz w:val="24"/>
          <w:highlight w:val="none"/>
        </w:rPr>
        <w:t>月</w:t>
      </w:r>
      <w:r>
        <w:rPr>
          <w:rFonts w:hint="eastAsia" w:hAnsi="宋体"/>
          <w:color w:val="auto"/>
          <w:sz w:val="24"/>
          <w:highlight w:val="none"/>
          <w:u w:val="single"/>
        </w:rPr>
        <w:t xml:space="preserve">   </w:t>
      </w:r>
      <w:r>
        <w:rPr>
          <w:rFonts w:hint="eastAsia" w:hAnsi="宋体"/>
          <w:color w:val="auto"/>
          <w:sz w:val="24"/>
          <w:highlight w:val="none"/>
        </w:rPr>
        <w:t>日，</w:t>
      </w:r>
      <w:r>
        <w:rPr>
          <w:rFonts w:hint="eastAsia" w:hAnsi="宋体"/>
          <w:bCs/>
          <w:color w:val="auto"/>
          <w:sz w:val="24"/>
          <w:highlight w:val="none"/>
        </w:rPr>
        <w:t xml:space="preserve">就质疑事项作出了答复/没有在法定期限内作出答复。                                                                                             </w:t>
      </w:r>
    </w:p>
    <w:p w14:paraId="71E5AADA">
      <w:pPr>
        <w:pStyle w:val="11"/>
        <w:spacing w:line="360" w:lineRule="auto"/>
        <w:ind w:left="25" w:leftChars="12" w:firstLine="472" w:firstLineChars="196"/>
        <w:rPr>
          <w:rFonts w:hint="eastAsia" w:hAnsi="宋体"/>
          <w:b/>
          <w:color w:val="auto"/>
          <w:sz w:val="24"/>
          <w:highlight w:val="none"/>
        </w:rPr>
      </w:pPr>
      <w:r>
        <w:rPr>
          <w:rFonts w:hint="eastAsia" w:hAnsi="宋体"/>
          <w:b/>
          <w:color w:val="auto"/>
          <w:sz w:val="24"/>
          <w:highlight w:val="none"/>
        </w:rPr>
        <w:t>四、投诉事项具体内容</w:t>
      </w:r>
    </w:p>
    <w:p w14:paraId="3E216664">
      <w:pPr>
        <w:pStyle w:val="11"/>
        <w:spacing w:line="360" w:lineRule="auto"/>
        <w:ind w:left="25" w:leftChars="12" w:firstLine="472" w:firstLineChars="197"/>
        <w:rPr>
          <w:rFonts w:hint="eastAsia" w:hAnsi="宋体"/>
          <w:bCs/>
          <w:color w:val="auto"/>
          <w:sz w:val="24"/>
          <w:highlight w:val="none"/>
          <w:u w:val="single"/>
        </w:rPr>
      </w:pPr>
      <w:r>
        <w:rPr>
          <w:rFonts w:hint="eastAsia" w:hAnsi="宋体"/>
          <w:color w:val="auto"/>
          <w:sz w:val="24"/>
          <w:highlight w:val="none"/>
        </w:rPr>
        <w:t>投诉事项1：</w:t>
      </w:r>
      <w:r>
        <w:rPr>
          <w:rFonts w:hint="eastAsia" w:hAnsi="宋体"/>
          <w:bCs/>
          <w:color w:val="auto"/>
          <w:sz w:val="24"/>
          <w:highlight w:val="none"/>
          <w:u w:val="single"/>
        </w:rPr>
        <w:t xml:space="preserve">                                                                           </w:t>
      </w:r>
    </w:p>
    <w:p w14:paraId="085CF323">
      <w:pPr>
        <w:pStyle w:val="11"/>
        <w:spacing w:line="360" w:lineRule="auto"/>
        <w:ind w:left="0" w:leftChars="0" w:firstLine="480" w:firstLineChars="200"/>
        <w:rPr>
          <w:rFonts w:hint="eastAsia" w:hAnsi="宋体"/>
          <w:bCs/>
          <w:color w:val="auto"/>
          <w:sz w:val="24"/>
          <w:highlight w:val="none"/>
          <w:u w:val="single"/>
        </w:rPr>
      </w:pPr>
      <w:r>
        <w:rPr>
          <w:rFonts w:hint="eastAsia" w:hAnsi="宋体"/>
          <w:bCs/>
          <w:color w:val="auto"/>
          <w:sz w:val="24"/>
          <w:highlight w:val="none"/>
        </w:rPr>
        <w:t>事实依据：</w:t>
      </w:r>
      <w:r>
        <w:rPr>
          <w:rFonts w:hint="eastAsia" w:hAnsi="宋体"/>
          <w:color w:val="auto"/>
          <w:sz w:val="24"/>
          <w:highlight w:val="none"/>
        </w:rPr>
        <w:t xml:space="preserve"> </w:t>
      </w:r>
      <w:r>
        <w:rPr>
          <w:rFonts w:hint="eastAsia" w:hAnsi="宋体"/>
          <w:bCs/>
          <w:color w:val="auto"/>
          <w:sz w:val="24"/>
          <w:highlight w:val="none"/>
          <w:u w:val="single"/>
        </w:rPr>
        <w:t xml:space="preserve">                                                                                      </w:t>
      </w:r>
    </w:p>
    <w:p w14:paraId="56968481">
      <w:pPr>
        <w:pStyle w:val="11"/>
        <w:spacing w:line="360" w:lineRule="auto"/>
        <w:ind w:left="0" w:leftChars="0" w:firstLine="472" w:firstLineChars="197"/>
        <w:rPr>
          <w:rFonts w:hint="eastAsia" w:hAnsi="宋体"/>
          <w:color w:val="auto"/>
          <w:sz w:val="24"/>
          <w:highlight w:val="none"/>
        </w:rPr>
      </w:pPr>
      <w:r>
        <w:rPr>
          <w:rFonts w:hint="eastAsia" w:hAnsi="宋体"/>
          <w:bCs/>
          <w:color w:val="auto"/>
          <w:sz w:val="24"/>
          <w:highlight w:val="none"/>
          <w:u w:val="single"/>
        </w:rPr>
        <w:t xml:space="preserve">                                                                                        </w:t>
      </w:r>
    </w:p>
    <w:p w14:paraId="3DAF4602">
      <w:pPr>
        <w:pStyle w:val="11"/>
        <w:spacing w:line="360" w:lineRule="auto"/>
        <w:ind w:left="0" w:leftChars="0" w:firstLine="480" w:firstLineChars="200"/>
        <w:rPr>
          <w:rFonts w:hint="eastAsia" w:hAnsi="宋体"/>
          <w:bCs/>
          <w:color w:val="auto"/>
          <w:sz w:val="24"/>
          <w:highlight w:val="none"/>
          <w:u w:val="single"/>
        </w:rPr>
      </w:pPr>
      <w:r>
        <w:rPr>
          <w:rFonts w:hint="eastAsia" w:hAnsi="宋体"/>
          <w:bCs/>
          <w:color w:val="auto"/>
          <w:sz w:val="24"/>
          <w:highlight w:val="none"/>
        </w:rPr>
        <w:t>法律依据：</w:t>
      </w:r>
      <w:r>
        <w:rPr>
          <w:rFonts w:hint="eastAsia" w:hAnsi="宋体"/>
          <w:color w:val="auto"/>
          <w:sz w:val="24"/>
          <w:highlight w:val="none"/>
        </w:rPr>
        <w:t xml:space="preserve"> </w:t>
      </w:r>
      <w:r>
        <w:rPr>
          <w:rFonts w:hint="eastAsia" w:hAnsi="宋体"/>
          <w:bCs/>
          <w:color w:val="auto"/>
          <w:sz w:val="24"/>
          <w:highlight w:val="none"/>
          <w:u w:val="single"/>
        </w:rPr>
        <w:t xml:space="preserve">                                                                                      </w:t>
      </w:r>
    </w:p>
    <w:p w14:paraId="680045E0">
      <w:pPr>
        <w:pStyle w:val="11"/>
        <w:spacing w:line="360" w:lineRule="auto"/>
        <w:ind w:left="0" w:leftChars="0" w:firstLine="352" w:firstLineChars="147"/>
        <w:rPr>
          <w:rFonts w:hint="eastAsia" w:hAnsi="宋体"/>
          <w:bCs/>
          <w:color w:val="auto"/>
          <w:sz w:val="24"/>
          <w:highlight w:val="none"/>
          <w:u w:val="single"/>
        </w:rPr>
      </w:pPr>
      <w:r>
        <w:rPr>
          <w:rFonts w:hint="eastAsia" w:hAnsi="宋体"/>
          <w:bCs/>
          <w:color w:val="auto"/>
          <w:sz w:val="24"/>
          <w:highlight w:val="none"/>
        </w:rPr>
        <w:t xml:space="preserve"> </w:t>
      </w:r>
      <w:r>
        <w:rPr>
          <w:rFonts w:hint="eastAsia" w:hAnsi="宋体"/>
          <w:bCs/>
          <w:color w:val="auto"/>
          <w:sz w:val="24"/>
          <w:highlight w:val="none"/>
          <w:u w:val="single"/>
        </w:rPr>
        <w:t xml:space="preserve">                                                                                        </w:t>
      </w:r>
    </w:p>
    <w:p w14:paraId="740AE94F">
      <w:pPr>
        <w:pStyle w:val="11"/>
        <w:spacing w:line="360" w:lineRule="auto"/>
        <w:ind w:left="25" w:leftChars="12" w:firstLine="472" w:firstLineChars="197"/>
        <w:rPr>
          <w:rFonts w:hint="eastAsia" w:hAnsi="宋体"/>
          <w:bCs/>
          <w:color w:val="auto"/>
          <w:sz w:val="24"/>
          <w:highlight w:val="none"/>
        </w:rPr>
      </w:pPr>
      <w:r>
        <w:rPr>
          <w:rFonts w:hint="eastAsia" w:hAnsi="宋体"/>
          <w:color w:val="auto"/>
          <w:sz w:val="24"/>
          <w:highlight w:val="none"/>
        </w:rPr>
        <w:t xml:space="preserve">投诉事项2  </w:t>
      </w:r>
      <w:r>
        <w:rPr>
          <w:rFonts w:hint="eastAsia" w:hAnsi="宋体"/>
          <w:bCs/>
          <w:color w:val="auto"/>
          <w:sz w:val="24"/>
          <w:highlight w:val="none"/>
        </w:rPr>
        <w:t xml:space="preserve">   </w:t>
      </w:r>
    </w:p>
    <w:p w14:paraId="1ECFC9D2">
      <w:pPr>
        <w:pStyle w:val="11"/>
        <w:spacing w:line="360" w:lineRule="auto"/>
        <w:ind w:left="25" w:leftChars="12" w:firstLine="472" w:firstLineChars="197"/>
        <w:rPr>
          <w:rFonts w:hint="eastAsia" w:hAnsi="宋体"/>
          <w:bCs/>
          <w:color w:val="auto"/>
          <w:sz w:val="24"/>
          <w:highlight w:val="none"/>
        </w:rPr>
      </w:pPr>
      <w:r>
        <w:rPr>
          <w:rFonts w:hint="eastAsia" w:hAnsi="宋体"/>
          <w:bCs/>
          <w:color w:val="auto"/>
          <w:sz w:val="24"/>
          <w:highlight w:val="none"/>
        </w:rPr>
        <w:t>……</w:t>
      </w:r>
    </w:p>
    <w:p w14:paraId="1DCBE1BD">
      <w:pPr>
        <w:pStyle w:val="11"/>
        <w:spacing w:line="360" w:lineRule="auto"/>
        <w:ind w:left="25" w:leftChars="12" w:firstLine="472" w:firstLineChars="196"/>
        <w:rPr>
          <w:rFonts w:hint="eastAsia" w:hAnsi="宋体"/>
          <w:b/>
          <w:color w:val="auto"/>
          <w:sz w:val="24"/>
          <w:highlight w:val="none"/>
        </w:rPr>
      </w:pPr>
      <w:r>
        <w:rPr>
          <w:rFonts w:hint="eastAsia" w:hAnsi="宋体"/>
          <w:b/>
          <w:color w:val="auto"/>
          <w:sz w:val="24"/>
          <w:highlight w:val="none"/>
        </w:rPr>
        <w:t>五、与投诉事项相关的投诉请求：</w:t>
      </w:r>
    </w:p>
    <w:p w14:paraId="70B53136">
      <w:pPr>
        <w:pStyle w:val="11"/>
        <w:spacing w:line="360" w:lineRule="auto"/>
        <w:ind w:left="25" w:leftChars="12" w:firstLine="472" w:firstLineChars="197"/>
        <w:rPr>
          <w:rFonts w:hint="eastAsia" w:hAnsi="宋体"/>
          <w:color w:val="auto"/>
          <w:sz w:val="24"/>
          <w:highlight w:val="none"/>
        </w:rPr>
      </w:pPr>
      <w:r>
        <w:rPr>
          <w:rFonts w:hint="eastAsia" w:hAnsi="宋体"/>
          <w:color w:val="auto"/>
          <w:sz w:val="24"/>
          <w:highlight w:val="none"/>
        </w:rPr>
        <w:t>请求：</w:t>
      </w:r>
      <w:r>
        <w:rPr>
          <w:rFonts w:hint="eastAsia" w:hAnsi="宋体"/>
          <w:bCs/>
          <w:color w:val="auto"/>
          <w:sz w:val="24"/>
          <w:highlight w:val="none"/>
          <w:u w:val="single"/>
        </w:rPr>
        <w:t xml:space="preserve">                                                                                 </w:t>
      </w:r>
    </w:p>
    <w:p w14:paraId="179C68E7">
      <w:pPr>
        <w:pStyle w:val="11"/>
        <w:spacing w:line="360" w:lineRule="auto"/>
        <w:ind w:left="25" w:leftChars="12" w:firstLine="352" w:firstLineChars="147"/>
        <w:rPr>
          <w:rFonts w:hint="eastAsia" w:hAnsi="宋体"/>
          <w:color w:val="auto"/>
          <w:sz w:val="24"/>
          <w:highlight w:val="none"/>
        </w:rPr>
      </w:pPr>
    </w:p>
    <w:p w14:paraId="2E764912">
      <w:pPr>
        <w:pStyle w:val="11"/>
        <w:spacing w:line="360" w:lineRule="auto"/>
        <w:ind w:left="25" w:leftChars="12" w:firstLine="472" w:firstLineChars="197"/>
        <w:rPr>
          <w:rFonts w:hint="eastAsia" w:hAnsi="宋体"/>
          <w:color w:val="auto"/>
          <w:sz w:val="24"/>
          <w:highlight w:val="none"/>
        </w:rPr>
      </w:pPr>
      <w:r>
        <w:rPr>
          <w:rFonts w:hint="eastAsia" w:hAnsi="宋体"/>
          <w:color w:val="auto"/>
          <w:sz w:val="24"/>
          <w:highlight w:val="none"/>
        </w:rPr>
        <w:t>签字（签章）：                                       公章：</w:t>
      </w:r>
    </w:p>
    <w:p w14:paraId="18E577AC">
      <w:pPr>
        <w:pStyle w:val="11"/>
        <w:spacing w:line="360" w:lineRule="auto"/>
        <w:ind w:left="25" w:leftChars="12" w:firstLine="352" w:firstLineChars="147"/>
        <w:rPr>
          <w:rFonts w:hint="eastAsia" w:hAnsi="宋体"/>
          <w:color w:val="auto"/>
          <w:sz w:val="24"/>
          <w:highlight w:val="none"/>
        </w:rPr>
      </w:pPr>
    </w:p>
    <w:p w14:paraId="359803ED">
      <w:pPr>
        <w:pStyle w:val="11"/>
        <w:spacing w:line="360" w:lineRule="auto"/>
        <w:ind w:left="25" w:leftChars="12" w:firstLine="472" w:firstLineChars="197"/>
        <w:rPr>
          <w:rFonts w:hint="eastAsia" w:hAnsi="宋体"/>
          <w:color w:val="auto"/>
          <w:sz w:val="24"/>
          <w:highlight w:val="none"/>
        </w:rPr>
      </w:pPr>
      <w:r>
        <w:rPr>
          <w:rFonts w:hint="eastAsia" w:hAnsi="宋体"/>
          <w:color w:val="auto"/>
          <w:sz w:val="24"/>
          <w:highlight w:val="none"/>
        </w:rPr>
        <w:t>日期：</w:t>
      </w:r>
    </w:p>
    <w:p w14:paraId="3D1ED925">
      <w:pPr>
        <w:pStyle w:val="11"/>
        <w:spacing w:line="360" w:lineRule="auto"/>
        <w:ind w:left="25" w:leftChars="12" w:firstLine="472" w:firstLineChars="197"/>
        <w:rPr>
          <w:rFonts w:hint="eastAsia" w:hAnsi="宋体"/>
          <w:b/>
          <w:color w:val="auto"/>
          <w:sz w:val="24"/>
          <w:highlight w:val="none"/>
        </w:rPr>
      </w:pPr>
      <w:r>
        <w:rPr>
          <w:rFonts w:hint="eastAsia" w:hAnsi="宋体"/>
          <w:bCs/>
          <w:color w:val="auto"/>
          <w:sz w:val="24"/>
          <w:highlight w:val="none"/>
        </w:rPr>
        <w:t xml:space="preserve">                                                                                 </w:t>
      </w:r>
    </w:p>
    <w:p w14:paraId="04B1AD8F">
      <w:pPr>
        <w:pStyle w:val="11"/>
        <w:snapToGrid w:val="0"/>
        <w:spacing w:line="360" w:lineRule="auto"/>
        <w:rPr>
          <w:rFonts w:hint="eastAsia" w:hAnsi="宋体"/>
          <w:b/>
          <w:color w:val="auto"/>
          <w:sz w:val="24"/>
          <w:highlight w:val="none"/>
        </w:rPr>
      </w:pPr>
      <w:r>
        <w:rPr>
          <w:rFonts w:hint="eastAsia" w:hAnsi="宋体"/>
          <w:b/>
          <w:color w:val="auto"/>
          <w:sz w:val="24"/>
          <w:highlight w:val="none"/>
        </w:rPr>
        <w:t>说明：</w:t>
      </w:r>
    </w:p>
    <w:p w14:paraId="6F5E0BF5">
      <w:pPr>
        <w:pStyle w:val="11"/>
        <w:spacing w:line="360" w:lineRule="auto"/>
        <w:ind w:left="25" w:leftChars="12" w:firstLine="354" w:firstLineChars="147"/>
        <w:rPr>
          <w:rFonts w:hint="eastAsia" w:hAnsi="宋体"/>
          <w:b/>
          <w:bCs/>
          <w:color w:val="auto"/>
          <w:sz w:val="24"/>
          <w:highlight w:val="none"/>
        </w:rPr>
      </w:pPr>
      <w:r>
        <w:rPr>
          <w:rFonts w:hint="eastAsia" w:hAnsi="宋体"/>
          <w:b/>
          <w:color w:val="auto"/>
          <w:sz w:val="24"/>
          <w:highlight w:val="none"/>
        </w:rPr>
        <w:t>1.投诉人提起投诉时，应当提交投诉书和必要的证明材料，并按照被投诉人和与投诉事项有关的供应商数量提供投诉书副本</w:t>
      </w:r>
      <w:r>
        <w:rPr>
          <w:rFonts w:hint="eastAsia" w:hAnsi="宋体"/>
          <w:b/>
          <w:bCs/>
          <w:color w:val="auto"/>
          <w:sz w:val="24"/>
          <w:highlight w:val="none"/>
        </w:rPr>
        <w:t>。</w:t>
      </w:r>
    </w:p>
    <w:p w14:paraId="5A86C63E">
      <w:pPr>
        <w:pStyle w:val="11"/>
        <w:spacing w:line="360" w:lineRule="auto"/>
        <w:ind w:left="25" w:leftChars="12" w:firstLine="354" w:firstLineChars="147"/>
        <w:rPr>
          <w:rFonts w:hint="eastAsia" w:hAnsi="宋体"/>
          <w:b/>
          <w:color w:val="auto"/>
          <w:sz w:val="24"/>
          <w:highlight w:val="none"/>
        </w:rPr>
      </w:pPr>
      <w:r>
        <w:rPr>
          <w:rFonts w:hint="eastAsia" w:hAnsi="宋体"/>
          <w:b/>
          <w:color w:val="auto"/>
          <w:sz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4F1820F8">
      <w:pPr>
        <w:pStyle w:val="11"/>
        <w:spacing w:line="360" w:lineRule="auto"/>
        <w:ind w:left="25" w:leftChars="12" w:firstLine="354" w:firstLineChars="147"/>
        <w:rPr>
          <w:rFonts w:hint="eastAsia" w:hAnsi="宋体"/>
          <w:b/>
          <w:color w:val="auto"/>
          <w:sz w:val="24"/>
          <w:highlight w:val="none"/>
        </w:rPr>
      </w:pPr>
      <w:r>
        <w:rPr>
          <w:rFonts w:hint="eastAsia" w:hAnsi="宋体"/>
          <w:b/>
          <w:color w:val="auto"/>
          <w:sz w:val="24"/>
          <w:highlight w:val="none"/>
        </w:rPr>
        <w:t>3.投诉书应简要列明质疑事项，质疑函、质疑答复等作为附件材料提供。</w:t>
      </w:r>
    </w:p>
    <w:p w14:paraId="6F21D2FA">
      <w:pPr>
        <w:pStyle w:val="11"/>
        <w:spacing w:line="360" w:lineRule="auto"/>
        <w:ind w:left="25" w:leftChars="12" w:firstLine="354" w:firstLineChars="147"/>
        <w:rPr>
          <w:rFonts w:hint="eastAsia" w:hAnsi="宋体"/>
          <w:b/>
          <w:color w:val="auto"/>
          <w:sz w:val="24"/>
          <w:highlight w:val="none"/>
        </w:rPr>
      </w:pPr>
      <w:r>
        <w:rPr>
          <w:rFonts w:hint="eastAsia" w:hAnsi="宋体"/>
          <w:b/>
          <w:color w:val="auto"/>
          <w:sz w:val="24"/>
          <w:highlight w:val="none"/>
        </w:rPr>
        <w:t>4.投诉书的投诉事项应具体、明确，并有必要的事实依据和法律依据。</w:t>
      </w:r>
    </w:p>
    <w:p w14:paraId="626AD2F1">
      <w:pPr>
        <w:pStyle w:val="11"/>
        <w:spacing w:line="360" w:lineRule="auto"/>
        <w:ind w:left="25" w:leftChars="12" w:firstLine="354" w:firstLineChars="147"/>
        <w:rPr>
          <w:rFonts w:hint="eastAsia" w:hAnsi="宋体"/>
          <w:b/>
          <w:color w:val="auto"/>
          <w:sz w:val="24"/>
          <w:highlight w:val="none"/>
        </w:rPr>
      </w:pPr>
      <w:r>
        <w:rPr>
          <w:rFonts w:hint="eastAsia" w:hAnsi="宋体"/>
          <w:b/>
          <w:color w:val="auto"/>
          <w:sz w:val="24"/>
          <w:highlight w:val="none"/>
        </w:rPr>
        <w:t>5.投诉书的投诉请求应与投诉事项相关。</w:t>
      </w:r>
    </w:p>
    <w:p w14:paraId="541334C2">
      <w:pPr>
        <w:pStyle w:val="11"/>
        <w:spacing w:line="360" w:lineRule="auto"/>
        <w:ind w:left="25" w:leftChars="12" w:firstLine="354" w:firstLineChars="147"/>
        <w:rPr>
          <w:rFonts w:hint="eastAsia" w:hAnsi="宋体"/>
          <w:b/>
          <w:color w:val="auto"/>
          <w:highlight w:val="none"/>
        </w:rPr>
      </w:pPr>
      <w:r>
        <w:rPr>
          <w:rFonts w:hint="eastAsia" w:hAnsi="宋体"/>
          <w:b/>
          <w:color w:val="auto"/>
          <w:sz w:val="24"/>
          <w:highlight w:val="none"/>
        </w:rPr>
        <w:t>6.投诉人为法人或者其他组织的，投诉书应由法定代表人、主要负责人，或者其授权代表签字或者盖章，并加盖公章。</w:t>
      </w:r>
    </w:p>
    <w:p w14:paraId="42C8021F">
      <w:pPr>
        <w:jc w:val="left"/>
        <w:rPr>
          <w:color w:val="auto"/>
          <w:highlight w:val="none"/>
        </w:rPr>
      </w:pPr>
    </w:p>
    <w:sectPr>
      <w:footerReference r:id="rId10" w:type="first"/>
      <w:footerReference r:id="rId9" w:type="default"/>
      <w:pgSz w:w="11911" w:h="16838"/>
      <w:pgMar w:top="1417" w:right="1417" w:bottom="1417" w:left="1417" w:header="720" w:footer="720" w:gutter="0"/>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Helvetica">
    <w:altName w:val="Arial"/>
    <w:panose1 w:val="020B0604020202020204"/>
    <w:charset w:val="00"/>
    <w:family w:val="auto"/>
    <w:pitch w:val="default"/>
    <w:sig w:usb0="00000000" w:usb1="00000000" w:usb2="00000000" w:usb3="00000000" w:csb0="00000000" w:csb1="00000000"/>
  </w:font>
  <w:font w:name="TimesNewRomanPSMT">
    <w:altName w:val="Times New Roman"/>
    <w:panose1 w:val="00000000000000000000"/>
    <w:charset w:val="80"/>
    <w:family w:val="auto"/>
    <w:pitch w:val="default"/>
    <w:sig w:usb0="00000000" w:usb1="00000000" w:usb2="00000000" w:usb3="00000000" w:csb0="00020000" w:csb1="0000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DD367">
    <w:pPr>
      <w:ind w:left="420" w:hanging="420"/>
      <w:jc w:val="center"/>
    </w:pPr>
    <w:r>
      <w:fldChar w:fldCharType="begin"/>
    </w:r>
    <w:r>
      <w:instrText xml:space="preserve">PAGE   \* MERGEFORMAT</w:instrText>
    </w:r>
    <w:r>
      <w:fldChar w:fldCharType="separate"/>
    </w:r>
    <w:r>
      <w:rPr>
        <w:lang w:val="zh-CN"/>
      </w:rPr>
      <w:t>4</w:t>
    </w:r>
    <w:r>
      <w:fldChar w:fldCharType="end"/>
    </w:r>
  </w:p>
  <w:p w14:paraId="07D9DEB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AA491">
    <w:pPr>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62560" cy="25273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62560" cy="252730"/>
                      </a:xfrm>
                      <a:prstGeom prst="rect">
                        <a:avLst/>
                      </a:prstGeom>
                      <a:noFill/>
                      <a:ln>
                        <a:noFill/>
                      </a:ln>
                      <a:effectLst/>
                    </wps:spPr>
                    <wps:txbx>
                      <w:txbxContent>
                        <w:p w14:paraId="5D295B0F">
                          <w:r>
                            <w:fldChar w:fldCharType="begin"/>
                          </w:r>
                          <w:r>
                            <w:instrText xml:space="preserve"> PAGE  \* MERGEFORMAT </w:instrText>
                          </w:r>
                          <w:r>
                            <w:fldChar w:fldCharType="separate"/>
                          </w:r>
                          <w:r>
                            <w:t>12</w:t>
                          </w:r>
                          <w:r>
                            <w:fldChar w:fldCharType="end"/>
                          </w:r>
                        </w:p>
                      </w:txbxContent>
                    </wps:txbx>
                    <wps:bodyPr wrap="square" lIns="0" tIns="0" rIns="0" bIns="0"/>
                  </wps:wsp>
                </a:graphicData>
              </a:graphic>
            </wp:anchor>
          </w:drawing>
        </mc:Choice>
        <mc:Fallback>
          <w:pict>
            <v:shape id="_x0000_s1026" o:spid="_x0000_s1026" o:spt="202" type="#_x0000_t202" style="position:absolute;left:0pt;margin-top:0pt;height:19.9pt;width:12.8pt;mso-position-horizontal:center;mso-position-horizontal-relative:margin;z-index:251661312;mso-width-relative:page;mso-height-relative:page;" filled="f" stroked="f" coordsize="21600,21600" o:gfxdata="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JrslwdQAAAADAQAADwAAAAAAAAABACAAAAAiAAAAZHJzL2Rvd25yZXYueG1sUEsB&#10;AhQAFAAAAAgAh07iQM/FGIXAAQAAgQMAAA4AAAAAAAAAAQAgAAAAIwEAAGRycy9lMm9Eb2MueG1s&#10;UEsFBgAAAAAGAAYAWQEAAFUFAAAAAA==&#10;">
              <v:fill on="f" focussize="0,0"/>
              <v:stroke on="f"/>
              <v:imagedata o:title=""/>
              <o:lock v:ext="edit" aspectratio="f"/>
              <v:textbox inset="0mm,0mm,0mm,0mm">
                <w:txbxContent>
                  <w:p w14:paraId="5D295B0F">
                    <w:r>
                      <w:fldChar w:fldCharType="begin"/>
                    </w:r>
                    <w:r>
                      <w:instrText xml:space="preserve"> PAGE  \* MERGEFORMAT </w:instrText>
                    </w:r>
                    <w:r>
                      <w:fldChar w:fldCharType="separate"/>
                    </w:r>
                    <w:r>
                      <w:t>12</w:t>
                    </w:r>
                    <w:r>
                      <w:fldChar w:fldCharType="end"/>
                    </w:r>
                  </w:p>
                </w:txbxContent>
              </v:textbox>
            </v:shape>
          </w:pict>
        </mc:Fallback>
      </mc:AlternateContent>
    </w:r>
  </w:p>
  <w:p w14:paraId="1B55E14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1FBBC">
    <w:pPr>
      <w:jc w:val="center"/>
    </w:pPr>
    <w:r>
      <w:t>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0139A">
    <w:pPr>
      <w:pStyle w:val="14"/>
      <w:jc w:val="center"/>
    </w:pPr>
    <w:r>
      <w:fldChar w:fldCharType="begin"/>
    </w:r>
    <w:r>
      <w:instrText xml:space="preserve">PAGE   \* MERGEFORMAT</w:instrText>
    </w:r>
    <w:r>
      <w:fldChar w:fldCharType="separate"/>
    </w:r>
    <w:r>
      <w:rPr>
        <w:lang w:val="zh-CN"/>
      </w:rPr>
      <w:t>91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2917D1">
    <w:pPr>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EB8C8C9">
                          <w:pPr>
                            <w:jc w:val="center"/>
                          </w:pPr>
                          <w:r>
                            <w:fldChar w:fldCharType="begin"/>
                          </w:r>
                          <w:r>
                            <w:instrText xml:space="preserve"> PAGE  \* MERGEFORMAT </w:instrText>
                          </w:r>
                          <w:r>
                            <w:fldChar w:fldCharType="separate"/>
                          </w:r>
                          <w:r>
                            <w:t>95</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wVircYBAACb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bBWKtxgEAAJsDAAAOAAAAAAAAAAEAIAAAAB4BAABkcnMvZTJvRG9jLnht&#10;bFBLBQYAAAAABgAGAFkBAABWBQAAAAA=&#10;">
              <v:fill on="f" focussize="0,0"/>
              <v:stroke on="f"/>
              <v:imagedata o:title=""/>
              <o:lock v:ext="edit" aspectratio="f"/>
              <v:textbox inset="0mm,0mm,0mm,0mm" style="mso-fit-shape-to-text:t;">
                <w:txbxContent>
                  <w:p w14:paraId="4EB8C8C9">
                    <w:pPr>
                      <w:jc w:val="center"/>
                    </w:pPr>
                    <w:r>
                      <w:fldChar w:fldCharType="begin"/>
                    </w:r>
                    <w:r>
                      <w:instrText xml:space="preserve"> PAGE  \* MERGEFORMAT </w:instrText>
                    </w:r>
                    <w:r>
                      <w:fldChar w:fldCharType="separate"/>
                    </w:r>
                    <w:r>
                      <w:t>95</w:t>
                    </w:r>
                    <w:r>
                      <w:fldChar w:fldCharType="end"/>
                    </w:r>
                  </w:p>
                </w:txbxContent>
              </v:textbox>
            </v:shape>
          </w:pict>
        </mc:Fallback>
      </mc:AlternateContent>
    </w:r>
  </w:p>
  <w:p w14:paraId="1623D01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29D47">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134DBF6">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UJ8kWxgEAAJsDAAAOAAAAAAAAAAEAIAAAAB4BAABkcnMvZTJvRG9jLnht&#10;bFBLBQYAAAAABgAGAFkBAABWBQAAAAA=&#10;">
              <v:fill on="f" focussize="0,0"/>
              <v:stroke on="f"/>
              <v:imagedata o:title=""/>
              <o:lock v:ext="edit" aspectratio="f"/>
              <v:textbox inset="0mm,0mm,0mm,0mm" style="mso-fit-shape-to-text:t;">
                <w:txbxContent>
                  <w:p w14:paraId="3134DBF6">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75A6B">
    <w:pPr>
      <w:jc w:val="center"/>
    </w:pPr>
    <w:r>
      <w:rPr>
        <w:rFonts w:hint="eastAsia"/>
      </w:rPr>
      <w:t>南宁市政府采购竞争性磋商采购文件（项目编号： NNZC2025-C3-990371-JDZB）</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116FB">
    <w:pPr>
      <w:pBdr>
        <w:bottom w:val="none" w:color="auto" w:sz="0" w:space="1"/>
      </w:pBdr>
      <w:tabs>
        <w:tab w:val="center" w:pos="0"/>
        <w:tab w:val="left"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EFD14E"/>
    <w:multiLevelType w:val="singleLevel"/>
    <w:tmpl w:val="5FEFD14E"/>
    <w:lvl w:ilvl="0" w:tentative="0">
      <w:start w:val="1"/>
      <w:numFmt w:val="decimal"/>
      <w:pStyle w:val="5"/>
      <w:lvlText w:val="%1."/>
      <w:lvlJc w:val="left"/>
      <w:pPr>
        <w:tabs>
          <w:tab w:val="left"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yYjE5OWEzYzA3ZDhkNzg3NGVlYjMyYmEyNWY4YjEifQ=="/>
  </w:docVars>
  <w:rsids>
    <w:rsidRoot w:val="00172A27"/>
    <w:rsid w:val="000013F3"/>
    <w:rsid w:val="00023EC5"/>
    <w:rsid w:val="00033365"/>
    <w:rsid w:val="00045366"/>
    <w:rsid w:val="000558BF"/>
    <w:rsid w:val="00057BAB"/>
    <w:rsid w:val="00061EC4"/>
    <w:rsid w:val="000733C4"/>
    <w:rsid w:val="00085BAF"/>
    <w:rsid w:val="000B7C86"/>
    <w:rsid w:val="000C2997"/>
    <w:rsid w:val="000E132E"/>
    <w:rsid w:val="00100477"/>
    <w:rsid w:val="00100B44"/>
    <w:rsid w:val="00137CA4"/>
    <w:rsid w:val="001478AA"/>
    <w:rsid w:val="00151280"/>
    <w:rsid w:val="00172A27"/>
    <w:rsid w:val="00174D63"/>
    <w:rsid w:val="0018542B"/>
    <w:rsid w:val="00192C51"/>
    <w:rsid w:val="001A0D5B"/>
    <w:rsid w:val="001A3F74"/>
    <w:rsid w:val="001A6E0D"/>
    <w:rsid w:val="001B50A3"/>
    <w:rsid w:val="001B7E90"/>
    <w:rsid w:val="001F13B2"/>
    <w:rsid w:val="001F719B"/>
    <w:rsid w:val="00207D79"/>
    <w:rsid w:val="00223CC3"/>
    <w:rsid w:val="00231514"/>
    <w:rsid w:val="00234B27"/>
    <w:rsid w:val="00245B8A"/>
    <w:rsid w:val="00286ADD"/>
    <w:rsid w:val="002900C2"/>
    <w:rsid w:val="00293D52"/>
    <w:rsid w:val="002A3E62"/>
    <w:rsid w:val="002A4B5B"/>
    <w:rsid w:val="002B4C51"/>
    <w:rsid w:val="002C7E19"/>
    <w:rsid w:val="002E4C44"/>
    <w:rsid w:val="00312918"/>
    <w:rsid w:val="00340293"/>
    <w:rsid w:val="003404DE"/>
    <w:rsid w:val="00342A27"/>
    <w:rsid w:val="0034427F"/>
    <w:rsid w:val="003579F1"/>
    <w:rsid w:val="00357B77"/>
    <w:rsid w:val="003701D2"/>
    <w:rsid w:val="003705F7"/>
    <w:rsid w:val="003C235C"/>
    <w:rsid w:val="003D2888"/>
    <w:rsid w:val="004118E2"/>
    <w:rsid w:val="00425FD4"/>
    <w:rsid w:val="0042698B"/>
    <w:rsid w:val="0043056F"/>
    <w:rsid w:val="00446423"/>
    <w:rsid w:val="004464BC"/>
    <w:rsid w:val="00446777"/>
    <w:rsid w:val="00455956"/>
    <w:rsid w:val="00456589"/>
    <w:rsid w:val="0046640A"/>
    <w:rsid w:val="00477D4C"/>
    <w:rsid w:val="004918FD"/>
    <w:rsid w:val="004B0292"/>
    <w:rsid w:val="004B3FB9"/>
    <w:rsid w:val="004C4D78"/>
    <w:rsid w:val="004D0058"/>
    <w:rsid w:val="004D34CA"/>
    <w:rsid w:val="004E2087"/>
    <w:rsid w:val="004E6DA5"/>
    <w:rsid w:val="00501A3E"/>
    <w:rsid w:val="00501AEC"/>
    <w:rsid w:val="00535261"/>
    <w:rsid w:val="0054117D"/>
    <w:rsid w:val="0055450C"/>
    <w:rsid w:val="00555A04"/>
    <w:rsid w:val="0055752D"/>
    <w:rsid w:val="005746E1"/>
    <w:rsid w:val="00580FA5"/>
    <w:rsid w:val="0059060D"/>
    <w:rsid w:val="00591AF9"/>
    <w:rsid w:val="005A4C13"/>
    <w:rsid w:val="005B1CFC"/>
    <w:rsid w:val="005B3FAF"/>
    <w:rsid w:val="005C4C95"/>
    <w:rsid w:val="005C66E7"/>
    <w:rsid w:val="005D002C"/>
    <w:rsid w:val="005F4D7D"/>
    <w:rsid w:val="00607AAC"/>
    <w:rsid w:val="00631BE4"/>
    <w:rsid w:val="006520CA"/>
    <w:rsid w:val="00662948"/>
    <w:rsid w:val="00665AFE"/>
    <w:rsid w:val="006866A3"/>
    <w:rsid w:val="006A05F7"/>
    <w:rsid w:val="006C0A0A"/>
    <w:rsid w:val="006C6275"/>
    <w:rsid w:val="006D7199"/>
    <w:rsid w:val="006D7467"/>
    <w:rsid w:val="006F76D0"/>
    <w:rsid w:val="006F7E74"/>
    <w:rsid w:val="007003F2"/>
    <w:rsid w:val="007059C6"/>
    <w:rsid w:val="00713ACF"/>
    <w:rsid w:val="00735912"/>
    <w:rsid w:val="007370C9"/>
    <w:rsid w:val="00746DA6"/>
    <w:rsid w:val="00753AA4"/>
    <w:rsid w:val="00754CE1"/>
    <w:rsid w:val="00764939"/>
    <w:rsid w:val="00767287"/>
    <w:rsid w:val="007760B6"/>
    <w:rsid w:val="00776B1F"/>
    <w:rsid w:val="007A7CC9"/>
    <w:rsid w:val="007B1AFF"/>
    <w:rsid w:val="007B735C"/>
    <w:rsid w:val="007D7259"/>
    <w:rsid w:val="007E6BB2"/>
    <w:rsid w:val="007F21FF"/>
    <w:rsid w:val="007F7CBA"/>
    <w:rsid w:val="0080754C"/>
    <w:rsid w:val="0081379C"/>
    <w:rsid w:val="00851A79"/>
    <w:rsid w:val="0088428C"/>
    <w:rsid w:val="00886ADB"/>
    <w:rsid w:val="00891F7D"/>
    <w:rsid w:val="00893E06"/>
    <w:rsid w:val="008A3DCB"/>
    <w:rsid w:val="008A6680"/>
    <w:rsid w:val="008D02BA"/>
    <w:rsid w:val="008D554A"/>
    <w:rsid w:val="008D7DB8"/>
    <w:rsid w:val="008E6E1E"/>
    <w:rsid w:val="009021E6"/>
    <w:rsid w:val="00930E40"/>
    <w:rsid w:val="009415EF"/>
    <w:rsid w:val="00977F6E"/>
    <w:rsid w:val="009832B5"/>
    <w:rsid w:val="00991F76"/>
    <w:rsid w:val="009928F4"/>
    <w:rsid w:val="00993BF9"/>
    <w:rsid w:val="009B6DE2"/>
    <w:rsid w:val="009C23EA"/>
    <w:rsid w:val="009C729C"/>
    <w:rsid w:val="009D61F7"/>
    <w:rsid w:val="00A011CF"/>
    <w:rsid w:val="00A0209D"/>
    <w:rsid w:val="00A029BA"/>
    <w:rsid w:val="00A1219A"/>
    <w:rsid w:val="00A23F39"/>
    <w:rsid w:val="00A32030"/>
    <w:rsid w:val="00A33A90"/>
    <w:rsid w:val="00A40219"/>
    <w:rsid w:val="00A46B12"/>
    <w:rsid w:val="00A54830"/>
    <w:rsid w:val="00A5766C"/>
    <w:rsid w:val="00A613E8"/>
    <w:rsid w:val="00A63E3D"/>
    <w:rsid w:val="00A67658"/>
    <w:rsid w:val="00A76A15"/>
    <w:rsid w:val="00A859E2"/>
    <w:rsid w:val="00AB7529"/>
    <w:rsid w:val="00AD1B09"/>
    <w:rsid w:val="00AF459B"/>
    <w:rsid w:val="00AF484A"/>
    <w:rsid w:val="00B065FD"/>
    <w:rsid w:val="00B3314A"/>
    <w:rsid w:val="00B3662F"/>
    <w:rsid w:val="00B615E9"/>
    <w:rsid w:val="00B92ED6"/>
    <w:rsid w:val="00BB6E48"/>
    <w:rsid w:val="00BD39D1"/>
    <w:rsid w:val="00BE417F"/>
    <w:rsid w:val="00BF1D4A"/>
    <w:rsid w:val="00BF51E6"/>
    <w:rsid w:val="00C02047"/>
    <w:rsid w:val="00C07829"/>
    <w:rsid w:val="00C12E43"/>
    <w:rsid w:val="00C218F1"/>
    <w:rsid w:val="00C37B02"/>
    <w:rsid w:val="00C436B0"/>
    <w:rsid w:val="00C44DFF"/>
    <w:rsid w:val="00C46967"/>
    <w:rsid w:val="00C47848"/>
    <w:rsid w:val="00C53F54"/>
    <w:rsid w:val="00C57CA3"/>
    <w:rsid w:val="00C97E4E"/>
    <w:rsid w:val="00CC7FE2"/>
    <w:rsid w:val="00CE4783"/>
    <w:rsid w:val="00CE4B6B"/>
    <w:rsid w:val="00D13A43"/>
    <w:rsid w:val="00D273A6"/>
    <w:rsid w:val="00D65530"/>
    <w:rsid w:val="00D66293"/>
    <w:rsid w:val="00DA2800"/>
    <w:rsid w:val="00DB5243"/>
    <w:rsid w:val="00DB5332"/>
    <w:rsid w:val="00DD3197"/>
    <w:rsid w:val="00DD77DC"/>
    <w:rsid w:val="00DE3150"/>
    <w:rsid w:val="00DE4372"/>
    <w:rsid w:val="00DF0C2C"/>
    <w:rsid w:val="00DF2F15"/>
    <w:rsid w:val="00DF66DC"/>
    <w:rsid w:val="00DF67FE"/>
    <w:rsid w:val="00E13EDC"/>
    <w:rsid w:val="00E26CE5"/>
    <w:rsid w:val="00E2727E"/>
    <w:rsid w:val="00E302D7"/>
    <w:rsid w:val="00E32A83"/>
    <w:rsid w:val="00E32BD3"/>
    <w:rsid w:val="00E41399"/>
    <w:rsid w:val="00E54E5C"/>
    <w:rsid w:val="00E712B6"/>
    <w:rsid w:val="00E84FE7"/>
    <w:rsid w:val="00E925FF"/>
    <w:rsid w:val="00EA6B28"/>
    <w:rsid w:val="00EC47B5"/>
    <w:rsid w:val="00EC5BA4"/>
    <w:rsid w:val="00EF302A"/>
    <w:rsid w:val="00EF43FD"/>
    <w:rsid w:val="00EF49FC"/>
    <w:rsid w:val="00F01979"/>
    <w:rsid w:val="00F0284C"/>
    <w:rsid w:val="00F05E6A"/>
    <w:rsid w:val="00F17281"/>
    <w:rsid w:val="00F218EB"/>
    <w:rsid w:val="00F30DF5"/>
    <w:rsid w:val="00F4237B"/>
    <w:rsid w:val="00F43802"/>
    <w:rsid w:val="00F503BE"/>
    <w:rsid w:val="00F5385A"/>
    <w:rsid w:val="00F57B6B"/>
    <w:rsid w:val="00F71ADE"/>
    <w:rsid w:val="00F924CF"/>
    <w:rsid w:val="00F94BDB"/>
    <w:rsid w:val="00F97308"/>
    <w:rsid w:val="00FA3EDA"/>
    <w:rsid w:val="00FA4600"/>
    <w:rsid w:val="00FB318A"/>
    <w:rsid w:val="00FC353B"/>
    <w:rsid w:val="00FE361B"/>
    <w:rsid w:val="00FE4CE6"/>
    <w:rsid w:val="00FF1322"/>
    <w:rsid w:val="01011432"/>
    <w:rsid w:val="011B136F"/>
    <w:rsid w:val="01B32CCF"/>
    <w:rsid w:val="027619AC"/>
    <w:rsid w:val="03E26839"/>
    <w:rsid w:val="052469E0"/>
    <w:rsid w:val="052B473B"/>
    <w:rsid w:val="05B2719F"/>
    <w:rsid w:val="05D45196"/>
    <w:rsid w:val="06021ED4"/>
    <w:rsid w:val="0667704A"/>
    <w:rsid w:val="06DD024B"/>
    <w:rsid w:val="073A1069"/>
    <w:rsid w:val="08844E22"/>
    <w:rsid w:val="0C8F3D96"/>
    <w:rsid w:val="0D907DC5"/>
    <w:rsid w:val="0D94614B"/>
    <w:rsid w:val="0DE46363"/>
    <w:rsid w:val="0E9D6C3E"/>
    <w:rsid w:val="0EDB7DA4"/>
    <w:rsid w:val="0F7C3BB6"/>
    <w:rsid w:val="0FDF4A15"/>
    <w:rsid w:val="10182F62"/>
    <w:rsid w:val="12CF75E2"/>
    <w:rsid w:val="138A175B"/>
    <w:rsid w:val="13AE5449"/>
    <w:rsid w:val="13C24BB9"/>
    <w:rsid w:val="14AF76CB"/>
    <w:rsid w:val="14F71485"/>
    <w:rsid w:val="154C316C"/>
    <w:rsid w:val="15F01D49"/>
    <w:rsid w:val="1683496B"/>
    <w:rsid w:val="168531BA"/>
    <w:rsid w:val="17AA718D"/>
    <w:rsid w:val="191050B1"/>
    <w:rsid w:val="1A4245C3"/>
    <w:rsid w:val="1A8C7B66"/>
    <w:rsid w:val="1AB83AB1"/>
    <w:rsid w:val="1AD25EC1"/>
    <w:rsid w:val="1BA809D0"/>
    <w:rsid w:val="1C9D064C"/>
    <w:rsid w:val="1CD203FA"/>
    <w:rsid w:val="1EA36596"/>
    <w:rsid w:val="1F2E5690"/>
    <w:rsid w:val="1FB65DB1"/>
    <w:rsid w:val="2165781C"/>
    <w:rsid w:val="218E1D0D"/>
    <w:rsid w:val="21ED35E0"/>
    <w:rsid w:val="22121299"/>
    <w:rsid w:val="235F406A"/>
    <w:rsid w:val="23AD74CB"/>
    <w:rsid w:val="24696D85"/>
    <w:rsid w:val="25270BB7"/>
    <w:rsid w:val="25E90563"/>
    <w:rsid w:val="26F23447"/>
    <w:rsid w:val="279F712B"/>
    <w:rsid w:val="27B1007D"/>
    <w:rsid w:val="27D843EB"/>
    <w:rsid w:val="287D6D31"/>
    <w:rsid w:val="2A3726A8"/>
    <w:rsid w:val="2A3873C3"/>
    <w:rsid w:val="2B8E388E"/>
    <w:rsid w:val="2C0D02E8"/>
    <w:rsid w:val="2C511C85"/>
    <w:rsid w:val="2C596FCF"/>
    <w:rsid w:val="2CDE6947"/>
    <w:rsid w:val="2D1073FE"/>
    <w:rsid w:val="2D410C84"/>
    <w:rsid w:val="2D6706EB"/>
    <w:rsid w:val="303F594F"/>
    <w:rsid w:val="30D82E34"/>
    <w:rsid w:val="31930FE5"/>
    <w:rsid w:val="324A05DB"/>
    <w:rsid w:val="32A221C5"/>
    <w:rsid w:val="336E20A7"/>
    <w:rsid w:val="33B977C6"/>
    <w:rsid w:val="345E2C01"/>
    <w:rsid w:val="348D43F4"/>
    <w:rsid w:val="34BC6C38"/>
    <w:rsid w:val="351849C1"/>
    <w:rsid w:val="36FB3534"/>
    <w:rsid w:val="36FC4592"/>
    <w:rsid w:val="373226F6"/>
    <w:rsid w:val="385250B2"/>
    <w:rsid w:val="38876070"/>
    <w:rsid w:val="394D1C50"/>
    <w:rsid w:val="395FB7A0"/>
    <w:rsid w:val="39C90037"/>
    <w:rsid w:val="39CB75EB"/>
    <w:rsid w:val="3AD273C0"/>
    <w:rsid w:val="3AD4138A"/>
    <w:rsid w:val="3BF9DEB1"/>
    <w:rsid w:val="3C0E6BAC"/>
    <w:rsid w:val="3C4E5A4E"/>
    <w:rsid w:val="3C9061A1"/>
    <w:rsid w:val="3D17730C"/>
    <w:rsid w:val="3D566086"/>
    <w:rsid w:val="3D742EA0"/>
    <w:rsid w:val="3E5E3444"/>
    <w:rsid w:val="3E9D0006"/>
    <w:rsid w:val="3F746C97"/>
    <w:rsid w:val="3FFBA370"/>
    <w:rsid w:val="3FFD3C92"/>
    <w:rsid w:val="405014B2"/>
    <w:rsid w:val="420138FF"/>
    <w:rsid w:val="431C742A"/>
    <w:rsid w:val="43291B47"/>
    <w:rsid w:val="433848E7"/>
    <w:rsid w:val="43BE6D6C"/>
    <w:rsid w:val="43E02B4D"/>
    <w:rsid w:val="43F85E2D"/>
    <w:rsid w:val="4420119C"/>
    <w:rsid w:val="45DE30BD"/>
    <w:rsid w:val="45E87A97"/>
    <w:rsid w:val="45EB023C"/>
    <w:rsid w:val="460F55E7"/>
    <w:rsid w:val="46D6163F"/>
    <w:rsid w:val="47485D05"/>
    <w:rsid w:val="480A1F47"/>
    <w:rsid w:val="484E277B"/>
    <w:rsid w:val="48BB6909"/>
    <w:rsid w:val="48F03833"/>
    <w:rsid w:val="4A1E1D23"/>
    <w:rsid w:val="4A317C5F"/>
    <w:rsid w:val="4A4400FF"/>
    <w:rsid w:val="4A471230"/>
    <w:rsid w:val="4A71301D"/>
    <w:rsid w:val="4BFE9304"/>
    <w:rsid w:val="4CFA2DD6"/>
    <w:rsid w:val="4D0A4797"/>
    <w:rsid w:val="4D3006A2"/>
    <w:rsid w:val="4D396295"/>
    <w:rsid w:val="4DF74D1B"/>
    <w:rsid w:val="4E231FB4"/>
    <w:rsid w:val="4E8E60BC"/>
    <w:rsid w:val="4F4A531F"/>
    <w:rsid w:val="4F7D4D0C"/>
    <w:rsid w:val="4FFA0AF3"/>
    <w:rsid w:val="512247A5"/>
    <w:rsid w:val="51590324"/>
    <w:rsid w:val="52350508"/>
    <w:rsid w:val="525E180D"/>
    <w:rsid w:val="52D41ACF"/>
    <w:rsid w:val="52ED0DE3"/>
    <w:rsid w:val="535844AE"/>
    <w:rsid w:val="53607807"/>
    <w:rsid w:val="53A13AC4"/>
    <w:rsid w:val="5435040D"/>
    <w:rsid w:val="561F5757"/>
    <w:rsid w:val="56837A94"/>
    <w:rsid w:val="5A2635DD"/>
    <w:rsid w:val="5AAF4F47"/>
    <w:rsid w:val="5B2A7D4D"/>
    <w:rsid w:val="5BC44DEE"/>
    <w:rsid w:val="5D6E7DCF"/>
    <w:rsid w:val="5DD6E773"/>
    <w:rsid w:val="60CA3A1F"/>
    <w:rsid w:val="60F67ED8"/>
    <w:rsid w:val="6138591F"/>
    <w:rsid w:val="618D5292"/>
    <w:rsid w:val="61C6547B"/>
    <w:rsid w:val="61D05B58"/>
    <w:rsid w:val="621A6DD3"/>
    <w:rsid w:val="62C06D48"/>
    <w:rsid w:val="63651B58"/>
    <w:rsid w:val="63E61662"/>
    <w:rsid w:val="64852C29"/>
    <w:rsid w:val="667CFF19"/>
    <w:rsid w:val="671A1F63"/>
    <w:rsid w:val="672D6937"/>
    <w:rsid w:val="67A96C2F"/>
    <w:rsid w:val="67D53EC8"/>
    <w:rsid w:val="68B03FED"/>
    <w:rsid w:val="693B5FAC"/>
    <w:rsid w:val="69D56401"/>
    <w:rsid w:val="6A374219"/>
    <w:rsid w:val="6AD42215"/>
    <w:rsid w:val="6B720339"/>
    <w:rsid w:val="6C7B3C98"/>
    <w:rsid w:val="6CB5251A"/>
    <w:rsid w:val="6D0B689D"/>
    <w:rsid w:val="6E0252EB"/>
    <w:rsid w:val="6E5378F4"/>
    <w:rsid w:val="6EFFE986"/>
    <w:rsid w:val="6F7B4055"/>
    <w:rsid w:val="6FE02E1A"/>
    <w:rsid w:val="6FFEAF5C"/>
    <w:rsid w:val="70386F10"/>
    <w:rsid w:val="70757FF6"/>
    <w:rsid w:val="712D267F"/>
    <w:rsid w:val="713C6D66"/>
    <w:rsid w:val="714B55B6"/>
    <w:rsid w:val="716F0EE9"/>
    <w:rsid w:val="720D1F18"/>
    <w:rsid w:val="72320BE2"/>
    <w:rsid w:val="72787A47"/>
    <w:rsid w:val="72A71FF2"/>
    <w:rsid w:val="72C76B03"/>
    <w:rsid w:val="72C80088"/>
    <w:rsid w:val="73124222"/>
    <w:rsid w:val="73830C7C"/>
    <w:rsid w:val="73B05D63"/>
    <w:rsid w:val="74C53382"/>
    <w:rsid w:val="74DA5D89"/>
    <w:rsid w:val="74F42CE1"/>
    <w:rsid w:val="74F5E285"/>
    <w:rsid w:val="75D73501"/>
    <w:rsid w:val="76E068BE"/>
    <w:rsid w:val="77291F9E"/>
    <w:rsid w:val="778450E0"/>
    <w:rsid w:val="790068CB"/>
    <w:rsid w:val="7A6A66F1"/>
    <w:rsid w:val="7ADA0446"/>
    <w:rsid w:val="7B713AB0"/>
    <w:rsid w:val="7B7FA95A"/>
    <w:rsid w:val="7BBB6A6C"/>
    <w:rsid w:val="7BE81FC4"/>
    <w:rsid w:val="7CCF1163"/>
    <w:rsid w:val="7CD82038"/>
    <w:rsid w:val="7D893333"/>
    <w:rsid w:val="7E9A50CB"/>
    <w:rsid w:val="7ED20D09"/>
    <w:rsid w:val="7EDE76AE"/>
    <w:rsid w:val="7EF7088A"/>
    <w:rsid w:val="7FBA3160"/>
    <w:rsid w:val="8BE78F87"/>
    <w:rsid w:val="A27F9246"/>
    <w:rsid w:val="B3AEAE32"/>
    <w:rsid w:val="B9CF4092"/>
    <w:rsid w:val="BDF7DACF"/>
    <w:rsid w:val="BF2F035B"/>
    <w:rsid w:val="BFFFD307"/>
    <w:rsid w:val="C0FF410E"/>
    <w:rsid w:val="DCF744D8"/>
    <w:rsid w:val="EBFF1A38"/>
    <w:rsid w:val="EDFF1D06"/>
    <w:rsid w:val="FABED38C"/>
    <w:rsid w:val="FD6F1189"/>
    <w:rsid w:val="FEFDFA98"/>
    <w:rsid w:val="FF7A27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0" w:semiHidden="0" w:name="List"/>
    <w:lsdException w:unhideWhenUsed="0" w:uiPriority="0" w:semiHidden="0" w:name="List Bullet"/>
    <w:lsdException w:qFormat="1"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next w:val="1"/>
    <w:qFormat/>
    <w:uiPriority w:val="0"/>
    <w:pPr>
      <w:keepNext/>
      <w:keepLines/>
      <w:widowControl w:val="0"/>
      <w:spacing w:before="340" w:after="330" w:line="578" w:lineRule="auto"/>
      <w:jc w:val="both"/>
      <w:outlineLvl w:val="0"/>
    </w:pPr>
    <w:rPr>
      <w:rFonts w:ascii="Times New Roman" w:hAnsi="Times New Roman" w:eastAsia="宋体" w:cs="Times New Roman"/>
      <w:b/>
      <w:bCs/>
      <w:kern w:val="44"/>
      <w:sz w:val="44"/>
      <w:szCs w:val="44"/>
      <w:lang w:val="en-US" w:eastAsia="zh-CN" w:bidi="ar-SA"/>
    </w:rPr>
  </w:style>
  <w:style w:type="paragraph" w:styleId="3">
    <w:name w:val="heading 2"/>
    <w:next w:val="1"/>
    <w:qFormat/>
    <w:uiPriority w:val="9"/>
    <w:pPr>
      <w:keepNext/>
      <w:keepLines/>
      <w:widowControl w:val="0"/>
      <w:spacing w:before="260" w:after="260" w:line="416" w:lineRule="auto"/>
      <w:jc w:val="both"/>
      <w:outlineLvl w:val="1"/>
    </w:pPr>
    <w:rPr>
      <w:rFonts w:ascii="Cambria" w:hAnsi="Cambria" w:eastAsia="宋体" w:cs="Times New Roman"/>
      <w:b/>
      <w:bCs/>
      <w:kern w:val="2"/>
      <w:sz w:val="32"/>
      <w:szCs w:val="32"/>
      <w:lang w:val="en-US" w:eastAsia="zh-CN" w:bidi="ar-SA"/>
    </w:rPr>
  </w:style>
  <w:style w:type="paragraph" w:styleId="4">
    <w:name w:val="heading 3"/>
    <w:next w:val="1"/>
    <w:qFormat/>
    <w:uiPriority w:val="0"/>
    <w:pPr>
      <w:keepNext/>
      <w:keepLines/>
      <w:widowControl w:val="0"/>
      <w:spacing w:before="260" w:after="260" w:line="416" w:lineRule="auto"/>
      <w:jc w:val="both"/>
      <w:outlineLvl w:val="2"/>
    </w:pPr>
    <w:rPr>
      <w:rFonts w:ascii="Times New Roman" w:hAnsi="Times New Roman" w:eastAsia="宋体" w:cs="Times New Roman"/>
      <w:b/>
      <w:bCs/>
      <w:kern w:val="2"/>
      <w:sz w:val="32"/>
      <w:szCs w:val="32"/>
      <w:lang w:val="en-US" w:eastAsia="zh-CN" w:bidi="ar-SA"/>
    </w:rPr>
  </w:style>
  <w:style w:type="character" w:default="1" w:styleId="24">
    <w:name w:val="Default Paragraph Font"/>
    <w:semiHidden/>
    <w:unhideWhenUsed/>
    <w:qFormat/>
    <w:uiPriority w:val="1"/>
  </w:style>
  <w:style w:type="table" w:default="1" w:styleId="2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List Number"/>
    <w:basedOn w:val="1"/>
    <w:qFormat/>
    <w:uiPriority w:val="0"/>
    <w:pPr>
      <w:numPr>
        <w:ilvl w:val="0"/>
        <w:numId w:val="1"/>
      </w:numPr>
    </w:pPr>
  </w:style>
  <w:style w:type="paragraph" w:styleId="6">
    <w:name w:val="Normal Indent"/>
    <w:basedOn w:val="1"/>
    <w:unhideWhenUsed/>
    <w:qFormat/>
    <w:uiPriority w:val="0"/>
    <w:pPr>
      <w:ind w:firstLine="420"/>
    </w:pPr>
  </w:style>
  <w:style w:type="paragraph" w:styleId="7">
    <w:name w:val="annotation text"/>
    <w:basedOn w:val="1"/>
    <w:link w:val="29"/>
    <w:qFormat/>
    <w:uiPriority w:val="0"/>
    <w:pPr>
      <w:jc w:val="left"/>
    </w:pPr>
  </w:style>
  <w:style w:type="paragraph" w:styleId="8">
    <w:name w:val="Body Text"/>
    <w:next w:val="1"/>
    <w:link w:val="30"/>
    <w:qFormat/>
    <w:uiPriority w:val="99"/>
    <w:pPr>
      <w:widowControl w:val="0"/>
      <w:spacing w:after="120"/>
      <w:jc w:val="both"/>
    </w:pPr>
    <w:rPr>
      <w:rFonts w:ascii="Times New Roman" w:hAnsi="Times New Roman" w:eastAsia="宋体" w:cs="Times New Roman"/>
      <w:kern w:val="2"/>
      <w:sz w:val="21"/>
      <w:szCs w:val="24"/>
      <w:lang w:val="en-US" w:eastAsia="zh-CN" w:bidi="ar-SA"/>
    </w:rPr>
  </w:style>
  <w:style w:type="paragraph" w:styleId="9">
    <w:name w:val="Body Text Indent"/>
    <w:basedOn w:val="1"/>
    <w:link w:val="31"/>
    <w:qFormat/>
    <w:uiPriority w:val="0"/>
    <w:pPr>
      <w:spacing w:after="120"/>
      <w:ind w:left="420" w:leftChars="200"/>
    </w:pPr>
  </w:style>
  <w:style w:type="paragraph" w:styleId="10">
    <w:name w:val="List 2"/>
    <w:unhideWhenUsed/>
    <w:qFormat/>
    <w:uiPriority w:val="99"/>
    <w:pPr>
      <w:widowControl w:val="0"/>
      <w:ind w:left="100" w:leftChars="200" w:hanging="200" w:hangingChars="200"/>
      <w:contextualSpacing/>
      <w:jc w:val="both"/>
    </w:pPr>
    <w:rPr>
      <w:rFonts w:ascii="Times New Roman" w:hAnsi="Times New Roman" w:eastAsia="宋体" w:cs="Times New Roman"/>
      <w:kern w:val="2"/>
      <w:sz w:val="21"/>
      <w:szCs w:val="24"/>
      <w:lang w:val="en-US" w:eastAsia="zh-CN" w:bidi="ar-SA"/>
    </w:rPr>
  </w:style>
  <w:style w:type="paragraph" w:styleId="11">
    <w:name w:val="toc 3"/>
    <w:next w:val="1"/>
    <w:unhideWhenUsed/>
    <w:qFormat/>
    <w:uiPriority w:val="39"/>
    <w:pPr>
      <w:widowControl w:val="0"/>
      <w:ind w:left="840" w:leftChars="400"/>
      <w:jc w:val="both"/>
    </w:pPr>
    <w:rPr>
      <w:rFonts w:ascii="Times New Roman" w:hAnsi="Times New Roman" w:eastAsia="宋体" w:cs="Times New Roman"/>
      <w:kern w:val="2"/>
      <w:sz w:val="21"/>
      <w:szCs w:val="24"/>
      <w:lang w:val="en-US" w:eastAsia="zh-CN" w:bidi="ar-SA"/>
    </w:rPr>
  </w:style>
  <w:style w:type="paragraph" w:styleId="12">
    <w:name w:val="Plain Text"/>
    <w:link w:val="32"/>
    <w:unhideWhenUsed/>
    <w:qFormat/>
    <w:uiPriority w:val="0"/>
    <w:rPr>
      <w:rFonts w:hint="eastAsia" w:ascii="宋体" w:hAnsi="Courier New" w:eastAsia="宋体" w:cs="Times New Roman"/>
      <w:sz w:val="24"/>
      <w:szCs w:val="24"/>
      <w:lang w:val="en-US" w:eastAsia="zh-CN" w:bidi="ar-SA"/>
    </w:rPr>
  </w:style>
  <w:style w:type="paragraph" w:styleId="13">
    <w:name w:val="Balloon Text"/>
    <w:basedOn w:val="1"/>
    <w:link w:val="33"/>
    <w:qFormat/>
    <w:uiPriority w:val="0"/>
    <w:rPr>
      <w:sz w:val="18"/>
      <w:szCs w:val="18"/>
    </w:rPr>
  </w:style>
  <w:style w:type="paragraph" w:styleId="14">
    <w:name w:val="footer"/>
    <w:basedOn w:val="1"/>
    <w:link w:val="34"/>
    <w:qFormat/>
    <w:uiPriority w:val="99"/>
    <w:pPr>
      <w:tabs>
        <w:tab w:val="center" w:pos="4153"/>
        <w:tab w:val="right" w:pos="8306"/>
      </w:tabs>
      <w:snapToGrid w:val="0"/>
      <w:jc w:val="left"/>
    </w:pPr>
    <w:rPr>
      <w:sz w:val="18"/>
    </w:rPr>
  </w:style>
  <w:style w:type="paragraph" w:styleId="15">
    <w:name w:val="header"/>
    <w:basedOn w:val="1"/>
    <w:link w:val="35"/>
    <w:qFormat/>
    <w:uiPriority w:val="0"/>
    <w:pPr>
      <w:pBdr>
        <w:bottom w:val="single" w:color="auto" w:sz="6" w:space="1"/>
      </w:pBdr>
      <w:tabs>
        <w:tab w:val="center" w:pos="4153"/>
        <w:tab w:val="right" w:pos="8306"/>
      </w:tabs>
      <w:snapToGrid w:val="0"/>
      <w:jc w:val="center"/>
    </w:pPr>
    <w:rPr>
      <w:sz w:val="18"/>
      <w:szCs w:val="18"/>
    </w:rPr>
  </w:style>
  <w:style w:type="paragraph" w:styleId="16">
    <w:name w:val="toc 1"/>
    <w:next w:val="1"/>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7">
    <w:name w:val="List"/>
    <w:unhideWhenUsed/>
    <w:qFormat/>
    <w:uiPriority w:val="0"/>
    <w:pPr>
      <w:widowControl w:val="0"/>
      <w:ind w:left="200" w:hanging="200" w:hangingChars="200"/>
      <w:contextualSpacing/>
      <w:jc w:val="both"/>
    </w:pPr>
    <w:rPr>
      <w:rFonts w:ascii="Times New Roman" w:hAnsi="Times New Roman" w:eastAsia="宋体" w:cs="Times New Roman"/>
      <w:kern w:val="2"/>
      <w:sz w:val="21"/>
      <w:szCs w:val="24"/>
      <w:lang w:val="en-US" w:eastAsia="zh-CN" w:bidi="ar-SA"/>
    </w:rPr>
  </w:style>
  <w:style w:type="paragraph" w:styleId="1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9">
    <w:name w:val="Normal (Web)"/>
    <w:basedOn w:val="1"/>
    <w:qFormat/>
    <w:uiPriority w:val="0"/>
    <w:rPr>
      <w:sz w:val="24"/>
    </w:rPr>
  </w:style>
  <w:style w:type="paragraph" w:styleId="20">
    <w:name w:val="Title"/>
    <w:basedOn w:val="1"/>
    <w:next w:val="1"/>
    <w:qFormat/>
    <w:uiPriority w:val="0"/>
    <w:pPr>
      <w:spacing w:before="240" w:after="60"/>
      <w:jc w:val="center"/>
      <w:outlineLvl w:val="0"/>
    </w:pPr>
    <w:rPr>
      <w:rFonts w:ascii="Arial" w:hAnsi="Arial"/>
      <w:b/>
      <w:sz w:val="32"/>
      <w:szCs w:val="20"/>
    </w:rPr>
  </w:style>
  <w:style w:type="paragraph" w:styleId="21">
    <w:name w:val="annotation subject"/>
    <w:basedOn w:val="7"/>
    <w:next w:val="7"/>
    <w:link w:val="36"/>
    <w:qFormat/>
    <w:uiPriority w:val="0"/>
    <w:rPr>
      <w:b/>
      <w:bCs/>
    </w:rPr>
  </w:style>
  <w:style w:type="table" w:styleId="23">
    <w:name w:val="Table Grid"/>
    <w:basedOn w:val="22"/>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5">
    <w:name w:val="Strong"/>
    <w:basedOn w:val="24"/>
    <w:qFormat/>
    <w:uiPriority w:val="0"/>
    <w:rPr>
      <w:b/>
    </w:rPr>
  </w:style>
  <w:style w:type="character" w:styleId="26">
    <w:name w:val="FollowedHyperlink"/>
    <w:unhideWhenUsed/>
    <w:qFormat/>
    <w:uiPriority w:val="0"/>
    <w:rPr>
      <w:color w:val="800080"/>
      <w:u w:val="single"/>
    </w:rPr>
  </w:style>
  <w:style w:type="character" w:styleId="27">
    <w:name w:val="Hyperlink"/>
    <w:qFormat/>
    <w:uiPriority w:val="0"/>
    <w:rPr>
      <w:color w:val="0000FF"/>
      <w:u w:val="single"/>
    </w:rPr>
  </w:style>
  <w:style w:type="character" w:styleId="28">
    <w:name w:val="annotation reference"/>
    <w:qFormat/>
    <w:uiPriority w:val="0"/>
    <w:rPr>
      <w:sz w:val="21"/>
      <w:szCs w:val="21"/>
    </w:rPr>
  </w:style>
  <w:style w:type="character" w:customStyle="1" w:styleId="29">
    <w:name w:val="批注文字 字符1"/>
    <w:link w:val="7"/>
    <w:qFormat/>
    <w:uiPriority w:val="0"/>
    <w:rPr>
      <w:kern w:val="2"/>
      <w:sz w:val="21"/>
      <w:szCs w:val="24"/>
    </w:rPr>
  </w:style>
  <w:style w:type="character" w:customStyle="1" w:styleId="30">
    <w:name w:val="正文文本 字符"/>
    <w:link w:val="8"/>
    <w:qFormat/>
    <w:uiPriority w:val="99"/>
    <w:rPr>
      <w:kern w:val="2"/>
      <w:sz w:val="21"/>
      <w:szCs w:val="24"/>
    </w:rPr>
  </w:style>
  <w:style w:type="character" w:customStyle="1" w:styleId="31">
    <w:name w:val="正文文本缩进 字符"/>
    <w:link w:val="9"/>
    <w:qFormat/>
    <w:uiPriority w:val="0"/>
    <w:rPr>
      <w:kern w:val="2"/>
      <w:sz w:val="21"/>
      <w:szCs w:val="24"/>
    </w:rPr>
  </w:style>
  <w:style w:type="character" w:customStyle="1" w:styleId="32">
    <w:name w:val="纯文本 字符"/>
    <w:link w:val="12"/>
    <w:qFormat/>
    <w:uiPriority w:val="0"/>
    <w:rPr>
      <w:rFonts w:ascii="宋体" w:hAnsi="Courier New"/>
      <w:sz w:val="24"/>
      <w:szCs w:val="24"/>
    </w:rPr>
  </w:style>
  <w:style w:type="character" w:customStyle="1" w:styleId="33">
    <w:name w:val="批注框文本 字符"/>
    <w:link w:val="13"/>
    <w:qFormat/>
    <w:uiPriority w:val="0"/>
    <w:rPr>
      <w:kern w:val="2"/>
      <w:sz w:val="18"/>
      <w:szCs w:val="18"/>
    </w:rPr>
  </w:style>
  <w:style w:type="character" w:customStyle="1" w:styleId="34">
    <w:name w:val="页脚 字符"/>
    <w:link w:val="14"/>
    <w:qFormat/>
    <w:uiPriority w:val="99"/>
    <w:rPr>
      <w:kern w:val="2"/>
      <w:sz w:val="18"/>
      <w:szCs w:val="24"/>
    </w:rPr>
  </w:style>
  <w:style w:type="character" w:customStyle="1" w:styleId="35">
    <w:name w:val="页眉 字符"/>
    <w:link w:val="15"/>
    <w:qFormat/>
    <w:uiPriority w:val="0"/>
    <w:rPr>
      <w:kern w:val="2"/>
      <w:sz w:val="18"/>
      <w:szCs w:val="18"/>
    </w:rPr>
  </w:style>
  <w:style w:type="character" w:customStyle="1" w:styleId="36">
    <w:name w:val="批注主题 字符"/>
    <w:link w:val="21"/>
    <w:qFormat/>
    <w:uiPriority w:val="0"/>
    <w:rPr>
      <w:b/>
      <w:bCs/>
      <w:kern w:val="2"/>
      <w:sz w:val="21"/>
      <w:szCs w:val="24"/>
    </w:rPr>
  </w:style>
  <w:style w:type="table" w:customStyle="1" w:styleId="37">
    <w:name w:val="Table Normal"/>
    <w:unhideWhenUsed/>
    <w:qFormat/>
    <w:uiPriority w:val="0"/>
    <w:tblPr>
      <w:tblCellMar>
        <w:top w:w="0" w:type="dxa"/>
        <w:left w:w="0" w:type="dxa"/>
        <w:bottom w:w="0" w:type="dxa"/>
        <w:right w:w="0" w:type="dxa"/>
      </w:tblCellMar>
    </w:tblPr>
  </w:style>
  <w:style w:type="paragraph" w:styleId="38">
    <w:name w:val="List Paragraph"/>
    <w:qFormat/>
    <w:uiPriority w:val="34"/>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customStyle="1" w:styleId="39">
    <w:name w:val="Default"/>
    <w:qFormat/>
    <w:uiPriority w:val="0"/>
    <w:pPr>
      <w:widowControl w:val="0"/>
      <w:autoSpaceDE w:val="0"/>
      <w:autoSpaceDN w:val="0"/>
      <w:adjustRightInd w:val="0"/>
    </w:pPr>
    <w:rPr>
      <w:rFonts w:ascii="宋体" w:hAnsi="宋体" w:eastAsia="宋体" w:cs="Times New Roman"/>
      <w:color w:val="000000"/>
      <w:sz w:val="24"/>
      <w:lang w:val="en-US" w:eastAsia="zh-CN" w:bidi="ar-SA"/>
    </w:rPr>
  </w:style>
  <w:style w:type="character" w:customStyle="1" w:styleId="40">
    <w:name w:val="批注文字 Char"/>
    <w:qFormat/>
    <w:uiPriority w:val="0"/>
    <w:rPr>
      <w:kern w:val="2"/>
      <w:sz w:val="21"/>
      <w:szCs w:val="24"/>
    </w:rPr>
  </w:style>
  <w:style w:type="character" w:customStyle="1" w:styleId="41">
    <w:name w:val="批注文字 字符"/>
    <w:qFormat/>
    <w:uiPriority w:val="0"/>
    <w:rPr>
      <w:kern w:val="2"/>
      <w:sz w:val="21"/>
      <w:szCs w:val="24"/>
    </w:rPr>
  </w:style>
  <w:style w:type="paragraph" w:customStyle="1" w:styleId="42">
    <w:name w:val="Table Text"/>
    <w:basedOn w:val="1"/>
    <w:semiHidden/>
    <w:qFormat/>
    <w:uiPriority w:val="0"/>
    <w:pPr>
      <w:widowControl/>
      <w:kinsoku w:val="0"/>
      <w:autoSpaceDE w:val="0"/>
      <w:autoSpaceDN w:val="0"/>
      <w:adjustRightInd w:val="0"/>
      <w:snapToGrid w:val="0"/>
      <w:jc w:val="left"/>
      <w:textAlignment w:val="baseline"/>
    </w:pPr>
    <w:rPr>
      <w:rFonts w:ascii="宋体" w:hAnsi="宋体" w:cs="宋体"/>
      <w:snapToGrid w:val="0"/>
      <w:color w:val="000000"/>
      <w:kern w:val="0"/>
      <w:sz w:val="20"/>
      <w:szCs w:val="20"/>
      <w:lang w:eastAsia="en-US"/>
    </w:rPr>
  </w:style>
  <w:style w:type="paragraph" w:customStyle="1" w:styleId="43">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44">
    <w:name w:val="修订2"/>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96</Pages>
  <Words>6336</Words>
  <Characters>7245</Characters>
  <Lines>2334</Lines>
  <Paragraphs>2107</Paragraphs>
  <TotalTime>21</TotalTime>
  <ScaleCrop>false</ScaleCrop>
  <LinksUpToDate>false</LinksUpToDate>
  <CharactersWithSpaces>7388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2025-02-26T03:42:00Z</dcterms:created>
  <dc:creator>月酱</dc:creator>
  <cp:lastModifiedBy>心亦77</cp:lastModifiedBy>
  <cp:lastPrinted>2023-03-10T08:38:00Z</cp:lastPrinted>
  <dcterms:modified xsi:type="dcterms:W3CDTF">2025-05-28T09:19:46Z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D2667842AD8E4E39BF5EDB8A1084461A_13</vt:lpwstr>
  </property>
  <property fmtid="{D5CDD505-2E9C-101B-9397-08002B2CF9AE}" pid="4" name="KSOTemplateDocerSaveRecord">
    <vt:lpwstr>eyJoZGlkIjoiMzcwYTExYmIyZGMyMWM0ZjRkOWNmYmExYjAxZWNlYzgiLCJ1c2VySWQiOiIyOTUwMDM4NzAifQ==</vt:lpwstr>
  </property>
</Properties>
</file>