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13E56D">
      <w:pPr>
        <w:pStyle w:val="19"/>
        <w:tabs>
          <w:tab w:val="left" w:pos="5670"/>
        </w:tabs>
        <w:kinsoku w:val="0"/>
        <w:overflowPunct w:val="0"/>
        <w:rPr>
          <w:rFonts w:hint="eastAsia"/>
          <w:color w:val="auto"/>
          <w:highlight w:val="none"/>
        </w:rPr>
      </w:pPr>
      <w:bookmarkStart w:id="0" w:name="_Toc183682338"/>
      <w:bookmarkStart w:id="1" w:name="_Toc217446030"/>
    </w:p>
    <w:p w14:paraId="0927E367">
      <w:pPr>
        <w:tabs>
          <w:tab w:val="left" w:pos="1710"/>
        </w:tabs>
        <w:rPr>
          <w:color w:val="auto"/>
          <w:highlight w:val="none"/>
        </w:rPr>
      </w:pPr>
    </w:p>
    <w:p w14:paraId="3C02DFB3">
      <w:pPr>
        <w:tabs>
          <w:tab w:val="left" w:pos="1710"/>
        </w:tabs>
        <w:rPr>
          <w:color w:val="auto"/>
          <w:highlight w:val="none"/>
        </w:rPr>
      </w:pPr>
    </w:p>
    <w:p w14:paraId="1D9F9455">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50F9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14:paraId="01C39BE0">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 w:val="60"/>
                <w:szCs w:val="60"/>
                <w:highlight w:val="none"/>
              </w:rPr>
            </w:pPr>
            <w:r>
              <w:rPr>
                <w:rFonts w:hint="eastAsia" w:ascii="Times New Roman" w:hAnsi="Times New Roman" w:cs="Times New Roman"/>
                <w:b/>
                <w:color w:val="auto"/>
                <w:sz w:val="60"/>
                <w:szCs w:val="60"/>
                <w:highlight w:val="none"/>
              </w:rPr>
              <w:t>征  集</w:t>
            </w:r>
            <w:r>
              <w:rPr>
                <w:rFonts w:hint="default" w:ascii="Times New Roman" w:hAnsi="Times New Roman" w:cs="Times New Roman"/>
                <w:b/>
                <w:color w:val="auto"/>
                <w:sz w:val="60"/>
                <w:szCs w:val="60"/>
                <w:highlight w:val="none"/>
              </w:rPr>
              <w:t xml:space="preserve">  文</w:t>
            </w:r>
            <w:r>
              <w:rPr>
                <w:rFonts w:hint="eastAsia" w:ascii="Times New Roman" w:hAnsi="Times New Roman" w:cs="Times New Roman"/>
                <w:b/>
                <w:color w:val="auto"/>
                <w:sz w:val="60"/>
                <w:szCs w:val="60"/>
                <w:highlight w:val="none"/>
              </w:rPr>
              <w:t xml:space="preserve"> </w:t>
            </w:r>
            <w:r>
              <w:rPr>
                <w:rFonts w:hint="default" w:ascii="Times New Roman" w:hAnsi="Times New Roman" w:cs="Times New Roman"/>
                <w:b/>
                <w:color w:val="auto"/>
                <w:sz w:val="60"/>
                <w:szCs w:val="60"/>
                <w:highlight w:val="none"/>
              </w:rPr>
              <w:t xml:space="preserve"> 件</w:t>
            </w:r>
          </w:p>
        </w:tc>
      </w:tr>
      <w:tr w14:paraId="30B1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1A886BAD">
            <w:pPr>
              <w:keepNext w:val="0"/>
              <w:keepLines w:val="0"/>
              <w:suppressLineNumbers w:val="0"/>
              <w:spacing w:before="0" w:beforeAutospacing="0" w:after="0" w:afterAutospacing="0"/>
              <w:ind w:left="0" w:right="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项目名称：</w:t>
            </w:r>
          </w:p>
        </w:tc>
        <w:tc>
          <w:tcPr>
            <w:tcW w:w="5433" w:type="dxa"/>
            <w:noWrap w:val="0"/>
            <w:vAlign w:val="center"/>
          </w:tcPr>
          <w:p w14:paraId="3146C00F">
            <w:pPr>
              <w:keepNext w:val="0"/>
              <w:keepLines w:val="0"/>
              <w:suppressLineNumbers w:val="0"/>
              <w:spacing w:before="0" w:beforeAutospacing="0" w:after="0" w:afterAutospacing="0"/>
              <w:ind w:left="0" w:right="0"/>
              <w:rPr>
                <w:rFonts w:hint="eastAsia"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eastAsia="zh-CN"/>
              </w:rPr>
              <w:t>富川瑶族自治县2025～2027年度政府投资项目评审服务</w:t>
            </w:r>
          </w:p>
        </w:tc>
      </w:tr>
      <w:tr w14:paraId="4FA0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694E1756">
            <w:pPr>
              <w:keepNext w:val="0"/>
              <w:keepLines w:val="0"/>
              <w:suppressLineNumbers w:val="0"/>
              <w:spacing w:before="0" w:beforeAutospacing="0" w:after="0" w:afterAutospacing="0"/>
              <w:ind w:left="0" w:right="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项目编号：</w:t>
            </w:r>
          </w:p>
        </w:tc>
        <w:tc>
          <w:tcPr>
            <w:tcW w:w="5433" w:type="dxa"/>
            <w:noWrap w:val="0"/>
            <w:vAlign w:val="center"/>
          </w:tcPr>
          <w:p w14:paraId="4E8B44F2">
            <w:pPr>
              <w:keepNext w:val="0"/>
              <w:keepLines w:val="0"/>
              <w:suppressLineNumbers w:val="0"/>
              <w:spacing w:before="0" w:beforeAutospacing="0" w:after="0" w:afterAutospacing="0"/>
              <w:ind w:left="0" w:right="0"/>
              <w:rPr>
                <w:rFonts w:hint="eastAsia"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eastAsia="zh-CN"/>
              </w:rPr>
              <w:t>HZZC2025-K3-230067-JDZB</w:t>
            </w:r>
          </w:p>
        </w:tc>
      </w:tr>
      <w:tr w14:paraId="515D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5A527073">
            <w:pPr>
              <w:keepNext w:val="0"/>
              <w:keepLines w:val="0"/>
              <w:suppressLineNumbers w:val="0"/>
              <w:spacing w:before="0" w:beforeAutospacing="0" w:after="0" w:afterAutospacing="0"/>
              <w:ind w:left="0" w:right="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联系电话：</w:t>
            </w:r>
          </w:p>
        </w:tc>
        <w:tc>
          <w:tcPr>
            <w:tcW w:w="5433" w:type="dxa"/>
            <w:noWrap w:val="0"/>
            <w:vAlign w:val="center"/>
          </w:tcPr>
          <w:p w14:paraId="7CEF4941">
            <w:pPr>
              <w:keepNext w:val="0"/>
              <w:keepLines w:val="0"/>
              <w:suppressLineNumbers w:val="0"/>
              <w:spacing w:before="0" w:beforeAutospacing="0" w:after="0" w:afterAutospacing="0"/>
              <w:ind w:left="0" w:right="0"/>
              <w:rPr>
                <w:rFonts w:hint="eastAsia" w:ascii="Times New Roman" w:hAnsi="Times New Roman" w:eastAsia="宋体" w:cs="Times New Roman"/>
                <w:b/>
                <w:color w:val="auto"/>
                <w:sz w:val="32"/>
                <w:szCs w:val="32"/>
                <w:highlight w:val="none"/>
                <w:lang w:eastAsia="zh-CN"/>
              </w:rPr>
            </w:pPr>
            <w:r>
              <w:rPr>
                <w:rFonts w:hint="default" w:ascii="Times New Roman" w:hAnsi="Times New Roman" w:cs="Times New Roman"/>
                <w:b/>
                <w:color w:val="auto"/>
                <w:sz w:val="32"/>
                <w:szCs w:val="32"/>
                <w:highlight w:val="none"/>
              </w:rPr>
              <w:t>0771-</w:t>
            </w:r>
            <w:r>
              <w:rPr>
                <w:rFonts w:hint="eastAsia" w:ascii="Times New Roman" w:hAnsi="Times New Roman" w:cs="Times New Roman"/>
                <w:b/>
                <w:color w:val="auto"/>
                <w:sz w:val="32"/>
                <w:szCs w:val="32"/>
                <w:highlight w:val="none"/>
                <w:lang w:eastAsia="zh-CN"/>
              </w:rPr>
              <w:t>5782003</w:t>
            </w:r>
          </w:p>
        </w:tc>
      </w:tr>
    </w:tbl>
    <w:p w14:paraId="536EF1B0">
      <w:pPr>
        <w:tabs>
          <w:tab w:val="left" w:pos="1710"/>
        </w:tabs>
        <w:rPr>
          <w:color w:val="auto"/>
          <w:highlight w:val="none"/>
        </w:rPr>
      </w:pPr>
    </w:p>
    <w:p w14:paraId="5AD38D38">
      <w:pPr>
        <w:rPr>
          <w:color w:val="auto"/>
          <w:highlight w:val="none"/>
        </w:rPr>
      </w:pPr>
    </w:p>
    <w:p w14:paraId="0586C995">
      <w:pPr>
        <w:rPr>
          <w:color w:val="auto"/>
          <w:highlight w:val="none"/>
        </w:rPr>
      </w:pPr>
    </w:p>
    <w:p w14:paraId="463BE4A5">
      <w:pPr>
        <w:rPr>
          <w:color w:val="auto"/>
          <w:highlight w:val="none"/>
        </w:rPr>
      </w:pPr>
    </w:p>
    <w:p w14:paraId="507643A4">
      <w:pPr>
        <w:rPr>
          <w:color w:val="auto"/>
          <w:highlight w:val="none"/>
        </w:rPr>
      </w:pPr>
    </w:p>
    <w:p w14:paraId="22F2CD68">
      <w:pPr>
        <w:rPr>
          <w:color w:val="auto"/>
          <w:highlight w:val="none"/>
        </w:rPr>
      </w:pPr>
    </w:p>
    <w:p w14:paraId="32C99B30">
      <w:pPr>
        <w:rPr>
          <w:color w:val="auto"/>
          <w:highlight w:val="none"/>
        </w:rPr>
      </w:pPr>
    </w:p>
    <w:p w14:paraId="313A92C7">
      <w:pPr>
        <w:rPr>
          <w:color w:val="auto"/>
          <w:highlight w:val="none"/>
        </w:rPr>
      </w:pPr>
    </w:p>
    <w:p w14:paraId="7318B7F9">
      <w:pPr>
        <w:rPr>
          <w:color w:val="auto"/>
          <w:highlight w:val="none"/>
        </w:rPr>
      </w:pPr>
    </w:p>
    <w:p w14:paraId="1D6760C6">
      <w:pPr>
        <w:rPr>
          <w:color w:val="auto"/>
          <w:highlight w:val="none"/>
        </w:rPr>
      </w:pPr>
    </w:p>
    <w:p w14:paraId="7579B13F">
      <w:pPr>
        <w:rPr>
          <w:color w:val="auto"/>
          <w:highlight w:val="none"/>
        </w:rPr>
      </w:pPr>
    </w:p>
    <w:p w14:paraId="727DFCEE">
      <w:pPr>
        <w:rPr>
          <w:color w:val="auto"/>
          <w:highlight w:val="none"/>
        </w:rPr>
      </w:pPr>
    </w:p>
    <w:p w14:paraId="6086A8DA">
      <w:pPr>
        <w:rPr>
          <w:color w:val="auto"/>
          <w:highlight w:val="none"/>
        </w:rPr>
      </w:pPr>
    </w:p>
    <w:p w14:paraId="21631DEC">
      <w:pPr>
        <w:rPr>
          <w:color w:val="auto"/>
          <w:highlight w:val="none"/>
        </w:rPr>
      </w:pPr>
    </w:p>
    <w:p w14:paraId="1D6CC1BD">
      <w:pPr>
        <w:rPr>
          <w:color w:val="auto"/>
          <w:highlight w:val="none"/>
        </w:rPr>
      </w:pPr>
    </w:p>
    <w:tbl>
      <w:tblPr>
        <w:tblStyle w:val="51"/>
        <w:tblW w:w="0" w:type="auto"/>
        <w:tblInd w:w="-593" w:type="dxa"/>
        <w:tblLayout w:type="fixed"/>
        <w:tblCellMar>
          <w:top w:w="0" w:type="dxa"/>
          <w:left w:w="108" w:type="dxa"/>
          <w:bottom w:w="0" w:type="dxa"/>
          <w:right w:w="108" w:type="dxa"/>
        </w:tblCellMar>
      </w:tblPr>
      <w:tblGrid>
        <w:gridCol w:w="2977"/>
        <w:gridCol w:w="6"/>
        <w:gridCol w:w="6127"/>
      </w:tblGrid>
      <w:tr w14:paraId="6A02C55F">
        <w:tblPrEx>
          <w:tblCellMar>
            <w:top w:w="0" w:type="dxa"/>
            <w:left w:w="108" w:type="dxa"/>
            <w:bottom w:w="0" w:type="dxa"/>
            <w:right w:w="108" w:type="dxa"/>
          </w:tblCellMar>
        </w:tblPrEx>
        <w:trPr>
          <w:trHeight w:val="723" w:hRule="atLeast"/>
        </w:trPr>
        <w:tc>
          <w:tcPr>
            <w:tcW w:w="2977" w:type="dxa"/>
            <w:noWrap w:val="0"/>
            <w:vAlign w:val="center"/>
          </w:tcPr>
          <w:p w14:paraId="5F6E9358">
            <w:pPr>
              <w:keepNext w:val="0"/>
              <w:keepLines w:val="0"/>
              <w:suppressLineNumbers w:val="0"/>
              <w:autoSpaceDE w:val="0"/>
              <w:autoSpaceDN w:val="0"/>
              <w:adjustRightInd w:val="0"/>
              <w:spacing w:before="0" w:beforeAutospacing="0" w:after="0" w:afterAutospacing="0"/>
              <w:ind w:left="0" w:right="0"/>
              <w:jc w:val="right"/>
              <w:rPr>
                <w:rFonts w:hint="default" w:ascii="Times New Roman" w:hAnsi="Times New Roman" w:cs="Times New Roman"/>
                <w:b/>
                <w:color w:val="auto"/>
                <w:sz w:val="32"/>
                <w:szCs w:val="32"/>
                <w:highlight w:val="none"/>
              </w:rPr>
            </w:pPr>
            <w:bookmarkStart w:id="2" w:name="_Hlk97503251"/>
            <w:r>
              <w:rPr>
                <w:rFonts w:hint="default" w:ascii="Times New Roman" w:hAnsi="Times New Roman" w:cs="Times New Roman"/>
                <w:b/>
                <w:color w:val="auto"/>
                <w:sz w:val="32"/>
                <w:szCs w:val="32"/>
                <w:highlight w:val="none"/>
              </w:rPr>
              <w:t xml:space="preserve">  征集人：</w:t>
            </w:r>
          </w:p>
        </w:tc>
        <w:tc>
          <w:tcPr>
            <w:tcW w:w="6133" w:type="dxa"/>
            <w:gridSpan w:val="2"/>
            <w:noWrap w:val="0"/>
            <w:vAlign w:val="center"/>
          </w:tcPr>
          <w:p w14:paraId="68DCE6B8">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eastAsia="zh-CN"/>
              </w:rPr>
              <w:t>富川瑶族自治县财政局</w:t>
            </w:r>
          </w:p>
        </w:tc>
      </w:tr>
      <w:bookmarkEnd w:id="2"/>
      <w:tr w14:paraId="32705B11">
        <w:tblPrEx>
          <w:tblCellMar>
            <w:top w:w="0" w:type="dxa"/>
            <w:left w:w="108" w:type="dxa"/>
            <w:bottom w:w="0" w:type="dxa"/>
            <w:right w:w="108" w:type="dxa"/>
          </w:tblCellMar>
        </w:tblPrEx>
        <w:trPr>
          <w:trHeight w:val="723" w:hRule="atLeast"/>
        </w:trPr>
        <w:tc>
          <w:tcPr>
            <w:tcW w:w="2983" w:type="dxa"/>
            <w:gridSpan w:val="2"/>
            <w:noWrap w:val="0"/>
            <w:vAlign w:val="top"/>
          </w:tcPr>
          <w:p w14:paraId="5774FAC3">
            <w:pPr>
              <w:keepNext w:val="0"/>
              <w:keepLines w:val="0"/>
              <w:suppressLineNumbers w:val="0"/>
              <w:wordWrap w:val="0"/>
              <w:autoSpaceDE w:val="0"/>
              <w:autoSpaceDN w:val="0"/>
              <w:adjustRightInd w:val="0"/>
              <w:spacing w:before="0" w:beforeAutospacing="0" w:after="0" w:afterAutospacing="0"/>
              <w:ind w:left="0" w:right="0"/>
              <w:jc w:val="right"/>
              <w:rPr>
                <w:rFonts w:hint="default" w:ascii="Times New Roman" w:hAnsi="Times New Roman" w:cs="Times New Roman"/>
                <w:b/>
                <w:color w:val="auto"/>
                <w:sz w:val="32"/>
                <w:szCs w:val="32"/>
                <w:highlight w:val="none"/>
              </w:rPr>
            </w:pPr>
            <w:r>
              <w:rPr>
                <w:rFonts w:hint="eastAsia" w:ascii="Times New Roman" w:hAnsi="Times New Roman" w:cs="Times New Roman"/>
                <w:b/>
                <w:color w:val="auto"/>
                <w:sz w:val="32"/>
                <w:szCs w:val="32"/>
                <w:highlight w:val="none"/>
              </w:rPr>
              <w:t xml:space="preserve">  </w:t>
            </w:r>
            <w:r>
              <w:rPr>
                <w:rFonts w:hint="default" w:ascii="Times New Roman" w:hAnsi="Times New Roman" w:cs="Times New Roman"/>
                <w:b/>
                <w:color w:val="auto"/>
                <w:sz w:val="32"/>
                <w:szCs w:val="32"/>
                <w:highlight w:val="none"/>
              </w:rPr>
              <w:t>采购代理机构：</w:t>
            </w:r>
          </w:p>
        </w:tc>
        <w:tc>
          <w:tcPr>
            <w:tcW w:w="6127" w:type="dxa"/>
            <w:noWrap w:val="0"/>
            <w:vAlign w:val="top"/>
          </w:tcPr>
          <w:p w14:paraId="664B9FD3">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b/>
                <w:color w:val="auto"/>
                <w:sz w:val="32"/>
                <w:szCs w:val="32"/>
                <w:highlight w:val="none"/>
                <w:u w:val="single"/>
              </w:rPr>
            </w:pPr>
            <w:r>
              <w:rPr>
                <w:rFonts w:hint="default" w:ascii="Times New Roman" w:hAnsi="Times New Roman" w:cs="Times New Roman"/>
                <w:b/>
                <w:color w:val="auto"/>
                <w:sz w:val="32"/>
                <w:szCs w:val="32"/>
                <w:highlight w:val="none"/>
              </w:rPr>
              <w:t>广西机电设备招标有限公司</w:t>
            </w:r>
          </w:p>
        </w:tc>
      </w:tr>
    </w:tbl>
    <w:p w14:paraId="3282202F">
      <w:pPr>
        <w:rPr>
          <w:color w:val="auto"/>
          <w:highlight w:val="none"/>
        </w:rPr>
      </w:pPr>
    </w:p>
    <w:p w14:paraId="3F6812E8">
      <w:pPr>
        <w:ind w:firstLine="321" w:firstLineChars="100"/>
        <w:jc w:val="center"/>
        <w:rPr>
          <w:b/>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3" w:name="_Toc32587"/>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7</w:t>
      </w:r>
      <w:r>
        <w:rPr>
          <w:b/>
          <w:color w:val="auto"/>
          <w:sz w:val="32"/>
          <w:szCs w:val="32"/>
          <w:highlight w:val="none"/>
        </w:rPr>
        <w:t>月</w:t>
      </w:r>
      <w:bookmarkStart w:id="113" w:name="_GoBack"/>
      <w:bookmarkEnd w:id="113"/>
    </w:p>
    <w:p w14:paraId="02F66A7C">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4" w:name="_Toc20300"/>
      <w:bookmarkStart w:id="5" w:name="_Toc7879"/>
      <w:bookmarkStart w:id="6" w:name="_Toc97561713"/>
      <w:r>
        <w:rPr>
          <w:rFonts w:ascii="Times New Roman" w:hAnsi="Times New Roman" w:cs="Times New Roman"/>
          <w:color w:val="auto"/>
          <w:sz w:val="32"/>
          <w:szCs w:val="32"/>
          <w:highlight w:val="none"/>
        </w:rPr>
        <w:t>目    录</w:t>
      </w:r>
      <w:bookmarkEnd w:id="3"/>
      <w:bookmarkEnd w:id="4"/>
      <w:bookmarkEnd w:id="5"/>
      <w:bookmarkEnd w:id="6"/>
    </w:p>
    <w:p w14:paraId="02071F63">
      <w:pPr>
        <w:pStyle w:val="33"/>
        <w:tabs>
          <w:tab w:val="right" w:leader="dot" w:pos="9070"/>
          <w:tab w:val="clear" w:pos="8398"/>
        </w:tabs>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_Toc16757 </w:instrText>
      </w:r>
      <w:r>
        <w:rPr>
          <w:rFonts w:ascii="Times New Roman" w:hAnsi="Times New Roman"/>
          <w:szCs w:val="28"/>
          <w:highlight w:val="none"/>
        </w:rPr>
        <w:fldChar w:fldCharType="separate"/>
      </w:r>
      <w:r>
        <w:rPr>
          <w:rFonts w:ascii="Times New Roman" w:hAnsi="Times New Roman" w:cs="Times New Roman"/>
          <w:szCs w:val="32"/>
          <w:highlight w:val="none"/>
        </w:rPr>
        <w:t xml:space="preserve">第一章  </w:t>
      </w:r>
      <w:r>
        <w:rPr>
          <w:rFonts w:hint="eastAsia" w:ascii="Times New Roman" w:hAnsi="Times New Roman" w:cs="Times New Roman"/>
          <w:szCs w:val="32"/>
          <w:highlight w:val="none"/>
        </w:rPr>
        <w:t>征集</w:t>
      </w:r>
      <w:r>
        <w:rPr>
          <w:rFonts w:ascii="Times New Roman" w:hAnsi="Times New Roman" w:cs="Times New Roman"/>
          <w:szCs w:val="32"/>
          <w:highlight w:val="none"/>
        </w:rPr>
        <w:t>公告</w:t>
      </w:r>
      <w:r>
        <w:tab/>
      </w:r>
      <w:r>
        <w:fldChar w:fldCharType="begin"/>
      </w:r>
      <w:r>
        <w:instrText xml:space="preserve"> PAGEREF _Toc16757 \h </w:instrText>
      </w:r>
      <w:r>
        <w:fldChar w:fldCharType="separate"/>
      </w:r>
      <w:r>
        <w:t>1</w:t>
      </w:r>
      <w:r>
        <w:fldChar w:fldCharType="end"/>
      </w:r>
      <w:r>
        <w:rPr>
          <w:rFonts w:ascii="Times New Roman" w:hAnsi="Times New Roman"/>
          <w:color w:val="auto"/>
          <w:szCs w:val="28"/>
          <w:highlight w:val="none"/>
        </w:rPr>
        <w:fldChar w:fldCharType="end"/>
      </w:r>
    </w:p>
    <w:p w14:paraId="11F6668D">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_Toc17860 </w:instrText>
      </w:r>
      <w:r>
        <w:rPr>
          <w:rFonts w:ascii="Times New Roman" w:hAnsi="Times New Roman"/>
          <w:szCs w:val="28"/>
          <w:highlight w:val="none"/>
        </w:rPr>
        <w:fldChar w:fldCharType="separate"/>
      </w:r>
      <w:r>
        <w:rPr>
          <w:rFonts w:ascii="Times New Roman" w:hAnsi="Times New Roman" w:cs="Times New Roman"/>
          <w:szCs w:val="32"/>
          <w:highlight w:val="none"/>
        </w:rPr>
        <w:t>第二章  采购需求</w:t>
      </w:r>
      <w:r>
        <w:tab/>
      </w:r>
      <w:r>
        <w:fldChar w:fldCharType="begin"/>
      </w:r>
      <w:r>
        <w:instrText xml:space="preserve"> PAGEREF _Toc17860 \h </w:instrText>
      </w:r>
      <w:r>
        <w:fldChar w:fldCharType="separate"/>
      </w:r>
      <w:r>
        <w:t>4</w:t>
      </w:r>
      <w:r>
        <w:fldChar w:fldCharType="end"/>
      </w:r>
      <w:r>
        <w:rPr>
          <w:rFonts w:ascii="Times New Roman" w:hAnsi="Times New Roman"/>
          <w:color w:val="auto"/>
          <w:szCs w:val="28"/>
          <w:highlight w:val="none"/>
        </w:rPr>
        <w:fldChar w:fldCharType="end"/>
      </w:r>
    </w:p>
    <w:p w14:paraId="06B03AF8">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_Toc19454 </w:instrText>
      </w:r>
      <w:r>
        <w:rPr>
          <w:rFonts w:ascii="Times New Roman" w:hAnsi="Times New Roman"/>
          <w:szCs w:val="28"/>
          <w:highlight w:val="none"/>
        </w:rPr>
        <w:fldChar w:fldCharType="separate"/>
      </w:r>
      <w:r>
        <w:rPr>
          <w:szCs w:val="32"/>
          <w:highlight w:val="none"/>
        </w:rPr>
        <w:t>第三章  供应商须知</w:t>
      </w:r>
      <w:r>
        <w:tab/>
      </w:r>
      <w:r>
        <w:fldChar w:fldCharType="begin"/>
      </w:r>
      <w:r>
        <w:instrText xml:space="preserve"> PAGEREF _Toc19454 \h </w:instrText>
      </w:r>
      <w:r>
        <w:fldChar w:fldCharType="separate"/>
      </w:r>
      <w:r>
        <w:t>8</w:t>
      </w:r>
      <w:r>
        <w:fldChar w:fldCharType="end"/>
      </w:r>
      <w:r>
        <w:rPr>
          <w:rFonts w:ascii="Times New Roman" w:hAnsi="Times New Roman"/>
          <w:color w:val="auto"/>
          <w:szCs w:val="28"/>
          <w:highlight w:val="none"/>
        </w:rPr>
        <w:fldChar w:fldCharType="end"/>
      </w:r>
    </w:p>
    <w:p w14:paraId="4ABC9A53">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_Toc14155 </w:instrText>
      </w:r>
      <w:r>
        <w:rPr>
          <w:rFonts w:ascii="Times New Roman" w:hAnsi="Times New Roman"/>
          <w:szCs w:val="28"/>
          <w:highlight w:val="none"/>
        </w:rPr>
        <w:fldChar w:fldCharType="separate"/>
      </w:r>
      <w:r>
        <w:rPr>
          <w:rFonts w:ascii="Times New Roman" w:hAnsi="Times New Roman" w:cs="Times New Roman"/>
          <w:szCs w:val="32"/>
          <w:highlight w:val="none"/>
        </w:rPr>
        <w:t>第四章  评审方法及标准</w:t>
      </w:r>
      <w:r>
        <w:tab/>
      </w:r>
      <w:r>
        <w:fldChar w:fldCharType="begin"/>
      </w:r>
      <w:r>
        <w:instrText xml:space="preserve"> PAGEREF _Toc14155 \h </w:instrText>
      </w:r>
      <w:r>
        <w:fldChar w:fldCharType="separate"/>
      </w:r>
      <w:r>
        <w:t>25</w:t>
      </w:r>
      <w:r>
        <w:fldChar w:fldCharType="end"/>
      </w:r>
      <w:r>
        <w:rPr>
          <w:rFonts w:ascii="Times New Roman" w:hAnsi="Times New Roman"/>
          <w:color w:val="auto"/>
          <w:szCs w:val="28"/>
          <w:highlight w:val="none"/>
        </w:rPr>
        <w:fldChar w:fldCharType="end"/>
      </w:r>
    </w:p>
    <w:p w14:paraId="66E84CF7">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_Toc5413 </w:instrText>
      </w:r>
      <w:r>
        <w:rPr>
          <w:rFonts w:ascii="Times New Roman" w:hAnsi="Times New Roman"/>
          <w:szCs w:val="28"/>
          <w:highlight w:val="none"/>
        </w:rPr>
        <w:fldChar w:fldCharType="separate"/>
      </w:r>
      <w:r>
        <w:rPr>
          <w:szCs w:val="32"/>
          <w:highlight w:val="none"/>
        </w:rPr>
        <w:t xml:space="preserve">第五章  </w:t>
      </w:r>
      <w:r>
        <w:rPr>
          <w:rFonts w:hint="eastAsia"/>
          <w:szCs w:val="32"/>
          <w:highlight w:val="none"/>
        </w:rPr>
        <w:t>框架协议（格式）</w:t>
      </w:r>
      <w:r>
        <w:tab/>
      </w:r>
      <w:r>
        <w:fldChar w:fldCharType="begin"/>
      </w:r>
      <w:r>
        <w:instrText xml:space="preserve"> PAGEREF _Toc5413 \h </w:instrText>
      </w:r>
      <w:r>
        <w:fldChar w:fldCharType="separate"/>
      </w:r>
      <w:r>
        <w:t>32</w:t>
      </w:r>
      <w:r>
        <w:fldChar w:fldCharType="end"/>
      </w:r>
      <w:r>
        <w:rPr>
          <w:rFonts w:ascii="Times New Roman" w:hAnsi="Times New Roman"/>
          <w:color w:val="auto"/>
          <w:szCs w:val="28"/>
          <w:highlight w:val="none"/>
        </w:rPr>
        <w:fldChar w:fldCharType="end"/>
      </w:r>
    </w:p>
    <w:p w14:paraId="25BA78EC">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_Toc3911 </w:instrText>
      </w:r>
      <w:r>
        <w:rPr>
          <w:rFonts w:ascii="Times New Roman" w:hAnsi="Times New Roman"/>
          <w:szCs w:val="28"/>
          <w:highlight w:val="none"/>
        </w:rPr>
        <w:fldChar w:fldCharType="separate"/>
      </w:r>
      <w:r>
        <w:rPr>
          <w:rFonts w:ascii="Times New Roman" w:hAnsi="Times New Roman" w:cs="Times New Roman"/>
          <w:szCs w:val="32"/>
          <w:highlight w:val="none"/>
        </w:rPr>
        <w:t>第</w:t>
      </w:r>
      <w:r>
        <w:rPr>
          <w:rFonts w:hint="eastAsia" w:ascii="Times New Roman" w:hAnsi="Times New Roman" w:cs="Times New Roman"/>
          <w:szCs w:val="32"/>
          <w:highlight w:val="none"/>
        </w:rPr>
        <w:t>六</w:t>
      </w:r>
      <w:r>
        <w:rPr>
          <w:rFonts w:ascii="Times New Roman" w:hAnsi="Times New Roman" w:cs="Times New Roman"/>
          <w:szCs w:val="32"/>
          <w:highlight w:val="none"/>
        </w:rPr>
        <w:t>章  合同主要条款格式</w:t>
      </w:r>
      <w:r>
        <w:tab/>
      </w:r>
      <w:r>
        <w:fldChar w:fldCharType="begin"/>
      </w:r>
      <w:r>
        <w:instrText xml:space="preserve"> PAGEREF _Toc3911 \h </w:instrText>
      </w:r>
      <w:r>
        <w:fldChar w:fldCharType="separate"/>
      </w:r>
      <w:r>
        <w:t>52</w:t>
      </w:r>
      <w:r>
        <w:fldChar w:fldCharType="end"/>
      </w:r>
      <w:r>
        <w:rPr>
          <w:rFonts w:ascii="Times New Roman" w:hAnsi="Times New Roman"/>
          <w:color w:val="auto"/>
          <w:szCs w:val="28"/>
          <w:highlight w:val="none"/>
        </w:rPr>
        <w:fldChar w:fldCharType="end"/>
      </w:r>
    </w:p>
    <w:p w14:paraId="19934162">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_Toc19714 </w:instrText>
      </w:r>
      <w:r>
        <w:rPr>
          <w:rFonts w:ascii="Times New Roman" w:hAnsi="Times New Roman"/>
          <w:szCs w:val="28"/>
          <w:highlight w:val="none"/>
        </w:rPr>
        <w:fldChar w:fldCharType="separate"/>
      </w:r>
      <w:r>
        <w:rPr>
          <w:rFonts w:ascii="Times New Roman" w:hAnsi="Times New Roman" w:cs="Times New Roman"/>
          <w:szCs w:val="32"/>
          <w:highlight w:val="none"/>
        </w:rPr>
        <w:t>第</w:t>
      </w:r>
      <w:r>
        <w:rPr>
          <w:rFonts w:hint="eastAsia" w:ascii="Times New Roman" w:hAnsi="Times New Roman" w:cs="Times New Roman"/>
          <w:szCs w:val="32"/>
          <w:highlight w:val="none"/>
        </w:rPr>
        <w:t>七</w:t>
      </w:r>
      <w:r>
        <w:rPr>
          <w:rFonts w:ascii="Times New Roman" w:hAnsi="Times New Roman" w:cs="Times New Roman"/>
          <w:szCs w:val="32"/>
          <w:highlight w:val="none"/>
        </w:rPr>
        <w:t>章  响应文件格式</w:t>
      </w:r>
      <w:r>
        <w:tab/>
      </w:r>
      <w:r>
        <w:fldChar w:fldCharType="begin"/>
      </w:r>
      <w:r>
        <w:instrText xml:space="preserve"> PAGEREF _Toc19714 \h </w:instrText>
      </w:r>
      <w:r>
        <w:fldChar w:fldCharType="separate"/>
      </w:r>
      <w:r>
        <w:t>53</w:t>
      </w:r>
      <w:r>
        <w:fldChar w:fldCharType="end"/>
      </w:r>
      <w:r>
        <w:rPr>
          <w:rFonts w:ascii="Times New Roman" w:hAnsi="Times New Roman"/>
          <w:color w:val="auto"/>
          <w:szCs w:val="28"/>
          <w:highlight w:val="none"/>
        </w:rPr>
        <w:fldChar w:fldCharType="end"/>
      </w:r>
    </w:p>
    <w:p w14:paraId="766E9064">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09544E52">
      <w:pPr>
        <w:spacing w:before="120" w:beforeLines="50" w:line="480" w:lineRule="exact"/>
        <w:rPr>
          <w:color w:val="auto"/>
          <w:sz w:val="28"/>
          <w:szCs w:val="28"/>
          <w:highlight w:val="none"/>
        </w:rPr>
      </w:pPr>
    </w:p>
    <w:p w14:paraId="2256476C">
      <w:pPr>
        <w:spacing w:before="120" w:beforeLines="50" w:line="480" w:lineRule="exact"/>
        <w:rPr>
          <w:color w:val="auto"/>
          <w:sz w:val="30"/>
          <w:highlight w:val="none"/>
        </w:rPr>
        <w:sectPr>
          <w:headerReference r:id="rId6" w:type="first"/>
          <w:pgSz w:w="11906" w:h="16838"/>
          <w:pgMar w:top="1418" w:right="1418" w:bottom="1246" w:left="1418" w:header="851" w:footer="992" w:gutter="0"/>
          <w:pgNumType w:start="0"/>
          <w:cols w:space="720" w:num="1"/>
          <w:titlePg/>
          <w:docGrid w:linePitch="312" w:charSpace="0"/>
        </w:sectPr>
      </w:pPr>
    </w:p>
    <w:p w14:paraId="210916DF">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 w:name="_Toc254970630"/>
      <w:bookmarkStart w:id="8" w:name="_Toc254970489"/>
      <w:bookmarkStart w:id="9" w:name="_Toc16757"/>
      <w:r>
        <w:rPr>
          <w:rFonts w:ascii="Times New Roman" w:hAnsi="Times New Roman" w:cs="Times New Roman"/>
          <w:color w:val="auto"/>
          <w:sz w:val="32"/>
          <w:szCs w:val="32"/>
          <w:highlight w:val="none"/>
        </w:rPr>
        <w:t xml:space="preserve">第一章  </w:t>
      </w:r>
      <w:bookmarkEnd w:id="7"/>
      <w:bookmarkEnd w:id="8"/>
      <w:r>
        <w:rPr>
          <w:rFonts w:hint="eastAsia" w:ascii="Times New Roman" w:hAnsi="Times New Roman" w:cs="Times New Roman"/>
          <w:color w:val="auto"/>
          <w:sz w:val="32"/>
          <w:szCs w:val="32"/>
          <w:highlight w:val="none"/>
        </w:rPr>
        <w:t>征集</w:t>
      </w:r>
      <w:r>
        <w:rPr>
          <w:rFonts w:ascii="Times New Roman" w:hAnsi="Times New Roman" w:cs="Times New Roman"/>
          <w:color w:val="auto"/>
          <w:sz w:val="32"/>
          <w:szCs w:val="32"/>
          <w:highlight w:val="none"/>
        </w:rPr>
        <w:t>公告</w:t>
      </w:r>
      <w:bookmarkEnd w:id="9"/>
    </w:p>
    <w:p w14:paraId="222BA66D">
      <w:pPr>
        <w:spacing w:line="400" w:lineRule="exact"/>
        <w:jc w:val="center"/>
        <w:rPr>
          <w:b/>
          <w:color w:val="auto"/>
          <w:sz w:val="24"/>
          <w:highlight w:val="none"/>
        </w:rPr>
      </w:pPr>
      <w:r>
        <w:rPr>
          <w:color w:val="auto"/>
          <w:kern w:val="0"/>
          <w:sz w:val="24"/>
          <w:highlight w:val="none"/>
        </w:rPr>
        <w:t>广西机电设备招标有限公司关于</w:t>
      </w:r>
      <w:r>
        <w:rPr>
          <w:rFonts w:hint="eastAsia"/>
          <w:color w:val="auto"/>
          <w:kern w:val="0"/>
          <w:sz w:val="24"/>
          <w:highlight w:val="none"/>
          <w:lang w:eastAsia="zh-CN"/>
        </w:rPr>
        <w:t>富川瑶族自治县2025～2027年度政府投资项目评审服务</w:t>
      </w:r>
      <w:r>
        <w:rPr>
          <w:color w:val="auto"/>
          <w:sz w:val="24"/>
          <w:highlight w:val="none"/>
        </w:rPr>
        <w:t xml:space="preserve"> (</w:t>
      </w:r>
      <w:r>
        <w:rPr>
          <w:rFonts w:hint="eastAsia"/>
          <w:color w:val="auto"/>
          <w:sz w:val="24"/>
          <w:highlight w:val="none"/>
          <w:lang w:eastAsia="zh-CN"/>
        </w:rPr>
        <w:t>HZZC2025-K3-230067-JDZB</w:t>
      </w:r>
      <w:r>
        <w:rPr>
          <w:color w:val="auto"/>
          <w:sz w:val="24"/>
          <w:highlight w:val="none"/>
        </w:rPr>
        <w:t>)</w:t>
      </w:r>
      <w:r>
        <w:rPr>
          <w:rFonts w:hint="eastAsia"/>
          <w:color w:val="auto"/>
          <w:kern w:val="0"/>
          <w:sz w:val="24"/>
          <w:highlight w:val="none"/>
        </w:rPr>
        <w:t>征集</w:t>
      </w:r>
      <w:r>
        <w:rPr>
          <w:color w:val="auto"/>
          <w:kern w:val="0"/>
          <w:sz w:val="24"/>
          <w:highlight w:val="none"/>
        </w:rPr>
        <w:t>公告</w:t>
      </w:r>
    </w:p>
    <w:p w14:paraId="02EFEFA0">
      <w:pPr>
        <w:ind w:firstLine="409" w:firstLineChars="195"/>
        <w:jc w:val="left"/>
        <w:rPr>
          <w:color w:val="auto"/>
          <w:kern w:val="0"/>
          <w:szCs w:val="21"/>
          <w:highlight w:val="none"/>
        </w:rPr>
      </w:pPr>
    </w:p>
    <w:p w14:paraId="69DD91E7">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项目概况：</w:t>
      </w:r>
      <w:r>
        <w:rPr>
          <w:rFonts w:hint="eastAsia"/>
          <w:color w:val="auto"/>
          <w:kern w:val="0"/>
          <w:szCs w:val="21"/>
          <w:highlight w:val="none"/>
          <w:lang w:eastAsia="zh-CN"/>
        </w:rPr>
        <w:t>富川瑶族自治县2025～2027年度政府投资项目评审服务</w:t>
      </w:r>
      <w:r>
        <w:rPr>
          <w:rFonts w:hint="eastAsia"/>
          <w:color w:val="auto"/>
          <w:kern w:val="0"/>
          <w:szCs w:val="21"/>
          <w:highlight w:val="none"/>
        </w:rPr>
        <w:t>（</w:t>
      </w:r>
      <w:r>
        <w:rPr>
          <w:rFonts w:hint="eastAsia"/>
          <w:color w:val="auto"/>
          <w:kern w:val="0"/>
          <w:szCs w:val="21"/>
          <w:highlight w:val="none"/>
          <w:lang w:eastAsia="zh-CN"/>
        </w:rPr>
        <w:t>HZZC2025-K3-230067-JDZB</w:t>
      </w:r>
      <w:r>
        <w:rPr>
          <w:rFonts w:hint="eastAsia"/>
          <w:color w:val="auto"/>
          <w:kern w:val="0"/>
          <w:szCs w:val="21"/>
          <w:highlight w:val="none"/>
        </w:rPr>
        <w:t>）</w:t>
      </w:r>
      <w:r>
        <w:rPr>
          <w:rFonts w:hint="eastAsia"/>
          <w:color w:val="auto"/>
          <w:szCs w:val="21"/>
          <w:highlight w:val="none"/>
        </w:rPr>
        <w:t>的潜在供应商应在广西政府采购云平台（</w:t>
      </w:r>
      <w:r>
        <w:rPr>
          <w:color w:val="auto"/>
          <w:szCs w:val="21"/>
          <w:highlight w:val="none"/>
        </w:rPr>
        <w:t>https://www.gcy.zfcg.gxzf.gov.cn/</w:t>
      </w:r>
      <w:r>
        <w:rPr>
          <w:rFonts w:hint="eastAsia"/>
          <w:color w:val="auto"/>
          <w:szCs w:val="21"/>
          <w:highlight w:val="none"/>
        </w:rPr>
        <w:t>）获取（下载）征集文件，并于202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w:t>
      </w:r>
      <w:r>
        <w:rPr>
          <w:rFonts w:hint="eastAsia"/>
          <w:color w:val="auto"/>
          <w:szCs w:val="21"/>
          <w:highlight w:val="none"/>
          <w:lang w:val="en-US" w:eastAsia="zh-CN"/>
        </w:rPr>
        <w:t>9</w:t>
      </w:r>
      <w:r>
        <w:rPr>
          <w:rFonts w:hint="eastAsia"/>
          <w:color w:val="auto"/>
          <w:szCs w:val="21"/>
          <w:highlight w:val="none"/>
        </w:rPr>
        <w:t>点</w:t>
      </w:r>
      <w:r>
        <w:rPr>
          <w:rFonts w:hint="eastAsia"/>
          <w:color w:val="auto"/>
          <w:szCs w:val="21"/>
          <w:highlight w:val="none"/>
          <w:lang w:val="en-US" w:eastAsia="zh-CN"/>
        </w:rPr>
        <w:t>00</w:t>
      </w:r>
      <w:r>
        <w:rPr>
          <w:rFonts w:hint="eastAsia"/>
          <w:color w:val="auto"/>
          <w:szCs w:val="21"/>
          <w:highlight w:val="none"/>
        </w:rPr>
        <w:t>分（北京时间）前递交响应</w:t>
      </w:r>
      <w:r>
        <w:rPr>
          <w:color w:val="auto"/>
          <w:szCs w:val="21"/>
          <w:highlight w:val="none"/>
        </w:rPr>
        <w:t>文件</w:t>
      </w:r>
      <w:r>
        <w:rPr>
          <w:rFonts w:hint="eastAsia"/>
          <w:color w:val="auto"/>
          <w:szCs w:val="21"/>
          <w:highlight w:val="none"/>
        </w:rPr>
        <w:t>。</w:t>
      </w:r>
    </w:p>
    <w:p w14:paraId="3C314B8C">
      <w:pPr>
        <w:spacing w:line="312" w:lineRule="auto"/>
        <w:jc w:val="left"/>
        <w:rPr>
          <w:rFonts w:hint="eastAsia"/>
          <w:color w:val="auto"/>
          <w:kern w:val="0"/>
          <w:szCs w:val="21"/>
          <w:highlight w:val="none"/>
        </w:rPr>
      </w:pPr>
    </w:p>
    <w:p w14:paraId="15740965">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5E73BC6E">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项目编号：</w:t>
      </w:r>
      <w:r>
        <w:rPr>
          <w:rFonts w:hint="eastAsia"/>
          <w:color w:val="auto"/>
          <w:kern w:val="0"/>
          <w:szCs w:val="21"/>
          <w:highlight w:val="none"/>
          <w:lang w:eastAsia="zh-CN"/>
        </w:rPr>
        <w:t>HZZC2025-K3-230067-JDZB</w:t>
      </w:r>
    </w:p>
    <w:p w14:paraId="429066F1">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2</w:t>
      </w:r>
      <w:r>
        <w:rPr>
          <w:rFonts w:hint="eastAsia"/>
          <w:color w:val="auto"/>
          <w:kern w:val="0"/>
          <w:szCs w:val="21"/>
          <w:highlight w:val="none"/>
        </w:rPr>
        <w:t>.</w:t>
      </w:r>
      <w:r>
        <w:rPr>
          <w:color w:val="auto"/>
          <w:kern w:val="0"/>
          <w:szCs w:val="21"/>
          <w:highlight w:val="none"/>
        </w:rPr>
        <w:t>项目名称：</w:t>
      </w:r>
      <w:r>
        <w:rPr>
          <w:rFonts w:hint="eastAsia"/>
          <w:color w:val="auto"/>
          <w:kern w:val="0"/>
          <w:szCs w:val="21"/>
          <w:highlight w:val="none"/>
          <w:lang w:eastAsia="zh-CN"/>
        </w:rPr>
        <w:t>富川瑶族自治县2025～2027年度政府投资项目评审服务</w:t>
      </w:r>
    </w:p>
    <w:p w14:paraId="34D4C62F">
      <w:pPr>
        <w:spacing w:line="312" w:lineRule="auto"/>
        <w:ind w:firstLine="420" w:firstLineChars="200"/>
        <w:jc w:val="left"/>
        <w:rPr>
          <w:color w:val="auto"/>
          <w:kern w:val="0"/>
          <w:szCs w:val="21"/>
          <w:highlight w:val="none"/>
        </w:rPr>
      </w:pPr>
      <w:r>
        <w:rPr>
          <w:rFonts w:hint="eastAsia"/>
          <w:color w:val="auto"/>
          <w:kern w:val="0"/>
          <w:szCs w:val="21"/>
          <w:highlight w:val="none"/>
        </w:rPr>
        <w:t>3.年度采购预算：经批准的年度部门预算安排的专项评审费，在低于最高限价的前提下以最终实际发生金额为准</w:t>
      </w:r>
    </w:p>
    <w:p w14:paraId="007BC965">
      <w:pPr>
        <w:spacing w:line="312" w:lineRule="auto"/>
        <w:ind w:firstLine="420" w:firstLineChars="200"/>
        <w:jc w:val="left"/>
        <w:rPr>
          <w:rFonts w:hint="eastAsia"/>
          <w:color w:val="auto"/>
          <w:kern w:val="0"/>
          <w:szCs w:val="21"/>
          <w:highlight w:val="none"/>
        </w:rPr>
      </w:pPr>
      <w:r>
        <w:rPr>
          <w:color w:val="auto"/>
          <w:kern w:val="0"/>
          <w:szCs w:val="21"/>
          <w:highlight w:val="none"/>
        </w:rPr>
        <w:t>4</w:t>
      </w:r>
      <w:r>
        <w:rPr>
          <w:rFonts w:hint="eastAsia"/>
          <w:color w:val="auto"/>
          <w:kern w:val="0"/>
          <w:szCs w:val="21"/>
          <w:highlight w:val="none"/>
        </w:rPr>
        <w:t>.</w:t>
      </w:r>
      <w:r>
        <w:rPr>
          <w:color w:val="auto"/>
          <w:kern w:val="0"/>
          <w:szCs w:val="21"/>
          <w:highlight w:val="none"/>
        </w:rPr>
        <w:t>最高</w:t>
      </w:r>
      <w:r>
        <w:rPr>
          <w:rFonts w:hint="eastAsia"/>
          <w:color w:val="auto"/>
          <w:kern w:val="0"/>
          <w:szCs w:val="21"/>
          <w:highlight w:val="none"/>
        </w:rPr>
        <w:t>限制单价</w:t>
      </w:r>
      <w:r>
        <w:rPr>
          <w:color w:val="auto"/>
          <w:kern w:val="0"/>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6"/>
        <w:gridCol w:w="7437"/>
      </w:tblGrid>
      <w:tr w14:paraId="094AC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C185873">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07C59282">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最高</w:t>
            </w:r>
            <w:r>
              <w:rPr>
                <w:rFonts w:hint="eastAsia" w:ascii="宋体" w:hAnsi="宋体" w:eastAsia="宋体" w:cs="宋体"/>
                <w:b/>
                <w:bCs/>
                <w:color w:val="auto"/>
                <w:szCs w:val="21"/>
                <w:highlight w:val="none"/>
              </w:rPr>
              <w:t>限价</w:t>
            </w:r>
          </w:p>
        </w:tc>
      </w:tr>
      <w:tr w14:paraId="30FA2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03B3F1C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7A51FCD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1.征集人将项目委托供应商评审时，按以下费率计算服务费用：</w:t>
            </w:r>
          </w:p>
          <w:p w14:paraId="20C96EC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（1）审核工程概（预）算（含工程量清单、上限控制价），编审费按审查工程项目送审总造价1‰核定基本付费额。</w:t>
            </w:r>
          </w:p>
          <w:p w14:paraId="68E4B08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（2）审核工程概（预）算（含工程量清单、上限控制价），审减（增）费按审查定案净减（增）值的3%核定基本付费额。</w:t>
            </w:r>
          </w:p>
          <w:p w14:paraId="52C4E8D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单个工程项目按上述两种费率合计计算。单个工程项目评审服务费不足</w:t>
            </w:r>
            <w:r>
              <w:rPr>
                <w:rFonts w:hint="eastAsia" w:ascii="宋体" w:hAnsi="宋体" w:eastAsia="宋体" w:cs="宋体"/>
                <w:color w:val="auto"/>
                <w:szCs w:val="21"/>
                <w:highlight w:val="none"/>
                <w:lang w:val="en-US" w:eastAsia="zh-CN"/>
              </w:rPr>
              <w:t>2000</w:t>
            </w:r>
            <w:r>
              <w:rPr>
                <w:rFonts w:hint="eastAsia" w:ascii="宋体" w:hAnsi="宋体" w:eastAsia="宋体" w:cs="宋体"/>
                <w:color w:val="auto"/>
                <w:szCs w:val="21"/>
                <w:highlight w:val="none"/>
              </w:rPr>
              <w:t>元的，按</w:t>
            </w:r>
            <w:r>
              <w:rPr>
                <w:rFonts w:hint="eastAsia" w:ascii="宋体" w:hAnsi="宋体" w:eastAsia="宋体" w:cs="宋体"/>
                <w:color w:val="auto"/>
                <w:szCs w:val="21"/>
                <w:highlight w:val="none"/>
                <w:lang w:val="en-US" w:eastAsia="zh-CN"/>
              </w:rPr>
              <w:t>2000</w:t>
            </w:r>
            <w:r>
              <w:rPr>
                <w:rFonts w:hint="eastAsia" w:ascii="宋体" w:hAnsi="宋体" w:eastAsia="宋体" w:cs="宋体"/>
                <w:color w:val="auto"/>
                <w:szCs w:val="21"/>
                <w:highlight w:val="none"/>
              </w:rPr>
              <w:t>元付费。单个工程项目的评审服务费上限为80万元</w:t>
            </w:r>
            <w:r>
              <w:rPr>
                <w:rFonts w:hint="eastAsia" w:ascii="宋体" w:hAnsi="宋体" w:eastAsia="宋体" w:cs="宋体"/>
                <w:color w:val="auto"/>
                <w:szCs w:val="21"/>
                <w:highlight w:val="none"/>
                <w:lang w:eastAsia="zh-CN"/>
              </w:rPr>
              <w:t>且</w:t>
            </w:r>
            <w:bookmarkStart w:id="10" w:name="OLE_LINK2"/>
            <w:r>
              <w:rPr>
                <w:rFonts w:hint="eastAsia" w:ascii="宋体" w:hAnsi="宋体" w:eastAsia="宋体" w:cs="宋体"/>
                <w:color w:val="auto"/>
                <w:szCs w:val="21"/>
                <w:highlight w:val="none"/>
                <w:lang w:eastAsia="zh-CN"/>
              </w:rPr>
              <w:t>≤送审金额的3‰</w:t>
            </w:r>
            <w:bookmarkEnd w:id="10"/>
            <w:r>
              <w:rPr>
                <w:rFonts w:hint="eastAsia" w:ascii="宋体" w:hAnsi="宋体" w:eastAsia="宋体" w:cs="宋体"/>
                <w:color w:val="auto"/>
                <w:szCs w:val="21"/>
                <w:highlight w:val="none"/>
              </w:rPr>
              <w:t>。</w:t>
            </w:r>
          </w:p>
          <w:p w14:paraId="71239C5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2.服务费的计算：评审服务费＝[编审费+审减（增）费]。</w:t>
            </w:r>
          </w:p>
        </w:tc>
      </w:tr>
      <w:tr w14:paraId="6DA5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54882F0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218C983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1.征集人将项目委托供应商进行结算评审服务时，按以下费率计算服务费用：</w:t>
            </w:r>
          </w:p>
          <w:p w14:paraId="65DE365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（1）编审费按审查工程项目送审总造价2‰核定基本付费额。</w:t>
            </w:r>
          </w:p>
          <w:p w14:paraId="7950529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（2）审减（增）费按审查定案净减（增）值的4%核定基本付费额。</w:t>
            </w:r>
          </w:p>
          <w:p w14:paraId="46E3621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单个工程项目按上述两种费率合计计算。单个工程项目评审服务费不足2000元的，按2000元付费，评审服务费无上限。</w:t>
            </w:r>
          </w:p>
          <w:p w14:paraId="29D5A36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2.在计算和支付评审服务费时，征集人根据实际情况维持不变或降低基准费率，具体分类如下：</w:t>
            </w:r>
          </w:p>
          <w:p w14:paraId="1857E4E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（1）上述的基准费率是以单项工程送审金额在1000万元以下（含1000万元）为标准的基准费率。</w:t>
            </w:r>
          </w:p>
          <w:p w14:paraId="35406D4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（2）单项工程送金额在1000万元以上3000万元以下（含3000万元）的费率按基准费率的95%计算支付。</w:t>
            </w:r>
          </w:p>
          <w:p w14:paraId="6A6CE40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（3）单项工程送审金额在3000万元以上5000万元以下（含5000万元）的费率按基准费率的90%计算支付。</w:t>
            </w:r>
          </w:p>
          <w:p w14:paraId="0BCAB13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（4）单项工程送审额在5000万元以上1亿元以下（含1亿元）的费率按本次基准费率的85%计算支付。</w:t>
            </w:r>
          </w:p>
          <w:p w14:paraId="3A6FAD8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（5）单项工程送审金额在1亿元以上2亿元以下（含2亿元）的费率按基准费率的80%计算支付。</w:t>
            </w:r>
          </w:p>
          <w:p w14:paraId="617F2E9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（6）单项工程送审金额在2亿元以上5亿元以下（含5亿元）的按基准费率75%计算支付。</w:t>
            </w:r>
          </w:p>
          <w:p w14:paraId="28B306E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（7）5亿元以上的费率按基准费率的70%计算支付。</w:t>
            </w:r>
          </w:p>
          <w:p w14:paraId="22777A9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3.服务费的计算：评审服务费＝[编审费+审减（增）费]×费率</w:t>
            </w:r>
          </w:p>
        </w:tc>
      </w:tr>
    </w:tbl>
    <w:p w14:paraId="2835AD76">
      <w:pPr>
        <w:adjustRightInd w:val="0"/>
        <w:snapToGrid w:val="0"/>
        <w:spacing w:line="360" w:lineRule="exact"/>
        <w:ind w:firstLine="420" w:firstLineChars="200"/>
        <w:jc w:val="left"/>
        <w:rPr>
          <w:color w:val="auto"/>
          <w:kern w:val="0"/>
          <w:szCs w:val="21"/>
          <w:highlight w:val="none"/>
        </w:rPr>
      </w:pPr>
      <w:r>
        <w:rPr>
          <w:color w:val="auto"/>
          <w:kern w:val="0"/>
          <w:szCs w:val="21"/>
          <w:highlight w:val="none"/>
        </w:rPr>
        <w:t>5</w:t>
      </w:r>
      <w:r>
        <w:rPr>
          <w:rFonts w:hint="eastAsia"/>
          <w:color w:val="auto"/>
          <w:kern w:val="0"/>
          <w:szCs w:val="21"/>
          <w:highlight w:val="none"/>
        </w:rPr>
        <w:t>.采购需求</w:t>
      </w:r>
      <w:r>
        <w:rPr>
          <w:color w:val="auto"/>
          <w:kern w:val="0"/>
          <w:szCs w:val="21"/>
          <w:highlight w:val="none"/>
        </w:rPr>
        <w:t>：</w:t>
      </w:r>
    </w:p>
    <w:p w14:paraId="772B63C4">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标项一</w:t>
      </w:r>
    </w:p>
    <w:p w14:paraId="1C714D88">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标项名称：富川瑶族自治县本级政府投资项目概（预）算、工程量清单和招标控制价</w:t>
      </w:r>
      <w:r>
        <w:rPr>
          <w:rFonts w:hint="eastAsia"/>
          <w:color w:val="auto"/>
          <w:kern w:val="0"/>
          <w:szCs w:val="21"/>
          <w:highlight w:val="none"/>
          <w:lang w:eastAsia="zh-CN"/>
        </w:rPr>
        <w:t>评审</w:t>
      </w:r>
      <w:r>
        <w:rPr>
          <w:rFonts w:hint="eastAsia"/>
          <w:color w:val="auto"/>
          <w:kern w:val="0"/>
          <w:szCs w:val="21"/>
          <w:highlight w:val="none"/>
        </w:rPr>
        <w:t>服务</w:t>
      </w:r>
    </w:p>
    <w:p w14:paraId="45394F9E">
      <w:pPr>
        <w:adjustRightInd w:val="0"/>
        <w:snapToGrid w:val="0"/>
        <w:spacing w:line="360" w:lineRule="exact"/>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1项</w:t>
      </w:r>
    </w:p>
    <w:p w14:paraId="03953AB6">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服务内容：</w:t>
      </w:r>
      <w:r>
        <w:rPr>
          <w:rFonts w:hint="eastAsia"/>
          <w:color w:val="auto"/>
          <w:kern w:val="0"/>
          <w:szCs w:val="21"/>
          <w:highlight w:val="none"/>
          <w:lang w:val="en-US" w:eastAsia="zh-CN"/>
        </w:rPr>
        <w:t>为富川瑶族自治县本级政府投资项目提供</w:t>
      </w:r>
      <w:r>
        <w:rPr>
          <w:rFonts w:hint="eastAsia"/>
          <w:color w:val="auto"/>
          <w:kern w:val="0"/>
          <w:szCs w:val="21"/>
          <w:highlight w:val="none"/>
        </w:rPr>
        <w:t>概（预）算、工程量清单和招标控制价评审服务</w:t>
      </w:r>
    </w:p>
    <w:p w14:paraId="13039BF5">
      <w:pPr>
        <w:adjustRightInd w:val="0"/>
        <w:snapToGrid w:val="0"/>
        <w:spacing w:line="360" w:lineRule="exact"/>
        <w:ind w:firstLine="420" w:firstLineChars="200"/>
        <w:jc w:val="left"/>
        <w:rPr>
          <w:rFonts w:hint="eastAsia" w:eastAsia="宋体"/>
          <w:color w:val="auto"/>
          <w:kern w:val="0"/>
          <w:szCs w:val="21"/>
          <w:highlight w:val="none"/>
          <w:lang w:val="en-US" w:eastAsia="zh-CN"/>
        </w:rPr>
      </w:pPr>
      <w:r>
        <w:rPr>
          <w:rFonts w:hint="eastAsia"/>
          <w:color w:val="auto"/>
          <w:kern w:val="0"/>
          <w:szCs w:val="21"/>
          <w:highlight w:val="none"/>
        </w:rPr>
        <w:t>备注：</w:t>
      </w:r>
      <w:r>
        <w:rPr>
          <w:rFonts w:hint="eastAsia"/>
          <w:color w:val="auto"/>
          <w:kern w:val="0"/>
          <w:szCs w:val="21"/>
          <w:highlight w:val="none"/>
          <w:lang w:val="en-US" w:eastAsia="zh-CN"/>
        </w:rPr>
        <w:t>无</w:t>
      </w:r>
    </w:p>
    <w:p w14:paraId="4EA05D6E">
      <w:pPr>
        <w:adjustRightInd w:val="0"/>
        <w:snapToGrid w:val="0"/>
        <w:spacing w:line="360" w:lineRule="exact"/>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rPr>
        <w:t>合同履行期限：</w:t>
      </w:r>
      <w:r>
        <w:rPr>
          <w:rFonts w:hint="eastAsia"/>
          <w:color w:val="auto"/>
          <w:kern w:val="0"/>
          <w:szCs w:val="21"/>
          <w:highlight w:val="none"/>
          <w:lang w:val="en-US" w:eastAsia="zh-CN"/>
        </w:rPr>
        <w:t>2年</w:t>
      </w:r>
    </w:p>
    <w:p w14:paraId="22A4F895">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本标项（</w:t>
      </w:r>
      <w:r>
        <w:rPr>
          <w:rFonts w:hint="eastAsia"/>
          <w:color w:val="auto"/>
          <w:highlight w:val="none"/>
          <w:u w:val="single"/>
        </w:rPr>
        <w:t>否</w:t>
      </w:r>
      <w:r>
        <w:rPr>
          <w:rFonts w:hint="eastAsia"/>
          <w:color w:val="auto"/>
          <w:kern w:val="0"/>
          <w:szCs w:val="21"/>
          <w:highlight w:val="none"/>
        </w:rPr>
        <w:t>）接受联合体响应</w:t>
      </w:r>
    </w:p>
    <w:p w14:paraId="480A28B9">
      <w:pPr>
        <w:adjustRightInd w:val="0"/>
        <w:snapToGrid w:val="0"/>
        <w:spacing w:line="36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rPr>
        <w:t>标项</w:t>
      </w:r>
      <w:r>
        <w:rPr>
          <w:rFonts w:hint="eastAsia" w:ascii="Times New Roman" w:hAnsi="Times New Roman" w:eastAsia="宋体" w:cs="Times New Roman"/>
          <w:color w:val="auto"/>
          <w:kern w:val="0"/>
          <w:szCs w:val="21"/>
          <w:highlight w:val="none"/>
          <w:lang w:val="en-US" w:eastAsia="zh-CN"/>
        </w:rPr>
        <w:t>二</w:t>
      </w:r>
    </w:p>
    <w:p w14:paraId="5A1FD21A">
      <w:pPr>
        <w:adjustRightInd w:val="0"/>
        <w:snapToGrid w:val="0"/>
        <w:spacing w:line="36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标项名称：富川瑶族自治县本级政府投资项目</w:t>
      </w:r>
      <w:r>
        <w:rPr>
          <w:rFonts w:hint="eastAsia" w:ascii="Times New Roman" w:hAnsi="Times New Roman" w:eastAsia="宋体" w:cs="Times New Roman"/>
          <w:color w:val="auto"/>
          <w:kern w:val="0"/>
          <w:szCs w:val="21"/>
          <w:highlight w:val="none"/>
          <w:lang w:eastAsia="zh-CN"/>
        </w:rPr>
        <w:t>结算评审</w:t>
      </w:r>
      <w:r>
        <w:rPr>
          <w:rFonts w:hint="eastAsia" w:ascii="Times New Roman" w:hAnsi="Times New Roman" w:eastAsia="宋体" w:cs="Times New Roman"/>
          <w:color w:val="auto"/>
          <w:kern w:val="0"/>
          <w:szCs w:val="21"/>
          <w:highlight w:val="none"/>
        </w:rPr>
        <w:t>服务</w:t>
      </w:r>
    </w:p>
    <w:p w14:paraId="11681F8E">
      <w:pPr>
        <w:adjustRightInd w:val="0"/>
        <w:snapToGrid w:val="0"/>
        <w:spacing w:line="36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rPr>
        <w:t>数量：</w:t>
      </w:r>
      <w:r>
        <w:rPr>
          <w:rFonts w:hint="eastAsia" w:ascii="Times New Roman" w:hAnsi="Times New Roman" w:eastAsia="宋体" w:cs="Times New Roman"/>
          <w:color w:val="auto"/>
          <w:kern w:val="0"/>
          <w:szCs w:val="21"/>
          <w:highlight w:val="none"/>
          <w:lang w:val="en-US" w:eastAsia="zh-CN"/>
        </w:rPr>
        <w:t>1项</w:t>
      </w:r>
    </w:p>
    <w:p w14:paraId="305677C9">
      <w:pPr>
        <w:adjustRightInd w:val="0"/>
        <w:snapToGrid w:val="0"/>
        <w:spacing w:line="36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服务内容：</w:t>
      </w:r>
      <w:r>
        <w:rPr>
          <w:rFonts w:hint="eastAsia" w:ascii="Times New Roman" w:hAnsi="Times New Roman" w:eastAsia="宋体" w:cs="Times New Roman"/>
          <w:color w:val="auto"/>
          <w:kern w:val="0"/>
          <w:szCs w:val="21"/>
          <w:highlight w:val="none"/>
          <w:lang w:val="en-US" w:eastAsia="zh-CN"/>
        </w:rPr>
        <w:t>为</w:t>
      </w:r>
      <w:r>
        <w:rPr>
          <w:rFonts w:hint="eastAsia" w:ascii="Times New Roman" w:hAnsi="Times New Roman" w:eastAsia="宋体" w:cs="Times New Roman"/>
          <w:color w:val="auto"/>
          <w:kern w:val="0"/>
          <w:szCs w:val="21"/>
          <w:highlight w:val="none"/>
        </w:rPr>
        <w:t>富川瑶族自治县本级政府投资项目</w:t>
      </w:r>
      <w:r>
        <w:rPr>
          <w:rFonts w:hint="eastAsia" w:ascii="Times New Roman" w:hAnsi="Times New Roman" w:eastAsia="宋体" w:cs="Times New Roman"/>
          <w:color w:val="auto"/>
          <w:kern w:val="0"/>
          <w:szCs w:val="21"/>
          <w:highlight w:val="none"/>
          <w:lang w:val="en-US" w:eastAsia="zh-CN"/>
        </w:rPr>
        <w:t>提供</w:t>
      </w:r>
      <w:r>
        <w:rPr>
          <w:rFonts w:hint="eastAsia" w:ascii="Times New Roman" w:hAnsi="Times New Roman" w:eastAsia="宋体" w:cs="Times New Roman"/>
          <w:color w:val="auto"/>
          <w:kern w:val="0"/>
          <w:szCs w:val="21"/>
          <w:highlight w:val="none"/>
        </w:rPr>
        <w:t>结算评审服务</w:t>
      </w:r>
    </w:p>
    <w:p w14:paraId="2A37FBBB">
      <w:pPr>
        <w:adjustRightInd w:val="0"/>
        <w:snapToGrid w:val="0"/>
        <w:spacing w:line="360" w:lineRule="exact"/>
        <w:ind w:firstLine="420" w:firstLineChars="200"/>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rPr>
        <w:t>备注：</w:t>
      </w:r>
      <w:r>
        <w:rPr>
          <w:rFonts w:hint="eastAsia" w:ascii="Times New Roman" w:hAnsi="Times New Roman" w:eastAsia="宋体" w:cs="Times New Roman"/>
          <w:color w:val="auto"/>
          <w:kern w:val="0"/>
          <w:szCs w:val="21"/>
          <w:highlight w:val="none"/>
          <w:lang w:val="en-US" w:eastAsia="zh-CN"/>
        </w:rPr>
        <w:t>无</w:t>
      </w:r>
    </w:p>
    <w:p w14:paraId="247ACAF4">
      <w:pPr>
        <w:adjustRightInd w:val="0"/>
        <w:snapToGrid w:val="0"/>
        <w:spacing w:line="36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rPr>
        <w:t>合同履行期限：</w:t>
      </w:r>
      <w:r>
        <w:rPr>
          <w:rFonts w:hint="eastAsia" w:ascii="Times New Roman" w:hAnsi="Times New Roman" w:eastAsia="宋体" w:cs="Times New Roman"/>
          <w:color w:val="auto"/>
          <w:kern w:val="0"/>
          <w:szCs w:val="21"/>
          <w:highlight w:val="none"/>
          <w:lang w:val="en-US" w:eastAsia="zh-CN"/>
        </w:rPr>
        <w:t>1年3个月</w:t>
      </w:r>
    </w:p>
    <w:p w14:paraId="532E39CE">
      <w:pPr>
        <w:adjustRightInd w:val="0"/>
        <w:snapToGrid w:val="0"/>
        <w:spacing w:line="360" w:lineRule="exact"/>
        <w:ind w:firstLine="420" w:firstLineChars="200"/>
        <w:jc w:val="left"/>
        <w:rPr>
          <w:rFonts w:hint="eastAsia"/>
          <w:color w:val="auto"/>
          <w:kern w:val="0"/>
          <w:szCs w:val="21"/>
          <w:highlight w:val="none"/>
        </w:rPr>
      </w:pPr>
      <w:r>
        <w:rPr>
          <w:rFonts w:hint="eastAsia" w:ascii="Times New Roman" w:hAnsi="Times New Roman" w:eastAsia="宋体" w:cs="Times New Roman"/>
          <w:color w:val="auto"/>
          <w:kern w:val="0"/>
          <w:szCs w:val="21"/>
          <w:highlight w:val="none"/>
        </w:rPr>
        <w:t>本标项（</w:t>
      </w:r>
      <w:r>
        <w:rPr>
          <w:rFonts w:hint="eastAsia" w:ascii="Times New Roman" w:hAnsi="Times New Roman" w:eastAsia="宋体" w:cs="Times New Roman"/>
          <w:color w:val="auto"/>
          <w:highlight w:val="none"/>
          <w:u w:val="single"/>
        </w:rPr>
        <w:t>否</w:t>
      </w:r>
      <w:r>
        <w:rPr>
          <w:rFonts w:hint="eastAsia" w:ascii="Times New Roman" w:hAnsi="Times New Roman" w:eastAsia="宋体" w:cs="Times New Roman"/>
          <w:color w:val="auto"/>
          <w:kern w:val="0"/>
          <w:szCs w:val="21"/>
          <w:highlight w:val="none"/>
        </w:rPr>
        <w:t>）接受联合体响应</w:t>
      </w:r>
    </w:p>
    <w:p w14:paraId="5C74E38A">
      <w:pPr>
        <w:adjustRightInd w:val="0"/>
        <w:snapToGrid w:val="0"/>
        <w:spacing w:line="360" w:lineRule="exact"/>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75D13C41">
      <w:pPr>
        <w:adjustRightInd w:val="0"/>
        <w:snapToGrid w:val="0"/>
        <w:spacing w:line="360" w:lineRule="exact"/>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6BE566CA">
      <w:pPr>
        <w:adjustRightInd w:val="0"/>
        <w:snapToGrid w:val="0"/>
        <w:spacing w:line="360" w:lineRule="exact"/>
        <w:ind w:firstLine="420" w:firstLineChars="200"/>
        <w:jc w:val="left"/>
        <w:rPr>
          <w:color w:val="auto"/>
          <w:szCs w:val="21"/>
          <w:highlight w:val="none"/>
        </w:rPr>
      </w:pPr>
      <w:r>
        <w:rPr>
          <w:rFonts w:hint="eastAsia"/>
          <w:color w:val="auto"/>
          <w:szCs w:val="21"/>
          <w:highlight w:val="none"/>
        </w:rPr>
        <w:t>2.落实政府采购政策需满足的资格要求：</w:t>
      </w:r>
      <w:r>
        <w:rPr>
          <w:rFonts w:hint="eastAsia"/>
          <w:color w:val="auto"/>
          <w:kern w:val="0"/>
          <w:szCs w:val="21"/>
          <w:highlight w:val="none"/>
        </w:rPr>
        <w:t>无。</w:t>
      </w:r>
    </w:p>
    <w:p w14:paraId="5DEEC816">
      <w:pPr>
        <w:adjustRightInd w:val="0"/>
        <w:snapToGrid w:val="0"/>
        <w:spacing w:line="360" w:lineRule="exact"/>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p>
    <w:p w14:paraId="6A46E864">
      <w:pPr>
        <w:adjustRightInd w:val="0"/>
        <w:snapToGrid w:val="0"/>
        <w:spacing w:line="360" w:lineRule="exact"/>
        <w:ind w:firstLine="420" w:firstLineChars="200"/>
        <w:rPr>
          <w:rFonts w:hint="default" w:eastAsia="宋体"/>
          <w:color w:val="auto"/>
          <w:kern w:val="0"/>
          <w:szCs w:val="21"/>
          <w:highlight w:val="none"/>
          <w:lang w:val="en-US" w:eastAsia="zh-CN"/>
        </w:rPr>
      </w:pPr>
      <w:r>
        <w:rPr>
          <w:color w:val="auto"/>
          <w:kern w:val="0"/>
          <w:szCs w:val="21"/>
          <w:highlight w:val="none"/>
        </w:rPr>
        <w:t>（1）资质要求：</w:t>
      </w:r>
      <w:r>
        <w:rPr>
          <w:rFonts w:hint="eastAsia"/>
          <w:color w:val="auto"/>
          <w:kern w:val="0"/>
          <w:szCs w:val="21"/>
          <w:highlight w:val="none"/>
          <w:lang w:val="en-US" w:eastAsia="zh-CN"/>
        </w:rPr>
        <w:t>无。</w:t>
      </w:r>
    </w:p>
    <w:p w14:paraId="4B7C266F">
      <w:pPr>
        <w:adjustRightInd w:val="0"/>
        <w:snapToGrid w:val="0"/>
        <w:spacing w:line="360" w:lineRule="exact"/>
        <w:ind w:firstLine="420" w:firstLineChars="200"/>
        <w:jc w:val="left"/>
        <w:rPr>
          <w:rFonts w:hint="eastAsia"/>
          <w:color w:val="auto"/>
          <w:kern w:val="0"/>
          <w:szCs w:val="21"/>
          <w:highlight w:val="none"/>
        </w:rPr>
      </w:pPr>
      <w:r>
        <w:rPr>
          <w:color w:val="auto"/>
          <w:kern w:val="0"/>
          <w:szCs w:val="21"/>
          <w:highlight w:val="none"/>
        </w:rPr>
        <w:t>（2）业绩要求：无。</w:t>
      </w:r>
    </w:p>
    <w:p w14:paraId="29E55BC7">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635C5DBF">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56766CBF">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w:t>
      </w:r>
      <w:r>
        <w:rPr>
          <w:color w:val="auto"/>
          <w:kern w:val="0"/>
          <w:szCs w:val="21"/>
          <w:highlight w:val="none"/>
        </w:rPr>
        <w:t>按照</w:t>
      </w:r>
      <w:r>
        <w:rPr>
          <w:rFonts w:hint="eastAsia"/>
          <w:color w:val="auto"/>
          <w:kern w:val="0"/>
          <w:szCs w:val="21"/>
          <w:highlight w:val="none"/>
        </w:rPr>
        <w:t>征集</w:t>
      </w:r>
      <w:r>
        <w:rPr>
          <w:color w:val="auto"/>
          <w:kern w:val="0"/>
          <w:szCs w:val="21"/>
          <w:highlight w:val="none"/>
        </w:rPr>
        <w:t>公告的规定获得</w:t>
      </w:r>
      <w:r>
        <w:rPr>
          <w:rFonts w:hint="eastAsia"/>
          <w:color w:val="auto"/>
          <w:kern w:val="0"/>
          <w:szCs w:val="21"/>
          <w:highlight w:val="none"/>
        </w:rPr>
        <w:t>征集</w:t>
      </w:r>
      <w:r>
        <w:rPr>
          <w:color w:val="auto"/>
          <w:kern w:val="0"/>
          <w:szCs w:val="21"/>
          <w:highlight w:val="none"/>
        </w:rPr>
        <w:t>文件。</w:t>
      </w:r>
      <w:r>
        <w:rPr>
          <w:rFonts w:hint="eastAsia"/>
          <w:color w:val="auto"/>
          <w:kern w:val="0"/>
          <w:szCs w:val="21"/>
          <w:highlight w:val="none"/>
        </w:rPr>
        <w:t>征集文件有规定时按要求提交响应保证金。</w:t>
      </w:r>
    </w:p>
    <w:p w14:paraId="6A22AD06">
      <w:pPr>
        <w:adjustRightInd w:val="0"/>
        <w:snapToGrid w:val="0"/>
        <w:spacing w:line="360" w:lineRule="exact"/>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三、获取征集文件</w:t>
      </w:r>
    </w:p>
    <w:p w14:paraId="5783BFF5">
      <w:pPr>
        <w:adjustRightInd w:val="0"/>
        <w:snapToGrid w:val="0"/>
        <w:spacing w:line="360" w:lineRule="exact"/>
        <w:ind w:firstLine="420" w:firstLineChars="200"/>
        <w:jc w:val="left"/>
        <w:rPr>
          <w:color w:val="auto"/>
          <w:highlight w:val="none"/>
        </w:rPr>
      </w:pPr>
      <w:r>
        <w:rPr>
          <w:rFonts w:hint="eastAsia"/>
          <w:color w:val="auto"/>
          <w:highlight w:val="none"/>
        </w:rPr>
        <w:t>时间：</w:t>
      </w:r>
      <w:r>
        <w:rPr>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7月1日</w:t>
      </w:r>
      <w:r>
        <w:rPr>
          <w:rFonts w:hint="eastAsia"/>
          <w:color w:val="auto"/>
          <w:highlight w:val="none"/>
          <w:u w:val="single"/>
        </w:rPr>
        <w:t>起至2025年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r>
        <w:rPr>
          <w:rFonts w:hint="eastAsia"/>
          <w:color w:val="auto"/>
          <w:highlight w:val="none"/>
        </w:rPr>
        <w:t>，每天上午</w:t>
      </w:r>
      <w:r>
        <w:rPr>
          <w:color w:val="auto"/>
          <w:highlight w:val="none"/>
          <w:u w:val="single"/>
        </w:rPr>
        <w:t>00</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12</w:t>
      </w:r>
      <w:r>
        <w:rPr>
          <w:rFonts w:hint="eastAsia"/>
          <w:color w:val="auto"/>
          <w:highlight w:val="none"/>
          <w:u w:val="single"/>
        </w:rPr>
        <w:t>：0</w:t>
      </w:r>
      <w:r>
        <w:rPr>
          <w:color w:val="auto"/>
          <w:highlight w:val="none"/>
          <w:u w:val="single"/>
        </w:rPr>
        <w:t>0</w:t>
      </w:r>
      <w:r>
        <w:rPr>
          <w:rFonts w:hint="eastAsia"/>
          <w:color w:val="auto"/>
          <w:highlight w:val="none"/>
          <w:u w:val="single"/>
        </w:rPr>
        <w:t>:，下午</w:t>
      </w:r>
      <w:r>
        <w:rPr>
          <w:color w:val="auto"/>
          <w:highlight w:val="none"/>
          <w:u w:val="single"/>
        </w:rPr>
        <w:t>12</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23</w:t>
      </w:r>
      <w:r>
        <w:rPr>
          <w:rFonts w:hint="eastAsia"/>
          <w:color w:val="auto"/>
          <w:highlight w:val="none"/>
          <w:u w:val="single"/>
        </w:rPr>
        <w:t>:</w:t>
      </w:r>
      <w:r>
        <w:rPr>
          <w:color w:val="auto"/>
          <w:highlight w:val="none"/>
          <w:u w:val="single"/>
        </w:rPr>
        <w:t>59</w:t>
      </w:r>
      <w:r>
        <w:rPr>
          <w:rFonts w:hint="eastAsia"/>
          <w:color w:val="auto"/>
          <w:highlight w:val="none"/>
        </w:rPr>
        <w:t>（北京时间，法定节假日除外）。</w:t>
      </w:r>
    </w:p>
    <w:p w14:paraId="1F4B0AC3">
      <w:pPr>
        <w:adjustRightInd w:val="0"/>
        <w:snapToGrid w:val="0"/>
        <w:spacing w:line="360" w:lineRule="exact"/>
        <w:ind w:firstLine="420" w:firstLineChars="200"/>
        <w:jc w:val="left"/>
        <w:rPr>
          <w:color w:val="auto"/>
          <w:szCs w:val="21"/>
          <w:highlight w:val="none"/>
        </w:rPr>
      </w:pPr>
      <w:r>
        <w:rPr>
          <w:rFonts w:hint="eastAsia"/>
          <w:color w:val="auto"/>
          <w:highlight w:val="none"/>
        </w:rPr>
        <w:t>地点（网址）：</w:t>
      </w:r>
      <w:r>
        <w:rPr>
          <w:rFonts w:hint="eastAsia"/>
          <w:color w:val="auto"/>
          <w:szCs w:val="21"/>
          <w:highlight w:val="none"/>
        </w:rPr>
        <w:t>广西政府采购云平台（</w:t>
      </w:r>
      <w:r>
        <w:rPr>
          <w:color w:val="auto"/>
          <w:szCs w:val="21"/>
          <w:highlight w:val="none"/>
        </w:rPr>
        <w:fldChar w:fldCharType="begin"/>
      </w:r>
      <w:r>
        <w:rPr>
          <w:color w:val="auto"/>
          <w:szCs w:val="21"/>
          <w:highlight w:val="none"/>
        </w:rPr>
        <w:instrText xml:space="preserve"> HYPERLINK "https://www.gcy.zfcg.gxzf.gov.cn/" </w:instrText>
      </w:r>
      <w:r>
        <w:rPr>
          <w:color w:val="auto"/>
          <w:szCs w:val="21"/>
          <w:highlight w:val="none"/>
        </w:rPr>
        <w:fldChar w:fldCharType="separate"/>
      </w:r>
      <w:r>
        <w:rPr>
          <w:rStyle w:val="57"/>
          <w:color w:val="auto"/>
          <w:szCs w:val="21"/>
          <w:highlight w:val="none"/>
        </w:rPr>
        <w:t>https://www.gcy.zfcg.gxzf.gov.cn/</w:t>
      </w:r>
      <w:r>
        <w:rPr>
          <w:color w:val="auto"/>
          <w:szCs w:val="21"/>
          <w:highlight w:val="none"/>
        </w:rPr>
        <w:fldChar w:fldCharType="end"/>
      </w:r>
      <w:r>
        <w:rPr>
          <w:rFonts w:hint="eastAsia"/>
          <w:color w:val="auto"/>
          <w:szCs w:val="21"/>
          <w:highlight w:val="none"/>
        </w:rPr>
        <w:t>）</w:t>
      </w:r>
    </w:p>
    <w:p w14:paraId="64641886">
      <w:pPr>
        <w:adjustRightInd w:val="0"/>
        <w:snapToGrid w:val="0"/>
        <w:spacing w:line="360" w:lineRule="exact"/>
        <w:ind w:firstLine="420" w:firstLineChars="200"/>
        <w:jc w:val="left"/>
        <w:rPr>
          <w:color w:val="auto"/>
          <w:highlight w:val="none"/>
        </w:rPr>
      </w:pPr>
      <w:r>
        <w:rPr>
          <w:rFonts w:hint="eastAsia"/>
          <w:color w:val="auto"/>
          <w:szCs w:val="21"/>
          <w:highlight w:val="none"/>
        </w:rPr>
        <w:t>方式：供应商登录广西政府采购云平台在线申请获取征集文件（进入“项目采购”应用，在获取征集文件菜单中选择项目，申请获取征集文件）</w:t>
      </w:r>
    </w:p>
    <w:p w14:paraId="4346779F">
      <w:pPr>
        <w:adjustRightInd w:val="0"/>
        <w:snapToGrid w:val="0"/>
        <w:spacing w:line="360" w:lineRule="exact"/>
        <w:ind w:firstLine="420" w:firstLineChars="200"/>
        <w:jc w:val="left"/>
        <w:rPr>
          <w:color w:val="auto"/>
          <w:highlight w:val="none"/>
        </w:rPr>
      </w:pPr>
      <w:r>
        <w:rPr>
          <w:rFonts w:hint="eastAsia"/>
          <w:color w:val="auto"/>
          <w:highlight w:val="none"/>
        </w:rPr>
        <w:t>售价（元）：0</w:t>
      </w:r>
    </w:p>
    <w:p w14:paraId="37ECFC63">
      <w:pPr>
        <w:adjustRightInd w:val="0"/>
        <w:snapToGrid w:val="0"/>
        <w:spacing w:line="360" w:lineRule="exact"/>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09762C90">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截止时间：</w:t>
      </w:r>
      <w:r>
        <w:rPr>
          <w:rFonts w:hint="eastAsia"/>
          <w:color w:val="auto"/>
          <w:kern w:val="0"/>
          <w:szCs w:val="21"/>
          <w:highlight w:val="none"/>
          <w:u w:val="single"/>
        </w:rPr>
        <w:t>2025年7月29日9点00分</w:t>
      </w:r>
      <w:r>
        <w:rPr>
          <w:rFonts w:hint="eastAsia"/>
          <w:color w:val="auto"/>
          <w:kern w:val="0"/>
          <w:szCs w:val="21"/>
          <w:highlight w:val="none"/>
        </w:rPr>
        <w:t>（北京时间）</w:t>
      </w:r>
    </w:p>
    <w:p w14:paraId="239C56E1">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地点（网址）：</w:t>
      </w:r>
      <w:bookmarkStart w:id="11" w:name="_Hlk89170300"/>
      <w:r>
        <w:rPr>
          <w:rFonts w:hint="eastAsia"/>
          <w:color w:val="auto"/>
          <w:szCs w:val="21"/>
          <w:highlight w:val="none"/>
        </w:rPr>
        <w:t>本项目为全流程电子化项目，没有现场递交响应文件及现场截标环节，通过广西政府采购云平台（</w:t>
      </w:r>
      <w:r>
        <w:rPr>
          <w:color w:val="auto"/>
          <w:szCs w:val="21"/>
          <w:highlight w:val="none"/>
        </w:rPr>
        <w:t>https://www.gcy.zfcg.gxzf.gov.cn/</w:t>
      </w:r>
      <w:r>
        <w:rPr>
          <w:rFonts w:hint="eastAsia"/>
          <w:color w:val="auto"/>
          <w:szCs w:val="21"/>
          <w:highlight w:val="none"/>
        </w:rPr>
        <w:t>）实行在线电子响应，供应商应先安装广西政府采购云平台新版客户端（请自行前往广西政府采购网</w:t>
      </w:r>
      <w:r>
        <w:rPr>
          <w:color w:val="auto"/>
          <w:szCs w:val="21"/>
          <w:highlight w:val="none"/>
        </w:rPr>
        <w:t>-</w:t>
      </w:r>
      <w:r>
        <w:rPr>
          <w:rFonts w:hint="eastAsia"/>
          <w:color w:val="auto"/>
          <w:szCs w:val="21"/>
          <w:highlight w:val="none"/>
        </w:rPr>
        <w:t>办事服务</w:t>
      </w:r>
      <w:r>
        <w:rPr>
          <w:color w:val="auto"/>
          <w:szCs w:val="21"/>
          <w:highlight w:val="none"/>
        </w:rPr>
        <w:t>-</w:t>
      </w:r>
      <w:r>
        <w:rPr>
          <w:rFonts w:hint="eastAsia"/>
          <w:color w:val="auto"/>
          <w:szCs w:val="21"/>
          <w:highlight w:val="none"/>
        </w:rPr>
        <w:t>下载专区进行下载），并按照本项目征集文件和广西政府采购云平台的要求使用</w:t>
      </w:r>
      <w:r>
        <w:rPr>
          <w:color w:val="auto"/>
          <w:szCs w:val="21"/>
          <w:highlight w:val="none"/>
        </w:rPr>
        <w:t>CA</w:t>
      </w:r>
      <w:r>
        <w:rPr>
          <w:rFonts w:hint="eastAsia"/>
          <w:color w:val="auto"/>
          <w:szCs w:val="21"/>
          <w:highlight w:val="none"/>
        </w:rPr>
        <w:t>认证编制、加密响应文件后在响应截止时间前上传至广西政府采购云平台，供应商在广西政府采购云平台提交电子版响应文件时，请填写参加远程截标活动经办人联系方式。</w:t>
      </w:r>
      <w:bookmarkEnd w:id="11"/>
    </w:p>
    <w:p w14:paraId="36ACEEA2">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52F199AE">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开启方式：通过广西政府采购云平台开启</w:t>
      </w:r>
    </w:p>
    <w:p w14:paraId="56765B10">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时间：2025年7月29日9点00分（北京时间）</w:t>
      </w:r>
    </w:p>
    <w:p w14:paraId="52884BCF">
      <w:pPr>
        <w:adjustRightInd w:val="0"/>
        <w:snapToGrid w:val="0"/>
        <w:spacing w:line="360" w:lineRule="exact"/>
        <w:ind w:firstLine="420" w:firstLineChars="200"/>
        <w:jc w:val="left"/>
        <w:rPr>
          <w:rFonts w:hint="eastAsia"/>
          <w:b/>
          <w:bCs/>
          <w:color w:val="auto"/>
          <w:kern w:val="0"/>
          <w:sz w:val="22"/>
          <w:szCs w:val="22"/>
          <w:highlight w:val="none"/>
        </w:rPr>
      </w:pPr>
      <w:r>
        <w:rPr>
          <w:rFonts w:hint="eastAsia"/>
          <w:color w:val="auto"/>
          <w:kern w:val="0"/>
          <w:szCs w:val="21"/>
          <w:highlight w:val="none"/>
        </w:rPr>
        <w:t>地点：</w:t>
      </w:r>
      <w:r>
        <w:rPr>
          <w:rFonts w:hint="eastAsia"/>
          <w:color w:val="auto"/>
          <w:szCs w:val="21"/>
          <w:highlight w:val="none"/>
        </w:rPr>
        <w:t>供应商登录广西政府采购云平台电子截标大厅</w:t>
      </w:r>
    </w:p>
    <w:p w14:paraId="060ADAD1">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47EAE3D5">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自本公告发布之日起5个工作日。</w:t>
      </w:r>
    </w:p>
    <w:p w14:paraId="7123CB24">
      <w:pPr>
        <w:adjustRightInd w:val="0"/>
        <w:snapToGrid w:val="0"/>
        <w:spacing w:line="36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26F8C1CF">
      <w:pPr>
        <w:adjustRightInd w:val="0"/>
        <w:snapToGrid w:val="0"/>
        <w:spacing w:line="360" w:lineRule="exact"/>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1.公告发布媒体：广西壮族自治区政府采购网、中国政府采购网</w:t>
      </w:r>
      <w:r>
        <w:rPr>
          <w:rFonts w:hint="eastAsia"/>
          <w:color w:val="auto"/>
          <w:kern w:val="0"/>
          <w:szCs w:val="21"/>
          <w:highlight w:val="none"/>
          <w:lang w:eastAsia="zh-CN"/>
        </w:rPr>
        <w:t>、全国公共资源交易平台（广西·贺州）</w:t>
      </w:r>
    </w:p>
    <w:p w14:paraId="338F4636">
      <w:pPr>
        <w:adjustRightInd w:val="0"/>
        <w:snapToGrid w:val="0"/>
        <w:spacing w:line="360" w:lineRule="exact"/>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需落实的政府采购政策：</w:t>
      </w:r>
      <w:r>
        <w:rPr>
          <w:color w:val="auto"/>
          <w:kern w:val="0"/>
          <w:szCs w:val="21"/>
          <w:highlight w:val="none"/>
        </w:rPr>
        <w:t>本项目适用政府采购促进中小企业、监狱企业发展、促进残疾人就业</w:t>
      </w:r>
      <w:r>
        <w:rPr>
          <w:rFonts w:hint="eastAsia"/>
          <w:color w:val="auto"/>
          <w:kern w:val="0"/>
          <w:szCs w:val="21"/>
          <w:highlight w:val="none"/>
        </w:rPr>
        <w:t>、</w:t>
      </w:r>
      <w:r>
        <w:rPr>
          <w:color w:val="auto"/>
          <w:kern w:val="0"/>
          <w:szCs w:val="21"/>
          <w:highlight w:val="none"/>
        </w:rPr>
        <w:t>节能环保等有关政策，具体详见征集文件。</w:t>
      </w:r>
    </w:p>
    <w:p w14:paraId="285596CD">
      <w:pPr>
        <w:adjustRightInd w:val="0"/>
        <w:snapToGrid w:val="0"/>
        <w:spacing w:line="360" w:lineRule="exact"/>
        <w:ind w:firstLine="420" w:firstLineChars="200"/>
        <w:jc w:val="left"/>
        <w:rPr>
          <w:rFonts w:ascii="宋体" w:hAnsi="宋体" w:cs="Arial"/>
          <w:bCs/>
          <w:color w:val="auto"/>
          <w:szCs w:val="21"/>
          <w:highlight w:val="none"/>
          <w:u w:val="single"/>
        </w:rPr>
      </w:pPr>
      <w:r>
        <w:rPr>
          <w:rFonts w:hint="eastAsia"/>
          <w:color w:val="auto"/>
          <w:kern w:val="0"/>
          <w:szCs w:val="21"/>
          <w:highlight w:val="none"/>
        </w:rPr>
        <w:t>3</w:t>
      </w:r>
      <w:r>
        <w:rPr>
          <w:color w:val="auto"/>
          <w:kern w:val="0"/>
          <w:szCs w:val="21"/>
          <w:highlight w:val="none"/>
        </w:rPr>
        <w:t>.</w:t>
      </w:r>
      <w:bookmarkStart w:id="12" w:name="_Hlk97986689"/>
      <w:r>
        <w:rPr>
          <w:rFonts w:hint="eastAsia" w:ascii="宋体" w:hAnsi="宋体" w:cs="Arial"/>
          <w:bCs/>
          <w:color w:val="auto"/>
          <w:szCs w:val="21"/>
          <w:highlight w:val="none"/>
        </w:rPr>
        <w:t>适用框架协议的采购人</w:t>
      </w:r>
      <w:r>
        <w:rPr>
          <w:rFonts w:hint="eastAsia"/>
          <w:color w:val="auto"/>
          <w:highlight w:val="none"/>
        </w:rPr>
        <w:t>或服务对象范围</w:t>
      </w:r>
      <w:r>
        <w:rPr>
          <w:rFonts w:hint="eastAsia" w:ascii="宋体" w:hAnsi="宋体" w:cs="Arial"/>
          <w:bCs/>
          <w:color w:val="auto"/>
          <w:szCs w:val="21"/>
          <w:highlight w:val="none"/>
        </w:rPr>
        <w:t>：</w:t>
      </w:r>
      <w:bookmarkEnd w:id="12"/>
      <w:r>
        <w:rPr>
          <w:rFonts w:hint="eastAsia"/>
          <w:color w:val="auto"/>
          <w:szCs w:val="21"/>
          <w:highlight w:val="none"/>
          <w:u w:val="single"/>
        </w:rPr>
        <w:t>详见第五章框架协议</w:t>
      </w:r>
    </w:p>
    <w:p w14:paraId="0A644F61">
      <w:pPr>
        <w:adjustRightInd w:val="0"/>
        <w:snapToGrid w:val="0"/>
        <w:spacing w:line="360" w:lineRule="exact"/>
        <w:ind w:firstLine="420" w:firstLineChars="200"/>
        <w:jc w:val="left"/>
        <w:rPr>
          <w:rFonts w:hint="default"/>
          <w:color w:val="auto"/>
          <w:szCs w:val="21"/>
          <w:highlight w:val="none"/>
          <w:lang w:val="en-US"/>
        </w:rPr>
      </w:pPr>
      <w:r>
        <w:rPr>
          <w:rFonts w:hint="eastAsia" w:ascii="宋体" w:hAnsi="宋体" w:cs="Arial"/>
          <w:bCs/>
          <w:color w:val="auto"/>
          <w:szCs w:val="21"/>
          <w:highlight w:val="none"/>
        </w:rPr>
        <w:t>4</w:t>
      </w:r>
      <w:r>
        <w:rPr>
          <w:rFonts w:ascii="宋体" w:hAnsi="宋体" w:cs="Arial"/>
          <w:bCs/>
          <w:color w:val="auto"/>
          <w:szCs w:val="21"/>
          <w:highlight w:val="none"/>
        </w:rPr>
        <w:t>.</w:t>
      </w:r>
      <w:r>
        <w:rPr>
          <w:rFonts w:hint="eastAsia" w:ascii="宋体" w:hAnsi="宋体" w:cs="Arial"/>
          <w:bCs/>
          <w:color w:val="auto"/>
          <w:szCs w:val="21"/>
          <w:highlight w:val="none"/>
        </w:rPr>
        <w:t>框架协议期限：</w:t>
      </w:r>
      <w:r>
        <w:rPr>
          <w:rFonts w:hint="eastAsia" w:ascii="宋体" w:hAnsi="宋体" w:cs="Arial"/>
          <w:bCs/>
          <w:color w:val="auto"/>
          <w:szCs w:val="21"/>
          <w:highlight w:val="none"/>
          <w:lang w:val="en-US" w:eastAsia="zh-CN"/>
        </w:rPr>
        <w:t>标项一</w:t>
      </w:r>
      <w:r>
        <w:rPr>
          <w:rFonts w:hint="eastAsia"/>
          <w:color w:val="auto"/>
          <w:szCs w:val="21"/>
          <w:highlight w:val="none"/>
          <w:u w:val="none"/>
          <w:lang w:val="en-US" w:eastAsia="zh-CN"/>
        </w:rPr>
        <w:t>2年；标项二1年3个月</w:t>
      </w:r>
    </w:p>
    <w:p w14:paraId="2042C953">
      <w:pPr>
        <w:adjustRightInd w:val="0"/>
        <w:snapToGrid w:val="0"/>
        <w:spacing w:line="360" w:lineRule="exact"/>
        <w:ind w:firstLine="420" w:firstLineChars="200"/>
        <w:rPr>
          <w:color w:val="auto"/>
          <w:kern w:val="0"/>
          <w:szCs w:val="21"/>
          <w:highlight w:val="none"/>
        </w:rPr>
      </w:pPr>
      <w:r>
        <w:rPr>
          <w:color w:val="auto"/>
          <w:kern w:val="0"/>
          <w:szCs w:val="21"/>
          <w:highlight w:val="none"/>
        </w:rPr>
        <w:t>5.</w:t>
      </w:r>
      <w:r>
        <w:rPr>
          <w:rFonts w:hint="eastAsia"/>
          <w:color w:val="auto"/>
          <w:kern w:val="0"/>
          <w:szCs w:val="21"/>
          <w:highlight w:val="none"/>
        </w:rPr>
        <w:t>注意事项：</w:t>
      </w:r>
    </w:p>
    <w:p w14:paraId="6D52DF93">
      <w:pPr>
        <w:adjustRightInd w:val="0"/>
        <w:snapToGrid w:val="0"/>
        <w:spacing w:line="360" w:lineRule="exact"/>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74D69495">
      <w:pPr>
        <w:adjustRightInd w:val="0"/>
        <w:snapToGrid w:val="0"/>
        <w:spacing w:line="360" w:lineRule="exact"/>
        <w:ind w:firstLine="420" w:firstLineChars="200"/>
        <w:rPr>
          <w:color w:val="auto"/>
          <w:kern w:val="0"/>
          <w:szCs w:val="21"/>
          <w:highlight w:val="none"/>
        </w:rPr>
      </w:pPr>
      <w:r>
        <w:rPr>
          <w:rFonts w:hint="eastAsia"/>
          <w:color w:val="auto"/>
          <w:szCs w:val="21"/>
          <w:highlight w:val="none"/>
        </w:rPr>
        <w:t>（2）为确保网上操作合法、有效和安全，请供应商确保在电子响应过程中能够对相关数据电文进行加密和使用电子签章，妥善保管CA数字证书并使用有效的CA数字证书参与整个采购活动。</w:t>
      </w:r>
    </w:p>
    <w:p w14:paraId="5E6BBED8">
      <w:pPr>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60FA1AA9">
      <w:pPr>
        <w:adjustRightInd w:val="0"/>
        <w:snapToGrid w:val="0"/>
        <w:spacing w:line="360" w:lineRule="exact"/>
        <w:ind w:firstLine="420" w:firstLineChars="200"/>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6.评标说明：本项目为远程异地全流程电子评标，评标主场地址：贺州市公共资源交易中心；评标副场地址：</w:t>
      </w:r>
      <w:r>
        <w:rPr>
          <w:rFonts w:hint="eastAsia" w:ascii="Times New Roman" w:hAnsi="Times New Roman" w:cs="Times New Roman"/>
          <w:color w:val="auto"/>
          <w:kern w:val="0"/>
          <w:szCs w:val="21"/>
          <w:highlight w:val="none"/>
          <w:lang w:val="en-US" w:eastAsia="zh-CN"/>
        </w:rPr>
        <w:t>河池市公共资源交易中心</w:t>
      </w:r>
      <w:r>
        <w:rPr>
          <w:rFonts w:hint="eastAsia" w:ascii="Times New Roman" w:hAnsi="Times New Roman" w:eastAsia="宋体" w:cs="Times New Roman"/>
          <w:color w:val="auto"/>
          <w:kern w:val="0"/>
          <w:szCs w:val="21"/>
          <w:highlight w:val="none"/>
          <w:lang w:val="en-US" w:eastAsia="zh-CN"/>
        </w:rPr>
        <w:t>。</w:t>
      </w:r>
    </w:p>
    <w:p w14:paraId="35050315">
      <w:pPr>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Times New Roman" w:hAnsi="Times New Roman" w:eastAsia="宋体" w:cs="Times New Roman"/>
          <w:color w:val="auto"/>
          <w:kern w:val="0"/>
          <w:szCs w:val="21"/>
          <w:highlight w:val="none"/>
          <w:lang w:val="en-US" w:eastAsia="zh-CN"/>
        </w:rPr>
        <w:t>7.监督机构：富川瑶族自治县财政局政府采购管理办公室，电话：0774-7882324</w:t>
      </w:r>
    </w:p>
    <w:p w14:paraId="302ACEB5">
      <w:pPr>
        <w:adjustRightInd w:val="0"/>
        <w:snapToGrid w:val="0"/>
        <w:spacing w:line="360" w:lineRule="exact"/>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5510404A">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1.征集人信息</w:t>
      </w:r>
    </w:p>
    <w:p w14:paraId="50F7E2FD">
      <w:pPr>
        <w:adjustRightInd w:val="0"/>
        <w:snapToGrid w:val="0"/>
        <w:spacing w:line="360" w:lineRule="exact"/>
        <w:ind w:firstLine="420" w:firstLineChars="200"/>
        <w:jc w:val="left"/>
        <w:rPr>
          <w:rFonts w:hint="eastAsia" w:eastAsia="宋体"/>
          <w:color w:val="auto"/>
          <w:kern w:val="0"/>
          <w:szCs w:val="21"/>
          <w:highlight w:val="none"/>
          <w:u w:val="single"/>
          <w:lang w:eastAsia="zh-CN"/>
        </w:rPr>
      </w:pPr>
      <w:bookmarkStart w:id="13"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lang w:eastAsia="zh-CN"/>
        </w:rPr>
        <w:t>富川瑶族自治县财政局</w:t>
      </w:r>
    </w:p>
    <w:p w14:paraId="1F131960">
      <w:pPr>
        <w:adjustRightInd w:val="0"/>
        <w:snapToGrid w:val="0"/>
        <w:spacing w:line="360" w:lineRule="exact"/>
        <w:ind w:firstLine="420" w:firstLineChars="200"/>
        <w:jc w:val="left"/>
        <w:rPr>
          <w:color w:val="auto"/>
          <w:kern w:val="0"/>
          <w:szCs w:val="21"/>
          <w:highlight w:val="none"/>
        </w:rPr>
      </w:pPr>
      <w:r>
        <w:rPr>
          <w:color w:val="auto"/>
          <w:kern w:val="0"/>
          <w:szCs w:val="21"/>
          <w:highlight w:val="none"/>
        </w:rPr>
        <w:t>地址：</w:t>
      </w:r>
      <w:r>
        <w:rPr>
          <w:rFonts w:hint="eastAsia"/>
          <w:color w:val="auto"/>
          <w:kern w:val="0"/>
          <w:szCs w:val="21"/>
          <w:highlight w:val="none"/>
          <w:u w:val="single"/>
        </w:rPr>
        <w:t>富川瑶族自治县富阳镇财源路1号</w:t>
      </w:r>
      <w:r>
        <w:rPr>
          <w:rFonts w:hint="eastAsia"/>
          <w:color w:val="auto"/>
          <w:kern w:val="0"/>
          <w:szCs w:val="21"/>
          <w:highlight w:val="none"/>
        </w:rPr>
        <w:t xml:space="preserve"> </w:t>
      </w:r>
    </w:p>
    <w:p w14:paraId="5550BC17">
      <w:pPr>
        <w:adjustRightInd w:val="0"/>
        <w:snapToGrid w:val="0"/>
        <w:spacing w:line="360" w:lineRule="exact"/>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滕亚丽</w:t>
      </w:r>
    </w:p>
    <w:p w14:paraId="5E43245B">
      <w:pPr>
        <w:adjustRightInd w:val="0"/>
        <w:snapToGrid w:val="0"/>
        <w:spacing w:line="360" w:lineRule="exact"/>
        <w:ind w:firstLine="420" w:firstLineChars="200"/>
        <w:jc w:val="left"/>
        <w:rPr>
          <w:color w:val="auto"/>
          <w:kern w:val="0"/>
          <w:szCs w:val="21"/>
          <w:highlight w:val="none"/>
          <w:u w:val="singl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r>
        <w:rPr>
          <w:rFonts w:hint="eastAsia"/>
          <w:color w:val="auto"/>
          <w:kern w:val="0"/>
          <w:szCs w:val="21"/>
          <w:highlight w:val="none"/>
          <w:u w:val="single"/>
        </w:rPr>
        <w:t>0774-7883290</w:t>
      </w:r>
    </w:p>
    <w:p w14:paraId="03236114">
      <w:pPr>
        <w:adjustRightInd w:val="0"/>
        <w:snapToGrid w:val="0"/>
        <w:spacing w:line="360" w:lineRule="exact"/>
        <w:ind w:firstLine="420" w:firstLineChars="200"/>
        <w:jc w:val="left"/>
        <w:rPr>
          <w:rFonts w:hint="eastAsia"/>
          <w:color w:val="auto"/>
          <w:kern w:val="0"/>
          <w:szCs w:val="21"/>
          <w:highlight w:val="none"/>
        </w:rPr>
      </w:pPr>
      <w:r>
        <w:rPr>
          <w:rFonts w:hint="eastAsia"/>
          <w:color w:val="auto"/>
          <w:kern w:val="0"/>
          <w:szCs w:val="21"/>
          <w:highlight w:val="none"/>
        </w:rPr>
        <w:t>2.采购代理机构信息</w:t>
      </w:r>
    </w:p>
    <w:p w14:paraId="049FF7E0">
      <w:pPr>
        <w:adjustRightInd w:val="0"/>
        <w:snapToGrid w:val="0"/>
        <w:spacing w:line="360" w:lineRule="exact"/>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15A0FC0D">
      <w:pPr>
        <w:adjustRightInd w:val="0"/>
        <w:snapToGrid w:val="0"/>
        <w:spacing w:line="360" w:lineRule="exact"/>
        <w:ind w:firstLine="420" w:firstLineChars="200"/>
        <w:jc w:val="left"/>
        <w:rPr>
          <w:rFonts w:hint="eastAsia"/>
          <w:color w:val="auto"/>
          <w:highlight w:val="none"/>
          <w:u w:val="single"/>
        </w:rPr>
      </w:pPr>
      <w:r>
        <w:rPr>
          <w:color w:val="auto"/>
          <w:kern w:val="0"/>
          <w:szCs w:val="21"/>
          <w:highlight w:val="none"/>
        </w:rPr>
        <w:t>地址：</w:t>
      </w:r>
      <w:bookmarkStart w:id="14" w:name="_Hlk43198245"/>
      <w:r>
        <w:rPr>
          <w:color w:val="auto"/>
          <w:highlight w:val="none"/>
          <w:u w:val="single"/>
        </w:rPr>
        <w:t>广西南宁市金湖路63号金源CBD现代城B座7层701</w:t>
      </w:r>
      <w:bookmarkEnd w:id="14"/>
    </w:p>
    <w:bookmarkEnd w:id="13"/>
    <w:p w14:paraId="7D52D319">
      <w:pPr>
        <w:adjustRightInd w:val="0"/>
        <w:snapToGrid w:val="0"/>
        <w:spacing w:line="360" w:lineRule="exact"/>
        <w:ind w:firstLine="420" w:firstLineChars="200"/>
        <w:jc w:val="left"/>
        <w:rPr>
          <w:color w:val="auto"/>
          <w:kern w:val="0"/>
          <w:szCs w:val="21"/>
          <w:highlight w:val="none"/>
          <w:u w:val="single"/>
        </w:rPr>
      </w:pPr>
      <w:r>
        <w:rPr>
          <w:color w:val="auto"/>
          <w:kern w:val="0"/>
          <w:szCs w:val="21"/>
          <w:highlight w:val="none"/>
        </w:rPr>
        <w:t>项目联系人：</w:t>
      </w:r>
      <w:r>
        <w:rPr>
          <w:rFonts w:hint="eastAsia"/>
          <w:color w:val="auto"/>
          <w:kern w:val="0"/>
          <w:szCs w:val="21"/>
          <w:highlight w:val="none"/>
          <w:u w:val="single"/>
        </w:rPr>
        <w:t>宁静</w:t>
      </w:r>
    </w:p>
    <w:p w14:paraId="2AC1DC56">
      <w:pPr>
        <w:adjustRightInd w:val="0"/>
        <w:snapToGrid w:val="0"/>
        <w:spacing w:line="360" w:lineRule="exact"/>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u w:val="single"/>
        </w:rPr>
        <w:t>：</w:t>
      </w:r>
      <w:r>
        <w:rPr>
          <w:rFonts w:hint="eastAsia"/>
          <w:color w:val="auto"/>
          <w:kern w:val="0"/>
          <w:szCs w:val="21"/>
          <w:highlight w:val="none"/>
          <w:u w:val="single"/>
        </w:rPr>
        <w:t>0</w:t>
      </w:r>
      <w:r>
        <w:rPr>
          <w:color w:val="auto"/>
          <w:kern w:val="0"/>
          <w:szCs w:val="21"/>
          <w:highlight w:val="none"/>
          <w:u w:val="single"/>
        </w:rPr>
        <w:t>771-</w:t>
      </w:r>
      <w:r>
        <w:rPr>
          <w:rFonts w:hint="eastAsia"/>
          <w:color w:val="auto"/>
          <w:kern w:val="0"/>
          <w:szCs w:val="21"/>
          <w:highlight w:val="none"/>
          <w:u w:val="single"/>
        </w:rPr>
        <w:t>5782003</w:t>
      </w:r>
    </w:p>
    <w:p w14:paraId="60B398B8">
      <w:pPr>
        <w:adjustRightInd w:val="0"/>
        <w:snapToGrid w:val="0"/>
        <w:spacing w:line="360" w:lineRule="exact"/>
        <w:jc w:val="left"/>
        <w:rPr>
          <w:rFonts w:hint="eastAsia"/>
          <w:b/>
          <w:bCs/>
          <w:color w:val="auto"/>
          <w:kern w:val="0"/>
          <w:szCs w:val="21"/>
          <w:highlight w:val="none"/>
        </w:rPr>
      </w:pPr>
    </w:p>
    <w:p w14:paraId="19CD2019">
      <w:pPr>
        <w:adjustRightInd w:val="0"/>
        <w:snapToGrid w:val="0"/>
        <w:spacing w:line="360" w:lineRule="exact"/>
        <w:ind w:firstLine="420" w:firstLineChars="200"/>
        <w:jc w:val="right"/>
        <w:rPr>
          <w:color w:val="auto"/>
          <w:kern w:val="0"/>
          <w:szCs w:val="21"/>
          <w:highlight w:val="none"/>
        </w:rPr>
      </w:pPr>
      <w:r>
        <w:rPr>
          <w:color w:val="auto"/>
          <w:kern w:val="0"/>
          <w:szCs w:val="21"/>
          <w:highlight w:val="none"/>
        </w:rPr>
        <w:t>广西机电设备招标有限公司</w:t>
      </w:r>
    </w:p>
    <w:p w14:paraId="5B43DA1A">
      <w:pPr>
        <w:adjustRightInd w:val="0"/>
        <w:snapToGrid w:val="0"/>
        <w:spacing w:line="360" w:lineRule="exact"/>
        <w:ind w:firstLine="420" w:firstLineChars="200"/>
        <w:jc w:val="right"/>
        <w:rPr>
          <w:color w:val="auto"/>
          <w:kern w:val="0"/>
          <w:sz w:val="18"/>
          <w:szCs w:val="18"/>
          <w:highlight w:val="none"/>
        </w:rPr>
      </w:pPr>
      <w:r>
        <w:rPr>
          <w:rFonts w:hint="eastAsia"/>
          <w:color w:val="auto"/>
          <w:kern w:val="0"/>
          <w:szCs w:val="21"/>
          <w:highlight w:val="none"/>
          <w:lang w:val="en-US" w:eastAsia="zh-CN"/>
        </w:rPr>
        <w:t>2025年7月1日</w:t>
      </w:r>
    </w:p>
    <w:p w14:paraId="37B30944">
      <w:pPr>
        <w:pStyle w:val="26"/>
        <w:snapToGrid w:val="0"/>
        <w:spacing w:before="120" w:after="120" w:line="320" w:lineRule="exact"/>
        <w:jc w:val="center"/>
        <w:outlineLvl w:val="0"/>
        <w:rPr>
          <w:rFonts w:ascii="Times New Roman" w:hAnsi="Times New Roman" w:cs="Times New Roman"/>
          <w:color w:val="auto"/>
          <w:highlight w:val="none"/>
        </w:rPr>
        <w:sectPr>
          <w:headerReference r:id="rId8" w:type="first"/>
          <w:footerReference r:id="rId10" w:type="first"/>
          <w:headerReference r:id="rId7" w:type="default"/>
          <w:footerReference r:id="rId9" w:type="default"/>
          <w:pgSz w:w="11906" w:h="16838"/>
          <w:pgMar w:top="1135" w:right="1133" w:bottom="1246" w:left="1418" w:header="851" w:footer="903" w:gutter="0"/>
          <w:pgNumType w:start="1"/>
          <w:cols w:space="720" w:num="1"/>
          <w:docGrid w:linePitch="312" w:charSpace="0"/>
        </w:sectPr>
      </w:pPr>
    </w:p>
    <w:p w14:paraId="13A9F39F">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5" w:name="_Toc17860"/>
      <w:r>
        <w:rPr>
          <w:rFonts w:ascii="Times New Roman" w:hAnsi="Times New Roman" w:cs="Times New Roman"/>
          <w:color w:val="auto"/>
          <w:sz w:val="32"/>
          <w:szCs w:val="32"/>
          <w:highlight w:val="none"/>
        </w:rPr>
        <w:t>第二章  采购需求</w:t>
      </w:r>
      <w:bookmarkEnd w:id="15"/>
    </w:p>
    <w:p w14:paraId="3C5815A5">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8916A3C">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30702DB">
      <w:pPr>
        <w:spacing w:line="360" w:lineRule="auto"/>
        <w:rPr>
          <w:color w:val="auto"/>
          <w:szCs w:val="21"/>
          <w:highlight w:val="none"/>
        </w:rPr>
      </w:pPr>
      <w:r>
        <w:rPr>
          <w:rFonts w:hint="eastAsia"/>
          <w:color w:val="auto"/>
          <w:szCs w:val="21"/>
          <w:highlight w:val="none"/>
        </w:rPr>
        <w:t>详见征集文件第四章“评审方法及标准”</w:t>
      </w:r>
      <w:r>
        <w:rPr>
          <w:color w:val="auto"/>
          <w:szCs w:val="21"/>
          <w:highlight w:val="none"/>
        </w:rPr>
        <w:t>政府采购政策应用说明</w:t>
      </w:r>
      <w:r>
        <w:rPr>
          <w:rFonts w:hint="eastAsia"/>
          <w:color w:val="auto"/>
          <w:szCs w:val="21"/>
          <w:highlight w:val="none"/>
        </w:rPr>
        <w:t>部分</w:t>
      </w:r>
      <w:r>
        <w:rPr>
          <w:color w:val="auto"/>
          <w:szCs w:val="21"/>
          <w:highlight w:val="none"/>
        </w:rPr>
        <w:t>。</w:t>
      </w:r>
    </w:p>
    <w:p w14:paraId="3132D0B8">
      <w:pPr>
        <w:spacing w:line="360" w:lineRule="auto"/>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标的所属行业</w:t>
      </w:r>
    </w:p>
    <w:p w14:paraId="0C31F736">
      <w:pPr>
        <w:spacing w:line="360" w:lineRule="auto"/>
        <w:rPr>
          <w:rFonts w:hint="default" w:eastAsia="宋体"/>
          <w:strike/>
          <w:color w:val="auto"/>
          <w:szCs w:val="21"/>
          <w:highlight w:val="none"/>
          <w:lang w:val="en-US" w:eastAsia="zh-CN"/>
        </w:rPr>
      </w:pPr>
      <w:bookmarkStart w:id="16" w:name="_Hlk132815104"/>
      <w:r>
        <w:rPr>
          <w:rFonts w:hint="eastAsia"/>
          <w:color w:val="auto"/>
          <w:szCs w:val="21"/>
          <w:highlight w:val="none"/>
          <w:lang w:val="en-US" w:eastAsia="zh-CN"/>
        </w:rPr>
        <w:t>其他未列明行业</w:t>
      </w:r>
    </w:p>
    <w:bookmarkEnd w:id="16"/>
    <w:p w14:paraId="07BBFD8F">
      <w:pPr>
        <w:spacing w:line="360" w:lineRule="auto"/>
        <w:rPr>
          <w:color w:val="auto"/>
          <w:szCs w:val="21"/>
          <w:highlight w:val="none"/>
        </w:rPr>
      </w:pPr>
      <w:r>
        <w:rPr>
          <w:color w:val="auto"/>
          <w:szCs w:val="21"/>
          <w:highlight w:val="none"/>
        </w:rPr>
        <w:t>3</w:t>
      </w:r>
      <w:r>
        <w:rPr>
          <w:rFonts w:hint="eastAsia"/>
          <w:color w:val="auto"/>
          <w:szCs w:val="21"/>
          <w:highlight w:val="none"/>
        </w:rPr>
        <w:t>采购需求未尽事宜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541CAE2C">
      <w:pPr>
        <w:spacing w:line="360" w:lineRule="auto"/>
        <w:rPr>
          <w:color w:val="auto"/>
          <w:szCs w:val="21"/>
          <w:highlight w:val="none"/>
        </w:rPr>
      </w:pPr>
      <w:bookmarkStart w:id="17" w:name="_Hlk105493164"/>
      <w:r>
        <w:rPr>
          <w:color w:val="auto"/>
          <w:szCs w:val="21"/>
          <w:highlight w:val="none"/>
        </w:rPr>
        <w:t>4</w:t>
      </w:r>
      <w:r>
        <w:rPr>
          <w:rFonts w:hint="eastAsia"/>
          <w:color w:val="auto"/>
          <w:szCs w:val="21"/>
          <w:highlight w:val="none"/>
        </w:rPr>
        <w:t>.采购需求必须满足，如存在负偏离将导致响应被否决。</w:t>
      </w:r>
    </w:p>
    <w:bookmarkEnd w:id="17"/>
    <w:p w14:paraId="02EDCC69">
      <w:pPr>
        <w:spacing w:line="360" w:lineRule="auto"/>
        <w:rPr>
          <w:rFonts w:hint="eastAsia"/>
          <w:color w:val="auto"/>
          <w:szCs w:val="21"/>
          <w:highlight w:val="none"/>
        </w:rPr>
      </w:pPr>
    </w:p>
    <w:p w14:paraId="309613A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0CBEF287">
      <w:pPr>
        <w:spacing w:line="360" w:lineRule="auto"/>
        <w:rPr>
          <w:rFonts w:hint="eastAsia" w:ascii="Times New Roman" w:hAnsi="Times New Roman" w:eastAsia="宋体" w:cs="Times New Roman"/>
          <w:color w:val="auto"/>
          <w:szCs w:val="21"/>
          <w:highlight w:val="none"/>
          <w:lang w:val="en-US" w:eastAsia="zh-CN"/>
        </w:rPr>
      </w:pPr>
      <w:r>
        <w:rPr>
          <w:rFonts w:hint="eastAsia"/>
          <w:b/>
          <w:bCs/>
          <w:color w:val="auto"/>
          <w:szCs w:val="21"/>
          <w:highlight w:val="none"/>
        </w:rPr>
        <w:t>（一）服务内容</w:t>
      </w:r>
    </w:p>
    <w:p w14:paraId="325EC86E">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富川瑶族自治县2025～2027年度政府投资项目评审服务采用封闭式框架协议采购方式采购，通过公开征集程序，确定第一阶段入围供应商并订立框架协议，采购人按照框架协议约定规则，在入围供应商范围内直接选定第二阶段成交供应商并按项目签订合同。</w:t>
      </w:r>
    </w:p>
    <w:p w14:paraId="2FD89610">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    适用框架协议的采购人：富川瑶族自治县财政局财政投资评审中心。</w:t>
      </w:r>
    </w:p>
    <w:p w14:paraId="7E69399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2.本项目采购标的分为二个标项，供应商可选择单个或多个标项进行响应。但其中标项一和标项二只能入围一个标项，如已经入围标项一则不能入围标项二。</w:t>
      </w:r>
    </w:p>
    <w:p w14:paraId="0E7F0D10">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 w:eastAsia="zh-CN"/>
        </w:rPr>
        <w:t>标项一</w:t>
      </w:r>
      <w:r>
        <w:rPr>
          <w:rFonts w:hint="eastAsia" w:ascii="Times New Roman" w:hAnsi="Times New Roman" w:eastAsia="宋体" w:cs="Times New Roman"/>
          <w:color w:val="auto"/>
          <w:szCs w:val="21"/>
          <w:highlight w:val="none"/>
          <w:lang w:val="en-US" w:eastAsia="zh-CN"/>
        </w:rPr>
        <w:t>：选择不多于10家工程造价咨询机构为富川瑶族自治县本级政府投资项目提供概（预）算、工程量清单和招标控制价评审服务。</w:t>
      </w:r>
    </w:p>
    <w:p w14:paraId="6BB4F52A">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标项二：选择不多于10家工程造价咨询机构为富川瑶族自治县本级政府投资项目提供结算评审服务。</w:t>
      </w:r>
    </w:p>
    <w:p w14:paraId="67482139">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3.框架协议期限：标项一2年；标项二1年3个月（具体以框架协议签订为准）。</w:t>
      </w:r>
    </w:p>
    <w:p w14:paraId="6033691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4.供应商可承接的富川瑶族自治县政府投资项目评审服务具体数量及投资额以实际签订合同为准。</w:t>
      </w:r>
    </w:p>
    <w:p w14:paraId="7732DCB3">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回避原则：成交供应商及其控股股东参股企业（单位）不得参与经富川瑶族自治县政府投资项目的施工、系统集成等相关业务。成交供应商及其控股股东参股企业（单位）不得参与所评审项目的咨询、设计等相关业务。成交供应商及其控股股东参股企业（单位）不得参与有长期合作关系的建设单位的项目评审工作。若有违反前述规定行为，一经发现，马上终止协议，且不能参与后续年度协审机构采购事项。</w:t>
      </w:r>
    </w:p>
    <w:p w14:paraId="767CF00A">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6.采购人需要对富川瑶族自治县内外单位进行财政专项资金使用情况专项检查时，成交供应商必须按采购人要求派人共同参与，费用另付。</w:t>
      </w:r>
    </w:p>
    <w:p w14:paraId="712853E4">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7.成交供应商不得将采购人委托的评审工作转交或分包给第三方完成。</w:t>
      </w:r>
    </w:p>
    <w:p w14:paraId="1EC4EC02">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入围供应商被采购人直接选定后，无正当理由不得拒绝采购人各类评审项目的委托。成交供应商接到项目通知后应按时响应并安排人员作资料接收等相关工作，应严格按国家有关标准提供相关评审服务，并在接收资料后按时递交成果文件。</w:t>
      </w:r>
    </w:p>
    <w:p w14:paraId="7280D2DD">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9.严格按照采购人提出的评审时限及评审工作流程细则要求，确保在对社会公开承诺和财政要求的时限内完成评审任务，按时按质将评审资料归档。</w:t>
      </w:r>
    </w:p>
    <w:p w14:paraId="3A0A647D">
      <w:pPr>
        <w:spacing w:line="360" w:lineRule="auto"/>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（二）服务标准以及所涉及的货物的质量标准</w:t>
      </w:r>
    </w:p>
    <w:p w14:paraId="79FF9226">
      <w:pPr>
        <w:spacing w:line="360" w:lineRule="auto"/>
        <w:rPr>
          <w:rFonts w:hint="eastAsia" w:ascii="Times New Roman" w:hAnsi="Times New Roman" w:eastAsia="宋体" w:cs="Times New Roman"/>
          <w:color w:val="auto"/>
          <w:szCs w:val="21"/>
          <w:highlight w:val="none"/>
          <w:lang w:val="en-US" w:eastAsia="zh-CN"/>
        </w:rPr>
      </w:pPr>
      <w:bookmarkStart w:id="18" w:name="_Hlk99129611"/>
      <w:r>
        <w:rPr>
          <w:rFonts w:hint="eastAsia" w:ascii="Times New Roman" w:hAnsi="Times New Roman" w:eastAsia="宋体" w:cs="Times New Roman"/>
          <w:color w:val="auto"/>
          <w:szCs w:val="21"/>
          <w:highlight w:val="none"/>
          <w:lang w:val="en-US" w:eastAsia="zh-CN"/>
        </w:rPr>
        <w:t>1.</w:t>
      </w:r>
      <w:bookmarkStart w:id="19" w:name="_Hlk98852546"/>
      <w:r>
        <w:rPr>
          <w:rFonts w:hint="eastAsia" w:ascii="Times New Roman" w:hAnsi="Times New Roman" w:eastAsia="宋体" w:cs="Times New Roman"/>
          <w:color w:val="auto"/>
          <w:szCs w:val="21"/>
          <w:highlight w:val="none"/>
          <w:lang w:val="en-US" w:eastAsia="zh-CN"/>
        </w:rPr>
        <w:t>供应商要严格遵守国家的法律、法规和有关规章制度，严格遵守行为准则和职业道德，按现行的财政投资项目评审操作规程及质量控制办法规定的执行。</w:t>
      </w:r>
      <w:bookmarkEnd w:id="19"/>
    </w:p>
    <w:p w14:paraId="615E540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2.严格按照现行的工程造价管理办法、工程结算编审规程等文件要求进行评审工作，依照相关依据发表专业意见出具成果文件，并对成果的真实性、完整性、准确性负责。</w:t>
      </w:r>
    </w:p>
    <w:p w14:paraId="4AA32CF0">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3.评审人员在项目评审工程中，应该恪守客观公正、实事求是的原则，确保评审工作的真实完整和准确，保证评审质量。</w:t>
      </w:r>
    </w:p>
    <w:p w14:paraId="5C9BF79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4.评审报告编制标准</w:t>
      </w:r>
    </w:p>
    <w:p w14:paraId="71A6B1D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评审内容完整、数据准确、依据充分，评审结论定性客观、定量准确、依据充分，核增核减原因定性准确、条理清晰，披露评审问题有理有据、分析透彻，提出评审建议措施具体、针对性强。</w:t>
      </w:r>
    </w:p>
    <w:bookmarkEnd w:id="18"/>
    <w:p w14:paraId="59B7179F">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采购人将对成交供应商提交的评审报告和评审结论进行复审，复审结果发现因成交供应商存在严重质量问题时，采购人不支付该项目的评审费用，并做出相应的处理，成交供应商必须承担由此造成的全部经济损失和法律责任。</w:t>
      </w:r>
    </w:p>
    <w:p w14:paraId="1D702A51">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6.供应商不得泄露采购人及所承接项目的任何商业机密，不得未经采购人同意擅自对外公开评审结论，一经发现，将由采购人作出相应处理。</w:t>
      </w:r>
    </w:p>
    <w:p w14:paraId="3673F99E">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并列入黑名单。</w:t>
      </w:r>
    </w:p>
    <w:p w14:paraId="609ACCB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供应商必须严格遵守《工程造价咨询企业管理办法》(建设部2006年第149号令)、《财政性投资评审质量控制办法》(财建【2006】1065号）和《贺州市财政局关于印发贺州市本级财政投资评审实施办法(2023年修订)的通知》(贺财办[2024]2号)等有关规定，按要求选择具备工程造价审核专业知识、熟悉财政投资审核业务、履行审核程序的人员开展财政投资审核业务，保证取证资料、工作底稿的正确完整和规范。出具的审核报告、结论或意见客观公正，符合审核规范和富川瑶族自治县财政局财政投资评审中心的要求，对出具的审核报告承担法律责任。</w:t>
      </w:r>
    </w:p>
    <w:p w14:paraId="6EDD67FF">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9.供应商须在每季度第一个月10日前向富川瑶族自治县财政局财政投资评审中心报送上一季度富川瑶族自治县财政投资评审服务项目有关统计报表。</w:t>
      </w:r>
    </w:p>
    <w:p w14:paraId="1FB13899">
      <w:pPr>
        <w:spacing w:line="360" w:lineRule="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（三）服务</w:t>
      </w:r>
      <w:r>
        <w:rPr>
          <w:rFonts w:hint="eastAsia" w:ascii="Times New Roman" w:hAnsi="Times New Roman" w:eastAsia="宋体" w:cs="Times New Roman"/>
          <w:b/>
          <w:bCs/>
          <w:color w:val="auto"/>
          <w:szCs w:val="21"/>
          <w:highlight w:val="none"/>
          <w:lang w:val="en-US" w:eastAsia="zh-CN"/>
        </w:rPr>
        <w:t>团队</w:t>
      </w:r>
      <w:r>
        <w:rPr>
          <w:rFonts w:hint="eastAsia" w:ascii="Times New Roman" w:hAnsi="Times New Roman" w:eastAsia="宋体" w:cs="Times New Roman"/>
          <w:b/>
          <w:bCs/>
          <w:color w:val="auto"/>
          <w:szCs w:val="21"/>
          <w:highlight w:val="none"/>
        </w:rPr>
        <w:t>人员组成</w:t>
      </w:r>
    </w:p>
    <w:p w14:paraId="33D3C89A">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1.框架协议技术负责人要求</w:t>
      </w:r>
    </w:p>
    <w:p w14:paraId="465BA10D">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成交供应商应至少拟派一名框架协议技术负责人（必须具有二级及以上的造价师或造价员资格证书，且必须从业至少10年，从业时间以获取造价师或造价员资格证书起计）负责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p>
    <w:p w14:paraId="3987ADE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2.项目主审和协审人员要求</w:t>
      </w:r>
    </w:p>
    <w:p w14:paraId="49B92B75">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主审人员：业务能力和沟通能力强，计划执行能力强，工作效率高，具备团队领导能力，熟悉政府评审工作流程，能独立完成项目主审职责（项目评审对接、组织、综合复核、进度控制、质量控制及评审报告的拟写），至少具备二级造价师或造价员资格证书。</w:t>
      </w:r>
    </w:p>
    <w:p w14:paraId="7F782A7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协审人员：具有良好的沟通能力和团队精神，具备岗位匹配专业技术，可配合项目主审做好评审工作。</w:t>
      </w:r>
    </w:p>
    <w:p w14:paraId="03D7AE18">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3.拟投入的评审人员替换规则</w:t>
      </w:r>
    </w:p>
    <w:p w14:paraId="2A1F7D5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3.1征集人对入围供应商拟投入的评审人员（包括主审、协审人员）实行登记备案管理。入围后，须将本单位拟投入所有专职评审人员（包括主审、协审人员）的名单（附上通讯方式）以及个人详细资料（附身份证、学历、社保、资格证明文件的复印件，原件备查）通过书面和电子文档形式报征集人登记备案。在项目服务过程中，入围供应商如果发生人员变动情况，要及时进行申报备案。征集人将不定期地对成交供应商拟投入的评审人员在岗情况进行检查，经查实成交供应商擅自变更评审人员数量达到总人数20%的，或实际评审人员配备达不到承诺拟投入的人数时，采购人有权不对其委派项目。</w:t>
      </w:r>
    </w:p>
    <w:p w14:paraId="03E6CFFE">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3.2成交供应商拟投入的评审人员（包括主审、协审人员），必须与响应时拟投入参加项目评审承诺的人员一致。成交供应商在评审采购人委托评审的项目时，必须从拟投入的评审人员名单中安排。</w:t>
      </w:r>
    </w:p>
    <w:p w14:paraId="7314F999">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3.3如果成交供应商需要更换框架协议技术负责人和评审人员时，必须向采购人提出申请并得到采购人的同意。采购人认为成交供应商实际投入的评审人员不足以满足任务需要或认为评审人员不称职时，可向成交供应商发出要求增加或更换评审人员的通知，成交供应商应及时增加或更换符合采购人需求的评审人员，由此产生的费用由成交供应商自行承担。</w:t>
      </w:r>
    </w:p>
    <w:p w14:paraId="3E39BC8B">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b/>
          <w:bCs/>
          <w:color w:val="auto"/>
          <w:szCs w:val="21"/>
          <w:highlight w:val="none"/>
        </w:rPr>
        <w:t>（四）服务工作量的计量方式</w:t>
      </w:r>
    </w:p>
    <w:p w14:paraId="23705989">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1.最高限制单价</w:t>
      </w:r>
    </w:p>
    <w:p w14:paraId="36002225">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   最高限制单价是供应商第一阶段响应报价的最高限价。入围供应商第一阶段响应报价是采购人确定第二阶段成交供应商的最高限价。具体要求详见第五章“框架协议（格式）”。</w:t>
      </w:r>
    </w:p>
    <w:p w14:paraId="5FBF58D3">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2.付费额的计算公式及审核费调整详见第五章“框架协议（格式）”。</w:t>
      </w:r>
    </w:p>
    <w:p w14:paraId="24611192">
      <w:pPr>
        <w:spacing w:line="360" w:lineRule="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（五）服务交付</w:t>
      </w:r>
    </w:p>
    <w:p w14:paraId="5AD522DA">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限时办结的能力。</w:t>
      </w:r>
    </w:p>
    <w:p w14:paraId="70B2237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评审实行限时办结制度，成交供应商与采购人签订项目合同后，应严格遵守项目评审时限要求，合理安排人员在合同规定的时间内完成项目工作，并向采购人提交合同规定质量数量的成果文件及电子文档，且提交的成果文件必须已完成内部审核程序。</w:t>
      </w:r>
    </w:p>
    <w:p w14:paraId="45003132">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标项一：供应商自接到征集人提交完整评审项目资料当日起应按以下要求提交评审初步结论：评审项目金额1000万元（含）以下6天内完成；评审项目金额1000万以上至3000万元（含）以下7天内完成；评审项目金额3000万以上至5000万元（含）以下8天内完成；评审项目金额5000万以上至8000万元（含）以下9天内完成；评审项目金额8000万以上10天内完成。</w:t>
      </w:r>
    </w:p>
    <w:p w14:paraId="51516741">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标项二：供应商自接到征集人提交完整评审项目资料当日起应按以下要求提交评审初步结论：评审项目金额500万元（含）以下的，20天内完成；评审项目金额500万以上至2000万元（含）以下30天内完成；评审项目金额2000万以上至5000万元（含）以下45天内完成；评审项目金额5000万以上60天内完成。供应商无故超出上述评审规定时间50%以上、累计出现三次以上（含三次），富川瑶族自治县财政局将供应商列入财政评审项目评审黑名单，取消其评审资格。</w:t>
      </w:r>
    </w:p>
    <w:p w14:paraId="7EB2AB3D">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上述规定期限是从供应商与采购人办理项目资料交接手续之日起，至供应商将审核结果分析报告送交采购人复核之日止。若确有不可抗力因素或其他特殊原因，需要延长审核期限的，供应商应当在协议约定期限内向采购人提出书面申请，并取得采购人同意的书面批复。如无特殊情况而拖延完成时间的，每拖延一天扣减评审服务费的2%，拖延时间达30日的则扣除所有评审服务费。如遇县政府对项目评审时间的特殊要求，供应商则应无条件服从采购人的时间安排。</w:t>
      </w:r>
    </w:p>
    <w:p w14:paraId="07560C28">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b/>
          <w:bCs/>
          <w:color w:val="auto"/>
          <w:szCs w:val="21"/>
          <w:highlight w:val="none"/>
        </w:rPr>
        <w:t>（六）技术保障</w:t>
      </w:r>
    </w:p>
    <w:p w14:paraId="406A108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为保障项目评审工作正常进行，供应商应基于审慎原则，保障及时响应、人力资源充足、专业能力匹配，具备以下能力：</w:t>
      </w:r>
    </w:p>
    <w:p w14:paraId="7583DE43">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1.提供本地服务的能力。</w:t>
      </w:r>
    </w:p>
    <w:p w14:paraId="5A0BDE97">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1.1项目评审过程中，供应商拟投入评审人员需到项目地配合采购人完成承接核验资料、项目对数、现场踏勘、复核争议、项目归档等相关工作。</w:t>
      </w:r>
    </w:p>
    <w:p w14:paraId="1BDF4BD7">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1.2拟投入评审人员需有本地化办公能力且常驻贺州市或富川瑶族自治县，可根据采购人要求配合出差。</w:t>
      </w:r>
    </w:p>
    <w:p w14:paraId="038F8699">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1.3拟投入评审人员需熟悉广西壮族自治区内造价信息及造价依据规则等。</w:t>
      </w:r>
    </w:p>
    <w:p w14:paraId="7197165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1.4本地化范围为富川瑶族自治县内，拟投入评审人员应熟悉富川瑶族自治县工程造价市场情况。</w:t>
      </w:r>
    </w:p>
    <w:p w14:paraId="49CD9F2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2.承担重大、复杂项目的能力。富川瑶族自治县财政评审项目具有较为复杂的特点，供应商需提供人员充足、经验丰富的团队承担重大、复杂的项目评审工作。</w:t>
      </w:r>
    </w:p>
    <w:p w14:paraId="56A5C536">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47014AA">
      <w:pPr>
        <w:spacing w:line="360" w:lineRule="auto"/>
        <w:rPr>
          <w:color w:val="auto"/>
          <w:szCs w:val="21"/>
          <w:highlight w:val="none"/>
        </w:rPr>
      </w:pPr>
      <w:r>
        <w:rPr>
          <w:rFonts w:hint="eastAsia"/>
          <w:color w:val="auto"/>
          <w:szCs w:val="21"/>
          <w:highlight w:val="none"/>
        </w:rPr>
        <w:t>1．报价要求</w:t>
      </w:r>
    </w:p>
    <w:p w14:paraId="32F95657">
      <w:pPr>
        <w:spacing w:line="360" w:lineRule="auto"/>
        <w:rPr>
          <w:rFonts w:hint="eastAsia"/>
          <w:color w:val="auto"/>
          <w:szCs w:val="21"/>
          <w:highlight w:val="none"/>
        </w:rPr>
      </w:pPr>
      <w:r>
        <w:rPr>
          <w:color w:val="auto"/>
          <w:szCs w:val="21"/>
          <w:highlight w:val="none"/>
        </w:rPr>
        <w:sym w:font="Wingdings 2" w:char="F052"/>
      </w:r>
      <w:r>
        <w:rPr>
          <w:rFonts w:hint="eastAsia"/>
          <w:color w:val="auto"/>
          <w:szCs w:val="21"/>
          <w:highlight w:val="none"/>
        </w:rPr>
        <w:t>本项目执行政府定价或政府指导价，供应商不需要提供报价，最高限价单价即作为供应商统一报价，供应商如在制作响应文件或广西政府采购云系统中需要填写报价的，一律按报价</w:t>
      </w:r>
      <w:r>
        <w:rPr>
          <w:rFonts w:hint="eastAsia"/>
          <w:color w:val="auto"/>
          <w:szCs w:val="21"/>
          <w:highlight w:val="none"/>
          <w:lang w:val="en-US" w:eastAsia="zh-CN"/>
        </w:rPr>
        <w:t>1</w:t>
      </w:r>
      <w:r>
        <w:rPr>
          <w:rFonts w:hint="eastAsia"/>
          <w:color w:val="auto"/>
          <w:szCs w:val="21"/>
          <w:highlight w:val="none"/>
        </w:rPr>
        <w:t>元填写。</w:t>
      </w:r>
    </w:p>
    <w:p w14:paraId="60DF62CB">
      <w:pPr>
        <w:spacing w:line="360" w:lineRule="auto"/>
        <w:rPr>
          <w:rFonts w:hint="eastAsia"/>
          <w:color w:val="auto"/>
          <w:szCs w:val="21"/>
          <w:highlight w:val="none"/>
        </w:rPr>
      </w:pPr>
      <w:r>
        <w:rPr>
          <w:rFonts w:hint="eastAsia"/>
          <w:color w:val="auto"/>
          <w:szCs w:val="21"/>
          <w:highlight w:val="none"/>
        </w:rPr>
        <w:t>□本项目供应商需要提供报价，报价不计入实际评分，仅作为确定第二阶段成交供应商的最高限价，本次报价须为人民币报价，包含人员费、技术服务费、交通、通讯、办公场地、管理费、税费和利润等费用。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p w14:paraId="4E780D7D">
      <w:pPr>
        <w:spacing w:line="360" w:lineRule="auto"/>
        <w:rPr>
          <w:rFonts w:hint="eastAsia"/>
          <w:color w:val="auto"/>
          <w:szCs w:val="21"/>
          <w:highlight w:val="none"/>
        </w:rPr>
      </w:pPr>
      <w:r>
        <w:rPr>
          <w:rFonts w:hint="eastAsia"/>
          <w:color w:val="auto"/>
          <w:szCs w:val="21"/>
          <w:highlight w:val="none"/>
        </w:rPr>
        <w:t>2.框架协议签订期限</w:t>
      </w:r>
    </w:p>
    <w:p w14:paraId="2493DB9D">
      <w:pPr>
        <w:spacing w:line="360" w:lineRule="auto"/>
        <w:rPr>
          <w:color w:val="auto"/>
          <w:szCs w:val="21"/>
          <w:highlight w:val="none"/>
        </w:rPr>
      </w:pPr>
      <w:r>
        <w:rPr>
          <w:rFonts w:hint="eastAsia"/>
          <w:color w:val="auto"/>
          <w:szCs w:val="21"/>
          <w:highlight w:val="none"/>
        </w:rPr>
        <w:t>入围通知书发出后</w:t>
      </w:r>
      <w:r>
        <w:rPr>
          <w:rFonts w:hint="eastAsia"/>
          <w:color w:val="auto"/>
          <w:szCs w:val="21"/>
          <w:highlight w:val="none"/>
          <w:lang w:val="en-US" w:eastAsia="zh-CN"/>
        </w:rPr>
        <w:t>25</w:t>
      </w:r>
      <w:r>
        <w:rPr>
          <w:rFonts w:hint="eastAsia"/>
          <w:color w:val="auto"/>
          <w:szCs w:val="21"/>
          <w:highlight w:val="none"/>
        </w:rPr>
        <w:t>日内。</w:t>
      </w:r>
    </w:p>
    <w:p w14:paraId="62EBD482">
      <w:pPr>
        <w:spacing w:line="360" w:lineRule="auto"/>
        <w:rPr>
          <w:color w:val="auto"/>
          <w:szCs w:val="21"/>
          <w:highlight w:val="none"/>
        </w:rPr>
      </w:pPr>
      <w:r>
        <w:rPr>
          <w:color w:val="auto"/>
          <w:szCs w:val="21"/>
          <w:highlight w:val="none"/>
        </w:rPr>
        <w:t>3</w:t>
      </w:r>
      <w:r>
        <w:rPr>
          <w:rFonts w:hint="eastAsia"/>
          <w:color w:val="auto"/>
          <w:szCs w:val="21"/>
          <w:highlight w:val="none"/>
        </w:rPr>
        <w:t>.</w:t>
      </w:r>
      <w:r>
        <w:rPr>
          <w:rFonts w:hint="eastAsia"/>
          <w:color w:val="auto"/>
          <w:highlight w:val="none"/>
        </w:rPr>
        <w:t>服务交付或者实施的地域范围</w:t>
      </w:r>
    </w:p>
    <w:p w14:paraId="4A12617A">
      <w:pPr>
        <w:spacing w:line="360" w:lineRule="auto"/>
        <w:rPr>
          <w:rFonts w:hint="eastAsia"/>
          <w:color w:val="auto"/>
          <w:highlight w:val="none"/>
        </w:rPr>
      </w:pPr>
      <w:r>
        <w:rPr>
          <w:rFonts w:hint="eastAsia"/>
          <w:color w:val="auto"/>
          <w:highlight w:val="none"/>
        </w:rPr>
        <w:t>富川瑶族自治县（采购人指定地点）</w:t>
      </w:r>
    </w:p>
    <w:p w14:paraId="76BF6559">
      <w:pPr>
        <w:spacing w:line="360" w:lineRule="auto"/>
        <w:rPr>
          <w:color w:val="auto"/>
          <w:szCs w:val="21"/>
          <w:highlight w:val="none"/>
        </w:rPr>
      </w:pPr>
      <w:r>
        <w:rPr>
          <w:color w:val="auto"/>
          <w:szCs w:val="21"/>
          <w:highlight w:val="none"/>
        </w:rPr>
        <w:t>4</w:t>
      </w:r>
      <w:r>
        <w:rPr>
          <w:rFonts w:hint="eastAsia"/>
          <w:color w:val="auto"/>
          <w:szCs w:val="21"/>
          <w:highlight w:val="none"/>
        </w:rPr>
        <w:t>.采购资金的支付方式、时间及条件</w:t>
      </w:r>
    </w:p>
    <w:p w14:paraId="5E91C038">
      <w:pPr>
        <w:spacing w:line="360" w:lineRule="auto"/>
        <w:rPr>
          <w:rFonts w:hint="eastAsia"/>
          <w:color w:val="auto"/>
          <w:szCs w:val="21"/>
          <w:highlight w:val="none"/>
        </w:rPr>
      </w:pPr>
      <w:r>
        <w:rPr>
          <w:rFonts w:hint="eastAsia"/>
          <w:color w:val="auto"/>
          <w:szCs w:val="21"/>
          <w:highlight w:val="none"/>
        </w:rPr>
        <w:t>详见第五章框架协议</w:t>
      </w:r>
    </w:p>
    <w:p w14:paraId="652BF6AC">
      <w:pPr>
        <w:spacing w:line="360" w:lineRule="auto"/>
        <w:rPr>
          <w:color w:val="auto"/>
          <w:szCs w:val="21"/>
          <w:highlight w:val="none"/>
        </w:rPr>
      </w:pPr>
      <w:r>
        <w:rPr>
          <w:color w:val="auto"/>
          <w:szCs w:val="21"/>
          <w:highlight w:val="none"/>
        </w:rPr>
        <w:t>5</w:t>
      </w:r>
      <w:r>
        <w:rPr>
          <w:rFonts w:hint="eastAsia"/>
          <w:color w:val="auto"/>
          <w:szCs w:val="21"/>
          <w:highlight w:val="none"/>
        </w:rPr>
        <w:t>.履约保证金</w:t>
      </w:r>
    </w:p>
    <w:p w14:paraId="094AE6F7">
      <w:pPr>
        <w:spacing w:line="360" w:lineRule="auto"/>
        <w:rPr>
          <w:rFonts w:hint="eastAsia"/>
          <w:color w:val="auto"/>
          <w:szCs w:val="21"/>
          <w:highlight w:val="none"/>
        </w:rPr>
      </w:pPr>
      <w:bookmarkStart w:id="20" w:name="_Hlk98854135"/>
      <w:r>
        <w:rPr>
          <w:rFonts w:hint="eastAsia"/>
          <w:color w:val="auto"/>
          <w:szCs w:val="21"/>
          <w:highlight w:val="none"/>
        </w:rPr>
        <w:t>无。</w:t>
      </w:r>
    </w:p>
    <w:bookmarkEnd w:id="20"/>
    <w:p w14:paraId="244E699A">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14D58F3E">
      <w:pPr>
        <w:spacing w:line="360" w:lineRule="auto"/>
        <w:rPr>
          <w:rFonts w:hint="eastAsia"/>
          <w:color w:val="auto"/>
          <w:szCs w:val="21"/>
          <w:highlight w:val="none"/>
        </w:rPr>
      </w:pPr>
      <w:r>
        <w:rPr>
          <w:rFonts w:hint="eastAsia"/>
          <w:color w:val="auto"/>
          <w:szCs w:val="21"/>
          <w:highlight w:val="none"/>
          <w:lang w:val="en-US" w:eastAsia="zh-CN"/>
        </w:rPr>
        <w:t>无</w:t>
      </w:r>
    </w:p>
    <w:p w14:paraId="0C60F5D6">
      <w:pPr>
        <w:spacing w:line="360" w:lineRule="auto"/>
        <w:jc w:val="center"/>
        <w:outlineLvl w:val="0"/>
        <w:rPr>
          <w:color w:val="auto"/>
          <w:sz w:val="32"/>
          <w:szCs w:val="32"/>
          <w:highlight w:val="none"/>
        </w:rPr>
      </w:pPr>
      <w:bookmarkStart w:id="21" w:name="_Toc19454"/>
      <w:r>
        <w:rPr>
          <w:color w:val="auto"/>
          <w:sz w:val="32"/>
          <w:szCs w:val="32"/>
          <w:highlight w:val="none"/>
        </w:rPr>
        <w:t>第三章  供应商须知</w:t>
      </w:r>
      <w:bookmarkEnd w:id="21"/>
      <w:bookmarkStart w:id="22" w:name="_Toc254970526"/>
      <w:bookmarkStart w:id="23" w:name="_Toc254970667"/>
    </w:p>
    <w:p w14:paraId="7A890247">
      <w:pPr>
        <w:pStyle w:val="3"/>
        <w:spacing w:before="40" w:after="40"/>
        <w:jc w:val="center"/>
        <w:rPr>
          <w:rFonts w:ascii="Times New Roman" w:hAnsi="Times New Roman" w:eastAsia="宋体"/>
          <w:color w:val="auto"/>
          <w:sz w:val="24"/>
          <w:szCs w:val="24"/>
          <w:highlight w:val="none"/>
        </w:rPr>
      </w:pPr>
      <w:bookmarkStart w:id="24" w:name="_投标人须知前附表"/>
      <w:bookmarkEnd w:id="24"/>
      <w:bookmarkStart w:id="25" w:name="_Hlk89163557"/>
      <w:r>
        <w:rPr>
          <w:rFonts w:ascii="Times New Roman" w:hAnsi="Times New Roman" w:eastAsia="宋体"/>
          <w:color w:val="auto"/>
          <w:sz w:val="24"/>
          <w:szCs w:val="24"/>
          <w:highlight w:val="none"/>
        </w:rPr>
        <w:t>供应商须知前附表</w:t>
      </w:r>
      <w:bookmarkEnd w:id="22"/>
      <w:bookmarkEnd w:id="23"/>
    </w:p>
    <w:bookmarkEnd w:id="25"/>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7229"/>
      </w:tblGrid>
      <w:tr w14:paraId="2037E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45BBFFE">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B27369">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4C3B276">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内容、要求</w:t>
            </w:r>
          </w:p>
        </w:tc>
      </w:tr>
      <w:tr w14:paraId="64816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2AA5B40">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A2B92A">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C1F8EE9">
            <w:pPr>
              <w:keepNext w:val="0"/>
              <w:keepLines w:val="0"/>
              <w:suppressLineNumbers w:val="0"/>
              <w:spacing w:before="0" w:beforeAutospacing="0" w:after="0" w:afterAutospacing="0" w:line="300" w:lineRule="exact"/>
              <w:ind w:left="0" w:right="0"/>
              <w:jc w:val="lef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富川瑶族自治县2025～2027年度政府投资项目评审服务</w:t>
            </w:r>
          </w:p>
          <w:p w14:paraId="6FC1060B">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项目编号：HZZC2025-K3-230067-JDZB</w:t>
            </w:r>
          </w:p>
          <w:p w14:paraId="18E2F40B">
            <w:pPr>
              <w:keepNext w:val="0"/>
              <w:keepLines w:val="0"/>
              <w:suppressLineNumbers w:val="0"/>
              <w:spacing w:before="0" w:beforeAutospacing="0" w:after="0" w:afterAutospacing="0" w:line="300" w:lineRule="exact"/>
              <w:ind w:left="0" w:right="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rPr>
              <w:t>采购计划号：</w:t>
            </w:r>
            <w:r>
              <w:rPr>
                <w:rFonts w:hint="eastAsia" w:ascii="Times New Roman" w:hAnsi="Times New Roman" w:cs="Times New Roman"/>
                <w:color w:val="auto"/>
                <w:szCs w:val="21"/>
                <w:highlight w:val="none"/>
                <w:lang w:val="en-US" w:eastAsia="zh-CN"/>
              </w:rPr>
              <w:t>/</w:t>
            </w:r>
          </w:p>
        </w:tc>
      </w:tr>
      <w:tr w14:paraId="1FD1F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744E090">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5A04C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lang w:val="zh-CN"/>
              </w:rPr>
            </w:pPr>
            <w:r>
              <w:rPr>
                <w:rFonts w:hint="eastAsia" w:ascii="Times New Roman" w:hAnsi="Times New Roman" w:cs="Times New Roman"/>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2F91D34">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封闭式框架协议采购</w:t>
            </w:r>
          </w:p>
        </w:tc>
      </w:tr>
      <w:tr w14:paraId="164F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2B72EF82">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1</w:t>
            </w:r>
            <w:r>
              <w:rPr>
                <w:rFonts w:hint="default" w:ascii="Times New Roman" w:hAnsi="Times New Roman" w:cs="Times New Roman"/>
                <w:b/>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ABF2B8">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lang w:val="zh-CN"/>
              </w:rPr>
            </w:pPr>
            <w:r>
              <w:rPr>
                <w:rFonts w:hint="eastAsia" w:ascii="Times New Roman" w:hAnsi="Times New Roman" w:cs="Times New Roman"/>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BABA114">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本项目非专门面向中小微企业采购。</w:t>
            </w:r>
          </w:p>
        </w:tc>
      </w:tr>
      <w:tr w14:paraId="664BB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53E91E1B">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1.5.1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9C7974">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950242">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详</w:t>
            </w:r>
            <w:r>
              <w:rPr>
                <w:rFonts w:hint="default" w:ascii="Times New Roman" w:hAnsi="Times New Roman" w:cs="Times New Roman"/>
                <w:color w:val="auto"/>
                <w:szCs w:val="21"/>
                <w:highlight w:val="none"/>
              </w:rPr>
              <w:t>见</w:t>
            </w:r>
            <w:r>
              <w:rPr>
                <w:rFonts w:hint="eastAsia" w:ascii="Times New Roman" w:hAnsi="Times New Roman" w:cs="Times New Roman"/>
                <w:color w:val="auto"/>
                <w:szCs w:val="21"/>
                <w:highlight w:val="none"/>
              </w:rPr>
              <w:t>征集</w:t>
            </w:r>
            <w:r>
              <w:rPr>
                <w:rFonts w:hint="default" w:ascii="Times New Roman" w:hAnsi="Times New Roman" w:cs="Times New Roman"/>
                <w:color w:val="auto"/>
                <w:szCs w:val="21"/>
                <w:highlight w:val="none"/>
              </w:rPr>
              <w:t>公告</w:t>
            </w:r>
          </w:p>
        </w:tc>
      </w:tr>
      <w:tr w14:paraId="2DB72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51" w:type="dxa"/>
            <w:tcBorders>
              <w:top w:val="single" w:color="auto" w:sz="4" w:space="0"/>
              <w:left w:val="single" w:color="auto" w:sz="4" w:space="0"/>
              <w:right w:val="single" w:color="auto" w:sz="4" w:space="0"/>
            </w:tcBorders>
            <w:noWrap w:val="0"/>
            <w:vAlign w:val="center"/>
          </w:tcPr>
          <w:p w14:paraId="7D0C5E6D">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bookmarkStart w:id="26" w:name="_Hlk85555568"/>
            <w:r>
              <w:rPr>
                <w:rFonts w:hint="default" w:ascii="Times New Roman" w:hAnsi="Times New Roman" w:cs="Times New Roman"/>
                <w:b/>
                <w:color w:val="auto"/>
                <w:szCs w:val="21"/>
                <w:highlight w:val="none"/>
              </w:rPr>
              <w:t>1.5.3</w:t>
            </w:r>
          </w:p>
        </w:tc>
        <w:tc>
          <w:tcPr>
            <w:tcW w:w="1134" w:type="dxa"/>
            <w:tcBorders>
              <w:top w:val="single" w:color="auto" w:sz="4" w:space="0"/>
              <w:left w:val="single" w:color="auto" w:sz="4" w:space="0"/>
              <w:right w:val="single" w:color="auto" w:sz="4" w:space="0"/>
            </w:tcBorders>
            <w:noWrap w:val="0"/>
            <w:vAlign w:val="center"/>
          </w:tcPr>
          <w:p w14:paraId="05B70E36">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058C2B45">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详见征集公告</w:t>
            </w:r>
          </w:p>
        </w:tc>
      </w:tr>
      <w:bookmarkEnd w:id="26"/>
      <w:tr w14:paraId="7934C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44896175">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5FB0E6">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B457FD4">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F052"/>
            </w:r>
            <w:r>
              <w:rPr>
                <w:rFonts w:hint="eastAsia" w:ascii="Times New Roman" w:hAnsi="Times New Roman" w:cs="Times New Roman"/>
                <w:color w:val="auto"/>
                <w:szCs w:val="21"/>
                <w:highlight w:val="none"/>
              </w:rPr>
              <w:t>否   □是</w:t>
            </w:r>
          </w:p>
          <w:p w14:paraId="2C1C6B79">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 xml:space="preserve">踏勘时间： </w:t>
            </w:r>
            <w:r>
              <w:rPr>
                <w:rFonts w:hint="eastAsia" w:ascii="Times New Roman" w:hAnsi="Times New Roman" w:cs="Times New Roman"/>
                <w:color w:val="auto"/>
                <w:szCs w:val="21"/>
                <w:highlight w:val="none"/>
                <w:u w:val="single"/>
              </w:rPr>
              <w:t xml:space="preserve">             </w:t>
            </w:r>
          </w:p>
          <w:p w14:paraId="405635FD">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 xml:space="preserve">踏勘地点： </w:t>
            </w:r>
            <w:r>
              <w:rPr>
                <w:rFonts w:hint="eastAsia" w:ascii="Times New Roman" w:hAnsi="Times New Roman" w:cs="Times New Roman"/>
                <w:color w:val="auto"/>
                <w:szCs w:val="21"/>
                <w:highlight w:val="none"/>
                <w:u w:val="single"/>
              </w:rPr>
              <w:t xml:space="preserve">          </w:t>
            </w:r>
          </w:p>
          <w:p w14:paraId="7BB8790A">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踏勘要求： </w:t>
            </w:r>
            <w:r>
              <w:rPr>
                <w:rFonts w:hint="eastAsia"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 xml:space="preserve">    </w:t>
            </w:r>
          </w:p>
        </w:tc>
      </w:tr>
      <w:tr w14:paraId="53C83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4D438AEC">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1.7.1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3A100B">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转包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A1B3EB7">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本项目不允许转包</w:t>
            </w:r>
            <w:r>
              <w:rPr>
                <w:rFonts w:hint="eastAsia" w:ascii="Times New Roman" w:hAnsi="Times New Roman" w:cs="Times New Roman"/>
                <w:color w:val="auto"/>
                <w:szCs w:val="21"/>
                <w:highlight w:val="none"/>
              </w:rPr>
              <w:t>。</w:t>
            </w:r>
          </w:p>
        </w:tc>
      </w:tr>
      <w:tr w14:paraId="73EA1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700434A2">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1.7.2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7AA29D">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9314562">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sym w:font="Wingdings 2" w:char="F052"/>
            </w:r>
            <w:r>
              <w:rPr>
                <w:rFonts w:hint="eastAsia" w:ascii="Times New Roman" w:hAnsi="Times New Roman" w:cs="Times New Roman"/>
                <w:color w:val="auto"/>
                <w:kern w:val="0"/>
                <w:szCs w:val="21"/>
                <w:highlight w:val="none"/>
              </w:rPr>
              <w:t>不允许分包</w:t>
            </w:r>
          </w:p>
          <w:p w14:paraId="3F83EBE5">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F0A3"/>
            </w:r>
            <w:r>
              <w:rPr>
                <w:rFonts w:hint="eastAsia" w:ascii="Times New Roman" w:hAnsi="Times New Roman" w:cs="Times New Roman"/>
                <w:color w:val="auto"/>
                <w:szCs w:val="21"/>
                <w:highlight w:val="none"/>
              </w:rPr>
              <w:t>允许分包</w:t>
            </w:r>
          </w:p>
        </w:tc>
      </w:tr>
      <w:tr w14:paraId="49249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455CF7DC">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2.1.3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536E13">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征集文件澄清、修改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C8714B">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在征集公告发布媒介发布</w:t>
            </w:r>
            <w:r>
              <w:rPr>
                <w:rFonts w:hint="eastAsia" w:ascii="Times New Roman" w:hAnsi="Times New Roman" w:cs="Times New Roman"/>
                <w:color w:val="auto"/>
                <w:szCs w:val="21"/>
                <w:highlight w:val="none"/>
              </w:rPr>
              <w:t>。</w:t>
            </w:r>
          </w:p>
        </w:tc>
      </w:tr>
      <w:tr w14:paraId="44E9A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A14C980">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2.1.3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5A270E">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249AD4E">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澄清、修改文件</w:t>
            </w:r>
            <w:r>
              <w:rPr>
                <w:rFonts w:hint="eastAsia" w:ascii="Times New Roman" w:hAnsi="Times New Roman" w:cs="Times New Roman"/>
                <w:color w:val="auto"/>
                <w:szCs w:val="21"/>
                <w:highlight w:val="none"/>
              </w:rPr>
              <w:t>自征集公告</w:t>
            </w:r>
            <w:r>
              <w:rPr>
                <w:rFonts w:hint="default" w:ascii="Times New Roman" w:hAnsi="Times New Roman" w:cs="Times New Roman"/>
                <w:color w:val="auto"/>
                <w:szCs w:val="21"/>
                <w:highlight w:val="none"/>
              </w:rPr>
              <w:t>发布媒</w:t>
            </w:r>
            <w:r>
              <w:rPr>
                <w:rFonts w:hint="eastAsia" w:ascii="Times New Roman" w:hAnsi="Times New Roman" w:cs="Times New Roman"/>
                <w:color w:val="auto"/>
                <w:szCs w:val="21"/>
                <w:highlight w:val="none"/>
              </w:rPr>
              <w:t>体</w:t>
            </w:r>
            <w:r>
              <w:rPr>
                <w:rFonts w:hint="default" w:ascii="Times New Roman" w:hAnsi="Times New Roman" w:cs="Times New Roman"/>
                <w:color w:val="auto"/>
                <w:szCs w:val="21"/>
                <w:highlight w:val="none"/>
              </w:rPr>
              <w:t>发布之日起，视为供应商已收到该澄清、修改。供应商未及时关注</w:t>
            </w:r>
            <w:r>
              <w:rPr>
                <w:rFonts w:hint="eastAsia" w:ascii="Times New Roman" w:hAnsi="Times New Roman" w:cs="Times New Roman"/>
                <w:color w:val="auto"/>
                <w:szCs w:val="21"/>
                <w:highlight w:val="none"/>
              </w:rPr>
              <w:t>征集公告</w:t>
            </w:r>
            <w:r>
              <w:rPr>
                <w:rFonts w:hint="default" w:ascii="Times New Roman" w:hAnsi="Times New Roman" w:cs="Times New Roman"/>
                <w:color w:val="auto"/>
                <w:szCs w:val="21"/>
                <w:highlight w:val="none"/>
              </w:rPr>
              <w:t>发布媒</w:t>
            </w:r>
            <w:r>
              <w:rPr>
                <w:rFonts w:hint="eastAsia" w:ascii="Times New Roman" w:hAnsi="Times New Roman" w:cs="Times New Roman"/>
                <w:color w:val="auto"/>
                <w:szCs w:val="21"/>
                <w:highlight w:val="none"/>
              </w:rPr>
              <w:t>体</w:t>
            </w:r>
            <w:r>
              <w:rPr>
                <w:rFonts w:hint="default" w:ascii="Times New Roman" w:hAnsi="Times New Roman" w:cs="Times New Roman"/>
                <w:color w:val="auto"/>
                <w:szCs w:val="21"/>
                <w:highlight w:val="none"/>
              </w:rPr>
              <w:t>造成的损失，由供应商自行负责。</w:t>
            </w:r>
          </w:p>
        </w:tc>
      </w:tr>
      <w:tr w14:paraId="0BB87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1CE5D0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A0F3B2">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87F2926">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响应截止之日起90天。</w:t>
            </w:r>
          </w:p>
        </w:tc>
      </w:tr>
      <w:tr w14:paraId="13DF3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7F5790F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DC2560">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1FCD073">
            <w:pPr>
              <w:keepNext w:val="0"/>
              <w:keepLines w:val="0"/>
              <w:suppressLineNumbers w:val="0"/>
              <w:spacing w:before="0" w:beforeAutospacing="0" w:after="0" w:afterAutospacing="0" w:line="312" w:lineRule="auto"/>
              <w:ind w:left="0" w:right="0"/>
              <w:jc w:val="left"/>
              <w:rPr>
                <w:rFonts w:hint="eastAsia"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响应保证金</w:t>
            </w:r>
            <w:r>
              <w:rPr>
                <w:rFonts w:hint="eastAsia" w:ascii="Times New Roman" w:hAnsi="Times New Roman" w:cs="Times New Roman"/>
                <w:color w:val="auto"/>
                <w:szCs w:val="21"/>
                <w:highlight w:val="none"/>
              </w:rPr>
              <w:t>金额：人民币</w:t>
            </w:r>
            <w:r>
              <w:rPr>
                <w:rFonts w:hint="eastAsia" w:ascii="Times New Roman" w:hAnsi="Times New Roman" w:cs="Times New Roman"/>
                <w:color w:val="auto"/>
                <w:szCs w:val="21"/>
                <w:highlight w:val="none"/>
                <w:lang w:val="en-US" w:eastAsia="zh-CN"/>
              </w:rPr>
              <w:t>捌仟元整</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8</w:t>
            </w:r>
            <w:r>
              <w:rPr>
                <w:rFonts w:hint="eastAsia" w:ascii="Times New Roman" w:hAnsi="Times New Roman" w:cs="Times New Roman"/>
                <w:color w:val="auto"/>
                <w:szCs w:val="21"/>
                <w:highlight w:val="none"/>
              </w:rPr>
              <w:t>,000.00）。</w:t>
            </w:r>
          </w:p>
          <w:p w14:paraId="2651ECE9">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1、缴纳方式一：</w:t>
            </w:r>
          </w:p>
          <w:p w14:paraId="463D4B67">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（1）</w:t>
            </w:r>
            <w:r>
              <w:rPr>
                <w:rFonts w:hint="default" w:ascii="Times New Roman" w:hAnsi="Times New Roman" w:cs="Times New Roman"/>
                <w:color w:val="auto"/>
                <w:szCs w:val="21"/>
                <w:highlight w:val="none"/>
              </w:rPr>
              <w:t>供应商应于</w:t>
            </w:r>
            <w:r>
              <w:rPr>
                <w:rFonts w:hint="eastAsia" w:ascii="Times New Roman" w:hAnsi="Times New Roman" w:cs="Times New Roman"/>
                <w:color w:val="auto"/>
                <w:szCs w:val="21"/>
                <w:highlight w:val="none"/>
              </w:rPr>
              <w:t>响应截止</w:t>
            </w:r>
            <w:r>
              <w:rPr>
                <w:rFonts w:hint="default" w:ascii="Times New Roman" w:hAnsi="Times New Roman" w:cs="Times New Roman"/>
                <w:color w:val="auto"/>
                <w:szCs w:val="21"/>
                <w:highlight w:val="none"/>
              </w:rPr>
              <w:t>时间前将响应保证金以电汇、转账形式从供应商账户一次性足额</w:t>
            </w:r>
            <w:r>
              <w:rPr>
                <w:rFonts w:hint="eastAsia" w:ascii="Times New Roman" w:hAnsi="Times New Roman" w:cs="Times New Roman"/>
                <w:color w:val="auto"/>
                <w:szCs w:val="21"/>
                <w:highlight w:val="none"/>
              </w:rPr>
              <w:t>缴</w:t>
            </w:r>
            <w:r>
              <w:rPr>
                <w:rFonts w:hint="default" w:ascii="Times New Roman" w:hAnsi="Times New Roman" w:cs="Times New Roman"/>
                <w:color w:val="auto"/>
                <w:szCs w:val="21"/>
                <w:highlight w:val="none"/>
              </w:rPr>
              <w:t>纳至本项目（各</w:t>
            </w:r>
            <w:r>
              <w:rPr>
                <w:rFonts w:hint="eastAsia" w:ascii="Times New Roman" w:hAnsi="Times New Roman" w:cs="Times New Roman"/>
                <w:color w:val="auto"/>
                <w:szCs w:val="21"/>
                <w:highlight w:val="none"/>
              </w:rPr>
              <w:t>分标</w:t>
            </w:r>
            <w:r>
              <w:rPr>
                <w:rFonts w:hint="default" w:ascii="Times New Roman" w:hAnsi="Times New Roman" w:cs="Times New Roman"/>
                <w:color w:val="auto"/>
                <w:szCs w:val="21"/>
                <w:highlight w:val="none"/>
              </w:rPr>
              <w:t>）对应的专用虚拟账号，所交纳的响应保证金仅限当次项目（</w:t>
            </w:r>
            <w:r>
              <w:rPr>
                <w:rFonts w:hint="eastAsia" w:ascii="Times New Roman" w:hAnsi="Times New Roman" w:cs="Times New Roman"/>
                <w:color w:val="auto"/>
                <w:szCs w:val="21"/>
                <w:highlight w:val="none"/>
              </w:rPr>
              <w:t>分标</w:t>
            </w:r>
            <w:r>
              <w:rPr>
                <w:rFonts w:hint="default" w:ascii="Times New Roman" w:hAnsi="Times New Roman" w:cs="Times New Roman"/>
                <w:color w:val="auto"/>
                <w:szCs w:val="21"/>
                <w:highlight w:val="none"/>
              </w:rPr>
              <w:t>）有效，不得重复替代使用。本项目响应保证金</w:t>
            </w:r>
            <w:r>
              <w:rPr>
                <w:rFonts w:hint="eastAsia" w:ascii="Times New Roman" w:hAnsi="Times New Roman" w:cs="Times New Roman"/>
                <w:color w:val="auto"/>
                <w:szCs w:val="21"/>
                <w:highlight w:val="none"/>
              </w:rPr>
              <w:t>缴</w:t>
            </w:r>
            <w:r>
              <w:rPr>
                <w:rFonts w:hint="default" w:ascii="Times New Roman" w:hAnsi="Times New Roman" w:cs="Times New Roman"/>
                <w:color w:val="auto"/>
                <w:szCs w:val="21"/>
                <w:highlight w:val="none"/>
              </w:rPr>
              <w:t>纳专用虚拟账号信息</w:t>
            </w:r>
            <w:r>
              <w:rPr>
                <w:rFonts w:hint="eastAsia" w:ascii="Times New Roman" w:hAnsi="Times New Roman" w:cs="Times New Roman"/>
                <w:color w:val="auto"/>
                <w:szCs w:val="21"/>
                <w:highlight w:val="none"/>
              </w:rPr>
              <w:t>如下：</w:t>
            </w:r>
          </w:p>
          <w:p w14:paraId="588A4304">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标项一：</w:t>
            </w:r>
          </w:p>
          <w:p w14:paraId="0ABB52C7">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开户银行：平安银行南宁分行营业部</w:t>
            </w:r>
          </w:p>
          <w:p w14:paraId="75D69512">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开户名称：广西机电设备招标有限公司</w:t>
            </w:r>
          </w:p>
          <w:p w14:paraId="74ED5DAC">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开户账户：30210485532081</w:t>
            </w:r>
          </w:p>
          <w:p w14:paraId="57667621">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标项二：</w:t>
            </w:r>
          </w:p>
          <w:p w14:paraId="0CD79668">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开户银行：平安银行南宁分行营业部</w:t>
            </w:r>
          </w:p>
          <w:p w14:paraId="2ADDD63F">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开户名称：广西机电设备招标有限公司</w:t>
            </w:r>
          </w:p>
          <w:p w14:paraId="3D0C23F5">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开户账户：30210485217558</w:t>
            </w:r>
          </w:p>
          <w:p w14:paraId="536EC585">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特别说明：本项目保证金采用虚拟账号，为保证响应保证金与项目一一对应，供应商如</w:t>
            </w:r>
            <w:r>
              <w:rPr>
                <w:rFonts w:hint="eastAsia" w:ascii="Times New Roman" w:hAnsi="Times New Roman" w:cs="Times New Roman"/>
                <w:color w:val="auto"/>
                <w:szCs w:val="21"/>
                <w:highlight w:val="none"/>
              </w:rPr>
              <w:t>参加</w:t>
            </w:r>
            <w:r>
              <w:rPr>
                <w:rFonts w:hint="default" w:ascii="Times New Roman" w:hAnsi="Times New Roman" w:cs="Times New Roman"/>
                <w:color w:val="auto"/>
                <w:szCs w:val="21"/>
                <w:highlight w:val="none"/>
              </w:rPr>
              <w:t>本项目多个</w:t>
            </w:r>
            <w:r>
              <w:rPr>
                <w:rFonts w:hint="eastAsia" w:ascii="Times New Roman" w:hAnsi="Times New Roman" w:cs="Times New Roman"/>
                <w:color w:val="auto"/>
                <w:szCs w:val="21"/>
                <w:highlight w:val="none"/>
              </w:rPr>
              <w:t>分标</w:t>
            </w:r>
            <w:r>
              <w:rPr>
                <w:rFonts w:hint="default" w:ascii="Times New Roman" w:hAnsi="Times New Roman" w:cs="Times New Roman"/>
                <w:color w:val="auto"/>
                <w:szCs w:val="21"/>
                <w:highlight w:val="none"/>
              </w:rPr>
              <w:t>的</w:t>
            </w:r>
            <w:r>
              <w:rPr>
                <w:rFonts w:hint="eastAsia" w:ascii="Times New Roman" w:hAnsi="Times New Roman" w:cs="Times New Roman"/>
                <w:color w:val="auto"/>
                <w:szCs w:val="21"/>
                <w:highlight w:val="none"/>
              </w:rPr>
              <w:t>响应</w:t>
            </w:r>
            <w:r>
              <w:rPr>
                <w:rFonts w:hint="default" w:ascii="Times New Roman" w:hAnsi="Times New Roman" w:cs="Times New Roman"/>
                <w:color w:val="auto"/>
                <w:szCs w:val="21"/>
                <w:highlight w:val="none"/>
              </w:rPr>
              <w:t>，应按各</w:t>
            </w:r>
            <w:r>
              <w:rPr>
                <w:rFonts w:hint="eastAsia" w:ascii="Times New Roman" w:hAnsi="Times New Roman" w:cs="Times New Roman"/>
                <w:color w:val="auto"/>
                <w:szCs w:val="21"/>
                <w:highlight w:val="none"/>
              </w:rPr>
              <w:t>分标</w:t>
            </w:r>
            <w:r>
              <w:rPr>
                <w:rFonts w:hint="default" w:ascii="Times New Roman" w:hAnsi="Times New Roman" w:cs="Times New Roman"/>
                <w:color w:val="auto"/>
                <w:szCs w:val="21"/>
                <w:highlight w:val="none"/>
              </w:rPr>
              <w:t>对应的专用虚拟账号分别</w:t>
            </w:r>
            <w:r>
              <w:rPr>
                <w:rFonts w:hint="eastAsia" w:ascii="Times New Roman" w:hAnsi="Times New Roman" w:cs="Times New Roman"/>
                <w:color w:val="auto"/>
                <w:szCs w:val="21"/>
                <w:highlight w:val="none"/>
              </w:rPr>
              <w:t>缴纳</w:t>
            </w:r>
            <w:r>
              <w:rPr>
                <w:rFonts w:hint="default" w:ascii="Times New Roman" w:hAnsi="Times New Roman" w:cs="Times New Roman"/>
                <w:color w:val="auto"/>
                <w:szCs w:val="21"/>
                <w:highlight w:val="none"/>
              </w:rPr>
              <w:t>响应保证金。</w:t>
            </w:r>
          </w:p>
          <w:p w14:paraId="7A3849DB">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（2）</w:t>
            </w:r>
            <w:r>
              <w:rPr>
                <w:rFonts w:hint="default" w:ascii="Times New Roman" w:hAnsi="Times New Roman" w:cs="Times New Roman"/>
                <w:color w:val="auto"/>
                <w:szCs w:val="21"/>
                <w:highlight w:val="none"/>
              </w:rPr>
              <w:t>响应保证金币种应与响应报价币种相同。</w:t>
            </w:r>
            <w:r>
              <w:rPr>
                <w:rFonts w:hint="eastAsia" w:ascii="Times New Roman" w:hAnsi="Times New Roman" w:cs="Times New Roman"/>
                <w:color w:val="auto"/>
                <w:szCs w:val="21"/>
                <w:highlight w:val="none"/>
              </w:rPr>
              <w:t>响应保证金缴纳后无需开具收据，供应商应在响应文件中放入转账底单或电汇凭证的复印件，必须在响应截止时间之前到达指定账号，其到账时间以银行确认的到账时间为准。</w:t>
            </w:r>
          </w:p>
          <w:p w14:paraId="4A1F27BA">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（3）</w:t>
            </w:r>
            <w:r>
              <w:rPr>
                <w:rFonts w:hint="default" w:ascii="Times New Roman" w:hAnsi="Times New Roman" w:cs="Times New Roman"/>
                <w:color w:val="auto"/>
                <w:szCs w:val="21"/>
                <w:highlight w:val="none"/>
              </w:rPr>
              <w:t>除</w:t>
            </w:r>
            <w:r>
              <w:rPr>
                <w:rFonts w:hint="eastAsia" w:ascii="Times New Roman" w:hAnsi="Times New Roman" w:cs="Times New Roman"/>
                <w:color w:val="auto"/>
                <w:szCs w:val="21"/>
                <w:highlight w:val="none"/>
              </w:rPr>
              <w:t>征集文件</w:t>
            </w:r>
            <w:r>
              <w:rPr>
                <w:rFonts w:hint="default" w:ascii="Times New Roman" w:hAnsi="Times New Roman" w:cs="Times New Roman"/>
                <w:color w:val="auto"/>
                <w:szCs w:val="21"/>
                <w:highlight w:val="none"/>
              </w:rPr>
              <w:t>规定不予退还保证金的情形外，</w:t>
            </w:r>
            <w:r>
              <w:rPr>
                <w:rFonts w:hint="eastAsia" w:ascii="Times New Roman" w:hAnsi="Times New Roman" w:cs="Times New Roman"/>
                <w:color w:val="auto"/>
                <w:szCs w:val="21"/>
                <w:highlight w:val="none"/>
              </w:rPr>
              <w:t>征集人在法定时间内通过银行原路</w:t>
            </w:r>
            <w:r>
              <w:rPr>
                <w:rFonts w:hint="default" w:ascii="Times New Roman" w:hAnsi="Times New Roman" w:cs="Times New Roman"/>
                <w:color w:val="auto"/>
                <w:szCs w:val="21"/>
                <w:highlight w:val="none"/>
              </w:rPr>
              <w:t>退</w:t>
            </w:r>
            <w:r>
              <w:rPr>
                <w:rFonts w:hint="eastAsia" w:ascii="Times New Roman" w:hAnsi="Times New Roman" w:cs="Times New Roman"/>
                <w:color w:val="auto"/>
                <w:szCs w:val="21"/>
                <w:highlight w:val="none"/>
              </w:rPr>
              <w:t>还保证金至供应商缴纳账户。供应商</w:t>
            </w:r>
            <w:r>
              <w:rPr>
                <w:rFonts w:hint="default" w:ascii="Times New Roman" w:hAnsi="Times New Roman" w:cs="Times New Roman"/>
                <w:color w:val="auto"/>
                <w:szCs w:val="21"/>
                <w:highlight w:val="none"/>
              </w:rPr>
              <w:t>自行承担</w:t>
            </w:r>
            <w:r>
              <w:rPr>
                <w:rFonts w:hint="eastAsia" w:ascii="Times New Roman" w:hAnsi="Times New Roman" w:cs="Times New Roman"/>
                <w:color w:val="auto"/>
                <w:szCs w:val="21"/>
                <w:highlight w:val="none"/>
              </w:rPr>
              <w:t>交纳保证金后未参加响应活动或响应保证金缴纳错误而</w:t>
            </w:r>
            <w:r>
              <w:rPr>
                <w:rFonts w:hint="default" w:ascii="Times New Roman" w:hAnsi="Times New Roman" w:cs="Times New Roman"/>
                <w:color w:val="auto"/>
                <w:szCs w:val="21"/>
                <w:highlight w:val="none"/>
              </w:rPr>
              <w:t>导致</w:t>
            </w:r>
            <w:r>
              <w:rPr>
                <w:rFonts w:hint="eastAsia" w:ascii="Times New Roman" w:hAnsi="Times New Roman" w:cs="Times New Roman"/>
                <w:color w:val="auto"/>
                <w:szCs w:val="21"/>
                <w:highlight w:val="none"/>
              </w:rPr>
              <w:t>响应保证金</w:t>
            </w:r>
            <w:r>
              <w:rPr>
                <w:rFonts w:hint="default" w:ascii="Times New Roman" w:hAnsi="Times New Roman" w:cs="Times New Roman"/>
                <w:color w:val="auto"/>
                <w:szCs w:val="21"/>
                <w:highlight w:val="none"/>
              </w:rPr>
              <w:t>无法及时退还的责任</w:t>
            </w:r>
            <w:r>
              <w:rPr>
                <w:rFonts w:hint="eastAsia" w:ascii="Times New Roman" w:hAnsi="Times New Roman" w:cs="Times New Roman"/>
                <w:color w:val="auto"/>
                <w:szCs w:val="21"/>
                <w:highlight w:val="none"/>
              </w:rPr>
              <w:t>。</w:t>
            </w:r>
          </w:p>
          <w:p w14:paraId="31010DBC">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2、缴纳方式二：</w:t>
            </w:r>
          </w:p>
          <w:p w14:paraId="0CC91F61">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征集公告。</w:t>
            </w:r>
          </w:p>
          <w:p w14:paraId="56338ADC">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eastAsia" w:ascii="Times New Roman" w:hAnsi="Times New Roman" w:cs="Times New Roman"/>
                <w:color w:val="auto"/>
                <w:szCs w:val="21"/>
                <w:highlight w:val="none"/>
              </w:rPr>
              <w:t>、响应保证金有下列情形之一的，视为保证金无效：</w:t>
            </w:r>
          </w:p>
          <w:p w14:paraId="4B986299">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rPr>
              <w:t>）保证金在响应截止时间后提交的，或者不按规定交纳方式交纳的，或者未足额交纳的（包含保函额度不足的）的；</w:t>
            </w:r>
          </w:p>
          <w:p w14:paraId="5FC2479E">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rPr>
              <w:t>）支票、汇票或者本票出现无效或者背书情形的；</w:t>
            </w:r>
          </w:p>
          <w:p w14:paraId="18B13D86">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3</w:t>
            </w:r>
            <w:r>
              <w:rPr>
                <w:rFonts w:hint="eastAsia" w:ascii="Times New Roman" w:hAnsi="Times New Roman" w:cs="Times New Roman"/>
                <w:color w:val="auto"/>
                <w:szCs w:val="21"/>
                <w:highlight w:val="none"/>
              </w:rPr>
              <w:t>）保函有效期低于响应有效期的；</w:t>
            </w:r>
          </w:p>
          <w:p w14:paraId="202531B1">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4</w:t>
            </w:r>
            <w:r>
              <w:rPr>
                <w:rFonts w:hint="eastAsia" w:ascii="Times New Roman" w:hAnsi="Times New Roman" w:cs="Times New Roman"/>
                <w:color w:val="auto"/>
                <w:szCs w:val="21"/>
                <w:highlight w:val="none"/>
              </w:rPr>
              <w:t>）非金融机构、担保机构出具保函的、非无条件保函的。</w:t>
            </w:r>
          </w:p>
          <w:p w14:paraId="5A7EF021">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eastAsia" w:ascii="Times New Roman" w:hAnsi="Times New Roman" w:cs="Times New Roman"/>
                <w:color w:val="auto"/>
                <w:szCs w:val="21"/>
                <w:highlight w:val="none"/>
              </w:rPr>
              <w:t>、财务部联系电话：</w:t>
            </w:r>
            <w:r>
              <w:rPr>
                <w:rFonts w:hint="default" w:ascii="Times New Roman" w:hAnsi="Times New Roman" w:cs="Times New Roman"/>
                <w:color w:val="auto"/>
                <w:szCs w:val="21"/>
                <w:highlight w:val="none"/>
              </w:rPr>
              <w:t>0771-2821398</w:t>
            </w:r>
          </w:p>
          <w:p w14:paraId="48915CED">
            <w:pPr>
              <w:keepNext w:val="0"/>
              <w:keepLines w:val="0"/>
              <w:suppressLineNumbers w:val="0"/>
              <w:spacing w:before="0" w:beforeAutospacing="0" w:after="0" w:afterAutospacing="0" w:line="300" w:lineRule="exact"/>
              <w:ind w:left="0" w:right="0"/>
              <w:jc w:val="left"/>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注：为保证响应保证金退还的及时性与便利性，鼓励优先采用方式一递交响应保证金。</w:t>
            </w:r>
          </w:p>
        </w:tc>
      </w:tr>
      <w:tr w14:paraId="62539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51" w:type="dxa"/>
            <w:tcBorders>
              <w:left w:val="single" w:color="auto" w:sz="4" w:space="0"/>
              <w:right w:val="single" w:color="auto" w:sz="4" w:space="0"/>
            </w:tcBorders>
            <w:noWrap w:val="0"/>
            <w:vAlign w:val="center"/>
          </w:tcPr>
          <w:p w14:paraId="3AB651DA">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2.2.6</w:t>
            </w:r>
          </w:p>
        </w:tc>
        <w:tc>
          <w:tcPr>
            <w:tcW w:w="1134" w:type="dxa"/>
            <w:tcBorders>
              <w:top w:val="single" w:color="auto" w:sz="4" w:space="0"/>
              <w:left w:val="single" w:color="auto" w:sz="4" w:space="0"/>
              <w:right w:val="single" w:color="auto" w:sz="4" w:space="0"/>
            </w:tcBorders>
            <w:noWrap w:val="0"/>
            <w:vAlign w:val="center"/>
          </w:tcPr>
          <w:p w14:paraId="50F3E2BC">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34A2F714">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宋体" w:cs="Times New Roman"/>
                <w:color w:val="auto"/>
                <w:szCs w:val="21"/>
                <w:highlight w:val="none"/>
              </w:rPr>
              <w:t>响应文件应按第七章响应文件格式分别编制并使用下载的广西政府采购云平台新版客户端制作并上传。</w:t>
            </w:r>
          </w:p>
        </w:tc>
      </w:tr>
      <w:tr w14:paraId="51E11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652F46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6EB3D5">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响应文件递交</w:t>
            </w:r>
            <w:r>
              <w:rPr>
                <w:rFonts w:hint="eastAsia" w:ascii="Times New Roman" w:hAnsi="Times New Roman" w:cs="Times New Roman"/>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9645DF0">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kern w:val="0"/>
                <w:szCs w:val="21"/>
                <w:highlight w:val="none"/>
              </w:rPr>
              <w:t>见征集公告要求</w:t>
            </w:r>
            <w:r>
              <w:rPr>
                <w:rFonts w:hint="eastAsia" w:ascii="Times New Roman" w:hAnsi="Times New Roman" w:cs="Times New Roman"/>
                <w:color w:val="auto"/>
                <w:szCs w:val="21"/>
                <w:highlight w:val="none"/>
              </w:rPr>
              <w:t>。</w:t>
            </w:r>
          </w:p>
        </w:tc>
      </w:tr>
      <w:tr w14:paraId="1DFB6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D970D9B">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2.3.2.3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F6FA2C">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78293C4">
            <w:pPr>
              <w:keepNext w:val="0"/>
              <w:keepLines w:val="0"/>
              <w:suppressLineNumbers w:val="0"/>
              <w:spacing w:before="0" w:beforeAutospacing="0" w:after="0" w:afterAutospacing="0" w:line="276" w:lineRule="auto"/>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本项目</w:t>
            </w:r>
            <w:r>
              <w:rPr>
                <w:rFonts w:hint="default" w:ascii="Times New Roman" w:hAnsi="Times New Roman" w:cs="Times New Roman"/>
                <w:color w:val="auto"/>
                <w:sz w:val="22"/>
                <w:szCs w:val="22"/>
                <w:highlight w:val="none"/>
              </w:rPr>
              <w:sym w:font="Wingdings 2" w:char="F052"/>
            </w:r>
            <w:r>
              <w:rPr>
                <w:rFonts w:hint="eastAsia" w:ascii="Times New Roman" w:hAnsi="Times New Roman" w:cs="Times New Roman"/>
                <w:color w:val="auto"/>
                <w:szCs w:val="21"/>
                <w:highlight w:val="none"/>
              </w:rPr>
              <w:t>接受   □不接受</w:t>
            </w:r>
            <w:r>
              <w:rPr>
                <w:rFonts w:hint="eastAsia" w:ascii="宋体" w:hAnsi="宋体" w:cs="Times New Roman"/>
                <w:color w:val="auto"/>
                <w:szCs w:val="21"/>
                <w:highlight w:val="none"/>
              </w:rPr>
              <w:t>备份响应文件</w:t>
            </w:r>
          </w:p>
          <w:p w14:paraId="5D8A34DB">
            <w:pPr>
              <w:keepNext w:val="0"/>
              <w:keepLines w:val="0"/>
              <w:suppressLineNumbers w:val="0"/>
              <w:spacing w:before="0" w:beforeAutospacing="0" w:after="0" w:afterAutospacing="0" w:line="276" w:lineRule="auto"/>
              <w:ind w:left="0" w:right="0"/>
              <w:rPr>
                <w:rFonts w:hint="eastAsia" w:ascii="Times New Roman" w:hAnsi="Times New Roman" w:cs="Times New Roman"/>
                <w:color w:val="auto"/>
                <w:sz w:val="22"/>
                <w:szCs w:val="22"/>
                <w:highlight w:val="none"/>
              </w:rPr>
            </w:pPr>
            <w:r>
              <w:rPr>
                <w:rFonts w:hint="eastAsia" w:ascii="宋体" w:hAnsi="宋体" w:cs="Times New Roman"/>
                <w:color w:val="auto"/>
                <w:szCs w:val="21"/>
                <w:highlight w:val="none"/>
              </w:rPr>
              <w:t>以广西政府采购云自动生成的备份文件为依据，当项目允许接受备份响应文件时，供应商才可以按规定上传备份响应文件。</w:t>
            </w:r>
          </w:p>
        </w:tc>
      </w:tr>
      <w:tr w14:paraId="38AB3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1E44BE6">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2.3.3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AAA84">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A90FA34">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 w:val="22"/>
                <w:szCs w:val="22"/>
                <w:highlight w:val="none"/>
              </w:rPr>
              <w:sym w:font="Wingdings 2" w:char="F052"/>
            </w:r>
            <w:r>
              <w:rPr>
                <w:rFonts w:hint="eastAsia" w:ascii="Times New Roman" w:hAnsi="Times New Roman" w:cs="Times New Roman"/>
                <w:color w:val="auto"/>
                <w:szCs w:val="21"/>
                <w:highlight w:val="none"/>
              </w:rPr>
              <w:t>否   □是</w:t>
            </w:r>
          </w:p>
          <w:p w14:paraId="57E7B19D">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演示内容：</w:t>
            </w:r>
            <w:r>
              <w:rPr>
                <w:rFonts w:hint="eastAsia"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rPr>
              <w:t xml:space="preserve">              </w:t>
            </w:r>
          </w:p>
          <w:p w14:paraId="2A2CC33B">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演示形式：</w:t>
            </w:r>
            <w:r>
              <w:rPr>
                <w:rFonts w:hint="default" w:ascii="Times New Roman" w:hAnsi="Times New Roman" w:cs="Times New Roman"/>
                <w:color w:val="auto"/>
                <w:szCs w:val="21"/>
                <w:highlight w:val="none"/>
              </w:rPr>
              <w:t xml:space="preserve"> </w:t>
            </w:r>
          </w:p>
        </w:tc>
      </w:tr>
      <w:tr w14:paraId="348F2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43E854D">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2.5.5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0D610B">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入围结果</w:t>
            </w:r>
            <w:r>
              <w:rPr>
                <w:rFonts w:hint="default" w:ascii="Times New Roman" w:hAnsi="Times New Roman" w:cs="Times New Roman"/>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43DEE9">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采购代理机构在采购人</w:t>
            </w:r>
            <w:r>
              <w:rPr>
                <w:rFonts w:hint="default" w:ascii="Times New Roman" w:hAnsi="Times New Roman" w:cs="Times New Roman"/>
                <w:color w:val="auto"/>
                <w:szCs w:val="21"/>
                <w:highlight w:val="none"/>
              </w:rPr>
              <w:t>依法确认</w:t>
            </w:r>
            <w:r>
              <w:rPr>
                <w:rFonts w:hint="eastAsia" w:ascii="Times New Roman" w:hAnsi="Times New Roman" w:cs="Times New Roman"/>
                <w:color w:val="auto"/>
                <w:szCs w:val="21"/>
                <w:highlight w:val="none"/>
              </w:rPr>
              <w:t>入围供应商</w:t>
            </w:r>
            <w:r>
              <w:rPr>
                <w:rFonts w:hint="default" w:ascii="Times New Roman" w:hAnsi="Times New Roman" w:cs="Times New Roman"/>
                <w:color w:val="auto"/>
                <w:szCs w:val="21"/>
                <w:highlight w:val="none"/>
              </w:rPr>
              <w:t>后2个工作日内在征集公告发布的媒体上发布</w:t>
            </w:r>
            <w:r>
              <w:rPr>
                <w:rFonts w:hint="eastAsia" w:ascii="Times New Roman" w:hAnsi="Times New Roman" w:cs="Times New Roman"/>
                <w:color w:val="auto"/>
                <w:szCs w:val="21"/>
                <w:highlight w:val="none"/>
              </w:rPr>
              <w:t>入围结果</w:t>
            </w:r>
            <w:r>
              <w:rPr>
                <w:rFonts w:hint="default" w:ascii="Times New Roman" w:hAnsi="Times New Roman" w:cs="Times New Roman"/>
                <w:color w:val="auto"/>
                <w:szCs w:val="21"/>
                <w:highlight w:val="none"/>
              </w:rPr>
              <w:t>公告</w:t>
            </w:r>
            <w:r>
              <w:rPr>
                <w:rFonts w:hint="eastAsia" w:ascii="Times New Roman" w:hAnsi="Times New Roman" w:cs="Times New Roman"/>
                <w:color w:val="auto"/>
                <w:szCs w:val="21"/>
                <w:highlight w:val="none"/>
              </w:rPr>
              <w:t>。</w:t>
            </w:r>
          </w:p>
        </w:tc>
      </w:tr>
      <w:tr w14:paraId="579C2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B8C400A">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2.5.5.2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DC4FE5">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入围通知书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B6773C7">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采购代理机构通过广西政府采购云平台发出入围</w:t>
            </w:r>
            <w:r>
              <w:rPr>
                <w:rFonts w:hint="default" w:ascii="Times New Roman" w:hAnsi="Times New Roman" w:cs="Times New Roman"/>
                <w:color w:val="auto"/>
                <w:szCs w:val="21"/>
                <w:highlight w:val="none"/>
              </w:rPr>
              <w:t>通知书</w:t>
            </w:r>
            <w:r>
              <w:rPr>
                <w:rFonts w:hint="eastAsia" w:ascii="Times New Roman" w:hAnsi="Times New Roman" w:cs="Times New Roman"/>
                <w:color w:val="auto"/>
                <w:szCs w:val="21"/>
                <w:highlight w:val="none"/>
              </w:rPr>
              <w:t>，入围通知书即成交通知书。</w:t>
            </w:r>
          </w:p>
          <w:p w14:paraId="39DA95CB">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入围通知书在广西政府采购云平台推送之日起，视为入围供应商已收到，入围供应商自行承担未及时查收的后果。</w:t>
            </w:r>
          </w:p>
        </w:tc>
      </w:tr>
      <w:tr w14:paraId="2A2B9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E4A575F">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AD4EB7">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F0F70A">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（1）供应商</w:t>
            </w:r>
            <w:r>
              <w:rPr>
                <w:rFonts w:hint="default" w:ascii="Times New Roman" w:hAnsi="Times New Roman" w:cs="Times New Roman"/>
                <w:color w:val="auto"/>
                <w:szCs w:val="21"/>
                <w:highlight w:val="none"/>
              </w:rPr>
              <w:t>认为</w:t>
            </w:r>
            <w:r>
              <w:rPr>
                <w:rFonts w:hint="eastAsia" w:ascii="Times New Roman" w:hAnsi="Times New Roman" w:cs="Times New Roman"/>
                <w:color w:val="auto"/>
                <w:szCs w:val="21"/>
                <w:highlight w:val="none"/>
              </w:rPr>
              <w:t>征集文件</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rPr>
              <w:t>征集</w:t>
            </w:r>
            <w:r>
              <w:rPr>
                <w:rFonts w:hint="default" w:ascii="Times New Roman" w:hAnsi="Times New Roman" w:cs="Times New Roman"/>
                <w:color w:val="auto"/>
                <w:szCs w:val="21"/>
                <w:highlight w:val="none"/>
              </w:rPr>
              <w:t>过程、</w:t>
            </w:r>
            <w:r>
              <w:rPr>
                <w:rFonts w:hint="eastAsia" w:ascii="Times New Roman" w:hAnsi="Times New Roman" w:cs="Times New Roman"/>
                <w:color w:val="auto"/>
                <w:szCs w:val="21"/>
                <w:highlight w:val="none"/>
              </w:rPr>
              <w:t>入围</w:t>
            </w:r>
            <w:r>
              <w:rPr>
                <w:rFonts w:hint="default" w:ascii="Times New Roman" w:hAnsi="Times New Roman" w:cs="Times New Roman"/>
                <w:color w:val="auto"/>
                <w:szCs w:val="21"/>
                <w:highlight w:val="none"/>
              </w:rPr>
              <w:t>结果使自己的权益受到损害的，可以在知道或者应知其权益受到损害之日起7个工作日内，</w:t>
            </w:r>
            <w:r>
              <w:rPr>
                <w:rFonts w:hint="eastAsia" w:ascii="Times New Roman" w:hAnsi="Times New Roman" w:cs="Times New Roman"/>
                <w:color w:val="auto"/>
                <w:szCs w:val="21"/>
                <w:highlight w:val="none"/>
              </w:rPr>
              <w:t>通过以下方式</w:t>
            </w:r>
            <w:r>
              <w:rPr>
                <w:rFonts w:hint="default" w:ascii="Times New Roman" w:hAnsi="Times New Roman" w:cs="Times New Roman"/>
                <w:color w:val="auto"/>
                <w:szCs w:val="21"/>
                <w:highlight w:val="none"/>
              </w:rPr>
              <w:t>向</w:t>
            </w:r>
            <w:r>
              <w:rPr>
                <w:rFonts w:hint="eastAsia" w:ascii="Times New Roman" w:hAnsi="Times New Roman" w:cs="Times New Roman"/>
                <w:color w:val="auto"/>
                <w:szCs w:val="21"/>
                <w:highlight w:val="none"/>
              </w:rPr>
              <w:t>采购代理机构</w:t>
            </w:r>
            <w:r>
              <w:rPr>
                <w:rFonts w:hint="default" w:ascii="Times New Roman" w:hAnsi="Times New Roman" w:cs="Times New Roman"/>
                <w:color w:val="auto"/>
                <w:szCs w:val="21"/>
                <w:highlight w:val="none"/>
              </w:rPr>
              <w:t>提出质疑。提出质疑的</w:t>
            </w:r>
            <w:r>
              <w:rPr>
                <w:rFonts w:hint="eastAsia" w:ascii="Times New Roman" w:hAnsi="Times New Roman" w:cs="Times New Roman"/>
                <w:color w:val="auto"/>
                <w:szCs w:val="21"/>
                <w:highlight w:val="none"/>
              </w:rPr>
              <w:t>供应商</w:t>
            </w:r>
            <w:r>
              <w:rPr>
                <w:rFonts w:hint="default" w:ascii="Times New Roman" w:hAnsi="Times New Roman" w:cs="Times New Roman"/>
                <w:color w:val="auto"/>
                <w:szCs w:val="21"/>
                <w:highlight w:val="none"/>
              </w:rPr>
              <w:t>必须是参与本项目采购活动的供应商</w:t>
            </w:r>
            <w:r>
              <w:rPr>
                <w:rFonts w:hint="eastAsia" w:ascii="Times New Roman" w:hAnsi="Times New Roman" w:cs="Times New Roman"/>
                <w:color w:val="auto"/>
                <w:szCs w:val="21"/>
                <w:highlight w:val="none"/>
              </w:rPr>
              <w:t>，并须在</w:t>
            </w:r>
            <w:r>
              <w:rPr>
                <w:rFonts w:hint="default" w:ascii="Times New Roman" w:hAnsi="Times New Roman" w:cs="Times New Roman"/>
                <w:color w:val="auto"/>
                <w:szCs w:val="21"/>
                <w:highlight w:val="none"/>
              </w:rPr>
              <w:t>法定质疑期内一次性提出针对同一采购程序环节的质疑。质疑函应使用财政部发布的</w:t>
            </w:r>
            <w:r>
              <w:rPr>
                <w:rFonts w:hint="eastAsia" w:ascii="Times New Roman" w:hAnsi="Times New Roman" w:cs="Times New Roman"/>
                <w:color w:val="auto"/>
                <w:szCs w:val="21"/>
                <w:highlight w:val="none"/>
              </w:rPr>
              <w:t>政府采购供应商质疑函范本，并应按照“质疑函制作说明”进行制作。</w:t>
            </w:r>
          </w:p>
          <w:p w14:paraId="75906312">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r>
              <w:rPr>
                <w:rFonts w:hint="default" w:ascii="Times New Roman" w:hAnsi="Times New Roman" w:cs="Times New Roman"/>
                <w:color w:val="auto"/>
                <w:szCs w:val="21"/>
                <w:highlight w:val="none"/>
              </w:rPr>
              <w:t>本项目不接受传真、移动通信</w:t>
            </w:r>
            <w:r>
              <w:rPr>
                <w:rFonts w:hint="eastAsia" w:ascii="Times New Roman" w:hAnsi="Times New Roman" w:cs="Times New Roman"/>
                <w:color w:val="auto"/>
                <w:szCs w:val="21"/>
                <w:highlight w:val="none"/>
              </w:rPr>
              <w:t>、广西政府采购云平台</w:t>
            </w:r>
            <w:r>
              <w:rPr>
                <w:rFonts w:hint="default" w:ascii="Times New Roman" w:hAnsi="Times New Roman" w:cs="Times New Roman"/>
                <w:color w:val="auto"/>
                <w:szCs w:val="21"/>
                <w:highlight w:val="none"/>
              </w:rPr>
              <w:t>等</w:t>
            </w:r>
            <w:r>
              <w:rPr>
                <w:rFonts w:hint="eastAsia" w:ascii="Times New Roman" w:hAnsi="Times New Roman" w:cs="Times New Roman"/>
                <w:color w:val="auto"/>
                <w:szCs w:val="21"/>
                <w:highlight w:val="none"/>
              </w:rPr>
              <w:t>方式</w:t>
            </w:r>
            <w:r>
              <w:rPr>
                <w:rFonts w:hint="default" w:ascii="Times New Roman" w:hAnsi="Times New Roman" w:cs="Times New Roman"/>
                <w:color w:val="auto"/>
                <w:szCs w:val="21"/>
                <w:highlight w:val="none"/>
              </w:rPr>
              <w:t>送达的质疑材料</w:t>
            </w:r>
            <w:r>
              <w:rPr>
                <w:rFonts w:hint="eastAsia" w:ascii="Times New Roman" w:hAnsi="Times New Roman" w:cs="Times New Roman"/>
                <w:color w:val="auto"/>
                <w:szCs w:val="21"/>
                <w:highlight w:val="none"/>
              </w:rPr>
              <w:t>，供应商可通过现场或邮寄方式递交书面质疑材料。供应商应于质疑有效期内将质疑函原件递交或邮寄至征集公告中采购代理机构信息中的联系人。</w:t>
            </w:r>
          </w:p>
        </w:tc>
      </w:tr>
      <w:tr w14:paraId="75ACE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B00C602">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9AAC9D">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5EC11C6">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0"/>
                <w:highlight w:val="none"/>
              </w:rPr>
              <w:t>代理服务费</w:t>
            </w:r>
          </w:p>
          <w:p w14:paraId="04E19027">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0"/>
                <w:highlight w:val="none"/>
              </w:rPr>
            </w:pPr>
            <w:r>
              <w:rPr>
                <w:rFonts w:hint="default" w:ascii="Times New Roman" w:hAnsi="Times New Roman" w:cs="Times New Roman"/>
                <w:color w:val="auto"/>
                <w:szCs w:val="21"/>
                <w:highlight w:val="none"/>
              </w:rPr>
              <w:t>采购代理机构</w:t>
            </w:r>
            <w:r>
              <w:rPr>
                <w:rFonts w:hint="default" w:ascii="Times New Roman" w:hAnsi="Times New Roman" w:cs="Times New Roman"/>
                <w:color w:val="auto"/>
                <w:szCs w:val="20"/>
                <w:highlight w:val="none"/>
              </w:rPr>
              <w:t>向入围供应商收取代理服务费</w:t>
            </w:r>
            <w:r>
              <w:rPr>
                <w:rFonts w:hint="eastAsia" w:ascii="Times New Roman" w:hAnsi="Times New Roman" w:cs="Times New Roman"/>
                <w:color w:val="auto"/>
                <w:szCs w:val="20"/>
                <w:highlight w:val="none"/>
              </w:rPr>
              <w:t>，仅为收取本项目框架协议采购活动采购咨询服务费用，不确保入围供应商会被选定为成交供应商并获得承接一定规模数量项目。代理服务费</w:t>
            </w:r>
            <w:r>
              <w:rPr>
                <w:rFonts w:hint="default" w:ascii="Times New Roman" w:hAnsi="Times New Roman" w:cs="Times New Roman"/>
                <w:color w:val="auto"/>
                <w:szCs w:val="20"/>
                <w:highlight w:val="none"/>
              </w:rPr>
              <w:t>具体金额为</w:t>
            </w:r>
            <w:r>
              <w:rPr>
                <w:rFonts w:hint="eastAsia" w:ascii="Times New Roman" w:hAnsi="Times New Roman" w:cs="Times New Roman"/>
                <w:color w:val="auto"/>
                <w:szCs w:val="20"/>
                <w:highlight w:val="none"/>
                <w:u w:val="single"/>
                <w:lang w:val="en-US" w:eastAsia="zh-CN"/>
              </w:rPr>
              <w:t>按标项</w:t>
            </w:r>
            <w:r>
              <w:rPr>
                <w:rFonts w:hint="eastAsia" w:ascii="Times New Roman" w:hAnsi="Times New Roman" w:cs="Times New Roman"/>
                <w:color w:val="auto"/>
                <w:szCs w:val="20"/>
                <w:highlight w:val="none"/>
                <w:u w:val="single"/>
              </w:rPr>
              <w:t>每个入围供应商</w:t>
            </w:r>
            <w:r>
              <w:rPr>
                <w:rFonts w:hint="eastAsia" w:ascii="Times New Roman" w:hAnsi="Times New Roman" w:cs="Times New Roman"/>
                <w:color w:val="auto"/>
                <w:szCs w:val="20"/>
                <w:highlight w:val="none"/>
                <w:u w:val="single"/>
                <w:lang w:val="en-US" w:eastAsia="zh-CN"/>
              </w:rPr>
              <w:t>均需</w:t>
            </w:r>
            <w:r>
              <w:rPr>
                <w:rFonts w:hint="eastAsia" w:ascii="Times New Roman" w:hAnsi="Times New Roman" w:cs="Times New Roman"/>
                <w:color w:val="auto"/>
                <w:szCs w:val="20"/>
                <w:highlight w:val="none"/>
                <w:u w:val="single"/>
              </w:rPr>
              <w:t>缴纳</w:t>
            </w:r>
            <w:r>
              <w:rPr>
                <w:rFonts w:hint="eastAsia" w:ascii="Times New Roman" w:hAnsi="Times New Roman" w:cs="Times New Roman"/>
                <w:color w:val="auto"/>
                <w:szCs w:val="20"/>
                <w:highlight w:val="none"/>
                <w:u w:val="single"/>
                <w:lang w:val="en-US" w:eastAsia="zh-CN"/>
              </w:rPr>
              <w:t>人民币捌仟元整（¥8,000.00）</w:t>
            </w:r>
            <w:r>
              <w:rPr>
                <w:rFonts w:hint="eastAsia" w:ascii="Times New Roman" w:hAnsi="Times New Roman" w:cs="Times New Roman"/>
                <w:color w:val="auto"/>
                <w:szCs w:val="20"/>
                <w:highlight w:val="none"/>
              </w:rPr>
              <w:t>。</w:t>
            </w:r>
          </w:p>
          <w:p w14:paraId="025FC184">
            <w:pPr>
              <w:keepNext w:val="0"/>
              <w:keepLines w:val="0"/>
              <w:suppressLineNumbers w:val="0"/>
              <w:spacing w:before="0" w:beforeAutospacing="0" w:after="0" w:afterAutospacing="0" w:line="30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（2）入围供应商</w:t>
            </w:r>
            <w:r>
              <w:rPr>
                <w:rFonts w:hint="eastAsia" w:ascii="Times New Roman" w:hAnsi="Times New Roman" w:cs="Times New Roman"/>
                <w:color w:val="auto"/>
                <w:szCs w:val="21"/>
                <w:highlight w:val="none"/>
              </w:rPr>
              <w:t>在入围结果公告发布后5个工作日内</w:t>
            </w:r>
            <w:r>
              <w:rPr>
                <w:rFonts w:hint="default" w:ascii="Times New Roman" w:hAnsi="Times New Roman" w:cs="Times New Roman"/>
                <w:color w:val="auto"/>
                <w:szCs w:val="21"/>
                <w:highlight w:val="none"/>
              </w:rPr>
              <w:t>以银行转账或现金形式支付代理服务费；采购代理机构也可以从入围供应商的响应保证金中扣除上述金额的代理服务费，余款按供应商所汇入响应保证金的账户原路退回，如无法原路返回，则按《代理服务费承诺书》列明的账户退回。</w:t>
            </w:r>
          </w:p>
          <w:p w14:paraId="20AB9D02">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开户银行：广西北部湾银行南宁市金湖支行</w:t>
            </w:r>
          </w:p>
          <w:p w14:paraId="1D0730A7">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（银行地址：南宁市金湖路57号文德大厦1楼）</w:t>
            </w:r>
          </w:p>
          <w:p w14:paraId="154DE2A1">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开户名称：广西机电设备招标有限公司</w:t>
            </w:r>
          </w:p>
          <w:p w14:paraId="72BB06FF">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银行账号：1705012090027723 (联行号 313611017053)</w:t>
            </w:r>
          </w:p>
          <w:p w14:paraId="6E787DFE">
            <w:pPr>
              <w:keepNext w:val="0"/>
              <w:keepLines w:val="0"/>
              <w:suppressLineNumbers w:val="0"/>
              <w:spacing w:before="0" w:beforeAutospacing="0" w:after="0" w:afterAutospacing="0" w:line="300" w:lineRule="exact"/>
              <w:ind w:left="0" w:right="0"/>
              <w:jc w:val="left"/>
              <w:rPr>
                <w:rFonts w:hint="eastAsia"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财务联系人：吴茜（电话：0771-2821398）</w:t>
            </w:r>
          </w:p>
        </w:tc>
      </w:tr>
      <w:tr w14:paraId="790AB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1BB42F4">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55B94B">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234FA72">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 w:val="22"/>
                <w:szCs w:val="22"/>
                <w:highlight w:val="none"/>
              </w:rPr>
              <w:sym w:font="Wingdings 2" w:char="F052"/>
            </w:r>
            <w:r>
              <w:rPr>
                <w:rFonts w:hint="eastAsia" w:ascii="Times New Roman" w:hAnsi="Times New Roman" w:cs="Times New Roman"/>
                <w:color w:val="auto"/>
                <w:szCs w:val="21"/>
                <w:highlight w:val="none"/>
              </w:rPr>
              <w:t>无</w:t>
            </w:r>
          </w:p>
          <w:p w14:paraId="682BB55D">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□有，详见：</w:t>
            </w:r>
            <w:r>
              <w:rPr>
                <w:rFonts w:hint="eastAsia"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rPr>
              <w:t xml:space="preserve">         </w:t>
            </w:r>
          </w:p>
        </w:tc>
      </w:tr>
      <w:tr w14:paraId="52254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5DE2B91">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A72082">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5D1A91E">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 w:val="22"/>
                <w:szCs w:val="22"/>
                <w:highlight w:val="none"/>
              </w:rPr>
              <w:sym w:font="Wingdings 2" w:char="F052"/>
            </w:r>
            <w:r>
              <w:rPr>
                <w:rFonts w:hint="eastAsia" w:ascii="Times New Roman" w:hAnsi="Times New Roman" w:cs="Times New Roman"/>
                <w:color w:val="auto"/>
                <w:szCs w:val="21"/>
                <w:highlight w:val="none"/>
              </w:rPr>
              <w:t>无</w:t>
            </w:r>
          </w:p>
          <w:p w14:paraId="1569772E">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rPr>
              <w:t>□有，详见：</w:t>
            </w:r>
            <w:r>
              <w:rPr>
                <w:rFonts w:hint="eastAsia"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rPr>
              <w:t xml:space="preserve">            </w:t>
            </w:r>
          </w:p>
        </w:tc>
      </w:tr>
      <w:tr w14:paraId="39205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425FB15">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262B0D">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8BCCC06">
            <w:pPr>
              <w:keepNext w:val="0"/>
              <w:keepLines w:val="0"/>
              <w:suppressLineNumbers w:val="0"/>
              <w:spacing w:before="0" w:beforeAutospacing="0" w:after="0" w:afterAutospacing="0" w:line="300" w:lineRule="exact"/>
              <w:ind w:left="0" w:right="0"/>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rPr>
              <w:t>构成本征集文件的各个组成文件应互为解释，互为说明：</w:t>
            </w:r>
          </w:p>
          <w:p w14:paraId="628D2562">
            <w:pPr>
              <w:keepNext w:val="0"/>
              <w:keepLines w:val="0"/>
              <w:suppressLineNumbers w:val="0"/>
              <w:spacing w:before="0" w:beforeAutospacing="0" w:after="0" w:afterAutospacing="0" w:line="300" w:lineRule="exact"/>
              <w:ind w:left="0" w:right="0"/>
              <w:rPr>
                <w:rFonts w:hint="default" w:ascii="Times New Roman" w:hAnsi="Times New Roman" w:cs="Times New Roman"/>
                <w:color w:val="auto"/>
                <w:sz w:val="24"/>
                <w:highlight w:val="none"/>
              </w:rPr>
            </w:pPr>
            <w:r>
              <w:rPr>
                <w:rFonts w:hint="eastAsia" w:ascii="Times New Roman" w:hAnsi="Times New Roman" w:cs="Times New Roman"/>
                <w:color w:val="auto"/>
                <w:szCs w:val="20"/>
                <w:highlight w:val="none"/>
              </w:rPr>
              <w:t>除征集文件中有特别规定外，仅适用于征集阶段的规定，按更正公告（澄清公告）、征集公告、采购需求、供应商须知、评审方法及标准、框架协议格式、合同条款格式、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采购人或者采购代理机构负责解释。</w:t>
            </w:r>
          </w:p>
        </w:tc>
      </w:tr>
    </w:tbl>
    <w:p w14:paraId="6062E092">
      <w:pPr>
        <w:spacing w:before="120" w:line="320" w:lineRule="atLeast"/>
        <w:outlineLvl w:val="1"/>
        <w:rPr>
          <w:rFonts w:hint="eastAsia"/>
          <w:bCs/>
          <w:color w:val="auto"/>
          <w:kern w:val="0"/>
          <w:sz w:val="28"/>
          <w:szCs w:val="28"/>
          <w:highlight w:val="none"/>
        </w:rPr>
        <w:sectPr>
          <w:headerReference r:id="rId12" w:type="first"/>
          <w:headerReference r:id="rId11" w:type="default"/>
          <w:pgSz w:w="11906" w:h="16838"/>
          <w:pgMar w:top="993" w:right="1133" w:bottom="1246" w:left="1418" w:header="851" w:footer="992" w:gutter="0"/>
          <w:cols w:space="720" w:num="1"/>
          <w:titlePg/>
          <w:docGrid w:linePitch="312" w:charSpace="0"/>
        </w:sectPr>
      </w:pPr>
    </w:p>
    <w:p w14:paraId="3194A1FD">
      <w:pPr>
        <w:spacing w:before="120" w:line="320" w:lineRule="atLeast"/>
        <w:outlineLvl w:val="1"/>
        <w:rPr>
          <w:b/>
          <w:bCs/>
          <w:color w:val="auto"/>
          <w:kern w:val="0"/>
          <w:szCs w:val="21"/>
          <w:highlight w:val="none"/>
        </w:rPr>
      </w:pPr>
      <w:bookmarkStart w:id="27" w:name="_Toc254970690"/>
      <w:bookmarkStart w:id="28" w:name="_Toc254970549"/>
      <w:r>
        <w:rPr>
          <w:color w:val="auto"/>
          <w:sz w:val="32"/>
          <w:szCs w:val="32"/>
          <w:highlight w:val="none"/>
        </w:rPr>
        <w:tab/>
      </w:r>
      <w:bookmarkStart w:id="29" w:name="_Hlk88949215"/>
      <w:r>
        <w:rPr>
          <w:b/>
          <w:bCs/>
          <w:color w:val="auto"/>
          <w:kern w:val="0"/>
          <w:szCs w:val="21"/>
          <w:highlight w:val="none"/>
        </w:rPr>
        <w:t>1．总则</w:t>
      </w:r>
    </w:p>
    <w:p w14:paraId="1172472F">
      <w:pPr>
        <w:spacing w:before="120" w:line="320" w:lineRule="atLeast"/>
        <w:ind w:firstLine="422" w:firstLineChars="200"/>
        <w:outlineLvl w:val="2"/>
        <w:rPr>
          <w:b/>
          <w:bCs/>
          <w:color w:val="auto"/>
          <w:kern w:val="0"/>
          <w:szCs w:val="21"/>
          <w:highlight w:val="none"/>
        </w:rPr>
      </w:pPr>
      <w:bookmarkStart w:id="30" w:name="_Toc254970527"/>
      <w:bookmarkStart w:id="31" w:name="_Toc254970668"/>
      <w:r>
        <w:rPr>
          <w:b/>
          <w:bCs/>
          <w:color w:val="auto"/>
          <w:kern w:val="0"/>
          <w:szCs w:val="21"/>
          <w:highlight w:val="none"/>
        </w:rPr>
        <w:t>1.1适用范围</w:t>
      </w:r>
      <w:bookmarkEnd w:id="30"/>
      <w:bookmarkEnd w:id="31"/>
    </w:p>
    <w:p w14:paraId="5B5A9E5A">
      <w:pPr>
        <w:spacing w:before="120" w:line="320" w:lineRule="atLeast"/>
        <w:ind w:firstLine="420" w:firstLineChars="200"/>
        <w:rPr>
          <w:color w:val="auto"/>
          <w:szCs w:val="21"/>
          <w:highlight w:val="none"/>
        </w:rPr>
      </w:pPr>
      <w:r>
        <w:rPr>
          <w:rFonts w:hint="eastAsia"/>
          <w:color w:val="auto"/>
          <w:szCs w:val="21"/>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236E4DE1">
      <w:pPr>
        <w:spacing w:before="120" w:line="320" w:lineRule="atLeast"/>
        <w:ind w:firstLine="420" w:firstLineChars="200"/>
        <w:rPr>
          <w:rFonts w:hint="eastAsia"/>
          <w:color w:val="auto"/>
          <w:szCs w:val="21"/>
          <w:highlight w:val="none"/>
        </w:rPr>
      </w:pPr>
      <w:r>
        <w:rPr>
          <w:rFonts w:hint="eastAsia"/>
          <w:color w:val="auto"/>
          <w:szCs w:val="21"/>
          <w:highlight w:val="none"/>
        </w:rPr>
        <w:t>本文如无特别说明，文件中第一阶段即指征集阶段，第二阶段即指确定成交阶段。</w:t>
      </w:r>
      <w:r>
        <w:rPr>
          <w:color w:val="auto"/>
          <w:szCs w:val="21"/>
          <w:highlight w:val="none"/>
        </w:rPr>
        <w:t>本征集文件适用于</w:t>
      </w:r>
      <w:r>
        <w:rPr>
          <w:rFonts w:hint="eastAsia"/>
          <w:color w:val="auto"/>
          <w:szCs w:val="21"/>
          <w:highlight w:val="none"/>
        </w:rPr>
        <w:t>第一阶段的征集活动。</w:t>
      </w:r>
    </w:p>
    <w:p w14:paraId="7D651AF6">
      <w:pPr>
        <w:spacing w:before="120" w:line="320" w:lineRule="atLeast"/>
        <w:ind w:firstLine="422" w:firstLineChars="200"/>
        <w:outlineLvl w:val="2"/>
        <w:rPr>
          <w:b/>
          <w:bCs/>
          <w:color w:val="auto"/>
          <w:kern w:val="0"/>
          <w:szCs w:val="21"/>
          <w:highlight w:val="none"/>
        </w:rPr>
      </w:pPr>
      <w:bookmarkStart w:id="32" w:name="_Toc254970528"/>
      <w:bookmarkStart w:id="33" w:name="_Toc254970669"/>
      <w:r>
        <w:rPr>
          <w:b/>
          <w:bCs/>
          <w:color w:val="auto"/>
          <w:kern w:val="0"/>
          <w:szCs w:val="21"/>
          <w:highlight w:val="none"/>
        </w:rPr>
        <w:t>1.2定义</w:t>
      </w:r>
      <w:bookmarkEnd w:id="32"/>
      <w:bookmarkEnd w:id="33"/>
    </w:p>
    <w:p w14:paraId="5D0E31BB">
      <w:pPr>
        <w:spacing w:before="120" w:line="320" w:lineRule="atLeast"/>
        <w:ind w:firstLine="420" w:firstLineChars="200"/>
        <w:rPr>
          <w:rFonts w:hint="eastAsia"/>
          <w:color w:val="auto"/>
          <w:szCs w:val="21"/>
          <w:highlight w:val="none"/>
        </w:rPr>
      </w:pPr>
      <w:r>
        <w:rPr>
          <w:color w:val="auto"/>
          <w:szCs w:val="21"/>
          <w:highlight w:val="none"/>
        </w:rPr>
        <w:t>1.2.1</w:t>
      </w:r>
      <w:r>
        <w:rPr>
          <w:rFonts w:hint="eastAsia"/>
          <w:color w:val="auto"/>
          <w:szCs w:val="21"/>
          <w:highlight w:val="none"/>
        </w:rPr>
        <w:t>“征集人”系指第一阶段主管预算单位及其委托的采购代理机构、集中采购机构的统称。</w:t>
      </w:r>
    </w:p>
    <w:p w14:paraId="7E995D58">
      <w:pPr>
        <w:spacing w:before="120" w:line="320" w:lineRule="atLeast"/>
        <w:ind w:firstLine="420" w:firstLineChars="200"/>
        <w:rPr>
          <w:rFonts w:hint="eastAsia"/>
          <w:color w:val="auto"/>
          <w:szCs w:val="21"/>
          <w:highlight w:val="none"/>
        </w:rPr>
      </w:pPr>
      <w:r>
        <w:rPr>
          <w:color w:val="auto"/>
          <w:szCs w:val="21"/>
          <w:highlight w:val="none"/>
        </w:rPr>
        <w:t>1.2.2</w:t>
      </w:r>
      <w:r>
        <w:rPr>
          <w:rFonts w:hint="eastAsia"/>
          <w:color w:val="auto"/>
          <w:szCs w:val="21"/>
          <w:highlight w:val="none"/>
        </w:rPr>
        <w:t>“采购人”</w:t>
      </w:r>
      <w:r>
        <w:rPr>
          <w:color w:val="auto"/>
          <w:szCs w:val="21"/>
          <w:highlight w:val="none"/>
        </w:rPr>
        <w:t>系指</w:t>
      </w:r>
      <w:r>
        <w:rPr>
          <w:rFonts w:hint="eastAsia"/>
          <w:color w:val="auto"/>
          <w:szCs w:val="21"/>
          <w:highlight w:val="none"/>
        </w:rPr>
        <w:t>第二阶段实际需要采购服务或货物的单位。</w:t>
      </w:r>
    </w:p>
    <w:p w14:paraId="451DF7AC">
      <w:pPr>
        <w:spacing w:before="120" w:line="320" w:lineRule="atLeast"/>
        <w:ind w:firstLine="420" w:firstLineChars="200"/>
        <w:rPr>
          <w:rFonts w:hint="eastAsia"/>
          <w:color w:val="auto"/>
          <w:szCs w:val="21"/>
          <w:highlight w:val="none"/>
        </w:rPr>
      </w:pPr>
      <w:r>
        <w:rPr>
          <w:color w:val="auto"/>
          <w:szCs w:val="21"/>
          <w:highlight w:val="none"/>
        </w:rPr>
        <w:t>1.2.3“</w:t>
      </w:r>
      <w:r>
        <w:rPr>
          <w:rFonts w:hint="eastAsia"/>
          <w:color w:val="auto"/>
          <w:szCs w:val="21"/>
          <w:highlight w:val="none"/>
        </w:rPr>
        <w:t>入围</w:t>
      </w:r>
      <w:r>
        <w:rPr>
          <w:color w:val="auto"/>
          <w:szCs w:val="21"/>
          <w:highlight w:val="none"/>
        </w:rPr>
        <w:t>供应商”系</w:t>
      </w:r>
      <w:r>
        <w:rPr>
          <w:color w:val="auto"/>
          <w:highlight w:val="none"/>
        </w:rPr>
        <w:t>指</w:t>
      </w:r>
      <w:r>
        <w:rPr>
          <w:rFonts w:hint="eastAsia"/>
          <w:color w:val="auto"/>
          <w:highlight w:val="none"/>
        </w:rPr>
        <w:t>参与第一阶段征集活动并入围</w:t>
      </w:r>
      <w:r>
        <w:rPr>
          <w:color w:val="auto"/>
          <w:highlight w:val="none"/>
        </w:rPr>
        <w:t>的法人、其他组织或者自然人</w:t>
      </w:r>
      <w:r>
        <w:rPr>
          <w:color w:val="auto"/>
          <w:szCs w:val="21"/>
          <w:highlight w:val="none"/>
        </w:rPr>
        <w:t>。</w:t>
      </w:r>
      <w:r>
        <w:rPr>
          <w:rFonts w:hint="eastAsia"/>
          <w:color w:val="auto"/>
          <w:szCs w:val="21"/>
          <w:highlight w:val="none"/>
        </w:rPr>
        <w:t>“成交供应商”系指在第一阶段入围并在第二阶段被选定与采购人签订合同的入围供应商。</w:t>
      </w:r>
    </w:p>
    <w:p w14:paraId="130ECD8B">
      <w:pPr>
        <w:spacing w:before="120" w:line="360" w:lineRule="auto"/>
        <w:ind w:firstLine="420" w:firstLineChars="200"/>
        <w:rPr>
          <w:color w:val="auto"/>
          <w:highlight w:val="none"/>
        </w:rPr>
      </w:pPr>
      <w:r>
        <w:rPr>
          <w:rFonts w:hint="eastAsia"/>
          <w:color w:val="auto"/>
          <w:highlight w:val="none"/>
        </w:rPr>
        <w:t>1.2.</w:t>
      </w:r>
      <w:r>
        <w:rPr>
          <w:color w:val="auto"/>
          <w:highlight w:val="none"/>
        </w:rPr>
        <w:t>4本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w:t>
      </w:r>
      <w:r>
        <w:rPr>
          <w:color w:val="auto"/>
          <w:highlight w:val="none"/>
        </w:rPr>
        <w:t>5</w:t>
      </w:r>
      <w:r>
        <w:rPr>
          <w:rFonts w:hint="eastAsia"/>
          <w:color w:val="auto"/>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4F1A5F9">
      <w:pPr>
        <w:widowControl/>
        <w:spacing w:line="360" w:lineRule="auto"/>
        <w:ind w:firstLine="420" w:firstLineChars="200"/>
        <w:jc w:val="left"/>
        <w:rPr>
          <w:color w:val="auto"/>
          <w:szCs w:val="21"/>
          <w:highlight w:val="none"/>
        </w:rPr>
      </w:pPr>
      <w:r>
        <w:rPr>
          <w:color w:val="auto"/>
          <w:szCs w:val="21"/>
          <w:highlight w:val="none"/>
        </w:rPr>
        <w:t>1.2.6“书面形式”如无特殊规定，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征集文件如有特殊规定，以征集文件规定为准。 </w:t>
      </w:r>
    </w:p>
    <w:p w14:paraId="7C297EA9">
      <w:pPr>
        <w:spacing w:before="120" w:line="320" w:lineRule="atLeast"/>
        <w:ind w:firstLine="420" w:firstLineChars="200"/>
        <w:rPr>
          <w:color w:val="auto"/>
          <w:szCs w:val="21"/>
          <w:highlight w:val="none"/>
        </w:rPr>
      </w:pPr>
      <w:r>
        <w:rPr>
          <w:color w:val="auto"/>
          <w:szCs w:val="21"/>
          <w:highlight w:val="none"/>
        </w:rPr>
        <w:t>1.2.7</w:t>
      </w:r>
      <w:r>
        <w:rPr>
          <w:rFonts w:hint="eastAsia"/>
          <w:color w:val="auto"/>
          <w:szCs w:val="21"/>
          <w:highlight w:val="none"/>
        </w:rPr>
        <w:t xml:space="preserve"> 本</w:t>
      </w:r>
      <w:r>
        <w:rPr>
          <w:color w:val="auto"/>
          <w:szCs w:val="21"/>
          <w:highlight w:val="none"/>
        </w:rPr>
        <w:t>征集文件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46723BA6">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是指以数据电文形式在线完成采购活动的信息平台，本征集文件中也称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78895008">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321AD02D">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30C462E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6C33342E">
      <w:pPr>
        <w:spacing w:before="120" w:line="320" w:lineRule="atLeast"/>
        <w:ind w:firstLine="422" w:firstLineChars="200"/>
        <w:outlineLvl w:val="2"/>
        <w:rPr>
          <w:b/>
          <w:bCs/>
          <w:color w:val="auto"/>
          <w:kern w:val="0"/>
          <w:szCs w:val="21"/>
          <w:highlight w:val="none"/>
        </w:rPr>
      </w:pPr>
      <w:bookmarkStart w:id="34" w:name="_Hlk132812137"/>
      <w:bookmarkStart w:id="35" w:name="_Hlk139297194"/>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4302C639">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28D1026">
      <w:pPr>
        <w:spacing w:before="120" w:line="320" w:lineRule="atLeast"/>
        <w:ind w:left="2" w:leftChars="1" w:firstLine="420" w:firstLineChars="200"/>
        <w:rPr>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Start w:id="36" w:name="_Hlk92205820"/>
      <w:r>
        <w:rPr>
          <w:rFonts w:hint="eastAsia"/>
          <w:color w:val="auto"/>
          <w:szCs w:val="21"/>
          <w:highlight w:val="none"/>
        </w:rPr>
        <w:t>价格扣除比例在第四章评审方法及标准中规定，对小型企业和微型企业同等对待，不作区分。</w:t>
      </w:r>
    </w:p>
    <w:p w14:paraId="03E0A4DD">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40F331A6">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3E8EB6">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34B6C222">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EC5FDF7">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73F3E834">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752B61E2">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06C45953">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4960AF6D">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符合条件的货物制造商、工程施工单位、服务承接单位为中小企业的，应按征集文件规定在响应文件中提供声明函。</w:t>
      </w:r>
    </w:p>
    <w:p w14:paraId="409844A9">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3BEE3341">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085283EA">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5820EAFE">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96E39DD">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符合条件的货物制造商、工程施工单位、服务承接单位为监狱企业或残疾人福利性单位的，应按征集文件规定在响应文件中提供相关证明文件。</w:t>
      </w:r>
      <w:bookmarkEnd w:id="34"/>
      <w:bookmarkEnd w:id="36"/>
    </w:p>
    <w:bookmarkEnd w:id="35"/>
    <w:p w14:paraId="0779E9CF">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280C208C">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27909D40">
      <w:pPr>
        <w:spacing w:before="120" w:line="320" w:lineRule="atLeast"/>
        <w:ind w:firstLine="420" w:firstLineChars="200"/>
        <w:rPr>
          <w:color w:val="auto"/>
          <w:szCs w:val="21"/>
          <w:highlight w:val="none"/>
        </w:rPr>
      </w:pPr>
      <w:r>
        <w:rPr>
          <w:color w:val="auto"/>
          <w:szCs w:val="21"/>
          <w:highlight w:val="none"/>
        </w:rPr>
        <w:t>1.5.2按照征集公告的规定获得征集文件。</w:t>
      </w:r>
    </w:p>
    <w:p w14:paraId="62C237D4">
      <w:pPr>
        <w:spacing w:before="120" w:line="320" w:lineRule="atLeast"/>
        <w:ind w:firstLine="420" w:firstLineChars="200"/>
        <w:rPr>
          <w:color w:val="auto"/>
          <w:szCs w:val="21"/>
          <w:highlight w:val="none"/>
        </w:rPr>
      </w:pPr>
      <w:r>
        <w:rPr>
          <w:color w:val="auto"/>
          <w:szCs w:val="21"/>
          <w:highlight w:val="none"/>
        </w:rPr>
        <w:t>1.5.3本项目是否接受联合体响应，</w:t>
      </w:r>
      <w:r>
        <w:rPr>
          <w:rFonts w:hint="eastAsia"/>
          <w:color w:val="auto"/>
          <w:szCs w:val="21"/>
          <w:highlight w:val="none"/>
        </w:rPr>
        <w:t>详</w:t>
      </w:r>
      <w:r>
        <w:rPr>
          <w:color w:val="auto"/>
          <w:szCs w:val="21"/>
          <w:highlight w:val="none"/>
        </w:rPr>
        <w:t>见供应商须知前附表规定。</w:t>
      </w:r>
    </w:p>
    <w:p w14:paraId="5E53987A">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3E5DF2FF">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）供应商可以组成一个响应联合体，以一个供应商的身份共同参加响应。联合体响应的，须提供《联合体协议书》（格式后附）</w:t>
      </w:r>
    </w:p>
    <w:p w14:paraId="2E0AA9DD">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5A43E450">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32040199">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65096C5A">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56AE7099">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（6）联合体响应业绩、履约能力按照联合体各方其中较高的一方认定并计算（征集文件其他章节另有规定的除外）。</w:t>
      </w:r>
    </w:p>
    <w:p w14:paraId="6D379F7D">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（7）供应商为联合体的，可以由联合体中的一方或者多方共同交纳响应保证金，其交纳的保证金对联合体各方均具有约束力。</w:t>
      </w:r>
    </w:p>
    <w:p w14:paraId="531AB8BB">
      <w:pPr>
        <w:spacing w:before="120" w:line="320" w:lineRule="atLeast"/>
        <w:ind w:firstLine="420" w:firstLineChars="200"/>
        <w:rPr>
          <w:color w:val="auto"/>
          <w:szCs w:val="21"/>
          <w:highlight w:val="none"/>
        </w:rPr>
      </w:pPr>
      <w:r>
        <w:rPr>
          <w:rFonts w:hint="eastAsia"/>
          <w:color w:val="auto"/>
          <w:szCs w:val="21"/>
          <w:highlight w:val="none"/>
        </w:rPr>
        <w:t>（8）联合体各方均应按照征集文件的规定提交资格证明文件。</w:t>
      </w:r>
    </w:p>
    <w:p w14:paraId="2630F840">
      <w:pPr>
        <w:spacing w:before="120" w:line="320" w:lineRule="atLeast"/>
        <w:ind w:firstLine="422" w:firstLineChars="200"/>
        <w:outlineLvl w:val="2"/>
        <w:rPr>
          <w:b/>
          <w:bCs/>
          <w:color w:val="auto"/>
          <w:kern w:val="0"/>
          <w:szCs w:val="21"/>
          <w:highlight w:val="none"/>
        </w:rPr>
      </w:pPr>
      <w:bookmarkStart w:id="37" w:name="_Toc254970531"/>
      <w:bookmarkStart w:id="38" w:name="_Toc254970672"/>
      <w:r>
        <w:rPr>
          <w:b/>
          <w:bCs/>
          <w:color w:val="auto"/>
          <w:kern w:val="0"/>
          <w:szCs w:val="21"/>
          <w:highlight w:val="none"/>
        </w:rPr>
        <w:t>1.6现场踏勘及响应费用</w:t>
      </w:r>
      <w:bookmarkEnd w:id="37"/>
      <w:bookmarkEnd w:id="38"/>
    </w:p>
    <w:p w14:paraId="58D2651B">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5A2F8ACE">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1.6.2供应商均应自行承担所有与响应有关的全部费用（征集文件有相关的规定除外）。</w:t>
      </w:r>
    </w:p>
    <w:p w14:paraId="4FACC0B3">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388C39B3">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征集文件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14073799">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14:paraId="175BFBA9">
      <w:pPr>
        <w:spacing w:before="120" w:line="276" w:lineRule="auto"/>
        <w:ind w:firstLine="422" w:firstLineChars="200"/>
        <w:outlineLvl w:val="2"/>
        <w:rPr>
          <w:b/>
          <w:bCs/>
          <w:color w:val="auto"/>
          <w:kern w:val="0"/>
          <w:szCs w:val="21"/>
          <w:highlight w:val="none"/>
        </w:rPr>
      </w:pPr>
      <w:bookmarkStart w:id="39" w:name="_Toc254970532"/>
      <w:bookmarkStart w:id="40" w:name="_Toc254970673"/>
      <w:r>
        <w:rPr>
          <w:b/>
          <w:bCs/>
          <w:color w:val="auto"/>
          <w:kern w:val="0"/>
          <w:szCs w:val="21"/>
          <w:highlight w:val="none"/>
        </w:rPr>
        <w:t>1.8特别说明</w:t>
      </w:r>
      <w:bookmarkEnd w:id="39"/>
      <w:bookmarkEnd w:id="40"/>
    </w:p>
    <w:p w14:paraId="454704FB">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w:t>
      </w:r>
      <w:r>
        <w:rPr>
          <w:rFonts w:hint="eastAsia"/>
          <w:color w:val="auto"/>
          <w:szCs w:val="21"/>
          <w:highlight w:val="none"/>
        </w:rPr>
        <w:t>征集人</w:t>
      </w:r>
      <w:r>
        <w:rPr>
          <w:color w:val="auto"/>
          <w:szCs w:val="21"/>
          <w:highlight w:val="none"/>
        </w:rPr>
        <w:t>不承担由此引起的一切后果。</w:t>
      </w:r>
    </w:p>
    <w:p w14:paraId="55CC6E78">
      <w:pPr>
        <w:spacing w:before="120" w:line="320" w:lineRule="atLeast"/>
        <w:ind w:firstLine="420" w:firstLineChars="200"/>
        <w:rPr>
          <w:color w:val="auto"/>
          <w:szCs w:val="21"/>
          <w:highlight w:val="none"/>
        </w:rPr>
      </w:pPr>
      <w:r>
        <w:rPr>
          <w:color w:val="auto"/>
          <w:szCs w:val="21"/>
          <w:highlight w:val="none"/>
        </w:rPr>
        <w:t>1.8.2供应商应仔细阅读征集文件的所有内容，按照征集文件的要求提交响应文件，并对所提供的全部资料的真实性</w:t>
      </w:r>
      <w:r>
        <w:rPr>
          <w:rFonts w:hint="eastAsia"/>
          <w:color w:val="auto"/>
          <w:szCs w:val="21"/>
          <w:highlight w:val="none"/>
        </w:rPr>
        <w:t>和合法性</w:t>
      </w:r>
      <w:r>
        <w:rPr>
          <w:color w:val="auto"/>
          <w:szCs w:val="21"/>
          <w:highlight w:val="none"/>
        </w:rPr>
        <w:t>承担法律责任。</w:t>
      </w:r>
    </w:p>
    <w:p w14:paraId="7347F6B6">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报监管部门查处</w:t>
      </w:r>
      <w:r>
        <w:rPr>
          <w:rFonts w:hint="eastAsia"/>
          <w:color w:val="auto"/>
          <w:szCs w:val="21"/>
          <w:highlight w:val="none"/>
        </w:rPr>
        <w:t>。</w:t>
      </w:r>
      <w:r>
        <w:rPr>
          <w:color w:val="auto"/>
          <w:szCs w:val="21"/>
          <w:highlight w:val="none"/>
        </w:rPr>
        <w:t xml:space="preserve"> </w:t>
      </w:r>
    </w:p>
    <w:p w14:paraId="53DF26C2">
      <w:pPr>
        <w:spacing w:before="120" w:line="320" w:lineRule="atLeast"/>
        <w:ind w:left="2" w:leftChars="1" w:firstLine="422" w:firstLineChars="200"/>
        <w:outlineLvl w:val="1"/>
        <w:rPr>
          <w:rFonts w:hint="eastAsia"/>
          <w:b/>
          <w:bCs/>
          <w:color w:val="auto"/>
          <w:kern w:val="0"/>
          <w:szCs w:val="21"/>
          <w:highlight w:val="none"/>
        </w:rPr>
      </w:pPr>
      <w:r>
        <w:rPr>
          <w:rFonts w:hint="eastAsia"/>
          <w:b/>
          <w:bCs/>
          <w:color w:val="auto"/>
          <w:kern w:val="0"/>
          <w:szCs w:val="21"/>
          <w:highlight w:val="none"/>
        </w:rPr>
        <w:t>2．第一阶段（征集阶段）</w:t>
      </w:r>
    </w:p>
    <w:p w14:paraId="228A419D">
      <w:pPr>
        <w:spacing w:before="120" w:line="320" w:lineRule="atLeast"/>
        <w:ind w:left="2" w:leftChars="1" w:firstLine="422" w:firstLineChars="200"/>
        <w:outlineLvl w:val="2"/>
        <w:rPr>
          <w:b/>
          <w:bCs/>
          <w:color w:val="auto"/>
          <w:kern w:val="0"/>
          <w:szCs w:val="21"/>
          <w:highlight w:val="none"/>
        </w:rPr>
      </w:pPr>
      <w:bookmarkStart w:id="41" w:name="_Toc254970675"/>
      <w:bookmarkStart w:id="42" w:name="_Toc254970534"/>
      <w:r>
        <w:rPr>
          <w:rFonts w:hint="eastAsia"/>
          <w:b/>
          <w:bCs/>
          <w:color w:val="auto"/>
          <w:kern w:val="0"/>
          <w:szCs w:val="21"/>
          <w:highlight w:val="none"/>
        </w:rPr>
        <w:t>2.1</w:t>
      </w:r>
      <w:r>
        <w:rPr>
          <w:b/>
          <w:bCs/>
          <w:color w:val="auto"/>
          <w:kern w:val="0"/>
          <w:szCs w:val="21"/>
          <w:highlight w:val="none"/>
        </w:rPr>
        <w:t>征集文件</w:t>
      </w:r>
      <w:bookmarkEnd w:id="41"/>
      <w:bookmarkEnd w:id="42"/>
    </w:p>
    <w:p w14:paraId="76EC0C98">
      <w:pPr>
        <w:spacing w:before="120" w:line="320" w:lineRule="atLeast"/>
        <w:ind w:firstLine="422" w:firstLineChars="200"/>
        <w:outlineLvl w:val="3"/>
        <w:rPr>
          <w:b/>
          <w:bCs/>
          <w:color w:val="auto"/>
          <w:kern w:val="0"/>
          <w:szCs w:val="21"/>
          <w:highlight w:val="none"/>
        </w:rPr>
      </w:pPr>
      <w:r>
        <w:rPr>
          <w:b/>
          <w:bCs/>
          <w:color w:val="auto"/>
          <w:kern w:val="0"/>
          <w:szCs w:val="21"/>
          <w:highlight w:val="none"/>
        </w:rPr>
        <w:t>2.1</w:t>
      </w:r>
      <w:r>
        <w:rPr>
          <w:rFonts w:hint="eastAsia"/>
          <w:b/>
          <w:bCs/>
          <w:color w:val="auto"/>
          <w:kern w:val="0"/>
          <w:szCs w:val="21"/>
          <w:highlight w:val="none"/>
        </w:rPr>
        <w:t>.1</w:t>
      </w:r>
      <w:r>
        <w:rPr>
          <w:b/>
          <w:bCs/>
          <w:color w:val="auto"/>
          <w:kern w:val="0"/>
          <w:szCs w:val="21"/>
          <w:highlight w:val="none"/>
        </w:rPr>
        <w:t>征集文件的构成</w:t>
      </w:r>
    </w:p>
    <w:p w14:paraId="680F9BD0">
      <w:pPr>
        <w:spacing w:before="120" w:line="320" w:lineRule="atLeast"/>
        <w:ind w:firstLine="420" w:firstLineChars="200"/>
        <w:rPr>
          <w:color w:val="auto"/>
          <w:szCs w:val="21"/>
          <w:highlight w:val="none"/>
        </w:rPr>
      </w:pPr>
      <w:r>
        <w:rPr>
          <w:color w:val="auto"/>
          <w:szCs w:val="21"/>
          <w:highlight w:val="none"/>
        </w:rPr>
        <w:t>第一章 征集公告</w:t>
      </w:r>
    </w:p>
    <w:p w14:paraId="29D8E96D">
      <w:pPr>
        <w:spacing w:before="120" w:line="320" w:lineRule="atLeast"/>
        <w:ind w:firstLine="420" w:firstLineChars="200"/>
        <w:rPr>
          <w:color w:val="auto"/>
          <w:szCs w:val="21"/>
          <w:highlight w:val="none"/>
        </w:rPr>
      </w:pPr>
      <w:r>
        <w:rPr>
          <w:color w:val="auto"/>
          <w:szCs w:val="21"/>
          <w:highlight w:val="none"/>
        </w:rPr>
        <w:t>第二章 采购需求</w:t>
      </w:r>
    </w:p>
    <w:p w14:paraId="7DCE3821">
      <w:pPr>
        <w:spacing w:before="120" w:line="320" w:lineRule="atLeast"/>
        <w:ind w:firstLine="420" w:firstLineChars="200"/>
        <w:rPr>
          <w:color w:val="auto"/>
          <w:szCs w:val="21"/>
          <w:highlight w:val="none"/>
        </w:rPr>
      </w:pPr>
      <w:r>
        <w:rPr>
          <w:color w:val="auto"/>
          <w:szCs w:val="21"/>
          <w:highlight w:val="none"/>
        </w:rPr>
        <w:t>第三章 供应商须知</w:t>
      </w:r>
    </w:p>
    <w:p w14:paraId="32FAD3BA">
      <w:pPr>
        <w:spacing w:before="120" w:line="320" w:lineRule="atLeast"/>
        <w:ind w:firstLine="420" w:firstLineChars="200"/>
        <w:rPr>
          <w:color w:val="auto"/>
          <w:szCs w:val="21"/>
          <w:highlight w:val="none"/>
        </w:rPr>
      </w:pPr>
      <w:r>
        <w:rPr>
          <w:color w:val="auto"/>
          <w:szCs w:val="21"/>
          <w:highlight w:val="none"/>
        </w:rPr>
        <w:t>第四章 评审方法及标准</w:t>
      </w:r>
    </w:p>
    <w:p w14:paraId="5CBF5ABC">
      <w:pPr>
        <w:spacing w:before="120" w:line="320" w:lineRule="atLeast"/>
        <w:ind w:firstLine="420" w:firstLineChars="200"/>
        <w:rPr>
          <w:rFonts w:hint="eastAsia"/>
          <w:color w:val="auto"/>
          <w:szCs w:val="21"/>
          <w:highlight w:val="none"/>
        </w:rPr>
      </w:pPr>
      <w:r>
        <w:rPr>
          <w:rFonts w:hint="eastAsia"/>
          <w:color w:val="auto"/>
          <w:szCs w:val="21"/>
          <w:highlight w:val="none"/>
        </w:rPr>
        <w:t>第五章 框架协议格式</w:t>
      </w:r>
    </w:p>
    <w:p w14:paraId="76483650">
      <w:pPr>
        <w:spacing w:before="120" w:line="320" w:lineRule="atLeast"/>
        <w:ind w:firstLine="420" w:firstLineChars="200"/>
        <w:rPr>
          <w:color w:val="auto"/>
          <w:szCs w:val="21"/>
          <w:highlight w:val="none"/>
        </w:rPr>
      </w:pPr>
      <w:r>
        <w:rPr>
          <w:color w:val="auto"/>
          <w:szCs w:val="21"/>
          <w:highlight w:val="none"/>
        </w:rPr>
        <w:t>第</w:t>
      </w:r>
      <w:r>
        <w:rPr>
          <w:rFonts w:hint="eastAsia"/>
          <w:color w:val="auto"/>
          <w:szCs w:val="21"/>
          <w:highlight w:val="none"/>
        </w:rPr>
        <w:t>六</w:t>
      </w:r>
      <w:r>
        <w:rPr>
          <w:color w:val="auto"/>
          <w:szCs w:val="21"/>
          <w:highlight w:val="none"/>
        </w:rPr>
        <w:t>章 合同主要条款格式</w:t>
      </w:r>
    </w:p>
    <w:p w14:paraId="3EB85C89">
      <w:pPr>
        <w:spacing w:before="120" w:line="320" w:lineRule="atLeast"/>
        <w:ind w:firstLine="420" w:firstLineChars="200"/>
        <w:rPr>
          <w:color w:val="auto"/>
          <w:szCs w:val="21"/>
          <w:highlight w:val="none"/>
        </w:rPr>
      </w:pPr>
      <w:r>
        <w:rPr>
          <w:color w:val="auto"/>
          <w:szCs w:val="21"/>
          <w:highlight w:val="none"/>
        </w:rPr>
        <w:t>第</w:t>
      </w:r>
      <w:r>
        <w:rPr>
          <w:rFonts w:hint="eastAsia"/>
          <w:color w:val="auto"/>
          <w:szCs w:val="21"/>
          <w:highlight w:val="none"/>
        </w:rPr>
        <w:t>七</w:t>
      </w:r>
      <w:r>
        <w:rPr>
          <w:color w:val="auto"/>
          <w:szCs w:val="21"/>
          <w:highlight w:val="none"/>
        </w:rPr>
        <w:t>章 响应文件格式</w:t>
      </w:r>
    </w:p>
    <w:p w14:paraId="549DF55C">
      <w:pPr>
        <w:spacing w:before="120" w:line="320" w:lineRule="atLeast"/>
        <w:ind w:firstLine="422" w:firstLineChars="200"/>
        <w:outlineLvl w:val="3"/>
        <w:rPr>
          <w:b/>
          <w:bCs/>
          <w:color w:val="auto"/>
          <w:kern w:val="0"/>
          <w:szCs w:val="21"/>
          <w:highlight w:val="none"/>
        </w:rPr>
      </w:pPr>
      <w:r>
        <w:rPr>
          <w:b/>
          <w:bCs/>
          <w:color w:val="auto"/>
          <w:kern w:val="0"/>
          <w:szCs w:val="21"/>
          <w:highlight w:val="none"/>
        </w:rPr>
        <w:t>2.</w:t>
      </w:r>
      <w:r>
        <w:rPr>
          <w:rFonts w:hint="eastAsia"/>
          <w:b/>
          <w:bCs/>
          <w:color w:val="auto"/>
          <w:kern w:val="0"/>
          <w:szCs w:val="21"/>
          <w:highlight w:val="none"/>
        </w:rPr>
        <w:t>1.2</w:t>
      </w:r>
      <w:r>
        <w:rPr>
          <w:b/>
          <w:bCs/>
          <w:color w:val="auto"/>
          <w:kern w:val="0"/>
          <w:szCs w:val="21"/>
          <w:highlight w:val="none"/>
        </w:rPr>
        <w:t>供应商的风险</w:t>
      </w:r>
    </w:p>
    <w:p w14:paraId="58001450">
      <w:pPr>
        <w:spacing w:before="120" w:line="320" w:lineRule="atLeast"/>
        <w:ind w:firstLine="420" w:firstLineChars="200"/>
        <w:rPr>
          <w:color w:val="auto"/>
          <w:szCs w:val="21"/>
          <w:highlight w:val="none"/>
        </w:rPr>
      </w:pPr>
      <w:r>
        <w:rPr>
          <w:color w:val="auto"/>
          <w:szCs w:val="21"/>
          <w:highlight w:val="none"/>
        </w:rPr>
        <w:t>供应商没有按照征集文件要求提供全部资料，或者供应商没有对征集文件在各方面作出实质性响应是供应商的风险，并可能导致其响应被否决。</w:t>
      </w:r>
    </w:p>
    <w:p w14:paraId="3B006128">
      <w:pPr>
        <w:spacing w:before="120" w:line="320" w:lineRule="atLeast"/>
        <w:ind w:firstLine="422" w:firstLineChars="200"/>
        <w:outlineLvl w:val="3"/>
        <w:rPr>
          <w:b/>
          <w:color w:val="auto"/>
          <w:szCs w:val="21"/>
          <w:highlight w:val="none"/>
        </w:rPr>
      </w:pPr>
      <w:r>
        <w:rPr>
          <w:b/>
          <w:bCs/>
          <w:color w:val="auto"/>
          <w:kern w:val="0"/>
          <w:szCs w:val="21"/>
          <w:highlight w:val="none"/>
        </w:rPr>
        <w:t>2.</w:t>
      </w:r>
      <w:r>
        <w:rPr>
          <w:rFonts w:hint="eastAsia"/>
          <w:b/>
          <w:bCs/>
          <w:color w:val="auto"/>
          <w:kern w:val="0"/>
          <w:szCs w:val="21"/>
          <w:highlight w:val="none"/>
        </w:rPr>
        <w:t>1.3</w:t>
      </w:r>
      <w:r>
        <w:rPr>
          <w:b/>
          <w:bCs/>
          <w:color w:val="auto"/>
          <w:kern w:val="0"/>
          <w:szCs w:val="21"/>
          <w:highlight w:val="none"/>
        </w:rPr>
        <w:t>征集文件的澄清与修改</w:t>
      </w:r>
    </w:p>
    <w:p w14:paraId="178854B9">
      <w:pPr>
        <w:spacing w:before="120" w:line="320" w:lineRule="atLeast"/>
        <w:ind w:firstLine="420" w:firstLineChars="200"/>
        <w:rPr>
          <w:color w:val="auto"/>
          <w:szCs w:val="21"/>
          <w:highlight w:val="none"/>
        </w:rPr>
      </w:pPr>
      <w:r>
        <w:rPr>
          <w:color w:val="auto"/>
          <w:szCs w:val="21"/>
          <w:highlight w:val="none"/>
        </w:rPr>
        <w:t>2.1.3.1</w:t>
      </w:r>
      <w:r>
        <w:rPr>
          <w:rFonts w:hint="eastAsia"/>
          <w:color w:val="auto"/>
          <w:szCs w:val="21"/>
          <w:highlight w:val="none"/>
        </w:rPr>
        <w:t>任何已获得征集文件的潜在供应商，均可</w:t>
      </w:r>
      <w:r>
        <w:rPr>
          <w:color w:val="auto"/>
          <w:szCs w:val="21"/>
          <w:highlight w:val="none"/>
        </w:rPr>
        <w:t>以书面形式要求</w:t>
      </w:r>
      <w:r>
        <w:rPr>
          <w:rFonts w:hint="eastAsia"/>
          <w:color w:val="auto"/>
          <w:szCs w:val="21"/>
          <w:highlight w:val="none"/>
        </w:rPr>
        <w:t>征集人</w:t>
      </w:r>
      <w:r>
        <w:rPr>
          <w:color w:val="auto"/>
          <w:szCs w:val="21"/>
          <w:highlight w:val="none"/>
        </w:rPr>
        <w:t>作出书面解释、澄清</w:t>
      </w:r>
      <w:r>
        <w:rPr>
          <w:rFonts w:hint="eastAsia"/>
          <w:color w:val="auto"/>
          <w:szCs w:val="21"/>
          <w:highlight w:val="none"/>
        </w:rPr>
        <w:t>。</w:t>
      </w:r>
    </w:p>
    <w:p w14:paraId="40C94A4E">
      <w:pPr>
        <w:spacing w:before="120" w:line="320" w:lineRule="atLeast"/>
        <w:ind w:firstLine="420" w:firstLineChars="200"/>
        <w:rPr>
          <w:color w:val="auto"/>
          <w:szCs w:val="21"/>
          <w:highlight w:val="none"/>
        </w:rPr>
      </w:pPr>
      <w:bookmarkStart w:id="43" w:name="_Hlk139297254"/>
      <w:r>
        <w:rPr>
          <w:color w:val="auto"/>
          <w:szCs w:val="21"/>
          <w:highlight w:val="none"/>
        </w:rPr>
        <w:t>2.1.3.2</w:t>
      </w:r>
      <w:r>
        <w:rPr>
          <w:rFonts w:hint="eastAsia"/>
          <w:color w:val="auto"/>
          <w:szCs w:val="21"/>
          <w:highlight w:val="none"/>
        </w:rPr>
        <w:t>征集人可以对已发出的征集文件进行必要的澄清或者修改。澄清或者修改的内容可能影响响应文件编制的，征集人应当在投标截止时间至少15日前，</w:t>
      </w:r>
      <w:bookmarkStart w:id="44" w:name="_Hlk132790706"/>
      <w:r>
        <w:rPr>
          <w:rFonts w:hint="eastAsia"/>
          <w:color w:val="auto"/>
          <w:szCs w:val="21"/>
          <w:highlight w:val="none"/>
        </w:rPr>
        <w:t>在供应商须知前附表规定的方式通知所有获取征集文件的潜在</w:t>
      </w:r>
      <w:bookmarkEnd w:id="44"/>
      <w:r>
        <w:rPr>
          <w:rFonts w:hint="eastAsia"/>
          <w:color w:val="auto"/>
          <w:szCs w:val="21"/>
          <w:highlight w:val="none"/>
        </w:rPr>
        <w:t>供应商；不足15日的，征集人应当顺延提交投标文件的截止时间。</w:t>
      </w:r>
    </w:p>
    <w:bookmarkEnd w:id="43"/>
    <w:p w14:paraId="741D618A">
      <w:pPr>
        <w:spacing w:before="120" w:line="320" w:lineRule="atLeast"/>
        <w:ind w:firstLine="420" w:firstLineChars="200"/>
        <w:rPr>
          <w:color w:val="auto"/>
          <w:szCs w:val="21"/>
          <w:highlight w:val="none"/>
        </w:rPr>
      </w:pPr>
      <w:r>
        <w:rPr>
          <w:color w:val="auto"/>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34EBDD8B">
      <w:pPr>
        <w:spacing w:before="120" w:line="320" w:lineRule="atLeast"/>
        <w:ind w:left="2" w:leftChars="1" w:firstLine="422" w:firstLineChars="200"/>
        <w:outlineLvl w:val="2"/>
        <w:rPr>
          <w:b/>
          <w:bCs/>
          <w:color w:val="auto"/>
          <w:kern w:val="0"/>
          <w:szCs w:val="21"/>
          <w:highlight w:val="none"/>
        </w:rPr>
      </w:pPr>
      <w:bookmarkStart w:id="45" w:name="_Toc254970535"/>
      <w:bookmarkStart w:id="46" w:name="_Toc254970676"/>
      <w:r>
        <w:rPr>
          <w:rFonts w:hint="eastAsia"/>
          <w:b/>
          <w:bCs/>
          <w:color w:val="auto"/>
          <w:kern w:val="0"/>
          <w:szCs w:val="21"/>
          <w:highlight w:val="none"/>
        </w:rPr>
        <w:t>2.2</w:t>
      </w:r>
      <w:r>
        <w:rPr>
          <w:b/>
          <w:bCs/>
          <w:color w:val="auto"/>
          <w:kern w:val="0"/>
          <w:szCs w:val="21"/>
          <w:highlight w:val="none"/>
        </w:rPr>
        <w:t>响应文件</w:t>
      </w:r>
      <w:bookmarkEnd w:id="45"/>
      <w:bookmarkEnd w:id="46"/>
    </w:p>
    <w:p w14:paraId="3E3AFA3D">
      <w:pPr>
        <w:spacing w:before="120" w:line="320" w:lineRule="atLeast"/>
        <w:ind w:firstLine="422" w:firstLineChars="200"/>
        <w:outlineLvl w:val="3"/>
        <w:rPr>
          <w:b/>
          <w:bCs/>
          <w:color w:val="auto"/>
          <w:kern w:val="0"/>
          <w:szCs w:val="21"/>
          <w:highlight w:val="none"/>
        </w:rPr>
      </w:pPr>
      <w:bookmarkStart w:id="47" w:name="_Toc254970677"/>
      <w:bookmarkStart w:id="48" w:name="_Toc254970536"/>
      <w:r>
        <w:rPr>
          <w:rFonts w:hint="eastAsia"/>
          <w:b/>
          <w:bCs/>
          <w:color w:val="auto"/>
          <w:kern w:val="0"/>
          <w:szCs w:val="21"/>
          <w:highlight w:val="none"/>
        </w:rPr>
        <w:t>2.2.1</w:t>
      </w:r>
      <w:r>
        <w:rPr>
          <w:b/>
          <w:bCs/>
          <w:color w:val="auto"/>
          <w:kern w:val="0"/>
          <w:szCs w:val="21"/>
          <w:highlight w:val="none"/>
        </w:rPr>
        <w:t>响应文件的组成</w:t>
      </w:r>
      <w:bookmarkEnd w:id="47"/>
      <w:bookmarkEnd w:id="48"/>
    </w:p>
    <w:p w14:paraId="0B2963BC">
      <w:pPr>
        <w:spacing w:before="120" w:line="320" w:lineRule="atLeast"/>
        <w:ind w:firstLine="420" w:firstLineChars="200"/>
        <w:rPr>
          <w:color w:val="auto"/>
          <w:szCs w:val="21"/>
          <w:highlight w:val="none"/>
        </w:rPr>
      </w:pPr>
      <w:r>
        <w:rPr>
          <w:color w:val="auto"/>
          <w:szCs w:val="21"/>
          <w:highlight w:val="none"/>
        </w:rPr>
        <w:t>响应文件由第</w:t>
      </w:r>
      <w:r>
        <w:rPr>
          <w:rFonts w:hint="eastAsia"/>
          <w:color w:val="auto"/>
          <w:szCs w:val="21"/>
          <w:highlight w:val="none"/>
        </w:rPr>
        <w:t>七</w:t>
      </w:r>
      <w:r>
        <w:rPr>
          <w:color w:val="auto"/>
          <w:szCs w:val="21"/>
          <w:highlight w:val="none"/>
        </w:rPr>
        <w:t>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4626A30C">
      <w:pPr>
        <w:spacing w:before="120" w:line="320" w:lineRule="atLeast"/>
        <w:ind w:firstLine="422" w:firstLineChars="200"/>
        <w:outlineLvl w:val="3"/>
        <w:rPr>
          <w:b/>
          <w:bCs/>
          <w:color w:val="auto"/>
          <w:kern w:val="0"/>
          <w:szCs w:val="21"/>
          <w:highlight w:val="none"/>
        </w:rPr>
      </w:pPr>
      <w:bookmarkStart w:id="49" w:name="_Toc254970537"/>
      <w:bookmarkStart w:id="50" w:name="_Toc254970678"/>
      <w:r>
        <w:rPr>
          <w:rFonts w:hint="eastAsia"/>
          <w:b/>
          <w:color w:val="auto"/>
          <w:szCs w:val="21"/>
          <w:highlight w:val="none"/>
        </w:rPr>
        <w:t>2.2.2</w:t>
      </w:r>
      <w:r>
        <w:rPr>
          <w:b/>
          <w:bCs/>
          <w:color w:val="auto"/>
          <w:kern w:val="0"/>
          <w:szCs w:val="21"/>
          <w:highlight w:val="none"/>
        </w:rPr>
        <w:t>响应文件的语言及计量</w:t>
      </w:r>
      <w:bookmarkEnd w:id="49"/>
      <w:bookmarkEnd w:id="50"/>
    </w:p>
    <w:p w14:paraId="0216B6CF">
      <w:pPr>
        <w:spacing w:before="120" w:line="320" w:lineRule="atLeast"/>
        <w:ind w:firstLine="420" w:firstLineChars="200"/>
        <w:rPr>
          <w:color w:val="auto"/>
          <w:szCs w:val="21"/>
          <w:highlight w:val="none"/>
        </w:rPr>
      </w:pPr>
      <w:r>
        <w:rPr>
          <w:rFonts w:hint="eastAsia"/>
          <w:color w:val="auto"/>
          <w:szCs w:val="21"/>
          <w:highlight w:val="none"/>
        </w:rPr>
        <w:t>2.2.2.1响应文件以及供应商与征集人就有关响应事宜的所有来往函电，均应以中文书写（除专用术语外，与采购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4BB7B54">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.2.2</w:t>
      </w:r>
      <w:r>
        <w:rPr>
          <w:rFonts w:hint="eastAsia"/>
          <w:color w:val="auto"/>
          <w:szCs w:val="21"/>
          <w:highlight w:val="none"/>
        </w:rPr>
        <w:t>.2</w:t>
      </w:r>
      <w:r>
        <w:rPr>
          <w:color w:val="auto"/>
          <w:szCs w:val="21"/>
          <w:highlight w:val="none"/>
        </w:rPr>
        <w:t>计量单位征集文件已有明确规定的，响应使用征集文件规定的计量单位；征集文件没有规定的，应采用中华人民共和国法定计量单位。</w:t>
      </w:r>
    </w:p>
    <w:p w14:paraId="1CC9B2BA">
      <w:pPr>
        <w:spacing w:before="120" w:line="320" w:lineRule="atLeast"/>
        <w:ind w:firstLine="422" w:firstLineChars="200"/>
        <w:outlineLvl w:val="3"/>
        <w:rPr>
          <w:b/>
          <w:bCs/>
          <w:color w:val="auto"/>
          <w:kern w:val="0"/>
          <w:szCs w:val="21"/>
          <w:highlight w:val="none"/>
        </w:rPr>
      </w:pPr>
      <w:bookmarkStart w:id="51" w:name="_Toc254970679"/>
      <w:bookmarkStart w:id="52" w:name="_Toc254970538"/>
      <w:r>
        <w:rPr>
          <w:rFonts w:hint="eastAsia"/>
          <w:b/>
          <w:bCs/>
          <w:color w:val="auto"/>
          <w:kern w:val="0"/>
          <w:szCs w:val="21"/>
          <w:highlight w:val="none"/>
        </w:rPr>
        <w:t>2</w:t>
      </w:r>
      <w:r>
        <w:rPr>
          <w:b/>
          <w:bCs/>
          <w:color w:val="auto"/>
          <w:kern w:val="0"/>
          <w:szCs w:val="21"/>
          <w:highlight w:val="none"/>
        </w:rPr>
        <w:t>.</w:t>
      </w:r>
      <w:r>
        <w:rPr>
          <w:rFonts w:hint="eastAsia"/>
          <w:b/>
          <w:bCs/>
          <w:color w:val="auto"/>
          <w:kern w:val="0"/>
          <w:szCs w:val="21"/>
          <w:highlight w:val="none"/>
        </w:rPr>
        <w:t>2.</w:t>
      </w:r>
      <w:r>
        <w:rPr>
          <w:b/>
          <w:bCs/>
          <w:color w:val="auto"/>
          <w:kern w:val="0"/>
          <w:szCs w:val="21"/>
          <w:highlight w:val="none"/>
        </w:rPr>
        <w:t>3</w:t>
      </w:r>
      <w:r>
        <w:rPr>
          <w:rFonts w:hint="eastAsia"/>
          <w:b/>
          <w:bCs/>
          <w:color w:val="auto"/>
          <w:kern w:val="0"/>
          <w:szCs w:val="21"/>
          <w:highlight w:val="none"/>
        </w:rPr>
        <w:t>响应</w:t>
      </w:r>
      <w:r>
        <w:rPr>
          <w:b/>
          <w:bCs/>
          <w:color w:val="auto"/>
          <w:kern w:val="0"/>
          <w:szCs w:val="21"/>
          <w:highlight w:val="none"/>
        </w:rPr>
        <w:t>报价</w:t>
      </w:r>
      <w:bookmarkEnd w:id="51"/>
      <w:bookmarkEnd w:id="52"/>
      <w:r>
        <w:rPr>
          <w:rFonts w:hint="eastAsia"/>
          <w:b/>
          <w:bCs/>
          <w:color w:val="auto"/>
          <w:kern w:val="0"/>
          <w:szCs w:val="21"/>
          <w:highlight w:val="none"/>
        </w:rPr>
        <w:t>（如本项目需要报价时）</w:t>
      </w:r>
    </w:p>
    <w:p w14:paraId="4C992DED">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2.</w:t>
      </w:r>
      <w:r>
        <w:rPr>
          <w:color w:val="auto"/>
          <w:szCs w:val="21"/>
          <w:highlight w:val="none"/>
        </w:rPr>
        <w:t>3.1</w:t>
      </w:r>
      <w:r>
        <w:rPr>
          <w:rFonts w:hint="eastAsia"/>
          <w:color w:val="auto"/>
          <w:szCs w:val="21"/>
          <w:highlight w:val="none"/>
        </w:rPr>
        <w:t>响应</w:t>
      </w:r>
      <w:r>
        <w:rPr>
          <w:color w:val="auto"/>
          <w:szCs w:val="21"/>
          <w:highlight w:val="none"/>
        </w:rPr>
        <w:t>报价应按征集文件中相关附表格式填写。</w:t>
      </w:r>
    </w:p>
    <w:p w14:paraId="076FCD66">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2.</w:t>
      </w:r>
      <w:r>
        <w:rPr>
          <w:color w:val="auto"/>
          <w:szCs w:val="21"/>
          <w:highlight w:val="none"/>
        </w:rPr>
        <w:t>3.2响应文件只允许有一个报价，有选择的或有条件的报价将不予接受。</w:t>
      </w:r>
    </w:p>
    <w:p w14:paraId="7EAC82CA">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2.2.</w:t>
      </w:r>
      <w:r>
        <w:rPr>
          <w:color w:val="auto"/>
          <w:kern w:val="1"/>
          <w:szCs w:val="21"/>
          <w:highlight w:val="none"/>
        </w:rPr>
        <w:t>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71B2B1CE">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2</w:t>
      </w:r>
      <w:r>
        <w:rPr>
          <w:color w:val="auto"/>
          <w:kern w:val="1"/>
          <w:szCs w:val="21"/>
          <w:highlight w:val="none"/>
        </w:rPr>
        <w:t>.</w:t>
      </w:r>
      <w:r>
        <w:rPr>
          <w:rFonts w:hint="eastAsia"/>
          <w:color w:val="auto"/>
          <w:kern w:val="1"/>
          <w:szCs w:val="21"/>
          <w:highlight w:val="none"/>
        </w:rPr>
        <w:t>2.</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4086ADD8">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w:t>
      </w:r>
      <w:r>
        <w:rPr>
          <w:rFonts w:hint="eastAsia"/>
          <w:b/>
          <w:bCs/>
          <w:color w:val="auto"/>
          <w:kern w:val="0"/>
          <w:szCs w:val="21"/>
          <w:highlight w:val="none"/>
        </w:rPr>
        <w:t>2.</w:t>
      </w:r>
      <w:r>
        <w:rPr>
          <w:b/>
          <w:bCs/>
          <w:color w:val="auto"/>
          <w:kern w:val="0"/>
          <w:szCs w:val="21"/>
          <w:highlight w:val="none"/>
        </w:rPr>
        <w:t>4</w:t>
      </w:r>
      <w:r>
        <w:rPr>
          <w:rFonts w:hint="eastAsia"/>
          <w:b/>
          <w:bCs/>
          <w:color w:val="auto"/>
          <w:kern w:val="0"/>
          <w:szCs w:val="21"/>
          <w:highlight w:val="none"/>
        </w:rPr>
        <w:t>响应</w:t>
      </w:r>
      <w:r>
        <w:rPr>
          <w:b/>
          <w:bCs/>
          <w:color w:val="auto"/>
          <w:kern w:val="0"/>
          <w:szCs w:val="21"/>
          <w:highlight w:val="none"/>
        </w:rPr>
        <w:t>有效期</w:t>
      </w:r>
    </w:p>
    <w:p w14:paraId="57689A38">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.2.4.1如征集文件其他地方无特别规定</w:t>
      </w:r>
      <w:r>
        <w:rPr>
          <w:rFonts w:hint="eastAsia"/>
          <w:color w:val="auto"/>
          <w:szCs w:val="21"/>
          <w:highlight w:val="none"/>
        </w:rPr>
        <w:t>，响应</w:t>
      </w:r>
      <w:r>
        <w:rPr>
          <w:color w:val="auto"/>
          <w:szCs w:val="21"/>
          <w:highlight w:val="none"/>
        </w:rPr>
        <w:t>有效期则为响应截止之日起90天</w:t>
      </w:r>
      <w:r>
        <w:rPr>
          <w:rFonts w:hint="eastAsia"/>
          <w:color w:val="auto"/>
          <w:szCs w:val="21"/>
          <w:highlight w:val="none"/>
        </w:rPr>
        <w:t>。</w:t>
      </w:r>
      <w:r>
        <w:rPr>
          <w:color w:val="auto"/>
          <w:szCs w:val="21"/>
          <w:highlight w:val="none"/>
        </w:rPr>
        <w:t>在</w:t>
      </w:r>
      <w:r>
        <w:rPr>
          <w:rFonts w:hint="eastAsia"/>
          <w:color w:val="auto"/>
          <w:szCs w:val="21"/>
          <w:highlight w:val="none"/>
        </w:rPr>
        <w:t>响应</w:t>
      </w:r>
      <w:r>
        <w:rPr>
          <w:color w:val="auto"/>
          <w:szCs w:val="21"/>
          <w:highlight w:val="none"/>
        </w:rPr>
        <w:t>有效期内响应文件应保持有效。</w:t>
      </w:r>
      <w:r>
        <w:rPr>
          <w:b/>
          <w:bCs/>
          <w:color w:val="auto"/>
          <w:szCs w:val="21"/>
          <w:highlight w:val="none"/>
        </w:rPr>
        <w:t>有效期不足的响应文件将被否决</w:t>
      </w:r>
      <w:r>
        <w:rPr>
          <w:color w:val="auto"/>
          <w:szCs w:val="21"/>
          <w:highlight w:val="none"/>
        </w:rPr>
        <w:t>。</w:t>
      </w:r>
    </w:p>
    <w:p w14:paraId="3D40CDE1">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.2.4.2在特殊情况下，</w:t>
      </w:r>
      <w:r>
        <w:rPr>
          <w:rFonts w:hint="eastAsia"/>
          <w:color w:val="auto"/>
          <w:szCs w:val="21"/>
          <w:highlight w:val="none"/>
        </w:rPr>
        <w:t>征集人</w:t>
      </w:r>
      <w:r>
        <w:rPr>
          <w:color w:val="auto"/>
          <w:szCs w:val="21"/>
          <w:highlight w:val="none"/>
        </w:rPr>
        <w:t>可与供应商协商延长响应文件的有效期，这种要求和答复均以书面形式进行。</w:t>
      </w:r>
    </w:p>
    <w:p w14:paraId="34CAAA53">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.2.4.3</w:t>
      </w:r>
      <w:r>
        <w:rPr>
          <w:rFonts w:hint="eastAsia"/>
          <w:color w:val="auto"/>
          <w:szCs w:val="21"/>
          <w:highlight w:val="none"/>
        </w:rPr>
        <w:t>供应商同意延长的响应有效期的，如本项目要求提交保证金则应相应延长其响应保证金的有效期，但不得要求或被允许修改或撤销其响应文件；供应商拒绝延长的，其响应无效，但供应商有权收回其响应保证金。</w:t>
      </w:r>
    </w:p>
    <w:p w14:paraId="2B422F99">
      <w:pPr>
        <w:spacing w:before="120" w:line="320" w:lineRule="atLeast"/>
        <w:ind w:firstLine="422" w:firstLineChars="200"/>
        <w:outlineLvl w:val="3"/>
        <w:rPr>
          <w:b/>
          <w:bCs/>
          <w:color w:val="auto"/>
          <w:kern w:val="0"/>
          <w:szCs w:val="21"/>
          <w:highlight w:val="none"/>
        </w:rPr>
      </w:pPr>
      <w:bookmarkStart w:id="53" w:name="_Toc254970541"/>
      <w:bookmarkStart w:id="54" w:name="_Toc254970682"/>
      <w:r>
        <w:rPr>
          <w:rFonts w:hint="eastAsia"/>
          <w:b/>
          <w:bCs/>
          <w:color w:val="auto"/>
          <w:kern w:val="0"/>
          <w:szCs w:val="21"/>
          <w:highlight w:val="none"/>
        </w:rPr>
        <w:t>2</w:t>
      </w:r>
      <w:r>
        <w:rPr>
          <w:b/>
          <w:bCs/>
          <w:color w:val="auto"/>
          <w:kern w:val="0"/>
          <w:szCs w:val="21"/>
          <w:highlight w:val="none"/>
        </w:rPr>
        <w:t>.2.5</w:t>
      </w:r>
      <w:r>
        <w:rPr>
          <w:rFonts w:hint="eastAsia"/>
          <w:b/>
          <w:bCs/>
          <w:color w:val="auto"/>
          <w:kern w:val="0"/>
          <w:szCs w:val="21"/>
          <w:highlight w:val="none"/>
        </w:rPr>
        <w:t>响应保证金</w:t>
      </w:r>
      <w:bookmarkEnd w:id="53"/>
      <w:bookmarkEnd w:id="54"/>
    </w:p>
    <w:p w14:paraId="351787A5">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.2.5.1供应商须按须知前附表规定提交</w:t>
      </w:r>
      <w:r>
        <w:rPr>
          <w:rFonts w:hint="eastAsia"/>
          <w:color w:val="auto"/>
          <w:szCs w:val="21"/>
          <w:highlight w:val="none"/>
        </w:rPr>
        <w:t>响应保证金</w:t>
      </w:r>
      <w:r>
        <w:rPr>
          <w:color w:val="auto"/>
          <w:szCs w:val="21"/>
          <w:highlight w:val="none"/>
        </w:rPr>
        <w:t>，</w:t>
      </w:r>
      <w:r>
        <w:rPr>
          <w:b/>
          <w:bCs/>
          <w:color w:val="auto"/>
          <w:szCs w:val="21"/>
          <w:highlight w:val="none"/>
        </w:rPr>
        <w:t>否则其响应将被否决</w:t>
      </w:r>
      <w:r>
        <w:rPr>
          <w:color w:val="auto"/>
          <w:szCs w:val="21"/>
          <w:highlight w:val="none"/>
        </w:rPr>
        <w:t>。除征集文件规定不予退还保证金的情形外，</w:t>
      </w:r>
      <w:r>
        <w:rPr>
          <w:rFonts w:hint="eastAsia"/>
          <w:color w:val="auto"/>
          <w:szCs w:val="21"/>
          <w:highlight w:val="none"/>
        </w:rPr>
        <w:t>采购代理机构</w:t>
      </w:r>
      <w:r>
        <w:rPr>
          <w:color w:val="auto"/>
          <w:szCs w:val="21"/>
          <w:highlight w:val="none"/>
        </w:rPr>
        <w:t>在规定时间内退回供应商的</w:t>
      </w:r>
      <w:r>
        <w:rPr>
          <w:rFonts w:hint="eastAsia"/>
          <w:color w:val="auto"/>
          <w:szCs w:val="21"/>
          <w:highlight w:val="none"/>
        </w:rPr>
        <w:t>响应保证金</w:t>
      </w:r>
      <w:r>
        <w:rPr>
          <w:color w:val="auto"/>
          <w:szCs w:val="21"/>
          <w:highlight w:val="none"/>
        </w:rPr>
        <w:t>（供应商自行承担因未按供应商须知前附表要求交纳导致</w:t>
      </w:r>
      <w:r>
        <w:rPr>
          <w:rFonts w:hint="eastAsia"/>
          <w:color w:val="auto"/>
          <w:szCs w:val="21"/>
          <w:highlight w:val="none"/>
        </w:rPr>
        <w:t>响应保证金</w:t>
      </w:r>
      <w:r>
        <w:rPr>
          <w:color w:val="auto"/>
          <w:szCs w:val="21"/>
          <w:highlight w:val="none"/>
        </w:rPr>
        <w:t>无法及时退还的责任）。</w:t>
      </w:r>
    </w:p>
    <w:p w14:paraId="1BA59116">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.2.5.2</w:t>
      </w:r>
      <w:r>
        <w:rPr>
          <w:rFonts w:hint="eastAsia"/>
          <w:color w:val="auto"/>
          <w:szCs w:val="21"/>
          <w:highlight w:val="none"/>
        </w:rPr>
        <w:t>响应保证金</w:t>
      </w:r>
      <w:r>
        <w:rPr>
          <w:color w:val="auto"/>
          <w:szCs w:val="21"/>
          <w:highlight w:val="none"/>
        </w:rPr>
        <w:t>币种应与</w:t>
      </w:r>
      <w:r>
        <w:rPr>
          <w:rFonts w:hint="eastAsia"/>
          <w:color w:val="auto"/>
          <w:szCs w:val="21"/>
          <w:highlight w:val="none"/>
        </w:rPr>
        <w:t>响应</w:t>
      </w:r>
      <w:r>
        <w:rPr>
          <w:color w:val="auto"/>
          <w:szCs w:val="21"/>
          <w:highlight w:val="none"/>
        </w:rPr>
        <w:t>报价币种相同。</w:t>
      </w:r>
    </w:p>
    <w:p w14:paraId="7361ED01">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.2.5.3</w:t>
      </w:r>
      <w:r>
        <w:rPr>
          <w:rFonts w:hint="eastAsia"/>
          <w:color w:val="auto"/>
          <w:szCs w:val="21"/>
          <w:highlight w:val="none"/>
        </w:rPr>
        <w:t>非入围供应商</w:t>
      </w:r>
      <w:r>
        <w:rPr>
          <w:color w:val="auto"/>
          <w:szCs w:val="21"/>
          <w:highlight w:val="none"/>
        </w:rPr>
        <w:t>的</w:t>
      </w:r>
      <w:r>
        <w:rPr>
          <w:rFonts w:hint="eastAsia"/>
          <w:color w:val="auto"/>
          <w:szCs w:val="21"/>
          <w:highlight w:val="none"/>
        </w:rPr>
        <w:t>响应保证金</w:t>
      </w:r>
      <w:r>
        <w:rPr>
          <w:color w:val="auto"/>
          <w:szCs w:val="21"/>
          <w:highlight w:val="none"/>
        </w:rPr>
        <w:t>在</w:t>
      </w:r>
      <w:r>
        <w:rPr>
          <w:rFonts w:hint="eastAsia"/>
          <w:color w:val="auto"/>
          <w:szCs w:val="21"/>
          <w:highlight w:val="none"/>
        </w:rPr>
        <w:t>入围</w:t>
      </w:r>
      <w:r>
        <w:rPr>
          <w:color w:val="auto"/>
          <w:szCs w:val="21"/>
          <w:highlight w:val="none"/>
        </w:rPr>
        <w:t>通知书发出后5个工作日内退还。</w:t>
      </w:r>
      <w:r>
        <w:rPr>
          <w:rFonts w:hint="eastAsia"/>
          <w:color w:val="auto"/>
          <w:szCs w:val="21"/>
          <w:highlight w:val="none"/>
        </w:rPr>
        <w:t>入围供应商</w:t>
      </w:r>
      <w:r>
        <w:rPr>
          <w:color w:val="auto"/>
          <w:szCs w:val="21"/>
          <w:highlight w:val="none"/>
        </w:rPr>
        <w:t>的</w:t>
      </w:r>
      <w:r>
        <w:rPr>
          <w:rFonts w:hint="eastAsia"/>
          <w:color w:val="auto"/>
          <w:szCs w:val="21"/>
          <w:highlight w:val="none"/>
        </w:rPr>
        <w:t>响应保证金</w:t>
      </w:r>
      <w:r>
        <w:rPr>
          <w:color w:val="auto"/>
          <w:szCs w:val="21"/>
          <w:highlight w:val="none"/>
        </w:rPr>
        <w:t>在</w:t>
      </w:r>
      <w:r>
        <w:rPr>
          <w:rFonts w:hint="eastAsia"/>
          <w:color w:val="auto"/>
          <w:szCs w:val="21"/>
          <w:highlight w:val="none"/>
        </w:rPr>
        <w:t>框架协议</w:t>
      </w:r>
      <w:r>
        <w:rPr>
          <w:color w:val="auto"/>
          <w:szCs w:val="21"/>
          <w:highlight w:val="none"/>
        </w:rPr>
        <w:t>签订后5个工作日内退还</w:t>
      </w:r>
      <w:r>
        <w:rPr>
          <w:rFonts w:hint="eastAsia"/>
          <w:color w:val="auto"/>
          <w:szCs w:val="21"/>
          <w:highlight w:val="none"/>
        </w:rPr>
        <w:t>。</w:t>
      </w:r>
    </w:p>
    <w:p w14:paraId="24A3F12A">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.2.5.4供应商有下列情形之一的，响应保证金将不予退还：</w:t>
      </w:r>
    </w:p>
    <w:p w14:paraId="1570EC07">
      <w:pPr>
        <w:numPr>
          <w:ilvl w:val="0"/>
          <w:numId w:val="1"/>
        </w:numPr>
        <w:spacing w:before="120" w:line="320" w:lineRule="atLeast"/>
        <w:rPr>
          <w:color w:val="auto"/>
          <w:szCs w:val="21"/>
          <w:highlight w:val="none"/>
        </w:rPr>
      </w:pPr>
      <w:r>
        <w:rPr>
          <w:color w:val="auto"/>
          <w:szCs w:val="21"/>
          <w:highlight w:val="none"/>
        </w:rPr>
        <w:t>供应商在</w:t>
      </w:r>
      <w:r>
        <w:rPr>
          <w:rFonts w:hint="eastAsia"/>
          <w:color w:val="auto"/>
          <w:szCs w:val="21"/>
          <w:highlight w:val="none"/>
        </w:rPr>
        <w:t>响应</w:t>
      </w:r>
      <w:r>
        <w:rPr>
          <w:color w:val="auto"/>
          <w:szCs w:val="21"/>
          <w:highlight w:val="none"/>
        </w:rPr>
        <w:t>有效期内撤销响应文件的；</w:t>
      </w:r>
    </w:p>
    <w:p w14:paraId="77B65127">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4E4CFBF4">
      <w:pPr>
        <w:numPr>
          <w:ilvl w:val="0"/>
          <w:numId w:val="1"/>
        </w:numPr>
        <w:spacing w:before="120" w:line="320" w:lineRule="atLeast"/>
        <w:rPr>
          <w:color w:val="auto"/>
          <w:szCs w:val="21"/>
          <w:highlight w:val="none"/>
        </w:rPr>
      </w:pPr>
      <w:r>
        <w:rPr>
          <w:color w:val="auto"/>
          <w:szCs w:val="21"/>
          <w:highlight w:val="none"/>
        </w:rPr>
        <w:t>供应商无正当理由不与</w:t>
      </w:r>
      <w:r>
        <w:rPr>
          <w:rFonts w:hint="eastAsia"/>
          <w:color w:val="auto"/>
          <w:szCs w:val="21"/>
          <w:highlight w:val="none"/>
        </w:rPr>
        <w:t>征集人</w:t>
      </w:r>
      <w:r>
        <w:rPr>
          <w:color w:val="auto"/>
          <w:szCs w:val="21"/>
          <w:highlight w:val="none"/>
        </w:rPr>
        <w:t>签订</w:t>
      </w:r>
      <w:r>
        <w:rPr>
          <w:rFonts w:hint="eastAsia"/>
          <w:color w:val="auto"/>
          <w:szCs w:val="21"/>
          <w:highlight w:val="none"/>
        </w:rPr>
        <w:t>框架协议</w:t>
      </w:r>
      <w:r>
        <w:rPr>
          <w:color w:val="auto"/>
          <w:szCs w:val="21"/>
          <w:highlight w:val="none"/>
        </w:rPr>
        <w:t>的；</w:t>
      </w:r>
    </w:p>
    <w:p w14:paraId="3DD051B4">
      <w:pPr>
        <w:numPr>
          <w:ilvl w:val="0"/>
          <w:numId w:val="1"/>
        </w:numPr>
        <w:spacing w:before="120" w:line="320" w:lineRule="atLeast"/>
        <w:rPr>
          <w:color w:val="auto"/>
          <w:szCs w:val="21"/>
          <w:highlight w:val="none"/>
        </w:rPr>
      </w:pPr>
      <w:r>
        <w:rPr>
          <w:color w:val="auto"/>
          <w:szCs w:val="21"/>
          <w:highlight w:val="none"/>
        </w:rPr>
        <w:t>将入围项目转让给他人或者在响应文件中未说明且未经采购人同意，将入围项目分包给他人的；</w:t>
      </w:r>
    </w:p>
    <w:p w14:paraId="2AB90BEF">
      <w:pPr>
        <w:numPr>
          <w:ilvl w:val="0"/>
          <w:numId w:val="1"/>
        </w:numPr>
        <w:rPr>
          <w:rFonts w:hint="eastAsia"/>
          <w:color w:val="auto"/>
          <w:szCs w:val="21"/>
          <w:highlight w:val="none"/>
        </w:rPr>
      </w:pPr>
      <w:r>
        <w:rPr>
          <w:rFonts w:hint="eastAsia"/>
          <w:color w:val="auto"/>
          <w:szCs w:val="21"/>
          <w:highlight w:val="none"/>
        </w:rPr>
        <w:t>退出框架协议或拒绝授予合同的；</w:t>
      </w:r>
    </w:p>
    <w:p w14:paraId="62A6B623">
      <w:pPr>
        <w:numPr>
          <w:ilvl w:val="0"/>
          <w:numId w:val="1"/>
        </w:numPr>
        <w:spacing w:before="120" w:line="320" w:lineRule="atLeast"/>
        <w:rPr>
          <w:color w:val="auto"/>
          <w:szCs w:val="21"/>
          <w:highlight w:val="none"/>
        </w:rPr>
      </w:pPr>
      <w:r>
        <w:rPr>
          <w:color w:val="auto"/>
          <w:szCs w:val="21"/>
          <w:highlight w:val="none"/>
        </w:rPr>
        <w:t>其他严重扰乱</w:t>
      </w:r>
      <w:r>
        <w:rPr>
          <w:rFonts w:hint="eastAsia"/>
          <w:color w:val="auto"/>
          <w:szCs w:val="21"/>
          <w:highlight w:val="none"/>
        </w:rPr>
        <w:t>征集活动</w:t>
      </w:r>
      <w:r>
        <w:rPr>
          <w:color w:val="auto"/>
          <w:szCs w:val="21"/>
          <w:highlight w:val="none"/>
        </w:rPr>
        <w:t>的</w:t>
      </w:r>
      <w:r>
        <w:rPr>
          <w:rFonts w:hint="eastAsia"/>
          <w:color w:val="auto"/>
          <w:szCs w:val="21"/>
          <w:highlight w:val="none"/>
        </w:rPr>
        <w:t>。</w:t>
      </w:r>
    </w:p>
    <w:p w14:paraId="4797EAE1">
      <w:pPr>
        <w:spacing w:before="120" w:line="320" w:lineRule="atLeast"/>
        <w:ind w:firstLine="422" w:firstLineChars="200"/>
        <w:outlineLvl w:val="3"/>
        <w:rPr>
          <w:b/>
          <w:bCs/>
          <w:color w:val="auto"/>
          <w:kern w:val="0"/>
          <w:szCs w:val="21"/>
          <w:highlight w:val="none"/>
        </w:rPr>
      </w:pPr>
      <w:bookmarkStart w:id="55" w:name="_Toc254970542"/>
      <w:bookmarkStart w:id="56" w:name="_Toc254970683"/>
      <w:r>
        <w:rPr>
          <w:rFonts w:hint="eastAsia"/>
          <w:b/>
          <w:bCs/>
          <w:color w:val="auto"/>
          <w:kern w:val="0"/>
          <w:szCs w:val="21"/>
          <w:highlight w:val="none"/>
        </w:rPr>
        <w:t>2</w:t>
      </w:r>
      <w:r>
        <w:rPr>
          <w:b/>
          <w:bCs/>
          <w:color w:val="auto"/>
          <w:kern w:val="0"/>
          <w:szCs w:val="21"/>
          <w:highlight w:val="none"/>
        </w:rPr>
        <w:t>.2.6响应文件的</w:t>
      </w:r>
      <w:bookmarkEnd w:id="55"/>
      <w:bookmarkEnd w:id="56"/>
      <w:r>
        <w:rPr>
          <w:b/>
          <w:bCs/>
          <w:color w:val="auto"/>
          <w:kern w:val="0"/>
          <w:szCs w:val="21"/>
          <w:highlight w:val="none"/>
        </w:rPr>
        <w:t>编制要求</w:t>
      </w:r>
    </w:p>
    <w:p w14:paraId="62DA4A43">
      <w:pPr>
        <w:spacing w:before="120" w:line="320" w:lineRule="atLeast"/>
        <w:ind w:firstLine="420" w:firstLineChars="200"/>
        <w:rPr>
          <w:b/>
          <w:bCs/>
          <w:color w:val="auto"/>
          <w:kern w:val="0"/>
          <w:szCs w:val="21"/>
          <w:highlight w:val="none"/>
        </w:rPr>
      </w:pPr>
      <w:r>
        <w:rPr>
          <w:rFonts w:hint="eastAsia"/>
          <w:color w:val="auto"/>
          <w:kern w:val="0"/>
          <w:szCs w:val="21"/>
          <w:highlight w:val="none"/>
        </w:rPr>
        <w:t>2</w:t>
      </w:r>
      <w:r>
        <w:rPr>
          <w:color w:val="auto"/>
          <w:kern w:val="0"/>
          <w:szCs w:val="21"/>
          <w:highlight w:val="none"/>
        </w:rPr>
        <w:t>.2.6.1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3D0621C1">
      <w:pPr>
        <w:spacing w:before="120" w:line="320" w:lineRule="atLeast"/>
        <w:ind w:firstLine="420" w:firstLineChars="200"/>
        <w:rPr>
          <w:color w:val="auto"/>
          <w:szCs w:val="21"/>
          <w:highlight w:val="none"/>
        </w:rPr>
      </w:pPr>
      <w:bookmarkStart w:id="57" w:name="_Hlk139297273"/>
      <w:r>
        <w:rPr>
          <w:rFonts w:hint="eastAsia"/>
          <w:color w:val="auto"/>
          <w:szCs w:val="21"/>
          <w:highlight w:val="none"/>
        </w:rPr>
        <w:t>2</w:t>
      </w:r>
      <w:r>
        <w:rPr>
          <w:color w:val="auto"/>
          <w:szCs w:val="21"/>
          <w:highlight w:val="none"/>
        </w:rPr>
        <w:t>.2.6.2供应商应按本</w:t>
      </w:r>
      <w:r>
        <w:rPr>
          <w:rFonts w:hint="eastAsia"/>
          <w:color w:val="auto"/>
          <w:szCs w:val="21"/>
          <w:highlight w:val="none"/>
        </w:rPr>
        <w:t>征集</w:t>
      </w:r>
      <w:r>
        <w:rPr>
          <w:color w:val="auto"/>
          <w:szCs w:val="21"/>
          <w:highlight w:val="none"/>
        </w:rPr>
        <w:t>文件规定的格式和顺序编制</w:t>
      </w:r>
      <w:r>
        <w:rPr>
          <w:rFonts w:hint="eastAsia"/>
          <w:color w:val="auto"/>
          <w:szCs w:val="21"/>
          <w:highlight w:val="none"/>
        </w:rPr>
        <w:t>响应</w:t>
      </w:r>
      <w:r>
        <w:rPr>
          <w:color w:val="auto"/>
          <w:szCs w:val="21"/>
          <w:highlight w:val="none"/>
        </w:rPr>
        <w:t>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征集文件的某项要求，供应商的响应文件未能关联定位提供相应的内容与其对应，则评审委员会在评审时如做出对供应商不利的评审由供应商自行承担。响应文件如内容不完整、编排混乱导致响应文件被误读、漏读，或者在按征集文件规定的部位查找不到相关内容的，由供应商自行承担。</w:t>
      </w:r>
    </w:p>
    <w:bookmarkEnd w:id="57"/>
    <w:p w14:paraId="0B2F46C9">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.2.6.3</w:t>
      </w:r>
      <w:r>
        <w:rPr>
          <w:rFonts w:hint="eastAsia"/>
          <w:color w:val="auto"/>
          <w:szCs w:val="21"/>
          <w:highlight w:val="none"/>
        </w:rPr>
        <w:t>为确保网上操作合法、有效和安全，供应商应当在响应文件递交截止时间前完成在“广西政府采购云”平台的身份认证，确保在电子响应过程中能够对相关数据电文进行加密和使用电子签名。</w:t>
      </w:r>
    </w:p>
    <w:p w14:paraId="0DC8F03F">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.2.6.4</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266AC9C4">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.2.7响应文件的递交、修改和撤回</w:t>
      </w:r>
    </w:p>
    <w:p w14:paraId="0E2448CE">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.2.7.1</w:t>
      </w:r>
      <w:r>
        <w:rPr>
          <w:rFonts w:hint="eastAsia"/>
          <w:color w:val="auto"/>
          <w:szCs w:val="21"/>
          <w:highlight w:val="none"/>
        </w:rPr>
        <w:t xml:space="preserve">供应商必须在供应商须知前附表规定的响应文件截标时间和截标地点提交电子版响应文件。电子响应文件应在制作完成后，在响应文件提交截止时间前通过有效数字证书（CA认证锁）进行电子签章、加密，然后通过网络将加密的电子响应文件递交至广西政府采购云平台。 </w:t>
      </w:r>
    </w:p>
    <w:p w14:paraId="37F51112">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.2.7.2</w:t>
      </w:r>
      <w:r>
        <w:rPr>
          <w:rFonts w:hint="eastAsia"/>
          <w:color w:val="auto"/>
          <w:szCs w:val="21"/>
          <w:highlight w:val="none"/>
        </w:rPr>
        <w:t xml:space="preserve">未在规定时间内提交或者未按照征集文件要求签章、加密的电子响应文件，广西政府采购云平台将拒收。 </w:t>
      </w:r>
    </w:p>
    <w:p w14:paraId="47DF8DEE">
      <w:pPr>
        <w:spacing w:before="120" w:line="320" w:lineRule="atLeast"/>
        <w:ind w:left="2" w:leftChars="1" w:firstLine="420" w:firstLineChars="200"/>
        <w:rPr>
          <w:color w:val="auto"/>
          <w:szCs w:val="21"/>
          <w:highlight w:val="none"/>
        </w:rPr>
      </w:pPr>
      <w:bookmarkStart w:id="58" w:name="_Toc254970685"/>
      <w:bookmarkStart w:id="59" w:name="_Toc254970544"/>
      <w:r>
        <w:rPr>
          <w:color w:val="auto"/>
          <w:szCs w:val="21"/>
          <w:highlight w:val="none"/>
        </w:rPr>
        <w:t>2.2.7.3</w:t>
      </w:r>
      <w:r>
        <w:rPr>
          <w:rFonts w:hint="eastAsia"/>
          <w:color w:val="auto"/>
          <w:szCs w:val="21"/>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广西政府采购云平台将拒收。</w:t>
      </w:r>
    </w:p>
    <w:p w14:paraId="3B05BC87">
      <w:pPr>
        <w:spacing w:before="120" w:line="320" w:lineRule="atLeast"/>
        <w:ind w:left="2" w:leftChars="1" w:firstLine="420" w:firstLineChars="200"/>
        <w:rPr>
          <w:color w:val="auto"/>
          <w:szCs w:val="21"/>
          <w:highlight w:val="none"/>
        </w:rPr>
      </w:pPr>
      <w:r>
        <w:rPr>
          <w:color w:val="auto"/>
          <w:szCs w:val="21"/>
          <w:highlight w:val="none"/>
        </w:rPr>
        <w:t>2.2.7.4</w:t>
      </w:r>
      <w:r>
        <w:rPr>
          <w:rFonts w:hint="eastAsia"/>
          <w:color w:val="auto"/>
          <w:szCs w:val="21"/>
          <w:highlight w:val="none"/>
        </w:rPr>
        <w:t>在响应文件提交截止时间前，除供应商补充、修改或者撤回响应文件外，任何单位和个人不得解密或提取响应文件。</w:t>
      </w:r>
    </w:p>
    <w:p w14:paraId="5777B3EE">
      <w:pPr>
        <w:spacing w:before="120" w:line="320" w:lineRule="atLeast"/>
        <w:ind w:left="2" w:leftChars="1" w:firstLine="420" w:firstLineChars="200"/>
        <w:rPr>
          <w:color w:val="auto"/>
          <w:szCs w:val="21"/>
          <w:highlight w:val="none"/>
        </w:rPr>
      </w:pPr>
      <w:r>
        <w:rPr>
          <w:color w:val="auto"/>
          <w:szCs w:val="21"/>
          <w:highlight w:val="none"/>
        </w:rPr>
        <w:t>2.2.7.5</w:t>
      </w:r>
      <w:r>
        <w:rPr>
          <w:rFonts w:hint="eastAsia"/>
          <w:color w:val="auto"/>
          <w:szCs w:val="21"/>
          <w:highlight w:val="none"/>
        </w:rPr>
        <w:t>在响应文件提交截止时间止提交电子版响应文件的供应商不足</w:t>
      </w:r>
      <w:r>
        <w:rPr>
          <w:color w:val="auto"/>
          <w:szCs w:val="21"/>
          <w:highlight w:val="none"/>
        </w:rPr>
        <w:t>2</w:t>
      </w:r>
      <w:r>
        <w:rPr>
          <w:rFonts w:hint="eastAsia"/>
          <w:color w:val="auto"/>
          <w:szCs w:val="21"/>
          <w:highlight w:val="none"/>
        </w:rPr>
        <w:t>家时，电子版响应文件由征集人在广西政府采购云平台操作退回，除此之外征集人对已提交的响应文件概不退回。</w:t>
      </w:r>
    </w:p>
    <w:p w14:paraId="2F79A115">
      <w:pPr>
        <w:spacing w:before="120" w:line="320" w:lineRule="atLeast"/>
        <w:ind w:left="2" w:leftChars="1" w:firstLine="420" w:firstLineChars="200"/>
        <w:rPr>
          <w:rFonts w:hint="eastAsia"/>
          <w:color w:val="auto"/>
          <w:szCs w:val="21"/>
          <w:highlight w:val="none"/>
        </w:rPr>
      </w:pPr>
      <w:r>
        <w:rPr>
          <w:color w:val="auto"/>
          <w:szCs w:val="21"/>
          <w:highlight w:val="none"/>
        </w:rPr>
        <w:t>2.2.7.6</w:t>
      </w:r>
      <w:r>
        <w:rPr>
          <w:rFonts w:hint="eastAsia"/>
          <w:color w:val="auto"/>
          <w:szCs w:val="21"/>
          <w:highlight w:val="none"/>
        </w:rPr>
        <w:t>征集文件</w:t>
      </w:r>
      <w:bookmarkStart w:id="60"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60"/>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p>
    <w:p w14:paraId="7E02AB74">
      <w:pPr>
        <w:spacing w:before="120" w:line="320" w:lineRule="atLeast"/>
        <w:ind w:left="2" w:leftChars="1" w:firstLine="422" w:firstLineChars="200"/>
        <w:outlineLvl w:val="2"/>
        <w:rPr>
          <w:b/>
          <w:bCs/>
          <w:color w:val="auto"/>
          <w:kern w:val="0"/>
          <w:szCs w:val="21"/>
          <w:highlight w:val="none"/>
        </w:rPr>
      </w:pPr>
      <w:r>
        <w:rPr>
          <w:b/>
          <w:bCs/>
          <w:color w:val="auto"/>
          <w:kern w:val="0"/>
          <w:szCs w:val="21"/>
          <w:highlight w:val="none"/>
        </w:rPr>
        <w:t>2.3截标</w:t>
      </w:r>
      <w:bookmarkEnd w:id="58"/>
      <w:bookmarkEnd w:id="59"/>
    </w:p>
    <w:p w14:paraId="459AAB6C">
      <w:pPr>
        <w:spacing w:before="120" w:line="320" w:lineRule="atLeast"/>
        <w:ind w:firstLine="422" w:firstLineChars="200"/>
        <w:outlineLvl w:val="3"/>
        <w:rPr>
          <w:b/>
          <w:bCs/>
          <w:color w:val="auto"/>
          <w:kern w:val="0"/>
          <w:szCs w:val="21"/>
          <w:highlight w:val="none"/>
        </w:rPr>
      </w:pPr>
      <w:r>
        <w:rPr>
          <w:b/>
          <w:bCs/>
          <w:color w:val="auto"/>
          <w:kern w:val="0"/>
          <w:szCs w:val="21"/>
          <w:highlight w:val="none"/>
        </w:rPr>
        <w:t>2.3.1截标准备</w:t>
      </w:r>
    </w:p>
    <w:p w14:paraId="3B6FEAE5">
      <w:pPr>
        <w:spacing w:before="120" w:line="276" w:lineRule="auto"/>
        <w:ind w:firstLine="420" w:firstLineChars="200"/>
        <w:rPr>
          <w:color w:val="auto"/>
          <w:szCs w:val="21"/>
          <w:highlight w:val="none"/>
        </w:rPr>
      </w:pPr>
      <w:r>
        <w:rPr>
          <w:color w:val="auto"/>
          <w:szCs w:val="21"/>
          <w:highlight w:val="none"/>
        </w:rPr>
        <w:t>本项目</w:t>
      </w:r>
      <w:r>
        <w:rPr>
          <w:rFonts w:hint="eastAsia"/>
          <w:color w:val="auto"/>
          <w:szCs w:val="21"/>
          <w:highlight w:val="none"/>
        </w:rPr>
        <w:t>响应文件提交</w:t>
      </w:r>
      <w:r>
        <w:rPr>
          <w:color w:val="auto"/>
          <w:szCs w:val="21"/>
          <w:highlight w:val="none"/>
        </w:rPr>
        <w:t>截止时间及地点见供应商须知前附表规定。</w:t>
      </w:r>
    </w:p>
    <w:p w14:paraId="095C69B3">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全流程电子化项目没有现场递交响应文件及现场截标环节。征集人将按照征集文件规定的时间通过广西政府采购云平台组织线上截标活动、开启响应文件，所有供应商均应当准时在线参加。供应商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0D00DDD9">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如供应商成功解密响应文件，但未在广西政府采购云平台电子截标大厅参加截标的，视同认可截标过程和结果，由此产生的后果由供应商自行负责。 </w:t>
      </w:r>
    </w:p>
    <w:p w14:paraId="55BE7B27">
      <w:pPr>
        <w:spacing w:before="120" w:line="320" w:lineRule="atLeast"/>
        <w:ind w:firstLine="422" w:firstLineChars="200"/>
        <w:outlineLvl w:val="3"/>
        <w:rPr>
          <w:b/>
          <w:bCs/>
          <w:color w:val="auto"/>
          <w:kern w:val="0"/>
          <w:szCs w:val="21"/>
          <w:highlight w:val="none"/>
        </w:rPr>
      </w:pPr>
      <w:r>
        <w:rPr>
          <w:b/>
          <w:bCs/>
          <w:color w:val="auto"/>
          <w:kern w:val="0"/>
          <w:szCs w:val="21"/>
          <w:highlight w:val="none"/>
        </w:rPr>
        <w:t>2.3.2截标程序</w:t>
      </w:r>
    </w:p>
    <w:p w14:paraId="48AD2D6F">
      <w:pPr>
        <w:spacing w:before="120" w:line="320" w:lineRule="atLeast"/>
        <w:ind w:firstLine="420" w:firstLineChars="200"/>
        <w:rPr>
          <w:color w:val="auto"/>
          <w:szCs w:val="21"/>
          <w:highlight w:val="none"/>
        </w:rPr>
      </w:pPr>
      <w:r>
        <w:rPr>
          <w:color w:val="auto"/>
          <w:szCs w:val="21"/>
          <w:highlight w:val="none"/>
        </w:rPr>
        <w:t>2.3.2.1</w:t>
      </w:r>
      <w:r>
        <w:rPr>
          <w:rFonts w:hint="eastAsia"/>
          <w:color w:val="auto"/>
          <w:szCs w:val="21"/>
          <w:highlight w:val="none"/>
        </w:rPr>
        <w:t>供应商登录广西政府采购云平台进入截标大厅签到。</w:t>
      </w:r>
    </w:p>
    <w:p w14:paraId="397761DB">
      <w:pPr>
        <w:spacing w:before="120" w:line="320" w:lineRule="atLeast"/>
        <w:ind w:firstLine="420" w:firstLineChars="200"/>
        <w:rPr>
          <w:color w:val="auto"/>
          <w:szCs w:val="21"/>
          <w:highlight w:val="none"/>
        </w:rPr>
      </w:pPr>
      <w:r>
        <w:rPr>
          <w:color w:val="auto"/>
          <w:szCs w:val="21"/>
          <w:highlight w:val="none"/>
        </w:rPr>
        <w:t>2.3.2.2</w:t>
      </w:r>
      <w:r>
        <w:rPr>
          <w:rFonts w:hint="eastAsia"/>
          <w:color w:val="auto"/>
          <w:szCs w:val="21"/>
          <w:highlight w:val="none"/>
        </w:rPr>
        <w:t>解密电子响应文件。广西政府采购云平台按截标时间自动提取所有响应文件。征集人在广西政府采购云平台向各供应商发出电子加密响应文件开始解密通知，由供应商平台设置时间内自行进行响应文件解密。供应商须使用加密时所用的CA锁准时登录到广西政府采购云平台电子截标大厅签到并对电子响应文件解密。截标后供应商未及时进行解密的，征集人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，或者供应商没预留联系方式或预留联系方式无效导致征集人无法联系到供应商的，均视为无效响应。</w:t>
      </w:r>
    </w:p>
    <w:p w14:paraId="6F56A5B1">
      <w:pPr>
        <w:spacing w:before="120" w:line="320" w:lineRule="atLeast"/>
        <w:ind w:firstLine="420" w:firstLineChars="200"/>
        <w:rPr>
          <w:rFonts w:hint="eastAsia"/>
          <w:color w:val="auto"/>
          <w:szCs w:val="21"/>
          <w:highlight w:val="none"/>
        </w:rPr>
      </w:pPr>
      <w:r>
        <w:rPr>
          <w:color w:val="auto"/>
          <w:szCs w:val="21"/>
          <w:highlight w:val="none"/>
        </w:rPr>
        <w:t>2.3.2.3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征集人（代理机构），由代理机构上传备份响应文件后自动解密从而避免被视为无效响应。是否接受备份响应文件详见供应商须知前附表，如接受备份文件，供应商未在规定时间内发送备份响应文件的将视为无效响应。</w:t>
      </w:r>
    </w:p>
    <w:p w14:paraId="078216D9">
      <w:pPr>
        <w:spacing w:before="120" w:line="320" w:lineRule="atLeast"/>
        <w:ind w:firstLine="420" w:firstLineChars="200"/>
        <w:rPr>
          <w:rFonts w:hint="eastAsia"/>
          <w:color w:val="auto"/>
          <w:szCs w:val="21"/>
          <w:highlight w:val="none"/>
        </w:rPr>
      </w:pPr>
      <w:r>
        <w:rPr>
          <w:rFonts w:hint="eastAsia"/>
          <w:color w:val="auto"/>
          <w:szCs w:val="21"/>
          <w:highlight w:val="none"/>
        </w:rPr>
        <w:t>2</w:t>
      </w:r>
      <w:r>
        <w:rPr>
          <w:color w:val="auto"/>
          <w:szCs w:val="21"/>
          <w:highlight w:val="none"/>
        </w:rPr>
        <w:t>.3.2.4</w:t>
      </w:r>
      <w:r>
        <w:rPr>
          <w:rFonts w:hint="eastAsia"/>
          <w:color w:val="auto"/>
          <w:szCs w:val="21"/>
          <w:highlight w:val="none"/>
        </w:rPr>
        <w:t>解密异常情况处理：详见本章</w:t>
      </w:r>
      <w:r>
        <w:rPr>
          <w:color w:val="auto"/>
          <w:szCs w:val="21"/>
          <w:highlight w:val="none"/>
        </w:rPr>
        <w:t>4.2</w:t>
      </w:r>
      <w:r>
        <w:rPr>
          <w:rFonts w:hint="eastAsia"/>
          <w:color w:val="auto"/>
          <w:szCs w:val="21"/>
          <w:highlight w:val="none"/>
        </w:rPr>
        <w:t>电子交易活动的中止。</w:t>
      </w:r>
    </w:p>
    <w:p w14:paraId="220FFEB1">
      <w:pPr>
        <w:spacing w:before="120" w:line="320" w:lineRule="atLeast"/>
        <w:ind w:firstLine="420" w:firstLineChars="200"/>
        <w:rPr>
          <w:color w:val="auto"/>
          <w:szCs w:val="21"/>
          <w:highlight w:val="none"/>
        </w:rPr>
      </w:pPr>
      <w:r>
        <w:rPr>
          <w:color w:val="auto"/>
          <w:szCs w:val="21"/>
          <w:highlight w:val="none"/>
        </w:rPr>
        <w:t>2.3.2.5</w:t>
      </w:r>
      <w:r>
        <w:rPr>
          <w:rFonts w:hint="eastAsia"/>
          <w:color w:val="auto"/>
          <w:szCs w:val="21"/>
          <w:highlight w:val="none"/>
        </w:rPr>
        <w:t>供应商对报价进行确认（如有）。</w:t>
      </w:r>
    </w:p>
    <w:p w14:paraId="3A851D19">
      <w:pPr>
        <w:spacing w:before="120" w:line="320" w:lineRule="atLeast"/>
        <w:ind w:firstLine="420" w:firstLineChars="200"/>
        <w:rPr>
          <w:color w:val="auto"/>
          <w:szCs w:val="21"/>
          <w:highlight w:val="none"/>
        </w:rPr>
      </w:pPr>
      <w:r>
        <w:rPr>
          <w:color w:val="auto"/>
          <w:szCs w:val="21"/>
          <w:highlight w:val="none"/>
        </w:rPr>
        <w:t>2.3.2.6截标结束。</w:t>
      </w:r>
    </w:p>
    <w:p w14:paraId="4BB705E6">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如遇广西政府采购云平台相关程序调整的，按调整后的程序执行。</w:t>
      </w:r>
    </w:p>
    <w:p w14:paraId="5F91D4E6">
      <w:pPr>
        <w:spacing w:before="120" w:line="320" w:lineRule="atLeast"/>
        <w:ind w:firstLine="422" w:firstLineChars="200"/>
        <w:outlineLvl w:val="3"/>
        <w:rPr>
          <w:b/>
          <w:bCs/>
          <w:color w:val="auto"/>
          <w:kern w:val="0"/>
          <w:szCs w:val="21"/>
          <w:highlight w:val="none"/>
        </w:rPr>
      </w:pPr>
      <w:r>
        <w:rPr>
          <w:b/>
          <w:bCs/>
          <w:color w:val="auto"/>
          <w:kern w:val="0"/>
          <w:szCs w:val="21"/>
          <w:highlight w:val="none"/>
        </w:rPr>
        <w:t>2.3.3演示</w:t>
      </w:r>
    </w:p>
    <w:p w14:paraId="346E306A">
      <w:pPr>
        <w:spacing w:before="120" w:line="320" w:lineRule="atLeast"/>
        <w:ind w:firstLine="420" w:firstLineChars="200"/>
        <w:rPr>
          <w:color w:val="auto"/>
          <w:szCs w:val="21"/>
          <w:highlight w:val="none"/>
        </w:rPr>
      </w:pPr>
      <w:r>
        <w:rPr>
          <w:color w:val="auto"/>
          <w:szCs w:val="21"/>
          <w:highlight w:val="none"/>
        </w:rPr>
        <w:t>2.3.3.1供应商须知前附表规定在截标会议结束后进行演示的，供应商应按规定进行演示。</w:t>
      </w:r>
    </w:p>
    <w:p w14:paraId="24E895CE">
      <w:pPr>
        <w:spacing w:before="120" w:line="320" w:lineRule="atLeast"/>
        <w:ind w:firstLine="420" w:firstLineChars="200"/>
        <w:rPr>
          <w:color w:val="auto"/>
          <w:szCs w:val="21"/>
          <w:highlight w:val="none"/>
        </w:rPr>
      </w:pPr>
      <w:r>
        <w:rPr>
          <w:color w:val="auto"/>
          <w:szCs w:val="21"/>
          <w:highlight w:val="none"/>
        </w:rPr>
        <w:t>2.3.3.2未按规定时间进行演示可能引起的演示分数被计为0分或响应无效等后果由供应商自行承担。</w:t>
      </w:r>
    </w:p>
    <w:p w14:paraId="7FA0373A">
      <w:pPr>
        <w:spacing w:before="120" w:line="320" w:lineRule="atLeast"/>
        <w:ind w:left="2" w:leftChars="1" w:firstLine="422" w:firstLineChars="200"/>
        <w:outlineLvl w:val="2"/>
        <w:rPr>
          <w:b/>
          <w:bCs/>
          <w:color w:val="auto"/>
          <w:kern w:val="0"/>
          <w:szCs w:val="21"/>
          <w:highlight w:val="none"/>
        </w:rPr>
      </w:pPr>
      <w:bookmarkStart w:id="61" w:name="_Toc254970545"/>
      <w:bookmarkStart w:id="62" w:name="_Toc254970686"/>
      <w:r>
        <w:rPr>
          <w:b/>
          <w:bCs/>
          <w:color w:val="auto"/>
          <w:kern w:val="0"/>
          <w:szCs w:val="21"/>
          <w:highlight w:val="none"/>
        </w:rPr>
        <w:t>2.4</w:t>
      </w:r>
      <w:r>
        <w:rPr>
          <w:rFonts w:hint="eastAsia"/>
          <w:b/>
          <w:bCs/>
          <w:color w:val="auto"/>
          <w:kern w:val="0"/>
          <w:szCs w:val="21"/>
          <w:highlight w:val="none"/>
        </w:rPr>
        <w:t>资格审查</w:t>
      </w:r>
    </w:p>
    <w:p w14:paraId="1DCC730D">
      <w:pPr>
        <w:spacing w:before="120" w:line="320" w:lineRule="atLeast"/>
        <w:ind w:firstLine="420" w:firstLineChars="200"/>
        <w:outlineLvl w:val="3"/>
        <w:rPr>
          <w:bCs/>
          <w:color w:val="auto"/>
          <w:kern w:val="0"/>
          <w:szCs w:val="21"/>
          <w:highlight w:val="none"/>
        </w:rPr>
      </w:pPr>
      <w:r>
        <w:rPr>
          <w:bCs/>
          <w:color w:val="auto"/>
          <w:kern w:val="0"/>
          <w:szCs w:val="21"/>
          <w:highlight w:val="none"/>
        </w:rPr>
        <w:t>2.4.1</w:t>
      </w:r>
      <w:r>
        <w:rPr>
          <w:rFonts w:hint="eastAsia"/>
          <w:bCs/>
          <w:color w:val="auto"/>
          <w:kern w:val="0"/>
          <w:szCs w:val="21"/>
          <w:highlight w:val="none"/>
        </w:rPr>
        <w:t>本项目采用资格后审方法。</w:t>
      </w:r>
      <w:r>
        <w:rPr>
          <w:color w:val="auto"/>
          <w:kern w:val="0"/>
          <w:szCs w:val="21"/>
          <w:highlight w:val="none"/>
        </w:rPr>
        <w:t>截标</w:t>
      </w:r>
      <w:r>
        <w:rPr>
          <w:rFonts w:ascii="宋体" w:hAnsi="宋体"/>
          <w:bCs/>
          <w:color w:val="auto"/>
          <w:szCs w:val="21"/>
          <w:highlight w:val="none"/>
        </w:rPr>
        <w:t>结束后，</w:t>
      </w:r>
      <w:r>
        <w:rPr>
          <w:rFonts w:hint="eastAsia" w:ascii="宋体" w:hAnsi="宋体"/>
          <w:bCs/>
          <w:color w:val="auto"/>
          <w:szCs w:val="21"/>
          <w:highlight w:val="none"/>
        </w:rPr>
        <w:t>征集人通过电子交易平台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是根据法律法规和征集文件的规定，对供应商的基本资格条件、特定资格条件进行审查。</w:t>
      </w:r>
    </w:p>
    <w:p w14:paraId="6B37C01A">
      <w:pPr>
        <w:spacing w:before="120" w:line="320" w:lineRule="atLeast"/>
        <w:ind w:firstLine="420" w:firstLineChars="200"/>
        <w:outlineLvl w:val="3"/>
        <w:rPr>
          <w:bCs/>
          <w:color w:val="auto"/>
          <w:kern w:val="0"/>
          <w:szCs w:val="21"/>
          <w:highlight w:val="none"/>
        </w:rPr>
      </w:pPr>
      <w:r>
        <w:rPr>
          <w:bCs/>
          <w:color w:val="auto"/>
          <w:kern w:val="0"/>
          <w:szCs w:val="21"/>
          <w:highlight w:val="none"/>
        </w:rPr>
        <w:t>2.4</w:t>
      </w:r>
      <w:r>
        <w:rPr>
          <w:rFonts w:hint="eastAsia"/>
          <w:bCs/>
          <w:color w:val="auto"/>
          <w:kern w:val="0"/>
          <w:szCs w:val="21"/>
          <w:highlight w:val="none"/>
        </w:rPr>
        <w:t>.</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34C647ED">
      <w:pPr>
        <w:spacing w:before="120" w:line="320" w:lineRule="atLeast"/>
        <w:ind w:firstLine="420" w:firstLineChars="200"/>
        <w:outlineLvl w:val="3"/>
        <w:rPr>
          <w:rFonts w:hint="eastAsia" w:hAnsi="宋体"/>
          <w:color w:val="auto"/>
          <w:highlight w:val="none"/>
        </w:rPr>
      </w:pPr>
      <w:r>
        <w:rPr>
          <w:bCs/>
          <w:color w:val="auto"/>
          <w:kern w:val="0"/>
          <w:szCs w:val="21"/>
          <w:highlight w:val="none"/>
        </w:rPr>
        <w:t>2.4.3</w:t>
      </w:r>
      <w:r>
        <w:rPr>
          <w:rFonts w:hint="eastAsia"/>
          <w:color w:val="auto"/>
          <w:kern w:val="0"/>
          <w:szCs w:val="21"/>
          <w:highlight w:val="none"/>
        </w:rPr>
        <w:t>信用</w:t>
      </w:r>
      <w:r>
        <w:rPr>
          <w:rFonts w:hint="eastAsia"/>
          <w:color w:val="auto"/>
          <w:szCs w:val="21"/>
          <w:highlight w:val="none"/>
        </w:rPr>
        <w:t>查询要求如下</w:t>
      </w:r>
      <w:r>
        <w:rPr>
          <w:rFonts w:hint="eastAsia" w:hAnsi="宋体"/>
          <w:color w:val="auto"/>
          <w:highlight w:val="none"/>
        </w:rPr>
        <w:t>（注： 广西政府采购云平台已与“信用中国”平台做接口，审查专家可直接在线查询）</w:t>
      </w:r>
    </w:p>
    <w:p w14:paraId="3187AFA9">
      <w:pPr>
        <w:spacing w:line="276" w:lineRule="auto"/>
        <w:ind w:firstLine="420" w:firstLineChars="200"/>
        <w:rPr>
          <w:rFonts w:hint="eastAsia"/>
          <w:color w:val="auto"/>
          <w:szCs w:val="21"/>
          <w:highlight w:val="none"/>
        </w:rPr>
      </w:pPr>
      <w:r>
        <w:rPr>
          <w:rFonts w:hint="eastAsia"/>
          <w:color w:val="auto"/>
          <w:highlight w:val="none"/>
        </w:rPr>
        <w:t>（1）</w:t>
      </w:r>
      <w:r>
        <w:rPr>
          <w:rFonts w:hint="eastAsia"/>
          <w:color w:val="auto"/>
          <w:szCs w:val="21"/>
          <w:highlight w:val="none"/>
        </w:rPr>
        <w:t>信用信息查询渠道：</w:t>
      </w:r>
    </w:p>
    <w:p w14:paraId="580675FB">
      <w:pPr>
        <w:spacing w:line="276" w:lineRule="auto"/>
        <w:ind w:firstLine="420" w:firstLineChars="200"/>
        <w:rPr>
          <w:color w:val="auto"/>
          <w:szCs w:val="21"/>
          <w:highlight w:val="none"/>
        </w:rPr>
      </w:pPr>
      <w:r>
        <w:rPr>
          <w:rFonts w:hint="eastAsia"/>
          <w:color w:val="auto"/>
          <w:szCs w:val="21"/>
          <w:highlight w:val="none"/>
        </w:rPr>
        <w:t xml:space="preserve">中国政府采购网 “政府采购严重违法失信行为记录名单” 信用中国网：“失信被执行人”、“重大税收违法失信主体”  </w:t>
      </w:r>
    </w:p>
    <w:p w14:paraId="0CD4AD6B">
      <w:pPr>
        <w:spacing w:line="276" w:lineRule="auto"/>
        <w:ind w:firstLine="420" w:firstLineChars="200"/>
        <w:rPr>
          <w:rFonts w:hint="eastAsia"/>
          <w:color w:val="auto"/>
          <w:szCs w:val="21"/>
          <w:highlight w:val="none"/>
        </w:rPr>
      </w:pPr>
      <w:r>
        <w:rPr>
          <w:rFonts w:hint="eastAsia"/>
          <w:color w:val="auto"/>
          <w:szCs w:val="21"/>
          <w:highlight w:val="none"/>
        </w:rPr>
        <w:t>（2）信用信息查询截止时点：征集公告发布后任1日。</w:t>
      </w:r>
    </w:p>
    <w:p w14:paraId="6343B79A">
      <w:pPr>
        <w:spacing w:line="276" w:lineRule="auto"/>
        <w:ind w:firstLine="420" w:firstLineChars="200"/>
        <w:rPr>
          <w:color w:val="auto"/>
          <w:szCs w:val="21"/>
          <w:highlight w:val="none"/>
        </w:rPr>
      </w:pPr>
      <w:r>
        <w:rPr>
          <w:rFonts w:hint="eastAsia"/>
          <w:color w:val="auto"/>
          <w:szCs w:val="21"/>
          <w:highlight w:val="none"/>
        </w:rPr>
        <w:t>（3）信用信息查询记录和证据留存的具体方式：通过广西政府采购云平台查询</w:t>
      </w:r>
    </w:p>
    <w:p w14:paraId="18D54FC5">
      <w:pPr>
        <w:spacing w:line="276" w:lineRule="auto"/>
        <w:ind w:firstLine="420" w:firstLineChars="200"/>
        <w:rPr>
          <w:color w:val="auto"/>
          <w:szCs w:val="21"/>
          <w:highlight w:val="none"/>
        </w:rPr>
      </w:pPr>
      <w:r>
        <w:rPr>
          <w:rFonts w:hint="eastAsia"/>
          <w:color w:val="auto"/>
          <w:szCs w:val="21"/>
          <w:highlight w:val="none"/>
        </w:rPr>
        <w:t>（4）信用信息的使用规则：供应商如被列入失信被执行人、重大税收违法失信主体、政府采购严重违法失信行为记录名单则资格审查不予通过，响应被否决。</w:t>
      </w:r>
      <w:r>
        <w:rPr>
          <w:color w:val="auto"/>
          <w:szCs w:val="21"/>
          <w:highlight w:val="none"/>
        </w:rPr>
        <w:t xml:space="preserve"> </w:t>
      </w:r>
    </w:p>
    <w:p w14:paraId="3948AEE7">
      <w:pPr>
        <w:spacing w:before="120" w:line="276" w:lineRule="auto"/>
        <w:ind w:firstLine="420" w:firstLineChars="200"/>
        <w:outlineLvl w:val="3"/>
        <w:rPr>
          <w:bCs/>
          <w:color w:val="auto"/>
          <w:kern w:val="0"/>
          <w:szCs w:val="21"/>
          <w:highlight w:val="none"/>
        </w:rPr>
      </w:pPr>
      <w:r>
        <w:rPr>
          <w:bCs/>
          <w:color w:val="auto"/>
          <w:kern w:val="0"/>
          <w:szCs w:val="21"/>
          <w:highlight w:val="none"/>
        </w:rPr>
        <w:t>2.4.4</w:t>
      </w:r>
      <w:r>
        <w:rPr>
          <w:rFonts w:hint="eastAsia"/>
          <w:bCs/>
          <w:color w:val="auto"/>
          <w:kern w:val="0"/>
          <w:szCs w:val="21"/>
          <w:highlight w:val="none"/>
        </w:rPr>
        <w:t>供应商有下列情形之一的，资格审查不合格，作无效响应处理：</w:t>
      </w:r>
    </w:p>
    <w:p w14:paraId="20233AF2">
      <w:pPr>
        <w:ind w:firstLine="420" w:firstLineChars="200"/>
        <w:rPr>
          <w:color w:val="auto"/>
          <w:szCs w:val="21"/>
          <w:highlight w:val="none"/>
        </w:rPr>
      </w:pPr>
      <w:r>
        <w:rPr>
          <w:rFonts w:hint="eastAsia"/>
          <w:color w:val="auto"/>
          <w:szCs w:val="21"/>
          <w:highlight w:val="none"/>
        </w:rPr>
        <w:t>（1）不具备征集文件中规定的资格要求或资格条件的；</w:t>
      </w:r>
    </w:p>
    <w:p w14:paraId="39F94AE6">
      <w:pPr>
        <w:spacing w:before="120"/>
        <w:ind w:firstLine="420" w:firstLineChars="200"/>
        <w:rPr>
          <w:color w:val="auto"/>
          <w:szCs w:val="21"/>
          <w:highlight w:val="none"/>
        </w:rPr>
      </w:pPr>
      <w:r>
        <w:rPr>
          <w:rFonts w:hint="eastAsia"/>
          <w:color w:val="auto"/>
          <w:szCs w:val="21"/>
          <w:highlight w:val="none"/>
        </w:rPr>
        <w:t>（2）响应文件缺少任何一项资格证明文件或不符合第四章评审方法及标准中资格审查标准规定的评审内容的；</w:t>
      </w:r>
    </w:p>
    <w:p w14:paraId="556C13AC">
      <w:pPr>
        <w:spacing w:before="120"/>
        <w:ind w:left="2" w:leftChars="1" w:firstLine="420" w:firstLineChars="200"/>
        <w:rPr>
          <w:rFonts w:hint="eastAsia"/>
          <w:bCs/>
          <w:color w:val="auto"/>
          <w:kern w:val="0"/>
          <w:szCs w:val="21"/>
          <w:highlight w:val="none"/>
        </w:rPr>
      </w:pPr>
      <w:r>
        <w:rPr>
          <w:rFonts w:hint="eastAsia"/>
          <w:bCs/>
          <w:color w:val="auto"/>
          <w:kern w:val="0"/>
          <w:szCs w:val="21"/>
          <w:highlight w:val="none"/>
        </w:rPr>
        <w:t>（3）资格审查合格的供应商不足</w:t>
      </w:r>
      <w:r>
        <w:rPr>
          <w:bCs/>
          <w:color w:val="auto"/>
          <w:kern w:val="0"/>
          <w:szCs w:val="21"/>
          <w:highlight w:val="none"/>
        </w:rPr>
        <w:t>2</w:t>
      </w:r>
      <w:r>
        <w:rPr>
          <w:rFonts w:hint="eastAsia"/>
          <w:bCs/>
          <w:color w:val="auto"/>
          <w:kern w:val="0"/>
          <w:szCs w:val="21"/>
          <w:highlight w:val="none"/>
        </w:rPr>
        <w:t>家的，不得</w:t>
      </w:r>
      <w:r>
        <w:rPr>
          <w:rFonts w:hint="eastAsia"/>
          <w:color w:val="auto"/>
          <w:highlight w:val="none"/>
        </w:rPr>
        <w:t>进行后续评审</w:t>
      </w:r>
      <w:r>
        <w:rPr>
          <w:rFonts w:hint="eastAsia"/>
          <w:bCs/>
          <w:color w:val="auto"/>
          <w:kern w:val="0"/>
          <w:szCs w:val="21"/>
          <w:highlight w:val="none"/>
        </w:rPr>
        <w:t>。</w:t>
      </w:r>
    </w:p>
    <w:p w14:paraId="415FA27B">
      <w:pPr>
        <w:spacing w:before="120" w:line="320" w:lineRule="atLeast"/>
        <w:ind w:left="2" w:leftChars="1" w:firstLine="422" w:firstLineChars="200"/>
        <w:outlineLvl w:val="2"/>
        <w:rPr>
          <w:b/>
          <w:bCs/>
          <w:color w:val="auto"/>
          <w:kern w:val="0"/>
          <w:szCs w:val="21"/>
          <w:highlight w:val="none"/>
        </w:rPr>
      </w:pPr>
      <w:r>
        <w:rPr>
          <w:b/>
          <w:bCs/>
          <w:color w:val="auto"/>
          <w:kern w:val="0"/>
          <w:szCs w:val="21"/>
          <w:highlight w:val="none"/>
        </w:rPr>
        <w:t>2.5评审</w:t>
      </w:r>
      <w:bookmarkEnd w:id="61"/>
      <w:bookmarkEnd w:id="62"/>
    </w:p>
    <w:p w14:paraId="4CC742EC">
      <w:pPr>
        <w:spacing w:before="120" w:line="320" w:lineRule="atLeast"/>
        <w:ind w:firstLine="422" w:firstLineChars="200"/>
        <w:outlineLvl w:val="3"/>
        <w:rPr>
          <w:b/>
          <w:bCs/>
          <w:color w:val="auto"/>
          <w:kern w:val="0"/>
          <w:szCs w:val="21"/>
          <w:highlight w:val="none"/>
        </w:rPr>
      </w:pPr>
      <w:bookmarkStart w:id="63" w:name="_Toc254970546"/>
      <w:bookmarkStart w:id="64" w:name="_Toc254970687"/>
      <w:r>
        <w:rPr>
          <w:b/>
          <w:bCs/>
          <w:color w:val="auto"/>
          <w:kern w:val="0"/>
          <w:szCs w:val="21"/>
          <w:highlight w:val="none"/>
        </w:rPr>
        <w:t>2.5.1评审委员会</w:t>
      </w:r>
      <w:r>
        <w:rPr>
          <w:rFonts w:hint="eastAsia"/>
          <w:b/>
          <w:bCs/>
          <w:color w:val="auto"/>
          <w:kern w:val="0"/>
          <w:szCs w:val="21"/>
          <w:highlight w:val="none"/>
        </w:rPr>
        <w:t>及评审原则</w:t>
      </w:r>
    </w:p>
    <w:p w14:paraId="2C4C1169">
      <w:pPr>
        <w:spacing w:before="120" w:line="320" w:lineRule="atLeast"/>
        <w:ind w:firstLine="420" w:firstLineChars="200"/>
        <w:rPr>
          <w:color w:val="auto"/>
          <w:szCs w:val="21"/>
          <w:highlight w:val="none"/>
        </w:rPr>
      </w:pPr>
      <w:r>
        <w:rPr>
          <w:color w:val="auto"/>
          <w:szCs w:val="21"/>
          <w:highlight w:val="none"/>
        </w:rPr>
        <w:t>2.5</w:t>
      </w:r>
      <w:r>
        <w:rPr>
          <w:rFonts w:hint="eastAsia"/>
          <w:color w:val="auto"/>
          <w:szCs w:val="21"/>
          <w:highlight w:val="none"/>
        </w:rPr>
        <w:t>.1.1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5C0CA2A7">
      <w:pPr>
        <w:spacing w:before="120" w:line="320" w:lineRule="atLeast"/>
        <w:ind w:firstLine="420" w:firstLineChars="200"/>
        <w:rPr>
          <w:color w:val="auto"/>
          <w:szCs w:val="21"/>
          <w:highlight w:val="none"/>
        </w:rPr>
      </w:pPr>
      <w:r>
        <w:rPr>
          <w:color w:val="auto"/>
          <w:szCs w:val="21"/>
          <w:highlight w:val="none"/>
        </w:rPr>
        <w:t>2.5</w:t>
      </w:r>
      <w:r>
        <w:rPr>
          <w:rFonts w:hint="eastAsia"/>
          <w:color w:val="auto"/>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3044A75D">
      <w:pPr>
        <w:spacing w:before="120" w:line="320" w:lineRule="atLeast"/>
        <w:ind w:firstLine="420" w:firstLineChars="200"/>
        <w:rPr>
          <w:color w:val="auto"/>
          <w:szCs w:val="21"/>
          <w:highlight w:val="none"/>
        </w:rPr>
      </w:pPr>
      <w:r>
        <w:rPr>
          <w:color w:val="auto"/>
          <w:szCs w:val="21"/>
          <w:highlight w:val="none"/>
        </w:rPr>
        <w:t>2.5</w:t>
      </w:r>
      <w:r>
        <w:rPr>
          <w:rFonts w:hint="eastAsia"/>
          <w:color w:val="auto"/>
          <w:szCs w:val="21"/>
          <w:highlight w:val="none"/>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BF667CC">
      <w:pPr>
        <w:spacing w:before="120" w:line="320" w:lineRule="atLeast"/>
        <w:ind w:firstLine="420" w:firstLineChars="200"/>
        <w:rPr>
          <w:color w:val="auto"/>
          <w:szCs w:val="21"/>
          <w:highlight w:val="none"/>
        </w:rPr>
      </w:pPr>
      <w:r>
        <w:rPr>
          <w:color w:val="auto"/>
          <w:szCs w:val="21"/>
          <w:highlight w:val="none"/>
        </w:rPr>
        <w:t>2.5</w:t>
      </w:r>
      <w:r>
        <w:rPr>
          <w:rFonts w:hint="eastAsia"/>
          <w:color w:val="auto"/>
          <w:szCs w:val="21"/>
          <w:highlight w:val="none"/>
        </w:rPr>
        <w:t>.1.4本项目评审过程实行全程网上留痕及录音、录像监控，供应商在评审过程中所进行的试图影响评审结果的不公正活动，可能导致其响应按无效处理。</w:t>
      </w:r>
    </w:p>
    <w:p w14:paraId="03022021">
      <w:pPr>
        <w:spacing w:before="120" w:line="320" w:lineRule="atLeast"/>
        <w:ind w:firstLine="422" w:firstLineChars="200"/>
        <w:outlineLvl w:val="3"/>
        <w:rPr>
          <w:b/>
          <w:bCs/>
          <w:color w:val="auto"/>
          <w:kern w:val="0"/>
          <w:szCs w:val="21"/>
          <w:highlight w:val="none"/>
        </w:rPr>
      </w:pPr>
      <w:r>
        <w:rPr>
          <w:b/>
          <w:bCs/>
          <w:color w:val="auto"/>
          <w:kern w:val="0"/>
          <w:szCs w:val="21"/>
          <w:highlight w:val="none"/>
        </w:rPr>
        <w:t>2.5.2</w:t>
      </w:r>
      <w:r>
        <w:rPr>
          <w:rFonts w:hint="eastAsia"/>
          <w:b/>
          <w:bCs/>
          <w:color w:val="auto"/>
          <w:kern w:val="0"/>
          <w:szCs w:val="21"/>
          <w:highlight w:val="none"/>
        </w:rPr>
        <w:t>评审方法及依据</w:t>
      </w:r>
    </w:p>
    <w:p w14:paraId="453C5B42">
      <w:pPr>
        <w:spacing w:before="120" w:line="320" w:lineRule="atLeast"/>
        <w:ind w:firstLine="420" w:firstLineChars="200"/>
        <w:rPr>
          <w:bCs/>
          <w:color w:val="auto"/>
          <w:kern w:val="0"/>
          <w:szCs w:val="21"/>
          <w:highlight w:val="none"/>
        </w:rPr>
      </w:pPr>
      <w:r>
        <w:rPr>
          <w:bCs/>
          <w:color w:val="auto"/>
          <w:kern w:val="0"/>
          <w:szCs w:val="21"/>
          <w:highlight w:val="none"/>
        </w:rPr>
        <w:t>2.5.2.1</w:t>
      </w:r>
      <w:r>
        <w:rPr>
          <w:rFonts w:hint="eastAsia"/>
          <w:bCs/>
          <w:color w:val="auto"/>
          <w:kern w:val="0"/>
          <w:szCs w:val="21"/>
          <w:highlight w:val="none"/>
        </w:rPr>
        <w:t>本项目采用第四章评审方法及标准规定的方法进行评审。</w:t>
      </w:r>
    </w:p>
    <w:p w14:paraId="2011BB61">
      <w:pPr>
        <w:suppressAutoHyphens/>
        <w:spacing w:before="120" w:line="320" w:lineRule="atLeast"/>
        <w:ind w:firstLine="420" w:firstLineChars="200"/>
        <w:rPr>
          <w:bCs/>
          <w:color w:val="auto"/>
          <w:kern w:val="0"/>
          <w:szCs w:val="21"/>
          <w:highlight w:val="none"/>
        </w:rPr>
      </w:pPr>
      <w:r>
        <w:rPr>
          <w:bCs/>
          <w:color w:val="auto"/>
          <w:kern w:val="0"/>
          <w:szCs w:val="21"/>
          <w:highlight w:val="none"/>
        </w:rPr>
        <w:t>2.5.2.2</w:t>
      </w:r>
      <w:r>
        <w:rPr>
          <w:rFonts w:hint="eastAsia"/>
          <w:color w:val="auto"/>
          <w:highlight w:val="none"/>
        </w:rPr>
        <w:t>评审委员会</w:t>
      </w:r>
      <w:r>
        <w:rPr>
          <w:color w:val="auto"/>
          <w:highlight w:val="none"/>
        </w:rPr>
        <w:t>以</w:t>
      </w:r>
      <w:r>
        <w:rPr>
          <w:rFonts w:hint="eastAsia"/>
          <w:color w:val="auto"/>
          <w:highlight w:val="none"/>
        </w:rPr>
        <w:t>征集文件</w:t>
      </w:r>
      <w:r>
        <w:rPr>
          <w:color w:val="auto"/>
          <w:highlight w:val="none"/>
        </w:rPr>
        <w:t>、补充文件、</w:t>
      </w:r>
      <w:r>
        <w:rPr>
          <w:rFonts w:hint="eastAsia"/>
          <w:color w:val="auto"/>
          <w:highlight w:val="none"/>
        </w:rPr>
        <w:t>响应文件</w:t>
      </w:r>
      <w:r>
        <w:rPr>
          <w:color w:val="auto"/>
          <w:highlight w:val="none"/>
        </w:rPr>
        <w:t>、澄清及答复为评审依据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3A210D87">
      <w:pPr>
        <w:spacing w:before="120" w:line="320" w:lineRule="atLeast"/>
        <w:ind w:firstLine="422" w:firstLineChars="200"/>
        <w:outlineLvl w:val="3"/>
        <w:rPr>
          <w:b/>
          <w:bCs/>
          <w:color w:val="auto"/>
          <w:kern w:val="0"/>
          <w:szCs w:val="21"/>
          <w:highlight w:val="none"/>
        </w:rPr>
      </w:pPr>
      <w:r>
        <w:rPr>
          <w:b/>
          <w:bCs/>
          <w:color w:val="auto"/>
          <w:kern w:val="0"/>
          <w:szCs w:val="21"/>
          <w:highlight w:val="none"/>
        </w:rPr>
        <w:t>2.5.3评审</w:t>
      </w:r>
      <w:r>
        <w:rPr>
          <w:rFonts w:hint="eastAsia"/>
          <w:b/>
          <w:bCs/>
          <w:color w:val="auto"/>
          <w:kern w:val="0"/>
          <w:szCs w:val="21"/>
          <w:highlight w:val="none"/>
        </w:rPr>
        <w:t>程序</w:t>
      </w:r>
    </w:p>
    <w:p w14:paraId="70741C40">
      <w:pPr>
        <w:spacing w:before="120" w:line="320" w:lineRule="atLeast"/>
        <w:ind w:firstLine="420" w:firstLineChars="200"/>
        <w:rPr>
          <w:color w:val="auto"/>
          <w:highlight w:val="none"/>
        </w:rPr>
      </w:pPr>
      <w:r>
        <w:rPr>
          <w:color w:val="auto"/>
          <w:highlight w:val="none"/>
        </w:rPr>
        <w:t>2.5.3.1</w:t>
      </w:r>
      <w:r>
        <w:rPr>
          <w:rFonts w:hint="eastAsia"/>
          <w:color w:val="auto"/>
          <w:highlight w:val="none"/>
        </w:rPr>
        <w:t>符合性审查</w:t>
      </w:r>
    </w:p>
    <w:p w14:paraId="782A2336">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的响应文件进行报价（如有）、商务资信、技术等方面实质性内容进行符合性审查，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p w14:paraId="23480A70">
      <w:pPr>
        <w:spacing w:before="120" w:line="320" w:lineRule="atLeast"/>
        <w:ind w:firstLine="420" w:firstLineChars="200"/>
        <w:rPr>
          <w:color w:val="auto"/>
          <w:highlight w:val="none"/>
        </w:rPr>
      </w:pPr>
      <w:bookmarkStart w:id="65" w:name="_Hlk19176155"/>
      <w:r>
        <w:rPr>
          <w:color w:val="auto"/>
          <w:highlight w:val="none"/>
        </w:rPr>
        <w:t>2.5.3.2澄清、说明或补正</w:t>
      </w:r>
    </w:p>
    <w:p w14:paraId="154F9CC0">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评审委员会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6697B2FC">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6663D0EE">
      <w:pPr>
        <w:spacing w:before="120" w:line="320" w:lineRule="atLeast"/>
        <w:ind w:firstLine="420" w:firstLineChars="200"/>
        <w:rPr>
          <w:color w:val="auto"/>
          <w:highlight w:val="none"/>
        </w:rPr>
      </w:pPr>
      <w:r>
        <w:rPr>
          <w:color w:val="auto"/>
          <w:highlight w:val="none"/>
        </w:rPr>
        <w:t>2.5.3.3</w:t>
      </w:r>
      <w:r>
        <w:rPr>
          <w:rFonts w:hint="eastAsia"/>
          <w:color w:val="auto"/>
          <w:highlight w:val="none"/>
        </w:rPr>
        <w:t>报价</w:t>
      </w:r>
      <w:r>
        <w:rPr>
          <w:color w:val="auto"/>
          <w:highlight w:val="none"/>
        </w:rPr>
        <w:t>修正</w:t>
      </w:r>
      <w:r>
        <w:rPr>
          <w:rFonts w:hint="eastAsia"/>
          <w:b/>
          <w:bCs/>
          <w:color w:val="auto"/>
          <w:kern w:val="0"/>
          <w:szCs w:val="21"/>
          <w:highlight w:val="none"/>
        </w:rPr>
        <w:t>（如本项目需要报价时）</w:t>
      </w:r>
    </w:p>
    <w:p w14:paraId="5DB29832">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65B7BE83">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响应文件中截标一览表（报价表）内容与响应文件中相应内容不一致的，以截标一览表（报价表）为准；</w:t>
      </w:r>
    </w:p>
    <w:p w14:paraId="07549D89">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53D27B06">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单价金额小数点或者百分比有明显错位的，以截标一览表的总价为准，并修改单价；</w:t>
      </w:r>
    </w:p>
    <w:p w14:paraId="091A244F">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1EE51CFC">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2.5.3.2</w:t>
      </w:r>
      <w:r>
        <w:rPr>
          <w:rFonts w:hint="eastAsia"/>
          <w:color w:val="auto"/>
          <w:szCs w:val="21"/>
          <w:highlight w:val="none"/>
        </w:rPr>
        <w:t>澄清、说明或补正”的规定经供应商确认后产生约束力，供应商不确认的，其响应无效。</w:t>
      </w:r>
    </w:p>
    <w:p w14:paraId="2918151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）评审委员会认为供应商的报价明显低于其他通过符合性审查供应商的报价，有可能影响产品质量或者不能诚信履约的，应当要求其在合理的时间内提交相关书面证明材料；书面证明应当按照上述“</w:t>
      </w:r>
      <w:r>
        <w:rPr>
          <w:color w:val="auto"/>
          <w:szCs w:val="21"/>
          <w:highlight w:val="none"/>
        </w:rPr>
        <w:t>2.5.3.2</w:t>
      </w:r>
      <w:r>
        <w:rPr>
          <w:rFonts w:hint="eastAsia"/>
          <w:color w:val="auto"/>
          <w:szCs w:val="21"/>
          <w:highlight w:val="none"/>
        </w:rPr>
        <w:t>澄清、说明或补正”的规定提交。供应商未按规定提交或不能证明其报价合理性的，评审委员会应当将其作为无效响应处理。</w:t>
      </w:r>
    </w:p>
    <w:p w14:paraId="26EA281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 经供应商确认修正后的报价若超过采购预算金额或者最高限制单价，其响应文件作无效响应处理。</w:t>
      </w:r>
    </w:p>
    <w:p w14:paraId="2ABA0CC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）经供应产确认修正后的报价作为签订框架协议的依据。</w:t>
      </w:r>
    </w:p>
    <w:bookmarkEnd w:id="65"/>
    <w:p w14:paraId="54CCCF40">
      <w:pPr>
        <w:spacing w:before="120" w:line="320" w:lineRule="atLeast"/>
        <w:ind w:firstLine="420" w:firstLineChars="200"/>
        <w:rPr>
          <w:rFonts w:hint="eastAsia"/>
          <w:color w:val="auto"/>
          <w:szCs w:val="21"/>
          <w:highlight w:val="none"/>
        </w:rPr>
      </w:pPr>
      <w:r>
        <w:rPr>
          <w:color w:val="auto"/>
          <w:szCs w:val="21"/>
          <w:highlight w:val="none"/>
        </w:rPr>
        <w:t>2.5.3.4串通</w:t>
      </w:r>
      <w:r>
        <w:rPr>
          <w:rFonts w:hint="eastAsia"/>
          <w:color w:val="auto"/>
          <w:szCs w:val="21"/>
          <w:highlight w:val="none"/>
        </w:rPr>
        <w:t>投标</w:t>
      </w:r>
      <w:r>
        <w:rPr>
          <w:color w:val="auto"/>
          <w:szCs w:val="21"/>
          <w:highlight w:val="none"/>
        </w:rPr>
        <w:t>认定</w:t>
      </w:r>
    </w:p>
    <w:p w14:paraId="7EF1A599">
      <w:pPr>
        <w:spacing w:before="120" w:line="320" w:lineRule="atLeast"/>
        <w:ind w:firstLine="420" w:firstLineChars="200"/>
        <w:rPr>
          <w:rFonts w:hint="eastAsia"/>
          <w:color w:val="auto"/>
          <w:szCs w:val="21"/>
          <w:highlight w:val="none"/>
        </w:rPr>
      </w:pPr>
      <w:bookmarkStart w:id="66" w:name="_Hlk19122095"/>
      <w:r>
        <w:rPr>
          <w:rFonts w:hint="eastAsia"/>
          <w:color w:val="auto"/>
          <w:szCs w:val="21"/>
          <w:highlight w:val="none"/>
        </w:rPr>
        <w:t>评审委员会须根据以下规定认定供应商是否有串通投标的行为。</w:t>
      </w:r>
    </w:p>
    <w:p w14:paraId="3BB368E7">
      <w:pPr>
        <w:spacing w:before="120" w:line="320" w:lineRule="atLeast"/>
        <w:ind w:firstLine="420" w:firstLineChars="200"/>
        <w:rPr>
          <w:rFonts w:hint="eastAsia"/>
          <w:color w:val="auto"/>
          <w:szCs w:val="21"/>
          <w:highlight w:val="none"/>
        </w:rPr>
      </w:pPr>
      <w:r>
        <w:rPr>
          <w:rFonts w:hint="eastAsia"/>
          <w:color w:val="auto"/>
          <w:szCs w:val="21"/>
          <w:highlight w:val="none"/>
        </w:rPr>
        <w:t>（1）根据《关于防治政府采购招标中串通投标行为的通知》（桂财采[2016]42号）规定，出现下述情况的，相关供应商的投标作无效投标处理。</w:t>
      </w:r>
    </w:p>
    <w:p w14:paraId="370199DA">
      <w:pPr>
        <w:spacing w:before="120" w:line="320" w:lineRule="atLeast"/>
        <w:ind w:firstLine="420" w:firstLineChars="200"/>
        <w:rPr>
          <w:rFonts w:hint="eastAsia"/>
          <w:color w:val="auto"/>
          <w:szCs w:val="21"/>
          <w:highlight w:val="none"/>
        </w:rPr>
      </w:pPr>
      <w:r>
        <w:rPr>
          <w:rFonts w:hint="eastAsia"/>
          <w:color w:val="auto"/>
          <w:szCs w:val="21"/>
          <w:highlight w:val="none"/>
        </w:rPr>
        <w:t>①单位负责人为同一人或者存在直接控股、管理关系，参加同一合同项下政府采购活动的不同供应商。</w:t>
      </w:r>
    </w:p>
    <w:p w14:paraId="188208F4">
      <w:pPr>
        <w:spacing w:before="120" w:line="320" w:lineRule="atLeast"/>
        <w:ind w:firstLine="420" w:firstLineChars="200"/>
        <w:rPr>
          <w:rFonts w:hint="eastAsia"/>
          <w:color w:val="auto"/>
          <w:szCs w:val="21"/>
          <w:highlight w:val="none"/>
        </w:rPr>
      </w:pPr>
      <w:r>
        <w:rPr>
          <w:rFonts w:hint="eastAsia"/>
          <w:color w:val="auto"/>
          <w:szCs w:val="21"/>
          <w:highlight w:val="none"/>
        </w:rPr>
        <w:t>②授权给供应商后参加同一合同项（分标、分包）投标的生产厂商。</w:t>
      </w:r>
    </w:p>
    <w:p w14:paraId="1F6C4BC4">
      <w:pPr>
        <w:spacing w:before="120" w:line="320" w:lineRule="atLeast"/>
        <w:ind w:firstLine="420" w:firstLineChars="200"/>
        <w:rPr>
          <w:rFonts w:hint="eastAsia"/>
          <w:color w:val="auto"/>
          <w:szCs w:val="21"/>
          <w:highlight w:val="none"/>
        </w:rPr>
      </w:pPr>
      <w:r>
        <w:rPr>
          <w:rFonts w:hint="eastAsia"/>
          <w:color w:val="auto"/>
          <w:szCs w:val="21"/>
          <w:highlight w:val="none"/>
        </w:rPr>
        <w:t>③视为或被认定为串通投标的相关供应商。</w:t>
      </w:r>
    </w:p>
    <w:p w14:paraId="0F17B92F">
      <w:pPr>
        <w:spacing w:before="120" w:line="320" w:lineRule="atLeast"/>
        <w:ind w:firstLine="420" w:firstLineChars="200"/>
        <w:rPr>
          <w:rFonts w:hint="eastAsia"/>
          <w:color w:val="auto"/>
          <w:szCs w:val="21"/>
          <w:highlight w:val="none"/>
        </w:rPr>
      </w:pPr>
      <w:r>
        <w:rPr>
          <w:rFonts w:hint="eastAsia"/>
          <w:color w:val="auto"/>
          <w:szCs w:val="21"/>
          <w:highlight w:val="none"/>
        </w:rPr>
        <w:t>（2）根据《关于防治政府采购招标中串通投标行为的通知》（桂财采[2016]42号）规定，有下列情形之一的视为供应商相互串通投标，投标文件将被视为无效。</w:t>
      </w:r>
    </w:p>
    <w:p w14:paraId="39C0A915">
      <w:pPr>
        <w:spacing w:before="120" w:line="320" w:lineRule="atLeast"/>
        <w:ind w:firstLine="420" w:firstLineChars="200"/>
        <w:rPr>
          <w:rFonts w:hint="eastAsia"/>
          <w:color w:val="auto"/>
          <w:szCs w:val="21"/>
          <w:highlight w:val="none"/>
        </w:rPr>
      </w:pPr>
      <w:r>
        <w:rPr>
          <w:rFonts w:hint="eastAsia"/>
          <w:color w:val="auto"/>
          <w:szCs w:val="21"/>
          <w:highlight w:val="none"/>
        </w:rPr>
        <w:t>①不同供应商的投标文件由同一单位或者个人编制；或不同供应商报名的IP地址一致的；</w:t>
      </w:r>
    </w:p>
    <w:p w14:paraId="14F5714E">
      <w:pPr>
        <w:spacing w:before="120" w:line="320" w:lineRule="atLeast"/>
        <w:ind w:firstLine="420" w:firstLineChars="200"/>
        <w:rPr>
          <w:rFonts w:hint="eastAsia"/>
          <w:color w:val="auto"/>
          <w:szCs w:val="21"/>
          <w:highlight w:val="none"/>
        </w:rPr>
      </w:pPr>
      <w:r>
        <w:rPr>
          <w:rFonts w:hint="eastAsia"/>
          <w:color w:val="auto"/>
          <w:szCs w:val="21"/>
          <w:highlight w:val="none"/>
        </w:rPr>
        <w:t>②不同供应商委托同一单位或者个人办理投标事宜；</w:t>
      </w:r>
    </w:p>
    <w:p w14:paraId="5FA19A9F">
      <w:pPr>
        <w:spacing w:before="120" w:line="320" w:lineRule="atLeast"/>
        <w:ind w:firstLine="420" w:firstLineChars="200"/>
        <w:rPr>
          <w:rFonts w:hint="eastAsia"/>
          <w:color w:val="auto"/>
          <w:szCs w:val="21"/>
          <w:highlight w:val="none"/>
        </w:rPr>
      </w:pPr>
      <w:r>
        <w:rPr>
          <w:rFonts w:hint="eastAsia"/>
          <w:color w:val="auto"/>
          <w:szCs w:val="21"/>
          <w:highlight w:val="none"/>
        </w:rPr>
        <w:t>③不同的供应商的投标文件载明的项目管理员为同一个人；</w:t>
      </w:r>
    </w:p>
    <w:p w14:paraId="2A69BB57">
      <w:pPr>
        <w:spacing w:before="120" w:line="320" w:lineRule="atLeast"/>
        <w:ind w:firstLine="420" w:firstLineChars="200"/>
        <w:rPr>
          <w:rFonts w:hint="eastAsia"/>
          <w:color w:val="auto"/>
          <w:szCs w:val="21"/>
          <w:highlight w:val="none"/>
        </w:rPr>
      </w:pPr>
      <w:r>
        <w:rPr>
          <w:rFonts w:hint="eastAsia"/>
          <w:color w:val="auto"/>
          <w:szCs w:val="21"/>
          <w:highlight w:val="none"/>
        </w:rPr>
        <w:t>④不同供应商的投标文件异常一致或投标报价呈规律性差异；</w:t>
      </w:r>
    </w:p>
    <w:p w14:paraId="67EEF4B0">
      <w:pPr>
        <w:spacing w:before="120" w:line="320" w:lineRule="atLeast"/>
        <w:ind w:firstLine="420" w:firstLineChars="200"/>
        <w:rPr>
          <w:rFonts w:hint="eastAsia"/>
          <w:color w:val="auto"/>
          <w:szCs w:val="21"/>
          <w:highlight w:val="none"/>
        </w:rPr>
      </w:pPr>
      <w:r>
        <w:rPr>
          <w:rFonts w:hint="eastAsia"/>
          <w:color w:val="auto"/>
          <w:szCs w:val="21"/>
          <w:highlight w:val="none"/>
        </w:rPr>
        <w:t>⑤不同供应商的投标文件相互混装；</w:t>
      </w:r>
    </w:p>
    <w:p w14:paraId="008754BE">
      <w:pPr>
        <w:spacing w:before="120" w:line="320" w:lineRule="atLeast"/>
        <w:ind w:firstLine="420" w:firstLineChars="200"/>
        <w:rPr>
          <w:rFonts w:hint="eastAsia"/>
          <w:color w:val="auto"/>
          <w:szCs w:val="21"/>
          <w:highlight w:val="none"/>
        </w:rPr>
      </w:pPr>
      <w:r>
        <w:rPr>
          <w:rFonts w:hint="eastAsia"/>
          <w:color w:val="auto"/>
          <w:szCs w:val="21"/>
          <w:highlight w:val="none"/>
        </w:rPr>
        <w:t>⑥不同供应商的保证金从同一单位或者个人账户转出。</w:t>
      </w:r>
    </w:p>
    <w:p w14:paraId="32558D52">
      <w:pPr>
        <w:spacing w:before="120" w:line="320" w:lineRule="atLeast"/>
        <w:ind w:firstLine="420" w:firstLineChars="200"/>
        <w:rPr>
          <w:rFonts w:hint="eastAsia"/>
          <w:color w:val="auto"/>
          <w:szCs w:val="21"/>
          <w:highlight w:val="none"/>
        </w:rPr>
      </w:pPr>
      <w:r>
        <w:rPr>
          <w:rFonts w:hint="eastAsia"/>
          <w:color w:val="auto"/>
          <w:szCs w:val="21"/>
          <w:highlight w:val="none"/>
        </w:rPr>
        <w:t>（3）根据《关于防治政府采购招标中串通投标行为的通知》（桂财采[2016]42号）规定，供应商有下列情形之一的，属于恶意串通行为，投标文件将被视为无效。</w:t>
      </w:r>
    </w:p>
    <w:p w14:paraId="61A4A661">
      <w:pPr>
        <w:spacing w:before="120" w:line="320" w:lineRule="atLeast"/>
        <w:ind w:firstLine="420" w:firstLineChars="200"/>
        <w:rPr>
          <w:rFonts w:hint="eastAsia"/>
          <w:color w:val="auto"/>
          <w:szCs w:val="21"/>
          <w:highlight w:val="none"/>
        </w:rPr>
      </w:pPr>
      <w:r>
        <w:rPr>
          <w:rFonts w:hint="eastAsia"/>
          <w:color w:val="auto"/>
          <w:szCs w:val="21"/>
          <w:highlight w:val="none"/>
        </w:rPr>
        <w:t>①供应商直接或者间接从采购人或者采购代理机构处获得其他供应商的相关信息并修改其投标文件或者响应文件；</w:t>
      </w:r>
    </w:p>
    <w:p w14:paraId="624A0CBA">
      <w:pPr>
        <w:spacing w:before="120" w:line="320" w:lineRule="atLeast"/>
        <w:ind w:firstLine="420" w:firstLineChars="200"/>
        <w:rPr>
          <w:rFonts w:hint="eastAsia"/>
          <w:color w:val="auto"/>
          <w:szCs w:val="21"/>
          <w:highlight w:val="none"/>
        </w:rPr>
      </w:pPr>
      <w:r>
        <w:rPr>
          <w:rFonts w:hint="eastAsia"/>
          <w:color w:val="auto"/>
          <w:szCs w:val="21"/>
          <w:highlight w:val="none"/>
        </w:rPr>
        <w:t>②供应商按照采购人或者采购代理机构的授意撤换、修改投标文件或者响应文件;；</w:t>
      </w:r>
    </w:p>
    <w:p w14:paraId="01CF12A2">
      <w:pPr>
        <w:spacing w:before="120" w:line="320" w:lineRule="atLeast"/>
        <w:ind w:firstLine="420" w:firstLineChars="200"/>
        <w:rPr>
          <w:rFonts w:hint="eastAsia"/>
          <w:color w:val="auto"/>
          <w:szCs w:val="21"/>
          <w:highlight w:val="none"/>
        </w:rPr>
      </w:pPr>
      <w:r>
        <w:rPr>
          <w:rFonts w:hint="eastAsia"/>
          <w:color w:val="auto"/>
          <w:szCs w:val="21"/>
          <w:highlight w:val="none"/>
        </w:rPr>
        <w:t>③供应商之间协商报价、技术方案等投标文件或者响应文件的实质性内容；</w:t>
      </w:r>
    </w:p>
    <w:p w14:paraId="7EBDB887">
      <w:pPr>
        <w:spacing w:before="120" w:line="320" w:lineRule="atLeast"/>
        <w:ind w:firstLine="420" w:firstLineChars="200"/>
        <w:rPr>
          <w:rFonts w:hint="eastAsia"/>
          <w:color w:val="auto"/>
          <w:szCs w:val="21"/>
          <w:highlight w:val="none"/>
        </w:rPr>
      </w:pPr>
      <w:r>
        <w:rPr>
          <w:rFonts w:hint="eastAsia"/>
          <w:color w:val="auto"/>
          <w:szCs w:val="21"/>
          <w:highlight w:val="none"/>
        </w:rPr>
        <w:t>④属于同一集团、协会、商会等组织成员的供应商按照该组织要求协同参加政府采购活动；</w:t>
      </w:r>
    </w:p>
    <w:p w14:paraId="09F58EE9">
      <w:pPr>
        <w:spacing w:before="120" w:line="320" w:lineRule="atLeast"/>
        <w:ind w:firstLine="420" w:firstLineChars="200"/>
        <w:rPr>
          <w:rFonts w:hint="eastAsia"/>
          <w:color w:val="auto"/>
          <w:szCs w:val="21"/>
          <w:highlight w:val="none"/>
        </w:rPr>
      </w:pPr>
      <w:r>
        <w:rPr>
          <w:rFonts w:hint="eastAsia"/>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15AE1D5E">
      <w:pPr>
        <w:spacing w:before="120" w:line="320" w:lineRule="atLeast"/>
        <w:ind w:firstLine="420" w:firstLineChars="200"/>
        <w:rPr>
          <w:rFonts w:hint="eastAsia"/>
          <w:color w:val="auto"/>
          <w:szCs w:val="21"/>
          <w:highlight w:val="none"/>
        </w:rPr>
      </w:pPr>
      <w:r>
        <w:rPr>
          <w:rFonts w:hint="eastAsia"/>
          <w:color w:val="auto"/>
          <w:szCs w:val="21"/>
          <w:highlight w:val="none"/>
        </w:rPr>
        <w:t>⑥供应商之间商定部分供应商放弃参加政府采购活动或者放弃中标；</w:t>
      </w:r>
    </w:p>
    <w:p w14:paraId="1C3D6357">
      <w:pPr>
        <w:spacing w:before="120" w:line="320" w:lineRule="atLeast"/>
        <w:ind w:firstLine="420" w:firstLineChars="200"/>
        <w:rPr>
          <w:color w:val="auto"/>
          <w:szCs w:val="21"/>
          <w:highlight w:val="none"/>
        </w:rPr>
      </w:pPr>
      <w:r>
        <w:rPr>
          <w:rFonts w:hint="eastAsia"/>
          <w:color w:val="auto"/>
          <w:szCs w:val="21"/>
          <w:highlight w:val="none"/>
        </w:rPr>
        <w:t>⑦供应商与采购人或者采购代理机构之间、供应商相互之间，为谋求特定供应商中标或者排斥其他供应商的其他串通行为。</w:t>
      </w:r>
    </w:p>
    <w:p w14:paraId="2BF94116">
      <w:pPr>
        <w:spacing w:before="120" w:line="320" w:lineRule="atLeast"/>
        <w:ind w:firstLine="420" w:firstLineChars="200"/>
        <w:rPr>
          <w:rFonts w:hint="eastAsia"/>
          <w:color w:val="auto"/>
          <w:szCs w:val="21"/>
          <w:highlight w:val="none"/>
        </w:rPr>
      </w:pPr>
      <w:r>
        <w:rPr>
          <w:rFonts w:hint="eastAsia"/>
          <w:color w:val="auto"/>
          <w:szCs w:val="21"/>
          <w:highlight w:val="none"/>
        </w:rPr>
        <w:t>注：本款所述“投标”即为“响应”，“中标”即为“入围”。</w:t>
      </w:r>
    </w:p>
    <w:bookmarkEnd w:id="66"/>
    <w:p w14:paraId="2A252E36">
      <w:pPr>
        <w:spacing w:before="120" w:line="320" w:lineRule="atLeast"/>
        <w:ind w:firstLine="420" w:firstLineChars="200"/>
        <w:rPr>
          <w:color w:val="auto"/>
          <w:szCs w:val="21"/>
          <w:highlight w:val="none"/>
        </w:rPr>
      </w:pPr>
      <w:r>
        <w:rPr>
          <w:color w:val="auto"/>
          <w:szCs w:val="21"/>
          <w:highlight w:val="none"/>
        </w:rPr>
        <w:t>2.5.3.5响应</w:t>
      </w:r>
      <w:r>
        <w:rPr>
          <w:rFonts w:hint="eastAsia"/>
          <w:color w:val="auto"/>
          <w:szCs w:val="21"/>
          <w:highlight w:val="none"/>
        </w:rPr>
        <w:t>无效</w:t>
      </w:r>
      <w:r>
        <w:rPr>
          <w:color w:val="auto"/>
          <w:szCs w:val="21"/>
          <w:highlight w:val="none"/>
        </w:rPr>
        <w:t>认定</w:t>
      </w:r>
    </w:p>
    <w:p w14:paraId="607C4B8E">
      <w:pPr>
        <w:spacing w:before="120" w:line="320" w:lineRule="atLeast"/>
        <w:ind w:firstLine="420" w:firstLineChars="200"/>
        <w:rPr>
          <w:color w:val="auto"/>
          <w:szCs w:val="21"/>
          <w:highlight w:val="none"/>
        </w:rPr>
      </w:pPr>
      <w:bookmarkStart w:id="67"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48B5688E">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7984F5A3">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存在征集文件规定的无效情形。</w:t>
      </w:r>
    </w:p>
    <w:bookmarkEnd w:id="67"/>
    <w:p w14:paraId="0D7BA4E3">
      <w:pPr>
        <w:spacing w:before="120" w:line="320" w:lineRule="atLeast"/>
        <w:ind w:firstLine="420" w:firstLineChars="200"/>
        <w:rPr>
          <w:color w:val="auto"/>
          <w:szCs w:val="21"/>
          <w:highlight w:val="none"/>
        </w:rPr>
      </w:pPr>
      <w:bookmarkStart w:id="6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响应无效或否决响应，从而限制和影响供应商响应（响应）。</w:t>
      </w:r>
    </w:p>
    <w:bookmarkEnd w:id="68"/>
    <w:p w14:paraId="3970E2E6">
      <w:pPr>
        <w:spacing w:before="120" w:line="320" w:lineRule="atLeast"/>
        <w:ind w:firstLine="420" w:firstLineChars="200"/>
        <w:rPr>
          <w:color w:val="auto"/>
          <w:szCs w:val="21"/>
          <w:highlight w:val="none"/>
        </w:rPr>
      </w:pPr>
      <w:bookmarkStart w:id="69" w:name="_Hlk19113363"/>
      <w:r>
        <w:rPr>
          <w:color w:val="auto"/>
          <w:szCs w:val="21"/>
          <w:highlight w:val="none"/>
        </w:rPr>
        <w:t>2.5.3.6比较与评价</w:t>
      </w:r>
    </w:p>
    <w:p w14:paraId="7F599C18">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按征集文件中规定的评审方法和标准，对符合性审查合格的响应文件进行综合比较与评价。</w:t>
      </w:r>
    </w:p>
    <w:p w14:paraId="0D5380E4">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评审委员会各成员独立对每个有效供应商的响应文件进行评价</w:t>
      </w:r>
      <w:r>
        <w:rPr>
          <w:rFonts w:hint="eastAsia"/>
          <w:color w:val="auto"/>
          <w:szCs w:val="21"/>
          <w:highlight w:val="none"/>
        </w:rPr>
        <w:t>。评价</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5F97B48A">
      <w:pPr>
        <w:spacing w:before="120" w:line="320" w:lineRule="atLeast"/>
        <w:ind w:firstLine="420" w:firstLineChars="200"/>
        <w:rPr>
          <w:rFonts w:hint="eastAsia"/>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质量综合评</w:t>
      </w:r>
      <w:r>
        <w:rPr>
          <w:color w:val="auto"/>
          <w:szCs w:val="21"/>
          <w:highlight w:val="none"/>
        </w:rPr>
        <w:t>分由高到低的排列顺序</w:t>
      </w:r>
      <w:r>
        <w:rPr>
          <w:rFonts w:hint="eastAsia"/>
          <w:color w:val="auto"/>
          <w:szCs w:val="21"/>
          <w:highlight w:val="none"/>
        </w:rPr>
        <w:t>以及评审方法及标准规定的入围供应商数量上限或淘汰率</w:t>
      </w:r>
      <w:r>
        <w:rPr>
          <w:color w:val="auto"/>
          <w:szCs w:val="21"/>
          <w:highlight w:val="none"/>
        </w:rPr>
        <w:t>推荐</w:t>
      </w:r>
      <w:r>
        <w:rPr>
          <w:rFonts w:hint="eastAsia"/>
          <w:color w:val="auto"/>
          <w:szCs w:val="21"/>
          <w:highlight w:val="none"/>
        </w:rPr>
        <w:t>入围供应商</w:t>
      </w:r>
      <w:r>
        <w:rPr>
          <w:color w:val="auto"/>
          <w:szCs w:val="21"/>
          <w:highlight w:val="none"/>
        </w:rPr>
        <w:t>。</w:t>
      </w:r>
    </w:p>
    <w:p w14:paraId="0E9DE838">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w:t>
      </w:r>
      <w:r>
        <w:rPr>
          <w:rFonts w:hint="eastAsia"/>
          <w:color w:val="auto"/>
          <w:highlight w:val="none"/>
        </w:rPr>
        <w:t>征集人</w:t>
      </w:r>
      <w:r>
        <w:rPr>
          <w:color w:val="auto"/>
          <w:highlight w:val="none"/>
        </w:rPr>
        <w:t>发现存在以</w:t>
      </w:r>
      <w:r>
        <w:rPr>
          <w:rFonts w:hint="eastAsia"/>
          <w:color w:val="auto"/>
          <w:highlight w:val="none"/>
        </w:rPr>
        <w:t>下</w:t>
      </w:r>
      <w:r>
        <w:rPr>
          <w:color w:val="auto"/>
          <w:highlight w:val="none"/>
        </w:rPr>
        <w:t>情形之一的，应当组织原评审委员会进行重新评审。</w:t>
      </w:r>
    </w:p>
    <w:p w14:paraId="5DAF03B5">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63"/>
    <w:bookmarkEnd w:id="64"/>
    <w:bookmarkEnd w:id="69"/>
    <w:p w14:paraId="15958248">
      <w:pPr>
        <w:spacing w:before="120" w:line="320" w:lineRule="atLeast"/>
        <w:ind w:firstLine="422" w:firstLineChars="200"/>
        <w:outlineLvl w:val="3"/>
        <w:rPr>
          <w:b/>
          <w:bCs/>
          <w:color w:val="auto"/>
          <w:kern w:val="0"/>
          <w:szCs w:val="21"/>
          <w:highlight w:val="none"/>
        </w:rPr>
      </w:pPr>
      <w:r>
        <w:rPr>
          <w:b/>
          <w:bCs/>
          <w:color w:val="auto"/>
          <w:kern w:val="0"/>
          <w:szCs w:val="21"/>
          <w:highlight w:val="none"/>
        </w:rPr>
        <w:t>2.5.4确定入围供应商</w:t>
      </w:r>
    </w:p>
    <w:p w14:paraId="37502D93">
      <w:pPr>
        <w:spacing w:before="120" w:line="276" w:lineRule="auto"/>
        <w:ind w:firstLine="420" w:firstLineChars="200"/>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4.1采购代理机构将在评审结束后2个工作日内将评审报告送</w:t>
      </w:r>
      <w:r>
        <w:rPr>
          <w:rFonts w:hint="eastAsia"/>
          <w:color w:val="auto"/>
          <w:szCs w:val="21"/>
          <w:highlight w:val="none"/>
        </w:rPr>
        <w:t>征集人</w:t>
      </w:r>
      <w:r>
        <w:rPr>
          <w:color w:val="auto"/>
          <w:szCs w:val="21"/>
          <w:highlight w:val="none"/>
        </w:rPr>
        <w:t>，</w:t>
      </w:r>
      <w:r>
        <w:rPr>
          <w:rFonts w:hint="eastAsia"/>
          <w:color w:val="auto"/>
          <w:szCs w:val="21"/>
          <w:highlight w:val="none"/>
        </w:rPr>
        <w:t>征集人</w:t>
      </w:r>
      <w:r>
        <w:rPr>
          <w:color w:val="auto"/>
          <w:szCs w:val="21"/>
          <w:highlight w:val="none"/>
        </w:rPr>
        <w:t>在5个工作日内按照评审报告确定入围供应商。</w:t>
      </w:r>
    </w:p>
    <w:p w14:paraId="0176BEB6">
      <w:pPr>
        <w:spacing w:before="120" w:line="276" w:lineRule="auto"/>
        <w:ind w:firstLine="420" w:firstLineChars="200"/>
        <w:rPr>
          <w:color w:val="auto"/>
          <w:szCs w:val="21"/>
          <w:highlight w:val="none"/>
        </w:rPr>
      </w:pPr>
      <w:r>
        <w:rPr>
          <w:color w:val="auto"/>
          <w:szCs w:val="21"/>
          <w:highlight w:val="none"/>
        </w:rPr>
        <w:t>2.5.4.2</w:t>
      </w:r>
      <w:r>
        <w:rPr>
          <w:rFonts w:hint="eastAsia"/>
          <w:color w:val="auto"/>
          <w:szCs w:val="21"/>
          <w:highlight w:val="none"/>
        </w:rPr>
        <w:t>征集人认为供应商对征集过程、成交结果提出的质疑成立且影响或者可能影响成交结果的，合格供应商符合法定数量时，可以从合格的候选入围供应商（除入围供应商之外的其他通过资格审查和符合性审查的供应商）中另行确定入围供应商的，应当依法另行确定入围供应商；否则应当重新开展征集活动。</w:t>
      </w:r>
    </w:p>
    <w:p w14:paraId="7B4083D9">
      <w:pPr>
        <w:spacing w:before="120" w:line="320" w:lineRule="atLeast"/>
        <w:ind w:firstLine="422" w:firstLineChars="200"/>
        <w:outlineLvl w:val="3"/>
        <w:rPr>
          <w:b/>
          <w:bCs/>
          <w:color w:val="auto"/>
          <w:kern w:val="0"/>
          <w:szCs w:val="21"/>
          <w:highlight w:val="none"/>
        </w:rPr>
      </w:pPr>
      <w:r>
        <w:rPr>
          <w:b/>
          <w:bCs/>
          <w:color w:val="auto"/>
          <w:kern w:val="0"/>
          <w:szCs w:val="21"/>
          <w:highlight w:val="none"/>
        </w:rPr>
        <w:t>2.5.5</w:t>
      </w:r>
      <w:r>
        <w:rPr>
          <w:rFonts w:hint="eastAsia"/>
          <w:b/>
          <w:bCs/>
          <w:color w:val="auto"/>
          <w:kern w:val="0"/>
          <w:szCs w:val="21"/>
          <w:highlight w:val="none"/>
        </w:rPr>
        <w:t>入围结果公告</w:t>
      </w:r>
    </w:p>
    <w:p w14:paraId="7907D1B2">
      <w:pPr>
        <w:spacing w:before="120" w:line="320" w:lineRule="atLeast"/>
        <w:ind w:firstLine="420" w:firstLineChars="200"/>
        <w:rPr>
          <w:color w:val="auto"/>
          <w:szCs w:val="21"/>
          <w:highlight w:val="none"/>
        </w:rPr>
      </w:pPr>
      <w:r>
        <w:rPr>
          <w:color w:val="auto"/>
          <w:szCs w:val="21"/>
          <w:highlight w:val="none"/>
        </w:rPr>
        <w:t>2.5.5.1自入围供应商确定后2个工作日内，</w:t>
      </w:r>
      <w:r>
        <w:rPr>
          <w:rFonts w:hint="eastAsia"/>
          <w:color w:val="auto"/>
          <w:szCs w:val="21"/>
          <w:highlight w:val="none"/>
        </w:rPr>
        <w:t>采购代理机构按照供应商须知</w:t>
      </w:r>
      <w:r>
        <w:rPr>
          <w:rFonts w:hint="eastAsia"/>
          <w:color w:val="auto"/>
          <w:kern w:val="0"/>
          <w:szCs w:val="21"/>
          <w:highlight w:val="none"/>
        </w:rPr>
        <w:t>前附表的规定</w:t>
      </w:r>
      <w:r>
        <w:rPr>
          <w:color w:val="auto"/>
          <w:kern w:val="0"/>
          <w:szCs w:val="21"/>
          <w:highlight w:val="none"/>
        </w:rPr>
        <w:t>公告</w:t>
      </w:r>
      <w:r>
        <w:rPr>
          <w:rFonts w:hint="eastAsia"/>
          <w:color w:val="auto"/>
          <w:kern w:val="0"/>
          <w:szCs w:val="21"/>
          <w:highlight w:val="none"/>
        </w:rPr>
        <w:t>入围</w:t>
      </w:r>
      <w:r>
        <w:rPr>
          <w:color w:val="auto"/>
          <w:szCs w:val="21"/>
          <w:highlight w:val="none"/>
        </w:rPr>
        <w:t>结果。</w:t>
      </w:r>
    </w:p>
    <w:p w14:paraId="14584D0C">
      <w:pPr>
        <w:spacing w:before="120" w:line="320" w:lineRule="atLeast"/>
        <w:ind w:firstLine="420" w:firstLineChars="200"/>
        <w:rPr>
          <w:color w:val="auto"/>
          <w:szCs w:val="21"/>
          <w:highlight w:val="none"/>
        </w:rPr>
      </w:pPr>
      <w:r>
        <w:rPr>
          <w:color w:val="auto"/>
          <w:szCs w:val="21"/>
          <w:highlight w:val="none"/>
        </w:rPr>
        <w:t>2.5.5.2在发布</w:t>
      </w:r>
      <w:r>
        <w:rPr>
          <w:rFonts w:hint="eastAsia"/>
          <w:color w:val="auto"/>
          <w:szCs w:val="21"/>
          <w:highlight w:val="none"/>
        </w:rPr>
        <w:t>入围结果</w:t>
      </w:r>
      <w:r>
        <w:rPr>
          <w:color w:val="auto"/>
          <w:szCs w:val="21"/>
          <w:highlight w:val="none"/>
        </w:rPr>
        <w:t>公告的同时，</w:t>
      </w:r>
      <w:r>
        <w:rPr>
          <w:rFonts w:hint="eastAsia"/>
          <w:color w:val="auto"/>
          <w:szCs w:val="21"/>
          <w:highlight w:val="none"/>
        </w:rPr>
        <w:t>采购代理机构</w:t>
      </w:r>
      <w:r>
        <w:rPr>
          <w:color w:val="auto"/>
          <w:szCs w:val="21"/>
          <w:highlight w:val="none"/>
        </w:rPr>
        <w:t>以供应商须知前附表规定的形式向入围供应商发出</w:t>
      </w:r>
      <w:r>
        <w:rPr>
          <w:rFonts w:hint="eastAsia"/>
          <w:color w:val="auto"/>
          <w:szCs w:val="21"/>
          <w:highlight w:val="none"/>
        </w:rPr>
        <w:t>入围</w:t>
      </w:r>
      <w:r>
        <w:rPr>
          <w:color w:val="auto"/>
          <w:szCs w:val="21"/>
          <w:highlight w:val="none"/>
        </w:rPr>
        <w:t>通知书。</w:t>
      </w:r>
      <w:r>
        <w:rPr>
          <w:rFonts w:hint="eastAsia"/>
          <w:color w:val="auto"/>
          <w:szCs w:val="21"/>
          <w:highlight w:val="none"/>
        </w:rPr>
        <w:t>入围</w:t>
      </w:r>
      <w:r>
        <w:rPr>
          <w:color w:val="auto"/>
          <w:szCs w:val="21"/>
          <w:highlight w:val="none"/>
        </w:rPr>
        <w:t>通知书发出后，</w:t>
      </w:r>
      <w:r>
        <w:rPr>
          <w:rFonts w:hint="eastAsia"/>
          <w:color w:val="auto"/>
          <w:szCs w:val="21"/>
          <w:highlight w:val="none"/>
        </w:rPr>
        <w:t>征集人</w:t>
      </w:r>
      <w:r>
        <w:rPr>
          <w:color w:val="auto"/>
          <w:szCs w:val="21"/>
          <w:highlight w:val="none"/>
        </w:rPr>
        <w:t>改变</w:t>
      </w:r>
      <w:r>
        <w:rPr>
          <w:rFonts w:hint="eastAsia"/>
          <w:color w:val="auto"/>
          <w:szCs w:val="21"/>
          <w:highlight w:val="none"/>
        </w:rPr>
        <w:t>入围</w:t>
      </w:r>
      <w:r>
        <w:rPr>
          <w:color w:val="auto"/>
          <w:szCs w:val="21"/>
          <w:highlight w:val="none"/>
        </w:rPr>
        <w:t>结果，或者入围供应商放弃</w:t>
      </w:r>
      <w:r>
        <w:rPr>
          <w:rFonts w:hint="eastAsia"/>
          <w:color w:val="auto"/>
          <w:szCs w:val="21"/>
          <w:highlight w:val="none"/>
        </w:rPr>
        <w:t>入围资格</w:t>
      </w:r>
      <w:r>
        <w:rPr>
          <w:color w:val="auto"/>
          <w:szCs w:val="21"/>
          <w:highlight w:val="none"/>
        </w:rPr>
        <w:t>，应当承担相应的法律责任。</w:t>
      </w:r>
    </w:p>
    <w:p w14:paraId="7CAE363B">
      <w:pPr>
        <w:spacing w:before="120" w:line="320" w:lineRule="atLeast"/>
        <w:ind w:firstLine="422" w:firstLineChars="200"/>
        <w:outlineLvl w:val="3"/>
        <w:rPr>
          <w:b/>
          <w:bCs/>
          <w:color w:val="auto"/>
          <w:kern w:val="0"/>
          <w:szCs w:val="21"/>
          <w:highlight w:val="none"/>
        </w:rPr>
      </w:pPr>
      <w:r>
        <w:rPr>
          <w:b/>
          <w:bCs/>
          <w:color w:val="auto"/>
          <w:kern w:val="0"/>
          <w:szCs w:val="21"/>
          <w:highlight w:val="none"/>
        </w:rPr>
        <w:t>2.5.6</w:t>
      </w:r>
      <w:r>
        <w:rPr>
          <w:rFonts w:hint="eastAsia"/>
          <w:b/>
          <w:bCs/>
          <w:color w:val="auto"/>
          <w:kern w:val="0"/>
          <w:szCs w:val="21"/>
          <w:highlight w:val="none"/>
        </w:rPr>
        <w:t>废标</w:t>
      </w:r>
    </w:p>
    <w:p w14:paraId="4BBCCC08">
      <w:pPr>
        <w:spacing w:before="120" w:line="320" w:lineRule="atLeast"/>
        <w:ind w:firstLine="420" w:firstLineChars="200"/>
        <w:rPr>
          <w:color w:val="auto"/>
          <w:kern w:val="1"/>
          <w:szCs w:val="21"/>
          <w:highlight w:val="none"/>
        </w:rPr>
      </w:pPr>
      <w:r>
        <w:rPr>
          <w:color w:val="auto"/>
          <w:kern w:val="1"/>
          <w:szCs w:val="21"/>
          <w:highlight w:val="none"/>
        </w:rPr>
        <w:t>2.5.6.1</w:t>
      </w:r>
      <w:r>
        <w:rPr>
          <w:rFonts w:hint="eastAsia"/>
          <w:color w:val="auto"/>
          <w:kern w:val="1"/>
          <w:szCs w:val="21"/>
          <w:highlight w:val="none"/>
        </w:rPr>
        <w:t xml:space="preserve">出现下列情形之一，将导致项目废标： </w:t>
      </w:r>
    </w:p>
    <w:p w14:paraId="15CB2B1C">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）符合专业条件的供应商或者对征集文件做实质性响应的供应商不足两家；</w:t>
      </w:r>
    </w:p>
    <w:p w14:paraId="618C2945">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71C6BF89">
      <w:pPr>
        <w:spacing w:before="120" w:line="320" w:lineRule="atLeast"/>
        <w:ind w:firstLine="420" w:firstLineChars="200"/>
        <w:rPr>
          <w:color w:val="auto"/>
          <w:szCs w:val="21"/>
          <w:highlight w:val="none"/>
        </w:rPr>
      </w:pPr>
      <w:r>
        <w:rPr>
          <w:rFonts w:hint="eastAsia"/>
          <w:color w:val="auto"/>
          <w:szCs w:val="21"/>
          <w:highlight w:val="none"/>
        </w:rPr>
        <w:t>（3）供应商的报价均超过了</w:t>
      </w:r>
      <w:r>
        <w:rPr>
          <w:rFonts w:hint="eastAsia"/>
          <w:color w:val="auto"/>
          <w:highlight w:val="none"/>
        </w:rPr>
        <w:t>最高限制单价</w:t>
      </w:r>
      <w:r>
        <w:rPr>
          <w:rFonts w:hint="eastAsia"/>
          <w:color w:val="auto"/>
          <w:szCs w:val="21"/>
          <w:highlight w:val="none"/>
        </w:rPr>
        <w:t>，采购人不能支付的；</w:t>
      </w:r>
    </w:p>
    <w:p w14:paraId="24ED234E">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0DDAFA37">
      <w:pPr>
        <w:spacing w:before="120" w:line="320" w:lineRule="atLeast"/>
        <w:ind w:firstLine="420" w:firstLineChars="200"/>
        <w:rPr>
          <w:color w:val="auto"/>
          <w:kern w:val="1"/>
          <w:szCs w:val="21"/>
          <w:highlight w:val="none"/>
        </w:rPr>
      </w:pPr>
      <w:r>
        <w:rPr>
          <w:color w:val="auto"/>
          <w:kern w:val="1"/>
          <w:szCs w:val="21"/>
          <w:highlight w:val="none"/>
        </w:rPr>
        <w:t>2.5.6.2</w:t>
      </w:r>
      <w:r>
        <w:rPr>
          <w:rFonts w:hint="eastAsia"/>
          <w:color w:val="auto"/>
          <w:kern w:val="1"/>
          <w:szCs w:val="21"/>
          <w:highlight w:val="none"/>
        </w:rPr>
        <w:t>废标后</w:t>
      </w:r>
      <w:r>
        <w:rPr>
          <w:rFonts w:hint="eastAsia"/>
          <w:color w:val="auto"/>
          <w:szCs w:val="21"/>
          <w:highlight w:val="none"/>
        </w:rPr>
        <w:t>征集人</w:t>
      </w:r>
      <w:r>
        <w:rPr>
          <w:rFonts w:hint="eastAsia"/>
          <w:color w:val="auto"/>
          <w:kern w:val="1"/>
          <w:szCs w:val="21"/>
          <w:highlight w:val="none"/>
        </w:rPr>
        <w:t>将发布废标公告通知供应商。</w:t>
      </w:r>
    </w:p>
    <w:p w14:paraId="4B757FCF">
      <w:pPr>
        <w:spacing w:before="120" w:line="320" w:lineRule="atLeast"/>
        <w:ind w:left="2" w:leftChars="1" w:firstLine="422" w:firstLineChars="200"/>
        <w:outlineLvl w:val="2"/>
        <w:rPr>
          <w:b/>
          <w:bCs/>
          <w:color w:val="auto"/>
          <w:kern w:val="0"/>
          <w:szCs w:val="21"/>
          <w:highlight w:val="none"/>
        </w:rPr>
      </w:pPr>
      <w:r>
        <w:rPr>
          <w:b/>
          <w:bCs/>
          <w:color w:val="auto"/>
          <w:kern w:val="0"/>
          <w:szCs w:val="21"/>
          <w:highlight w:val="none"/>
        </w:rPr>
        <w:t>2.6</w:t>
      </w:r>
      <w:r>
        <w:rPr>
          <w:rFonts w:hint="eastAsia"/>
          <w:b/>
          <w:bCs/>
          <w:color w:val="auto"/>
          <w:kern w:val="0"/>
          <w:szCs w:val="21"/>
          <w:highlight w:val="none"/>
        </w:rPr>
        <w:t>签订框架协议</w:t>
      </w:r>
    </w:p>
    <w:p w14:paraId="75281D4A">
      <w:pPr>
        <w:spacing w:before="120" w:line="320" w:lineRule="atLeast"/>
        <w:ind w:left="2" w:leftChars="1" w:firstLine="420" w:firstLineChars="200"/>
        <w:rPr>
          <w:rFonts w:hint="eastAsia"/>
          <w:color w:val="auto"/>
          <w:kern w:val="0"/>
          <w:szCs w:val="21"/>
          <w:highlight w:val="none"/>
        </w:rPr>
      </w:pPr>
      <w:r>
        <w:rPr>
          <w:color w:val="auto"/>
          <w:kern w:val="0"/>
          <w:szCs w:val="21"/>
          <w:highlight w:val="none"/>
        </w:rPr>
        <w:t>2.6.1</w:t>
      </w:r>
      <w:r>
        <w:rPr>
          <w:rFonts w:hint="eastAsia"/>
          <w:color w:val="auto"/>
          <w:kern w:val="0"/>
          <w:szCs w:val="21"/>
          <w:highlight w:val="none"/>
        </w:rPr>
        <w:t>征集人在征集文件规定的时间内与入围供应商签订框架协议，如无特别规定，签订时间应不晚于入围通知书发出之日起</w:t>
      </w:r>
      <w:r>
        <w:rPr>
          <w:rFonts w:hint="eastAsia"/>
          <w:color w:val="auto"/>
          <w:kern w:val="0"/>
          <w:szCs w:val="21"/>
          <w:highlight w:val="none"/>
          <w:lang w:val="en-US" w:eastAsia="zh-CN"/>
        </w:rPr>
        <w:t>25</w:t>
      </w:r>
      <w:r>
        <w:rPr>
          <w:rFonts w:hint="eastAsia"/>
          <w:color w:val="auto"/>
          <w:kern w:val="0"/>
          <w:szCs w:val="21"/>
          <w:highlight w:val="none"/>
        </w:rPr>
        <w:t>日内。</w:t>
      </w:r>
    </w:p>
    <w:p w14:paraId="03E45BEE">
      <w:pPr>
        <w:spacing w:before="120" w:line="320" w:lineRule="atLeast"/>
        <w:ind w:left="2" w:leftChars="1" w:firstLine="420" w:firstLineChars="200"/>
        <w:rPr>
          <w:color w:val="auto"/>
          <w:kern w:val="0"/>
          <w:szCs w:val="21"/>
          <w:highlight w:val="none"/>
        </w:rPr>
      </w:pPr>
      <w:r>
        <w:rPr>
          <w:color w:val="auto"/>
          <w:kern w:val="0"/>
          <w:szCs w:val="21"/>
          <w:highlight w:val="none"/>
        </w:rPr>
        <w:t>2.6.2</w:t>
      </w:r>
      <w:r>
        <w:rPr>
          <w:rFonts w:hint="eastAsia"/>
          <w:color w:val="auto"/>
          <w:kern w:val="0"/>
          <w:szCs w:val="21"/>
          <w:highlight w:val="none"/>
        </w:rPr>
        <w:t>征集人在框架协议签订后7个工作日内，将框架协议副本报本级财政部门备案。</w:t>
      </w:r>
    </w:p>
    <w:p w14:paraId="359BA939">
      <w:pPr>
        <w:spacing w:before="120" w:line="320" w:lineRule="atLeast"/>
        <w:ind w:left="2" w:leftChars="1" w:firstLine="420" w:firstLineChars="200"/>
        <w:rPr>
          <w:color w:val="auto"/>
          <w:kern w:val="0"/>
          <w:szCs w:val="21"/>
          <w:highlight w:val="none"/>
        </w:rPr>
      </w:pPr>
      <w:r>
        <w:rPr>
          <w:color w:val="auto"/>
          <w:kern w:val="0"/>
          <w:szCs w:val="21"/>
          <w:highlight w:val="none"/>
        </w:rPr>
        <w:t>2.6.3</w:t>
      </w:r>
      <w:r>
        <w:rPr>
          <w:rFonts w:hint="eastAsia"/>
          <w:color w:val="auto"/>
          <w:kern w:val="0"/>
          <w:szCs w:val="21"/>
          <w:highlight w:val="none"/>
        </w:rPr>
        <w:t>框架协议不得对征集文件确定的事项以及入围供应商的响应文件作实质性修改。</w:t>
      </w:r>
    </w:p>
    <w:p w14:paraId="52CAE702">
      <w:pPr>
        <w:spacing w:before="120" w:line="276" w:lineRule="auto"/>
        <w:ind w:firstLine="420" w:firstLineChars="200"/>
        <w:rPr>
          <w:rFonts w:hint="eastAsia"/>
          <w:color w:val="auto"/>
          <w:szCs w:val="21"/>
          <w:highlight w:val="none"/>
        </w:rPr>
      </w:pPr>
      <w:r>
        <w:rPr>
          <w:rFonts w:hint="eastAsia"/>
          <w:color w:val="auto"/>
          <w:szCs w:val="21"/>
          <w:highlight w:val="none"/>
        </w:rPr>
        <w:t>2</w:t>
      </w:r>
      <w:r>
        <w:rPr>
          <w:color w:val="auto"/>
          <w:szCs w:val="21"/>
          <w:highlight w:val="none"/>
        </w:rPr>
        <w:t>.6.4</w:t>
      </w:r>
      <w:r>
        <w:rPr>
          <w:rFonts w:hint="eastAsia"/>
          <w:color w:val="auto"/>
          <w:szCs w:val="21"/>
          <w:highlight w:val="none"/>
        </w:rPr>
        <w:t>签订框架协议前，入围供应商无正当理由主动放弃入围资格、拒绝签订框架协议的，征集人可以从合格的候选入围供应商（除入围供应商之外的其他通过资格审查和符合性审查的供应商）中按照排名从高到低的顺序依次另行确定入围供应商，另行确定的入围供应商数量不得超过放弃入围资格的供应商数量。</w:t>
      </w:r>
    </w:p>
    <w:p w14:paraId="36BCEA5B">
      <w:pPr>
        <w:spacing w:before="120" w:line="320" w:lineRule="atLeast"/>
        <w:ind w:left="2" w:leftChars="1" w:firstLine="422" w:firstLineChars="200"/>
        <w:outlineLvl w:val="2"/>
        <w:rPr>
          <w:b/>
          <w:bCs/>
          <w:color w:val="auto"/>
          <w:kern w:val="0"/>
          <w:szCs w:val="21"/>
          <w:highlight w:val="none"/>
        </w:rPr>
      </w:pPr>
      <w:r>
        <w:rPr>
          <w:b/>
          <w:bCs/>
          <w:color w:val="auto"/>
          <w:kern w:val="0"/>
          <w:szCs w:val="21"/>
          <w:highlight w:val="none"/>
        </w:rPr>
        <w:t>2.7</w:t>
      </w:r>
      <w:r>
        <w:rPr>
          <w:rFonts w:hint="eastAsia"/>
          <w:b/>
          <w:bCs/>
          <w:color w:val="auto"/>
          <w:kern w:val="0"/>
          <w:szCs w:val="21"/>
          <w:highlight w:val="none"/>
        </w:rPr>
        <w:t>告知入围信息</w:t>
      </w:r>
    </w:p>
    <w:p w14:paraId="05082783">
      <w:pPr>
        <w:spacing w:before="120" w:line="320" w:lineRule="atLeast"/>
        <w:ind w:left="2" w:leftChars="1" w:firstLine="420" w:firstLineChars="200"/>
        <w:rPr>
          <w:rFonts w:hint="eastAsia"/>
          <w:color w:val="auto"/>
          <w:kern w:val="0"/>
          <w:szCs w:val="21"/>
          <w:highlight w:val="none"/>
        </w:rPr>
      </w:pPr>
      <w:r>
        <w:rPr>
          <w:color w:val="auto"/>
          <w:kern w:val="0"/>
          <w:szCs w:val="21"/>
          <w:highlight w:val="none"/>
        </w:rPr>
        <w:t>2.7.1</w:t>
      </w:r>
      <w:r>
        <w:rPr>
          <w:rFonts w:hint="eastAsia"/>
          <w:color w:val="auto"/>
          <w:kern w:val="0"/>
          <w:szCs w:val="21"/>
          <w:highlight w:val="none"/>
        </w:rPr>
        <w:t>征集人在框架协议签订后3个工作日内将入围信息告知适用框架协议的所有采购人。</w:t>
      </w:r>
    </w:p>
    <w:p w14:paraId="2F343EC8">
      <w:pPr>
        <w:spacing w:before="120" w:line="320" w:lineRule="atLeast"/>
        <w:ind w:left="2" w:leftChars="1" w:firstLine="422" w:firstLineChars="200"/>
        <w:outlineLvl w:val="2"/>
        <w:rPr>
          <w:b/>
          <w:bCs/>
          <w:color w:val="auto"/>
          <w:kern w:val="0"/>
          <w:szCs w:val="21"/>
          <w:highlight w:val="none"/>
        </w:rPr>
      </w:pPr>
      <w:r>
        <w:rPr>
          <w:b/>
          <w:bCs/>
          <w:color w:val="auto"/>
          <w:kern w:val="0"/>
          <w:szCs w:val="21"/>
          <w:highlight w:val="none"/>
        </w:rPr>
        <w:t>2.8.</w:t>
      </w:r>
      <w:r>
        <w:rPr>
          <w:rFonts w:hint="eastAsia"/>
          <w:b/>
          <w:bCs/>
          <w:color w:val="auto"/>
          <w:kern w:val="0"/>
          <w:szCs w:val="21"/>
          <w:highlight w:val="none"/>
        </w:rPr>
        <w:t>入围供应商的清退和补充</w:t>
      </w:r>
    </w:p>
    <w:p w14:paraId="36232F5C">
      <w:pPr>
        <w:spacing w:before="120" w:line="320" w:lineRule="atLeast"/>
        <w:ind w:left="2" w:leftChars="1" w:firstLine="420" w:firstLineChars="200"/>
        <w:outlineLvl w:val="2"/>
        <w:rPr>
          <w:rFonts w:hint="eastAsia"/>
          <w:color w:val="auto"/>
          <w:kern w:val="0"/>
          <w:szCs w:val="21"/>
          <w:highlight w:val="none"/>
        </w:rPr>
      </w:pPr>
      <w:r>
        <w:rPr>
          <w:rFonts w:hint="eastAsia"/>
          <w:color w:val="auto"/>
          <w:kern w:val="0"/>
          <w:szCs w:val="21"/>
          <w:highlight w:val="none"/>
        </w:rPr>
        <w:t>2</w:t>
      </w:r>
      <w:r>
        <w:rPr>
          <w:color w:val="auto"/>
          <w:kern w:val="0"/>
          <w:szCs w:val="21"/>
          <w:highlight w:val="none"/>
        </w:rPr>
        <w:t>.8.1</w:t>
      </w:r>
      <w:r>
        <w:rPr>
          <w:rFonts w:hint="eastAsia"/>
          <w:color w:val="auto"/>
          <w:kern w:val="0"/>
          <w:szCs w:val="21"/>
          <w:highlight w:val="none"/>
        </w:rPr>
        <w:t xml:space="preserve">封闭式框架协议入围供应商无正当理由，不得主动放弃入围资格或者退出框架协议。 </w:t>
      </w:r>
    </w:p>
    <w:p w14:paraId="24EF3D5E">
      <w:pPr>
        <w:spacing w:before="120" w:line="320" w:lineRule="atLeast"/>
        <w:ind w:left="2" w:leftChars="1" w:firstLine="420" w:firstLineChars="200"/>
        <w:rPr>
          <w:rFonts w:hint="eastAsia"/>
          <w:color w:val="auto"/>
          <w:kern w:val="0"/>
          <w:szCs w:val="21"/>
          <w:highlight w:val="none"/>
        </w:rPr>
      </w:pPr>
      <w:r>
        <w:rPr>
          <w:color w:val="auto"/>
          <w:kern w:val="0"/>
          <w:szCs w:val="21"/>
          <w:highlight w:val="none"/>
        </w:rPr>
        <w:t>2.8</w:t>
      </w:r>
      <w:r>
        <w:rPr>
          <w:rFonts w:hint="eastAsia"/>
          <w:color w:val="auto"/>
          <w:kern w:val="0"/>
          <w:szCs w:val="21"/>
          <w:highlight w:val="none"/>
        </w:rPr>
        <w:t>.</w:t>
      </w:r>
      <w:r>
        <w:rPr>
          <w:color w:val="auto"/>
          <w:kern w:val="0"/>
          <w:szCs w:val="21"/>
          <w:highlight w:val="none"/>
        </w:rPr>
        <w:t xml:space="preserve">2 </w:t>
      </w:r>
      <w:r>
        <w:rPr>
          <w:rFonts w:hint="eastAsia"/>
          <w:color w:val="auto"/>
          <w:kern w:val="0"/>
          <w:szCs w:val="21"/>
          <w:highlight w:val="none"/>
        </w:rPr>
        <w:t xml:space="preserve">入围供应商有下列情形之一，尚未签订框架协议的，取消其入围资格；已经签订框架协议的，解除与其签订的框架协议： </w:t>
      </w:r>
    </w:p>
    <w:p w14:paraId="1DF3C91A">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（1）恶意串通谋取入围或者合同成交的； </w:t>
      </w:r>
    </w:p>
    <w:p w14:paraId="3305A57D">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（2）提供虚假材料谋取入围或者合同成交的； </w:t>
      </w:r>
    </w:p>
    <w:p w14:paraId="5456B499">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（3）无正当理由拒不接受合同授予的； </w:t>
      </w:r>
    </w:p>
    <w:p w14:paraId="184CB290">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（4）不履行合同义务或者履行合同义务不符合约定，经采购人请求履行后仍不履行或者仍未按约定履行的； </w:t>
      </w:r>
    </w:p>
    <w:p w14:paraId="7E24A1D3">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（5）框架协议有效期内，因违法行为被禁止或限制参加政府采购活动的； </w:t>
      </w:r>
    </w:p>
    <w:p w14:paraId="19100D32">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（6）框架协议约定的其他情形。</w:t>
      </w:r>
    </w:p>
    <w:p w14:paraId="645BE308">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 xml:space="preserve">被取消入围资格或者被解除框架协议的供应商不得参加同一封闭式框架协议补充征集。 </w:t>
      </w:r>
    </w:p>
    <w:p w14:paraId="5ED56026">
      <w:pPr>
        <w:spacing w:before="120" w:line="320" w:lineRule="atLeast"/>
        <w:ind w:left="2" w:leftChars="1" w:firstLine="420" w:firstLineChars="200"/>
        <w:rPr>
          <w:color w:val="auto"/>
          <w:kern w:val="0"/>
          <w:szCs w:val="21"/>
          <w:highlight w:val="none"/>
        </w:rPr>
      </w:pPr>
      <w:r>
        <w:rPr>
          <w:color w:val="auto"/>
          <w:kern w:val="0"/>
          <w:szCs w:val="21"/>
          <w:highlight w:val="none"/>
        </w:rPr>
        <w:t>2.8</w:t>
      </w: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7CC454F7">
      <w:pPr>
        <w:spacing w:before="120" w:line="320" w:lineRule="atLeast"/>
        <w:ind w:left="2" w:leftChars="1" w:firstLine="422" w:firstLineChars="200"/>
        <w:outlineLvl w:val="2"/>
        <w:rPr>
          <w:b/>
          <w:bCs/>
          <w:color w:val="auto"/>
          <w:kern w:val="0"/>
          <w:szCs w:val="21"/>
          <w:highlight w:val="none"/>
        </w:rPr>
      </w:pPr>
      <w:bookmarkStart w:id="70" w:name="_Toc254970533"/>
      <w:bookmarkStart w:id="71" w:name="_Toc254970674"/>
      <w:r>
        <w:rPr>
          <w:rFonts w:hint="eastAsia"/>
          <w:b/>
          <w:bCs/>
          <w:color w:val="auto"/>
          <w:kern w:val="0"/>
          <w:szCs w:val="21"/>
          <w:highlight w:val="none"/>
        </w:rPr>
        <w:t>2.9</w:t>
      </w:r>
      <w:r>
        <w:rPr>
          <w:b/>
          <w:bCs/>
          <w:color w:val="auto"/>
          <w:kern w:val="0"/>
          <w:szCs w:val="21"/>
          <w:highlight w:val="none"/>
        </w:rPr>
        <w:t>质疑和投诉</w:t>
      </w:r>
      <w:bookmarkEnd w:id="70"/>
      <w:bookmarkEnd w:id="71"/>
    </w:p>
    <w:p w14:paraId="1DCDD70D">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2.9</w:t>
      </w:r>
      <w:r>
        <w:rPr>
          <w:b/>
          <w:bCs/>
          <w:color w:val="auto"/>
          <w:kern w:val="0"/>
          <w:szCs w:val="21"/>
          <w:highlight w:val="none"/>
        </w:rPr>
        <w:t>.1质疑</w:t>
      </w:r>
    </w:p>
    <w:p w14:paraId="0C3FC01D">
      <w:pPr>
        <w:spacing w:before="120" w:line="320" w:lineRule="atLeast"/>
        <w:ind w:firstLine="420" w:firstLineChars="200"/>
        <w:rPr>
          <w:color w:val="auto"/>
          <w:szCs w:val="21"/>
          <w:highlight w:val="none"/>
        </w:rPr>
      </w:pPr>
      <w:r>
        <w:rPr>
          <w:rFonts w:hint="eastAsia"/>
          <w:color w:val="auto"/>
          <w:szCs w:val="21"/>
          <w:highlight w:val="none"/>
        </w:rPr>
        <w:t>2.9</w:t>
      </w:r>
      <w:r>
        <w:rPr>
          <w:color w:val="auto"/>
          <w:szCs w:val="21"/>
          <w:highlight w:val="none"/>
        </w:rPr>
        <w:t>.1.1质疑内容、时限</w:t>
      </w:r>
    </w:p>
    <w:p w14:paraId="23063ED7">
      <w:pPr>
        <w:spacing w:before="120" w:line="320" w:lineRule="atLeast"/>
        <w:ind w:firstLine="420" w:firstLineChars="200"/>
        <w:rPr>
          <w:color w:val="auto"/>
          <w:szCs w:val="21"/>
          <w:highlight w:val="none"/>
        </w:rPr>
      </w:pPr>
      <w:r>
        <w:rPr>
          <w:rFonts w:hint="eastAsia"/>
          <w:color w:val="auto"/>
          <w:szCs w:val="21"/>
          <w:highlight w:val="none"/>
        </w:rPr>
        <w:t>（1）供应商对征集活动有疑问的，可以向采购代理机构提出询问。采购代理机构应当在3个工作日内对供应商依法提出的询问作出答复。</w:t>
      </w:r>
    </w:p>
    <w:p w14:paraId="38317E56">
      <w:pPr>
        <w:tabs>
          <w:tab w:val="left" w:pos="5670"/>
        </w:tabs>
        <w:spacing w:before="120" w:line="320" w:lineRule="atLeast"/>
        <w:ind w:firstLine="420" w:firstLineChars="200"/>
        <w:rPr>
          <w:color w:val="auto"/>
          <w:szCs w:val="21"/>
          <w:highlight w:val="none"/>
        </w:rPr>
      </w:pPr>
      <w:r>
        <w:rPr>
          <w:rFonts w:hint="eastAsia"/>
          <w:color w:val="auto"/>
          <w:szCs w:val="21"/>
          <w:highlight w:val="none"/>
        </w:rPr>
        <w:t>（2）供应商为认为征集文件、征集过程、入围结果使自己的权益受到损害的，可以在知道或者应知其权益受到损害之日起7个工作日内向采购代理机构提出质疑。采购代理机构</w:t>
      </w:r>
      <w:r>
        <w:rPr>
          <w:color w:val="auto"/>
          <w:szCs w:val="21"/>
          <w:highlight w:val="none"/>
        </w:rPr>
        <w:t>在收到供应商书面质疑后7个工作日内，对质疑内容作出答复。</w:t>
      </w:r>
    </w:p>
    <w:p w14:paraId="78BB3474">
      <w:pPr>
        <w:spacing w:before="120" w:line="320" w:lineRule="atLeast"/>
        <w:ind w:firstLine="420" w:firstLineChars="200"/>
        <w:rPr>
          <w:color w:val="auto"/>
          <w:szCs w:val="21"/>
          <w:highlight w:val="none"/>
        </w:rPr>
      </w:pPr>
      <w:r>
        <w:rPr>
          <w:rFonts w:hint="eastAsia"/>
          <w:color w:val="auto"/>
          <w:szCs w:val="21"/>
          <w:highlight w:val="none"/>
        </w:rPr>
        <w:t>2.9</w:t>
      </w:r>
      <w:r>
        <w:rPr>
          <w:color w:val="auto"/>
          <w:szCs w:val="21"/>
          <w:highlight w:val="none"/>
        </w:rPr>
        <w:t>.1.2质疑形式</w:t>
      </w:r>
    </w:p>
    <w:p w14:paraId="38AC3FD6">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征集文件</w:t>
      </w:r>
      <w:r>
        <w:rPr>
          <w:color w:val="auto"/>
          <w:szCs w:val="21"/>
          <w:highlight w:val="none"/>
        </w:rPr>
        <w:t>、</w:t>
      </w:r>
      <w:r>
        <w:rPr>
          <w:rFonts w:hint="eastAsia"/>
          <w:color w:val="auto"/>
          <w:szCs w:val="21"/>
          <w:highlight w:val="none"/>
        </w:rPr>
        <w:t>征集</w:t>
      </w:r>
      <w:r>
        <w:rPr>
          <w:color w:val="auto"/>
          <w:szCs w:val="21"/>
          <w:highlight w:val="none"/>
        </w:rPr>
        <w:t>过程或</w:t>
      </w:r>
      <w:r>
        <w:rPr>
          <w:rFonts w:hint="eastAsia"/>
          <w:color w:val="auto"/>
          <w:szCs w:val="21"/>
          <w:highlight w:val="none"/>
        </w:rPr>
        <w:t>成交</w:t>
      </w:r>
      <w:r>
        <w:rPr>
          <w:color w:val="auto"/>
          <w:szCs w:val="21"/>
          <w:highlight w:val="none"/>
        </w:rPr>
        <w:t>结果中使自己合法权益受到损害的实质性内容，提供相关事实、依据和证据及其来源或线索，便于有关单位调查、答复和处理。</w:t>
      </w:r>
    </w:p>
    <w:p w14:paraId="6D11F625">
      <w:pPr>
        <w:spacing w:before="120" w:line="320" w:lineRule="atLeast"/>
        <w:ind w:firstLine="420" w:firstLineChars="200"/>
        <w:rPr>
          <w:color w:val="auto"/>
          <w:szCs w:val="21"/>
          <w:highlight w:val="none"/>
        </w:rPr>
      </w:pPr>
      <w:r>
        <w:rPr>
          <w:rFonts w:hint="eastAsia"/>
          <w:color w:val="auto"/>
          <w:szCs w:val="21"/>
          <w:highlight w:val="none"/>
        </w:rPr>
        <w:t>2.9</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06C6777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B7F22F1">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2A76CF15">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02B6A46">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5B432F06">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7EFECECA">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590A6A31">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54DFB8FC">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2.9</w:t>
      </w:r>
      <w:r>
        <w:rPr>
          <w:b/>
          <w:bCs/>
          <w:color w:val="auto"/>
          <w:kern w:val="0"/>
          <w:szCs w:val="21"/>
          <w:highlight w:val="none"/>
        </w:rPr>
        <w:t>.2投诉</w:t>
      </w:r>
    </w:p>
    <w:p w14:paraId="31CC77F2">
      <w:pPr>
        <w:spacing w:before="120" w:line="320" w:lineRule="atLeast"/>
        <w:ind w:firstLine="420" w:firstLineChars="200"/>
        <w:rPr>
          <w:color w:val="auto"/>
          <w:szCs w:val="21"/>
          <w:highlight w:val="none"/>
        </w:rPr>
      </w:pPr>
      <w:r>
        <w:rPr>
          <w:rFonts w:hint="eastAsia"/>
          <w:color w:val="auto"/>
          <w:szCs w:val="21"/>
          <w:highlight w:val="none"/>
        </w:rPr>
        <w:t>2.9</w:t>
      </w:r>
      <w:r>
        <w:rPr>
          <w:color w:val="auto"/>
          <w:szCs w:val="21"/>
          <w:highlight w:val="none"/>
        </w:rPr>
        <w:t>.2.1供应商对</w:t>
      </w:r>
      <w:r>
        <w:rPr>
          <w:rFonts w:hint="eastAsia"/>
          <w:color w:val="auto"/>
          <w:szCs w:val="21"/>
          <w:highlight w:val="none"/>
        </w:rPr>
        <w:t>采购代理机构</w:t>
      </w:r>
      <w:r>
        <w:rPr>
          <w:color w:val="auto"/>
          <w:szCs w:val="21"/>
          <w:highlight w:val="none"/>
        </w:rPr>
        <w:t>的答复不满意，或者</w:t>
      </w:r>
      <w:r>
        <w:rPr>
          <w:rFonts w:hint="eastAsia"/>
          <w:color w:val="auto"/>
          <w:szCs w:val="21"/>
          <w:highlight w:val="none"/>
        </w:rPr>
        <w:t>采购代理机构</w:t>
      </w:r>
      <w:r>
        <w:rPr>
          <w:color w:val="auto"/>
          <w:szCs w:val="21"/>
          <w:highlight w:val="none"/>
        </w:rPr>
        <w:t>未在规定时间内答复的，可在答复期满后15个工作日内按有关规定，向同级财政部门投诉。</w:t>
      </w:r>
    </w:p>
    <w:p w14:paraId="103AA21F">
      <w:pPr>
        <w:spacing w:before="120" w:line="320" w:lineRule="atLeast"/>
        <w:ind w:firstLine="420" w:firstLineChars="200"/>
        <w:rPr>
          <w:color w:val="auto"/>
          <w:szCs w:val="21"/>
          <w:highlight w:val="none"/>
        </w:rPr>
      </w:pPr>
      <w:r>
        <w:rPr>
          <w:rFonts w:hint="eastAsia"/>
          <w:color w:val="auto"/>
          <w:szCs w:val="21"/>
          <w:highlight w:val="none"/>
        </w:rPr>
        <w:t>2.9</w:t>
      </w:r>
      <w:r>
        <w:rPr>
          <w:color w:val="auto"/>
          <w:szCs w:val="21"/>
          <w:highlight w:val="none"/>
        </w:rPr>
        <w:t>.2.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4EB12770">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3</w:t>
      </w:r>
      <w:r>
        <w:rPr>
          <w:rFonts w:hint="eastAsia"/>
          <w:b/>
          <w:bCs/>
          <w:color w:val="auto"/>
          <w:kern w:val="0"/>
          <w:szCs w:val="21"/>
          <w:highlight w:val="none"/>
        </w:rPr>
        <w:t>．第二阶段（确定成交阶段）</w:t>
      </w:r>
    </w:p>
    <w:p w14:paraId="43E6BE22">
      <w:pPr>
        <w:spacing w:before="120" w:line="320" w:lineRule="atLeast"/>
        <w:ind w:left="2" w:leftChars="1" w:firstLine="422" w:firstLineChars="200"/>
        <w:outlineLvl w:val="2"/>
        <w:rPr>
          <w:b/>
          <w:bCs/>
          <w:color w:val="auto"/>
          <w:kern w:val="0"/>
          <w:szCs w:val="21"/>
          <w:highlight w:val="none"/>
        </w:rPr>
      </w:pPr>
      <w:r>
        <w:rPr>
          <w:rFonts w:hint="eastAsia"/>
          <w:b/>
          <w:bCs/>
          <w:color w:val="auto"/>
          <w:kern w:val="0"/>
          <w:szCs w:val="21"/>
          <w:highlight w:val="none"/>
        </w:rPr>
        <w:t>3.1确定成交供应商</w:t>
      </w:r>
    </w:p>
    <w:p w14:paraId="0F527680">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3.1</w:t>
      </w:r>
      <w:r>
        <w:rPr>
          <w:color w:val="auto"/>
          <w:kern w:val="0"/>
          <w:szCs w:val="21"/>
          <w:highlight w:val="none"/>
        </w:rPr>
        <w:t>.1</w:t>
      </w:r>
      <w:r>
        <w:rPr>
          <w:rFonts w:hint="eastAsia"/>
          <w:color w:val="auto"/>
          <w:kern w:val="0"/>
          <w:szCs w:val="21"/>
          <w:highlight w:val="none"/>
        </w:rPr>
        <w:t>采购人按照征集文件或框架协议中规定的方式从入围供应商中选定成交供应商签订合同。</w:t>
      </w:r>
    </w:p>
    <w:p w14:paraId="4BBCFF71">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3</w:t>
      </w:r>
      <w:r>
        <w:rPr>
          <w:color w:val="auto"/>
          <w:kern w:val="0"/>
          <w:szCs w:val="21"/>
          <w:highlight w:val="none"/>
        </w:rPr>
        <w:t>.1.2</w:t>
      </w:r>
      <w:r>
        <w:rPr>
          <w:rFonts w:hint="eastAsia"/>
          <w:color w:val="auto"/>
          <w:kern w:val="0"/>
          <w:szCs w:val="21"/>
          <w:highlight w:val="none"/>
        </w:rPr>
        <w:t>采购人不保证所有入围供应商均有机会被授予实际采购项目合同，入围供应商排名次序的先后不作为授予合同份额多少的标准。</w:t>
      </w:r>
    </w:p>
    <w:p w14:paraId="7CBA6D12">
      <w:pPr>
        <w:spacing w:before="120" w:line="320" w:lineRule="atLeast"/>
        <w:ind w:left="2" w:leftChars="1" w:firstLine="422" w:firstLineChars="200"/>
        <w:outlineLvl w:val="2"/>
        <w:rPr>
          <w:b/>
          <w:bCs/>
          <w:color w:val="auto"/>
          <w:kern w:val="0"/>
          <w:szCs w:val="21"/>
          <w:highlight w:val="none"/>
        </w:rPr>
      </w:pPr>
      <w:r>
        <w:rPr>
          <w:rFonts w:hint="eastAsia"/>
          <w:b/>
          <w:bCs/>
          <w:color w:val="auto"/>
          <w:kern w:val="0"/>
          <w:szCs w:val="21"/>
          <w:highlight w:val="none"/>
        </w:rPr>
        <w:t>3.2成交结果公告</w:t>
      </w:r>
    </w:p>
    <w:p w14:paraId="6ED5BC46">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3.2</w:t>
      </w:r>
      <w:r>
        <w:rPr>
          <w:color w:val="auto"/>
          <w:kern w:val="0"/>
          <w:szCs w:val="21"/>
          <w:highlight w:val="none"/>
        </w:rPr>
        <w:t>.1</w:t>
      </w:r>
      <w:r>
        <w:rPr>
          <w:rFonts w:hint="eastAsia"/>
          <w:color w:val="auto"/>
          <w:kern w:val="0"/>
          <w:szCs w:val="21"/>
          <w:highlight w:val="none"/>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372DB2A8">
      <w:pPr>
        <w:spacing w:before="120" w:line="320" w:lineRule="atLeast"/>
        <w:ind w:left="2" w:leftChars="1" w:firstLine="422" w:firstLineChars="200"/>
        <w:outlineLvl w:val="2"/>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合同</w:t>
      </w:r>
    </w:p>
    <w:p w14:paraId="1C7EC1D8">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.1合同授予标准</w:t>
      </w:r>
    </w:p>
    <w:p w14:paraId="65C73DB7">
      <w:pPr>
        <w:spacing w:before="120" w:line="320" w:lineRule="atLeast"/>
        <w:ind w:firstLine="420" w:firstLineChars="200"/>
        <w:rPr>
          <w:rFonts w:hint="eastAsia"/>
          <w:color w:val="auto"/>
          <w:szCs w:val="21"/>
          <w:highlight w:val="none"/>
        </w:rPr>
      </w:pPr>
      <w:r>
        <w:rPr>
          <w:rFonts w:hint="eastAsia"/>
          <w:color w:val="auto"/>
          <w:szCs w:val="21"/>
          <w:highlight w:val="none"/>
        </w:rPr>
        <w:t>除框架协议另有规定外，采购人采购框架协议约定的货物、服务，应当将采购合同授予入围供应商，成交供应商选定方式在框架协议中规定。</w:t>
      </w:r>
    </w:p>
    <w:p w14:paraId="1F7E5073">
      <w:pPr>
        <w:spacing w:before="120" w:line="320" w:lineRule="atLeast"/>
        <w:ind w:firstLine="420" w:firstLineChars="200"/>
        <w:rPr>
          <w:rFonts w:hint="eastAsia"/>
          <w:color w:val="auto"/>
          <w:szCs w:val="21"/>
          <w:highlight w:val="none"/>
        </w:rPr>
      </w:pPr>
      <w:r>
        <w:rPr>
          <w:rFonts w:hint="eastAsia"/>
          <w:color w:val="auto"/>
          <w:szCs w:val="21"/>
          <w:highlight w:val="none"/>
        </w:rPr>
        <w:t>合同</w:t>
      </w:r>
      <w:r>
        <w:rPr>
          <w:color w:val="auto"/>
          <w:szCs w:val="21"/>
          <w:highlight w:val="none"/>
        </w:rPr>
        <w:t>在签订合同前，如果</w:t>
      </w:r>
      <w:r>
        <w:rPr>
          <w:rFonts w:hint="eastAsia"/>
          <w:color w:val="auto"/>
          <w:szCs w:val="21"/>
          <w:highlight w:val="none"/>
        </w:rPr>
        <w:t>入围供应商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w:t>
      </w:r>
      <w:r>
        <w:rPr>
          <w:rFonts w:hint="eastAsia"/>
          <w:color w:val="auto"/>
          <w:highlight w:val="none"/>
        </w:rPr>
        <w:t>框架协议或合同</w:t>
      </w:r>
      <w:r>
        <w:rPr>
          <w:color w:val="auto"/>
          <w:szCs w:val="21"/>
          <w:highlight w:val="none"/>
        </w:rPr>
        <w:t>、无法按照</w:t>
      </w:r>
      <w:r>
        <w:rPr>
          <w:rFonts w:hint="eastAsia"/>
          <w:color w:val="auto"/>
          <w:szCs w:val="21"/>
          <w:highlight w:val="none"/>
        </w:rPr>
        <w:t>征集文件</w:t>
      </w:r>
      <w:r>
        <w:rPr>
          <w:color w:val="auto"/>
          <w:szCs w:val="21"/>
          <w:highlight w:val="none"/>
        </w:rPr>
        <w:t>要求提交履约保证金等情形，不符合入围条件或不满足供应商资格条件要求</w:t>
      </w:r>
      <w:r>
        <w:rPr>
          <w:rFonts w:hint="eastAsia"/>
          <w:color w:val="auto"/>
          <w:szCs w:val="21"/>
          <w:highlight w:val="none"/>
        </w:rPr>
        <w:t>，</w:t>
      </w:r>
      <w:r>
        <w:rPr>
          <w:color w:val="auto"/>
          <w:szCs w:val="21"/>
          <w:highlight w:val="none"/>
        </w:rPr>
        <w:t>应在签订合同前及时书面告知采购人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要求其赔偿损失并取消其入围资格。</w:t>
      </w:r>
    </w:p>
    <w:p w14:paraId="5D21A65F">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.2签订合同</w:t>
      </w:r>
    </w:p>
    <w:p w14:paraId="69727226">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.2.1如</w:t>
      </w:r>
      <w:r>
        <w:rPr>
          <w:rFonts w:hint="eastAsia"/>
          <w:color w:val="auto"/>
          <w:szCs w:val="21"/>
          <w:highlight w:val="none"/>
        </w:rPr>
        <w:t>征集文件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成交供应商按征集文件及框架协议确定的事项签订政府采购合同。</w:t>
      </w:r>
    </w:p>
    <w:p w14:paraId="144F1F3A">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0A15864E">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.3履行合同</w:t>
      </w:r>
    </w:p>
    <w:p w14:paraId="2BE458B2">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.3.1</w:t>
      </w:r>
      <w:bookmarkStart w:id="72" w:name="_Toc308164814"/>
      <w:bookmarkStart w:id="73" w:name="_Toc217446070"/>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DD1C372">
      <w:pPr>
        <w:spacing w:before="120" w:line="320" w:lineRule="atLeast"/>
        <w:ind w:firstLine="422" w:firstLineChars="200"/>
        <w:outlineLvl w:val="3"/>
        <w:rPr>
          <w:b/>
          <w:bCs/>
          <w:color w:val="auto"/>
          <w:kern w:val="0"/>
          <w:szCs w:val="21"/>
          <w:highlight w:val="none"/>
        </w:rPr>
      </w:pPr>
      <w:r>
        <w:rPr>
          <w:rFonts w:hint="eastAsia"/>
          <w:b/>
          <w:bCs/>
          <w:color w:val="auto"/>
          <w:kern w:val="0"/>
          <w:szCs w:val="21"/>
          <w:highlight w:val="none"/>
        </w:rPr>
        <w:t>3.3</w:t>
      </w:r>
      <w:r>
        <w:rPr>
          <w:b/>
          <w:bCs/>
          <w:color w:val="auto"/>
          <w:kern w:val="0"/>
          <w:szCs w:val="21"/>
          <w:highlight w:val="none"/>
        </w:rPr>
        <w:t>.4履约验收</w:t>
      </w:r>
      <w:bookmarkEnd w:id="72"/>
      <w:bookmarkEnd w:id="73"/>
    </w:p>
    <w:p w14:paraId="2F698DC7">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.4.1采购人可以根据政府采购项目具体情况自行组织验收，或者委托政府采购代理机构、国家认可的</w:t>
      </w:r>
      <w:r>
        <w:rPr>
          <w:rFonts w:hint="eastAsia"/>
          <w:color w:val="auto"/>
          <w:szCs w:val="21"/>
          <w:highlight w:val="none"/>
        </w:rPr>
        <w:t>第三方</w:t>
      </w:r>
      <w:r>
        <w:rPr>
          <w:color w:val="auto"/>
          <w:szCs w:val="21"/>
          <w:highlight w:val="none"/>
        </w:rPr>
        <w:t>检测机构开展采购项目履约验收工作。</w:t>
      </w:r>
    </w:p>
    <w:p w14:paraId="019EDDA3">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.4.2验收结果合格的，</w:t>
      </w:r>
      <w:r>
        <w:rPr>
          <w:rFonts w:hint="eastAsia"/>
          <w:color w:val="auto"/>
          <w:szCs w:val="21"/>
          <w:highlight w:val="none"/>
        </w:rPr>
        <w:t>成交</w:t>
      </w:r>
      <w:r>
        <w:rPr>
          <w:color w:val="auto"/>
          <w:szCs w:val="21"/>
          <w:highlight w:val="none"/>
        </w:rPr>
        <w:t>供应商可向采购人申请办理履约保证金（如有）的退付手续；验收结果不合格的，履约保证金（如有）将不予退还，并按合同约定处理，还</w:t>
      </w:r>
      <w:r>
        <w:rPr>
          <w:rFonts w:hint="eastAsia"/>
          <w:color w:val="auto"/>
          <w:szCs w:val="21"/>
          <w:highlight w:val="none"/>
        </w:rPr>
        <w:t>将</w:t>
      </w:r>
      <w:r>
        <w:rPr>
          <w:color w:val="auto"/>
          <w:szCs w:val="21"/>
          <w:highlight w:val="none"/>
        </w:rPr>
        <w:t>报告本项目同级财政部门并按照政府采购法律法规及有关规定给予行政处罚或者以失信行为记入诚信档案。</w:t>
      </w:r>
    </w:p>
    <w:p w14:paraId="29357997">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.4.3采购合同项目完成验收后，采购人应当将验收原始记录、验收书</w:t>
      </w:r>
      <w:r>
        <w:rPr>
          <w:rFonts w:hint="eastAsia"/>
          <w:color w:val="auto"/>
          <w:szCs w:val="21"/>
          <w:highlight w:val="none"/>
        </w:rPr>
        <w:t>、成交供应商按合同数量或工作量清单履约的记录或凭证</w:t>
      </w:r>
      <w:r>
        <w:rPr>
          <w:color w:val="auto"/>
          <w:szCs w:val="21"/>
          <w:highlight w:val="none"/>
        </w:rPr>
        <w:t>等资料作为该采购项目档案妥善保管，不得伪造、变造、隐匿或者销毁，</w:t>
      </w:r>
    </w:p>
    <w:p w14:paraId="29E08268">
      <w:pPr>
        <w:spacing w:before="120" w:line="320" w:lineRule="atLeast"/>
        <w:ind w:firstLine="420" w:firstLineChars="200"/>
        <w:rPr>
          <w:color w:val="auto"/>
          <w:szCs w:val="21"/>
          <w:highlight w:val="none"/>
        </w:rPr>
      </w:pPr>
      <w:r>
        <w:rPr>
          <w:rFonts w:hint="eastAsia"/>
          <w:color w:val="auto"/>
          <w:szCs w:val="21"/>
          <w:highlight w:val="none"/>
        </w:rPr>
        <w:t>3.3</w:t>
      </w:r>
      <w:r>
        <w:rPr>
          <w:color w:val="auto"/>
          <w:szCs w:val="21"/>
          <w:highlight w:val="none"/>
        </w:rPr>
        <w:t>.4.4本项目将严格按照本征集文件及合同有关规定进行合同履约验收。征集文件或合同未规定的按财政部关于进一步加强政府采购需求和履约验收管理的指导意见（财库〔2016〕205号）以及《广西壮族自治区政府采购项目履约验收管理办法》（桂财采〔2015〕22号）的规定执行。</w:t>
      </w:r>
    </w:p>
    <w:p w14:paraId="1F345207">
      <w:pPr>
        <w:spacing w:before="120" w:line="320" w:lineRule="atLeast"/>
        <w:ind w:left="2" w:leftChars="1" w:firstLine="422" w:firstLineChars="200"/>
        <w:outlineLvl w:val="2"/>
        <w:rPr>
          <w:rFonts w:hint="eastAsia"/>
          <w:b/>
          <w:bCs/>
          <w:color w:val="auto"/>
          <w:kern w:val="0"/>
          <w:szCs w:val="21"/>
          <w:highlight w:val="none"/>
        </w:rPr>
      </w:pPr>
      <w:r>
        <w:rPr>
          <w:rFonts w:hint="eastAsia"/>
          <w:b/>
          <w:bCs/>
          <w:color w:val="auto"/>
          <w:kern w:val="0"/>
          <w:szCs w:val="21"/>
          <w:highlight w:val="none"/>
        </w:rPr>
        <w:t>3.4</w:t>
      </w:r>
      <w:r>
        <w:rPr>
          <w:b/>
          <w:bCs/>
          <w:color w:val="auto"/>
          <w:kern w:val="0"/>
          <w:szCs w:val="21"/>
          <w:highlight w:val="none"/>
        </w:rPr>
        <w:t>.</w:t>
      </w:r>
      <w:r>
        <w:rPr>
          <w:rFonts w:hint="eastAsia"/>
          <w:b/>
          <w:bCs/>
          <w:color w:val="auto"/>
          <w:kern w:val="0"/>
          <w:szCs w:val="21"/>
          <w:highlight w:val="none"/>
        </w:rPr>
        <w:t>用户反馈及评价机制</w:t>
      </w:r>
    </w:p>
    <w:p w14:paraId="7D209765">
      <w:pPr>
        <w:spacing w:before="120" w:line="320" w:lineRule="atLeast"/>
        <w:ind w:left="2" w:leftChars="1" w:firstLine="420" w:firstLineChars="200"/>
        <w:rPr>
          <w:rFonts w:hint="eastAsia"/>
          <w:color w:val="auto"/>
          <w:kern w:val="0"/>
          <w:szCs w:val="21"/>
          <w:highlight w:val="none"/>
        </w:rPr>
      </w:pPr>
      <w:r>
        <w:rPr>
          <w:rFonts w:hint="eastAsia"/>
          <w:color w:val="auto"/>
          <w:kern w:val="0"/>
          <w:szCs w:val="21"/>
          <w:highlight w:val="none"/>
        </w:rPr>
        <w:t>3.4</w:t>
      </w:r>
      <w:r>
        <w:rPr>
          <w:color w:val="auto"/>
          <w:kern w:val="0"/>
          <w:szCs w:val="21"/>
          <w:highlight w:val="none"/>
        </w:rPr>
        <w:t>.1</w:t>
      </w:r>
      <w:r>
        <w:rPr>
          <w:rFonts w:hint="eastAsia"/>
          <w:color w:val="auto"/>
          <w:kern w:val="0"/>
          <w:szCs w:val="21"/>
          <w:highlight w:val="none"/>
        </w:rPr>
        <w:t>由征集人收集采购人对入围供应商履行框架协议和采购合同的情况的反馈与评价，并向所有采购人公开，作为第二阶段直接选定成交供应商的参考。</w:t>
      </w:r>
    </w:p>
    <w:p w14:paraId="37F00DA0">
      <w:pPr>
        <w:spacing w:before="120" w:line="320" w:lineRule="atLeast"/>
        <w:ind w:left="2" w:leftChars="1" w:firstLine="422" w:firstLineChars="200"/>
        <w:outlineLvl w:val="1"/>
        <w:rPr>
          <w:b/>
          <w:bCs/>
          <w:color w:val="auto"/>
          <w:kern w:val="0"/>
          <w:szCs w:val="21"/>
          <w:highlight w:val="none"/>
        </w:rPr>
      </w:pPr>
      <w:r>
        <w:rPr>
          <w:rFonts w:hint="eastAsia"/>
          <w:b/>
          <w:bCs/>
          <w:color w:val="auto"/>
          <w:kern w:val="0"/>
          <w:szCs w:val="21"/>
          <w:highlight w:val="none"/>
        </w:rPr>
        <w:t>4</w:t>
      </w:r>
      <w:r>
        <w:rPr>
          <w:b/>
          <w:bCs/>
          <w:color w:val="auto"/>
          <w:kern w:val="0"/>
          <w:szCs w:val="21"/>
          <w:highlight w:val="none"/>
        </w:rPr>
        <w:t>．其他事项</w:t>
      </w:r>
    </w:p>
    <w:p w14:paraId="2CA8356D">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.1代理服务收费由采购代理机构向入围供应商收取。</w:t>
      </w:r>
      <w:r>
        <w:rPr>
          <w:rFonts w:hint="eastAsia"/>
          <w:color w:val="auto"/>
          <w:szCs w:val="21"/>
          <w:highlight w:val="none"/>
        </w:rPr>
        <w:t>发布入围结果公告5个工作日内，</w:t>
      </w:r>
      <w:r>
        <w:rPr>
          <w:color w:val="auto"/>
          <w:szCs w:val="21"/>
          <w:highlight w:val="none"/>
        </w:rPr>
        <w:t>入围供应商应向采购代理机构一次付清代理服务费。</w:t>
      </w:r>
    </w:p>
    <w:p w14:paraId="064ED17A">
      <w:pPr>
        <w:spacing w:before="120" w:line="276" w:lineRule="auto"/>
        <w:ind w:firstLine="420" w:firstLineChars="200"/>
        <w:rPr>
          <w:color w:val="auto"/>
          <w:szCs w:val="21"/>
          <w:highlight w:val="none"/>
        </w:rPr>
      </w:pPr>
      <w:r>
        <w:rPr>
          <w:rFonts w:hint="eastAsia"/>
          <w:color w:val="auto"/>
          <w:szCs w:val="21"/>
          <w:highlight w:val="none"/>
        </w:rPr>
        <w:t>4</w:t>
      </w:r>
      <w:r>
        <w:rPr>
          <w:color w:val="auto"/>
          <w:szCs w:val="21"/>
          <w:highlight w:val="none"/>
        </w:rPr>
        <w:t>.2</w:t>
      </w:r>
      <w:r>
        <w:rPr>
          <w:rFonts w:hint="eastAsia"/>
          <w:color w:val="auto"/>
          <w:szCs w:val="21"/>
          <w:highlight w:val="none"/>
        </w:rPr>
        <w:t>电子交易活动的中止。征集过程中出现以下情形，导致电子交易平台无法正常运行，或者无法保证电子交易的公平、公正和安全时，征集人可中止电子交易活动：</w:t>
      </w:r>
    </w:p>
    <w:p w14:paraId="6AFDC2DC">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6C4840AB">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158F804A">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2E5BC44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215507B3">
      <w:pPr>
        <w:spacing w:before="120" w:line="276" w:lineRule="auto"/>
        <w:ind w:firstLine="420" w:firstLineChars="200"/>
        <w:rPr>
          <w:color w:val="auto"/>
          <w:szCs w:val="21"/>
          <w:highlight w:val="none"/>
        </w:rPr>
      </w:pPr>
      <w:r>
        <w:rPr>
          <w:rFonts w:hint="eastAsia"/>
          <w:color w:val="auto"/>
          <w:szCs w:val="21"/>
          <w:highlight w:val="none"/>
        </w:rPr>
        <w:t>（4）其他无法保证电子交易的公平、公正和安全的情况。</w:t>
      </w:r>
    </w:p>
    <w:p w14:paraId="021DE03E">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auto"/>
          <w:szCs w:val="21"/>
          <w:highlight w:val="none"/>
        </w:rPr>
        <w:t xml:space="preserve"> </w:t>
      </w:r>
    </w:p>
    <w:p w14:paraId="7A7D647C">
      <w:pPr>
        <w:spacing w:line="360" w:lineRule="auto"/>
        <w:ind w:firstLine="420"/>
        <w:rPr>
          <w:color w:val="auto"/>
          <w:szCs w:val="21"/>
          <w:highlight w:val="none"/>
        </w:rPr>
      </w:pPr>
      <w:r>
        <w:rPr>
          <w:rFonts w:hint="eastAsia"/>
          <w:color w:val="auto"/>
          <w:szCs w:val="21"/>
          <w:highlight w:val="none"/>
        </w:rPr>
        <w:t>4</w:t>
      </w:r>
      <w:r>
        <w:rPr>
          <w:color w:val="auto"/>
          <w:szCs w:val="21"/>
          <w:highlight w:val="none"/>
        </w:rPr>
        <w:t>.3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5025D2A2">
      <w:pPr>
        <w:spacing w:line="360" w:lineRule="auto"/>
        <w:ind w:firstLine="420"/>
        <w:rPr>
          <w:color w:val="auto"/>
          <w:szCs w:val="21"/>
          <w:highlight w:val="none"/>
        </w:rPr>
      </w:pPr>
      <w:r>
        <w:rPr>
          <w:rFonts w:hint="eastAsia"/>
          <w:color w:val="auto"/>
          <w:szCs w:val="21"/>
          <w:highlight w:val="none"/>
        </w:rPr>
        <w:t>4</w:t>
      </w:r>
      <w:r>
        <w:rPr>
          <w:color w:val="auto"/>
          <w:szCs w:val="21"/>
          <w:highlight w:val="none"/>
        </w:rPr>
        <w:t>.4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4EFD101E">
      <w:pPr>
        <w:spacing w:before="120" w:line="320" w:lineRule="atLeast"/>
        <w:ind w:left="2" w:leftChars="1" w:firstLine="422" w:firstLineChars="200"/>
        <w:outlineLvl w:val="1"/>
        <w:rPr>
          <w:b/>
          <w:bCs/>
          <w:color w:val="auto"/>
          <w:kern w:val="0"/>
          <w:szCs w:val="21"/>
          <w:highlight w:val="none"/>
        </w:rPr>
      </w:pPr>
      <w:r>
        <w:rPr>
          <w:rFonts w:hint="eastAsia"/>
          <w:b/>
          <w:bCs/>
          <w:color w:val="auto"/>
          <w:kern w:val="0"/>
          <w:szCs w:val="21"/>
          <w:highlight w:val="none"/>
        </w:rPr>
        <w:t>5</w:t>
      </w:r>
      <w:r>
        <w:rPr>
          <w:b/>
          <w:bCs/>
          <w:color w:val="auto"/>
          <w:kern w:val="0"/>
          <w:szCs w:val="21"/>
          <w:highlight w:val="none"/>
        </w:rPr>
        <w:t>．</w:t>
      </w:r>
      <w:r>
        <w:rPr>
          <w:rFonts w:hint="eastAsia"/>
          <w:b/>
          <w:bCs/>
          <w:color w:val="auto"/>
          <w:kern w:val="0"/>
          <w:szCs w:val="21"/>
          <w:highlight w:val="none"/>
        </w:rPr>
        <w:t>其他说明</w:t>
      </w:r>
    </w:p>
    <w:p w14:paraId="60E9AC1D">
      <w:pPr>
        <w:spacing w:before="120" w:line="320" w:lineRule="atLeast"/>
        <w:ind w:left="2" w:leftChars="1" w:firstLine="422" w:firstLineChars="200"/>
        <w:rPr>
          <w:color w:val="auto"/>
          <w:kern w:val="0"/>
          <w:szCs w:val="21"/>
          <w:highlight w:val="none"/>
        </w:rPr>
      </w:pPr>
      <w:r>
        <w:rPr>
          <w:rFonts w:hint="eastAsia"/>
          <w:b/>
          <w:bCs/>
          <w:color w:val="auto"/>
          <w:kern w:val="0"/>
          <w:szCs w:val="21"/>
          <w:highlight w:val="none"/>
        </w:rPr>
        <w:t>5</w:t>
      </w:r>
      <w:r>
        <w:rPr>
          <w:b/>
          <w:bCs/>
          <w:color w:val="auto"/>
          <w:kern w:val="0"/>
          <w:szCs w:val="21"/>
          <w:highlight w:val="none"/>
        </w:rPr>
        <w:t>.1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、《政府采购框架协议采购方式管理暂行办法》的相关规定执行。</w:t>
      </w:r>
    </w:p>
    <w:p w14:paraId="4CB5E761">
      <w:pPr>
        <w:spacing w:before="120" w:line="320" w:lineRule="atLeast"/>
        <w:ind w:left="2" w:leftChars="1" w:firstLine="422" w:firstLineChars="200"/>
        <w:rPr>
          <w:rFonts w:hint="eastAsia"/>
          <w:color w:val="auto"/>
          <w:sz w:val="32"/>
          <w:szCs w:val="32"/>
          <w:highlight w:val="none"/>
        </w:rPr>
      </w:pPr>
      <w:r>
        <w:rPr>
          <w:rFonts w:hint="eastAsia"/>
          <w:b/>
          <w:bCs/>
          <w:color w:val="auto"/>
          <w:kern w:val="0"/>
          <w:szCs w:val="21"/>
          <w:highlight w:val="none"/>
        </w:rPr>
        <w:t>5</w:t>
      </w:r>
      <w:r>
        <w:rPr>
          <w:b/>
          <w:bCs/>
          <w:color w:val="auto"/>
          <w:kern w:val="0"/>
          <w:szCs w:val="21"/>
          <w:highlight w:val="none"/>
        </w:rPr>
        <w:t>.2</w:t>
      </w:r>
      <w:r>
        <w:rPr>
          <w:rFonts w:hint="eastAsia"/>
          <w:color w:val="auto"/>
          <w:highlight w:val="none"/>
        </w:rPr>
        <w:t>本</w:t>
      </w:r>
      <w:r>
        <w:rPr>
          <w:color w:val="auto"/>
          <w:highlight w:val="none"/>
        </w:rPr>
        <w:t>征集文件是根据国家有关法律及有关政策、法规和参照国际惯例编制，解释权属采购代理机构。</w:t>
      </w:r>
      <w:bookmarkEnd w:id="29"/>
    </w:p>
    <w:p w14:paraId="4E573D97">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bookmarkStart w:id="74" w:name="_Toc14155"/>
      <w:r>
        <w:rPr>
          <w:rFonts w:ascii="Times New Roman" w:hAnsi="Times New Roman" w:cs="Times New Roman"/>
          <w:color w:val="auto"/>
          <w:sz w:val="32"/>
          <w:szCs w:val="32"/>
          <w:highlight w:val="none"/>
        </w:rPr>
        <w:t>第四章  评审方法及标准</w:t>
      </w:r>
      <w:bookmarkEnd w:id="74"/>
    </w:p>
    <w:p w14:paraId="7AD9E35D">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评审方法</w:t>
      </w:r>
    </w:p>
    <w:p w14:paraId="63247949">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1本项目采用</w:t>
      </w:r>
      <w:r>
        <w:rPr>
          <w:rFonts w:hint="eastAsia"/>
          <w:color w:val="auto"/>
          <w:highlight w:val="none"/>
        </w:rPr>
        <w:t>质量优先法</w:t>
      </w:r>
      <w:r>
        <w:rPr>
          <w:color w:val="auto"/>
          <w:highlight w:val="none"/>
        </w:rPr>
        <w:t>进行评审</w:t>
      </w:r>
      <w:r>
        <w:rPr>
          <w:rFonts w:hint="eastAsia"/>
          <w:color w:val="auto"/>
          <w:highlight w:val="none"/>
        </w:rPr>
        <w:t>。</w:t>
      </w:r>
    </w:p>
    <w:p w14:paraId="19B462B9">
      <w:pPr>
        <w:suppressAutoHyphens/>
        <w:spacing w:before="120" w:line="320" w:lineRule="atLeast"/>
        <w:ind w:firstLine="420" w:firstLineChars="200"/>
        <w:rPr>
          <w:color w:val="auto"/>
          <w:highlight w:val="none"/>
        </w:rPr>
      </w:pPr>
      <w:r>
        <w:rPr>
          <w:rFonts w:hint="eastAsia"/>
          <w:color w:val="auto"/>
          <w:highlight w:val="none"/>
        </w:rPr>
        <w:t>质量优先法是对合格供应商响应内容进行质量综合评分，按照质量评分从高到低排序，根据下方规定的淘汰率及入围供应商最大数量及最小数量，确定入围供应商的评审方法。</w:t>
      </w:r>
    </w:p>
    <w:p w14:paraId="0D7CA62B">
      <w:pPr>
        <w:suppressAutoHyphens/>
        <w:spacing w:before="120" w:line="320" w:lineRule="atLeast"/>
        <w:ind w:firstLine="420" w:firstLineChars="200"/>
        <w:rPr>
          <w:color w:val="auto"/>
          <w:highlight w:val="none"/>
        </w:rPr>
      </w:pPr>
      <w:r>
        <w:rPr>
          <w:rFonts w:hint="eastAsia"/>
          <w:color w:val="auto"/>
          <w:highlight w:val="none"/>
        </w:rPr>
        <w:t>合格供应商是指对满足采购需求、响应报价不超过最高限制单价且资格审查合格的供应商，假设数量为Y。</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2268"/>
        <w:gridCol w:w="2268"/>
      </w:tblGrid>
      <w:tr w14:paraId="33C2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3" w:type="dxa"/>
            <w:noWrap w:val="0"/>
            <w:vAlign w:val="center"/>
          </w:tcPr>
          <w:p w14:paraId="33055387">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rPr>
              <w:t>标项</w:t>
            </w:r>
          </w:p>
        </w:tc>
        <w:tc>
          <w:tcPr>
            <w:tcW w:w="2126" w:type="dxa"/>
            <w:noWrap w:val="0"/>
            <w:vAlign w:val="center"/>
          </w:tcPr>
          <w:p w14:paraId="63B648A3">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rPr>
              <w:t>淘汰率</w:t>
            </w:r>
          </w:p>
        </w:tc>
        <w:tc>
          <w:tcPr>
            <w:tcW w:w="2268" w:type="dxa"/>
            <w:noWrap w:val="0"/>
            <w:vAlign w:val="center"/>
          </w:tcPr>
          <w:p w14:paraId="4BC29C3A">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rPr>
              <w:t>入围供应商最大数量</w:t>
            </w:r>
          </w:p>
        </w:tc>
        <w:tc>
          <w:tcPr>
            <w:tcW w:w="2268" w:type="dxa"/>
            <w:noWrap w:val="0"/>
            <w:vAlign w:val="center"/>
          </w:tcPr>
          <w:p w14:paraId="6B27F693">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rPr>
              <w:t>入围供应商最小数量</w:t>
            </w:r>
          </w:p>
        </w:tc>
      </w:tr>
      <w:tr w14:paraId="3BBD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13" w:type="dxa"/>
            <w:noWrap w:val="0"/>
            <w:vAlign w:val="center"/>
          </w:tcPr>
          <w:p w14:paraId="608C2044">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一</w:t>
            </w:r>
          </w:p>
        </w:tc>
        <w:tc>
          <w:tcPr>
            <w:tcW w:w="2126" w:type="dxa"/>
            <w:noWrap w:val="0"/>
            <w:vAlign w:val="center"/>
          </w:tcPr>
          <w:p w14:paraId="0F9B6813">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20%</w:t>
            </w:r>
          </w:p>
        </w:tc>
        <w:tc>
          <w:tcPr>
            <w:tcW w:w="2268" w:type="dxa"/>
            <w:noWrap w:val="0"/>
            <w:vAlign w:val="center"/>
          </w:tcPr>
          <w:p w14:paraId="54468B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2268" w:type="dxa"/>
            <w:noWrap w:val="0"/>
            <w:vAlign w:val="center"/>
          </w:tcPr>
          <w:p w14:paraId="3606AB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14:paraId="391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13" w:type="dxa"/>
            <w:noWrap w:val="0"/>
            <w:vAlign w:val="center"/>
          </w:tcPr>
          <w:p w14:paraId="2EFF251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二</w:t>
            </w:r>
          </w:p>
        </w:tc>
        <w:tc>
          <w:tcPr>
            <w:tcW w:w="2126" w:type="dxa"/>
            <w:noWrap w:val="0"/>
            <w:vAlign w:val="center"/>
          </w:tcPr>
          <w:p w14:paraId="3994A5D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
              </w:rPr>
              <w:t>20%</w:t>
            </w:r>
          </w:p>
        </w:tc>
        <w:tc>
          <w:tcPr>
            <w:tcW w:w="2268" w:type="dxa"/>
            <w:noWrap w:val="0"/>
            <w:vAlign w:val="center"/>
          </w:tcPr>
          <w:p w14:paraId="099F28B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
              </w:rPr>
              <w:t>1</w:t>
            </w:r>
            <w:r>
              <w:rPr>
                <w:rFonts w:hint="default" w:ascii="Times New Roman" w:hAnsi="Times New Roman" w:eastAsia="宋体" w:cs="Times New Roman"/>
                <w:kern w:val="2"/>
                <w:sz w:val="21"/>
                <w:szCs w:val="21"/>
                <w:lang w:val="en-US" w:eastAsia="zh-CN" w:bidi="ar"/>
              </w:rPr>
              <w:t>0</w:t>
            </w:r>
          </w:p>
        </w:tc>
        <w:tc>
          <w:tcPr>
            <w:tcW w:w="2268" w:type="dxa"/>
            <w:noWrap w:val="0"/>
            <w:vAlign w:val="center"/>
          </w:tcPr>
          <w:p w14:paraId="54C0375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
              </w:rPr>
              <w:t>8</w:t>
            </w:r>
          </w:p>
        </w:tc>
      </w:tr>
    </w:tbl>
    <w:p w14:paraId="318A6C2B">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确定入围供应商步骤：</w:t>
      </w:r>
    </w:p>
    <w:p w14:paraId="21B767A3">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w:t>
      </w:r>
      <w:r>
        <w:rPr>
          <w:color w:val="auto"/>
          <w:highlight w:val="none"/>
        </w:rPr>
        <w:t>1</w:t>
      </w:r>
      <w:r>
        <w:rPr>
          <w:rFonts w:hint="eastAsia"/>
          <w:color w:val="auto"/>
          <w:highlight w:val="none"/>
        </w:rPr>
        <w:t>计算最低淘汰供应商及初步入围供应商数量</w:t>
      </w:r>
    </w:p>
    <w:p w14:paraId="108049BC">
      <w:pPr>
        <w:suppressAutoHyphens/>
        <w:spacing w:before="120" w:line="320" w:lineRule="atLeast"/>
        <w:ind w:firstLine="420" w:firstLineChars="200"/>
        <w:rPr>
          <w:color w:val="auto"/>
          <w:highlight w:val="none"/>
        </w:rPr>
      </w:pPr>
      <w:r>
        <w:rPr>
          <w:rFonts w:hint="eastAsia"/>
          <w:color w:val="auto"/>
          <w:highlight w:val="none"/>
        </w:rPr>
        <w:t>（1）最低淘汰供应商数量</w:t>
      </w:r>
      <w:r>
        <w:rPr>
          <w:color w:val="auto"/>
          <w:highlight w:val="none"/>
        </w:rPr>
        <w:t>Z</w:t>
      </w:r>
      <w:r>
        <w:rPr>
          <w:rFonts w:hint="eastAsia"/>
          <w:color w:val="auto"/>
          <w:highlight w:val="none"/>
        </w:rPr>
        <w:t xml:space="preserve"> =</w:t>
      </w:r>
      <w:r>
        <w:rPr>
          <w:color w:val="auto"/>
          <w:highlight w:val="none"/>
        </w:rPr>
        <w:t xml:space="preserve">Y </w:t>
      </w:r>
      <w:r>
        <w:rPr>
          <w:rFonts w:hint="eastAsia" w:ascii="宋体" w:hAnsi="宋体"/>
          <w:color w:val="auto"/>
          <w:highlight w:val="none"/>
        </w:rPr>
        <w:t>×</w:t>
      </w:r>
      <w:r>
        <w:rPr>
          <w:rFonts w:hint="eastAsia"/>
          <w:color w:val="auto"/>
          <w:highlight w:val="none"/>
        </w:rPr>
        <w:t xml:space="preserve"> 淘汰率（Z应保证为整数，计算结果有小数时向上取整，如计算值为2</w:t>
      </w:r>
      <w:r>
        <w:rPr>
          <w:color w:val="auto"/>
          <w:highlight w:val="none"/>
        </w:rPr>
        <w:t>.1</w:t>
      </w:r>
      <w:r>
        <w:rPr>
          <w:rFonts w:hint="eastAsia"/>
          <w:color w:val="auto"/>
          <w:highlight w:val="none"/>
        </w:rPr>
        <w:t>时取Z</w:t>
      </w:r>
      <w:r>
        <w:rPr>
          <w:color w:val="auto"/>
          <w:highlight w:val="none"/>
        </w:rPr>
        <w:t>=3</w:t>
      </w:r>
      <w:r>
        <w:rPr>
          <w:rFonts w:hint="eastAsia"/>
          <w:color w:val="auto"/>
          <w:highlight w:val="none"/>
        </w:rPr>
        <w:t>）</w:t>
      </w:r>
    </w:p>
    <w:p w14:paraId="29587673">
      <w:pPr>
        <w:suppressAutoHyphens/>
        <w:spacing w:before="120" w:line="320" w:lineRule="atLeas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）初步入围供应商数量X=</w:t>
      </w:r>
      <w:r>
        <w:rPr>
          <w:color w:val="auto"/>
          <w:highlight w:val="none"/>
        </w:rPr>
        <w:t>Y – Z</w:t>
      </w:r>
    </w:p>
    <w:p w14:paraId="41053BD2">
      <w:pPr>
        <w:suppressAutoHyphens/>
        <w:spacing w:before="120" w:line="320" w:lineRule="atLeast"/>
        <w:ind w:firstLine="420" w:firstLineChars="200"/>
        <w:rPr>
          <w:color w:val="auto"/>
          <w:highlight w:val="none"/>
        </w:rPr>
      </w:pPr>
      <w:r>
        <w:rPr>
          <w:color w:val="auto"/>
          <w:highlight w:val="none"/>
        </w:rPr>
        <w:t>1.2.2</w:t>
      </w:r>
      <w:r>
        <w:rPr>
          <w:rFonts w:hint="eastAsia"/>
          <w:color w:val="auto"/>
          <w:highlight w:val="none"/>
        </w:rPr>
        <w:t>对合格供应商进行评审及首次排序，首次排序即按照质量评分从高到低排序，相同分数的并列排序。然后将供应商按首次排序从末位开始淘汰Z家，并列的供应商一并淘汰。</w:t>
      </w:r>
    </w:p>
    <w:p w14:paraId="7FFCA644">
      <w:pPr>
        <w:suppressAutoHyphens/>
        <w:spacing w:before="120" w:line="320" w:lineRule="atLeast"/>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w:t>
      </w:r>
      <w:r>
        <w:rPr>
          <w:color w:val="auto"/>
          <w:highlight w:val="none"/>
        </w:rPr>
        <w:t>3</w:t>
      </w:r>
      <w:r>
        <w:rPr>
          <w:rFonts w:hint="eastAsia"/>
          <w:color w:val="auto"/>
          <w:highlight w:val="none"/>
        </w:rPr>
        <w:t>淘汰供应商</w:t>
      </w:r>
    </w:p>
    <w:p w14:paraId="7763EFE9">
      <w:pPr>
        <w:suppressAutoHyphens/>
        <w:spacing w:before="120" w:line="320" w:lineRule="atLeast"/>
        <w:ind w:firstLine="420" w:firstLineChars="200"/>
        <w:rPr>
          <w:color w:val="auto"/>
          <w:highlight w:val="none"/>
        </w:rPr>
      </w:pPr>
      <w:r>
        <w:rPr>
          <w:rFonts w:hint="eastAsia"/>
          <w:color w:val="auto"/>
          <w:highlight w:val="none"/>
        </w:rPr>
        <w:t>将X与入围供应商最大最小数量对比，按下列不同情况淘汰供应商：</w:t>
      </w:r>
    </w:p>
    <w:p w14:paraId="7F2EA9FC">
      <w:pPr>
        <w:suppressAutoHyphens/>
        <w:spacing w:before="120" w:line="320" w:lineRule="atLeast"/>
        <w:ind w:firstLine="420" w:firstLineChars="200"/>
        <w:rPr>
          <w:color w:val="auto"/>
          <w:highlight w:val="none"/>
        </w:rPr>
      </w:pPr>
      <w:r>
        <w:rPr>
          <w:rFonts w:hint="eastAsia"/>
          <w:color w:val="auto"/>
          <w:highlight w:val="none"/>
        </w:rPr>
        <w:t>（1）X＝入围供应商最大数量时，X即为最终入围供应商数量。</w:t>
      </w:r>
    </w:p>
    <w:p w14:paraId="4A20A369">
      <w:pPr>
        <w:suppressAutoHyphens/>
        <w:spacing w:before="120" w:line="320" w:lineRule="atLeas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）当X＞入围供应商最大数量时，应按首次排序将剩余供应商从末位开始继续淘汰，直至最终入围供应商数量等于入围供应商最大数量；在此过程中并列的供应商应一并淘汰。</w:t>
      </w:r>
    </w:p>
    <w:p w14:paraId="516B8B3F">
      <w:pPr>
        <w:suppressAutoHyphens/>
        <w:spacing w:before="120" w:line="320" w:lineRule="atLeast"/>
        <w:ind w:firstLine="525" w:firstLineChars="250"/>
        <w:rPr>
          <w:color w:val="auto"/>
          <w:highlight w:val="none"/>
        </w:rPr>
      </w:pPr>
      <w:r>
        <w:rPr>
          <w:rFonts w:hint="eastAsia"/>
          <w:color w:val="auto"/>
          <w:highlight w:val="none"/>
        </w:rPr>
        <w:t>如果淘汰某排序并列供应商后，入围供应商最小数量≤X＜入围供应商最大数量，应将该排序并列供应商进行二次排序，并按二次排序从末位开始淘汰，直至最终入围供应商数量等于入围供应商最大数量；在此过程中如果出现供应商二次排序并列的情况，并列的供应商应一并淘汰。</w:t>
      </w:r>
    </w:p>
    <w:p w14:paraId="33D6A94A">
      <w:pPr>
        <w:suppressAutoHyphens/>
        <w:spacing w:before="120" w:line="320" w:lineRule="atLeast"/>
        <w:ind w:firstLine="525" w:firstLineChars="250"/>
        <w:rPr>
          <w:color w:val="auto"/>
          <w:highlight w:val="none"/>
        </w:rPr>
      </w:pPr>
      <w:r>
        <w:rPr>
          <w:rFonts w:hint="eastAsia"/>
          <w:color w:val="auto"/>
          <w:highlight w:val="none"/>
        </w:rPr>
        <w:t>在上述二次排序淘汰过程中，如果淘汰某排序并列供应商后，入围供应商最小数量≤X＜入围供应商最大数量，应将该排序并列供应商进行三次排序，并按三次排序从末位开始淘汰，直至最终入围供应商数量等于入围供应商最大数量。</w:t>
      </w:r>
    </w:p>
    <w:p w14:paraId="14B90715">
      <w:pPr>
        <w:suppressAutoHyphens/>
        <w:spacing w:before="120" w:line="320" w:lineRule="atLeas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）当2≤X＜入围供应商最小数量时，征集人认为可以满足框架协议需求时，X为最终入围供应商数量；如果征集人认为不能满足框架协议需求时，应重新开展征集活动。</w:t>
      </w:r>
    </w:p>
    <w:p w14:paraId="12D57775">
      <w:pPr>
        <w:suppressAutoHyphens/>
        <w:spacing w:before="120" w:line="320" w:lineRule="atLeas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）当X＜2时，本次框架协议采购失败，应重新开展征集活动。</w:t>
      </w:r>
    </w:p>
    <w:p w14:paraId="46FC5E15">
      <w:pPr>
        <w:suppressAutoHyphens/>
        <w:spacing w:before="120" w:line="320" w:lineRule="atLeast"/>
        <w:ind w:firstLine="420" w:firstLineChars="200"/>
        <w:rPr>
          <w:color w:val="auto"/>
          <w:highlight w:val="none"/>
        </w:rPr>
      </w:pPr>
      <w:r>
        <w:rPr>
          <w:color w:val="auto"/>
          <w:highlight w:val="none"/>
        </w:rPr>
        <w:t>1</w:t>
      </w:r>
      <w:r>
        <w:rPr>
          <w:rFonts w:hint="eastAsia"/>
          <w:color w:val="auto"/>
          <w:highlight w:val="none"/>
        </w:rPr>
        <w:t>.</w:t>
      </w:r>
      <w:r>
        <w:rPr>
          <w:color w:val="auto"/>
          <w:highlight w:val="none"/>
        </w:rPr>
        <w:t>2</w:t>
      </w:r>
      <w:r>
        <w:rPr>
          <w:rFonts w:hint="eastAsia"/>
          <w:color w:val="auto"/>
          <w:highlight w:val="none"/>
        </w:rPr>
        <w:t>.</w:t>
      </w:r>
      <w:r>
        <w:rPr>
          <w:color w:val="auto"/>
          <w:highlight w:val="none"/>
        </w:rPr>
        <w:t>4</w:t>
      </w:r>
      <w:r>
        <w:rPr>
          <w:rFonts w:hint="eastAsia"/>
          <w:color w:val="auto"/>
          <w:highlight w:val="none"/>
        </w:rPr>
        <w:t>二次三次排序规则</w:t>
      </w:r>
    </w:p>
    <w:p w14:paraId="7FF2DE3F">
      <w:pPr>
        <w:suppressAutoHyphens/>
        <w:spacing w:before="120" w:line="320" w:lineRule="atLeast"/>
        <w:ind w:firstLine="420" w:firstLineChars="200"/>
        <w:rPr>
          <w:color w:val="auto"/>
          <w:highlight w:val="none"/>
        </w:rPr>
      </w:pPr>
      <w:r>
        <w:rPr>
          <w:rFonts w:hint="eastAsia"/>
          <w:color w:val="auto"/>
          <w:highlight w:val="none"/>
        </w:rPr>
        <w:t>（1）二次排序规则：并列供应商按技术分由高到低排序，相同分数的并列排序。</w:t>
      </w:r>
    </w:p>
    <w:p w14:paraId="2EAC95A3">
      <w:pPr>
        <w:spacing w:before="120" w:line="320" w:lineRule="atLeast"/>
        <w:ind w:firstLine="411" w:firstLineChars="196"/>
        <w:outlineLvl w:val="1"/>
        <w:rPr>
          <w:color w:val="auto"/>
          <w:highlight w:val="none"/>
        </w:rPr>
      </w:pPr>
      <w:r>
        <w:rPr>
          <w:rFonts w:hint="eastAsia"/>
          <w:color w:val="auto"/>
          <w:highlight w:val="none"/>
        </w:rPr>
        <w:t>（2）三次排序规则：并列供应商进行数字抽签，按数字从大到小排序。</w:t>
      </w:r>
      <w:r>
        <w:rPr>
          <w:color w:val="auto"/>
          <w:highlight w:val="none"/>
        </w:rPr>
        <w:br w:type="page"/>
      </w: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p>
    <w:p w14:paraId="0E1E9DE8">
      <w:pPr>
        <w:rPr>
          <w:b/>
          <w:color w:val="auto"/>
          <w:kern w:val="0"/>
          <w:szCs w:val="21"/>
          <w:highlight w:val="none"/>
        </w:rPr>
      </w:pP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2AF3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EEBED0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审查</w:t>
            </w:r>
            <w:r>
              <w:rPr>
                <w:rFonts w:hint="default" w:ascii="Times New Roman" w:hAnsi="Times New Roman" w:cs="Times New Roman"/>
                <w:b/>
                <w:color w:val="auto"/>
                <w:kern w:val="0"/>
                <w:szCs w:val="21"/>
                <w:highlight w:val="none"/>
              </w:rPr>
              <w:t>因素</w:t>
            </w:r>
          </w:p>
        </w:tc>
        <w:tc>
          <w:tcPr>
            <w:tcW w:w="1843" w:type="dxa"/>
            <w:noWrap w:val="0"/>
            <w:vAlign w:val="center"/>
          </w:tcPr>
          <w:p w14:paraId="2F31FEC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审查</w:t>
            </w:r>
            <w:r>
              <w:rPr>
                <w:rFonts w:hint="default" w:ascii="Times New Roman" w:hAnsi="Times New Roman" w:cs="Times New Roman"/>
                <w:b/>
                <w:color w:val="auto"/>
                <w:kern w:val="0"/>
                <w:szCs w:val="21"/>
                <w:highlight w:val="none"/>
              </w:rPr>
              <w:t>内容</w:t>
            </w:r>
          </w:p>
        </w:tc>
        <w:tc>
          <w:tcPr>
            <w:tcW w:w="6242" w:type="dxa"/>
            <w:noWrap w:val="0"/>
            <w:vAlign w:val="center"/>
          </w:tcPr>
          <w:p w14:paraId="6CBE4D04">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说明</w:t>
            </w:r>
          </w:p>
        </w:tc>
      </w:tr>
      <w:tr w14:paraId="75E5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46" w:type="dxa"/>
            <w:vMerge w:val="restart"/>
            <w:noWrap w:val="0"/>
            <w:vAlign w:val="center"/>
          </w:tcPr>
          <w:p w14:paraId="39FB9A45">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供应商应符合的</w:t>
            </w:r>
            <w:r>
              <w:rPr>
                <w:rFonts w:hint="eastAsia" w:ascii="Times New Roman" w:hAnsi="Times New Roman" w:cs="Times New Roman"/>
                <w:color w:val="auto"/>
                <w:szCs w:val="21"/>
                <w:highlight w:val="none"/>
                <w:lang w:val="zh-CN"/>
              </w:rPr>
              <w:t>基本</w:t>
            </w:r>
            <w:r>
              <w:rPr>
                <w:rFonts w:hint="default" w:ascii="Times New Roman" w:hAnsi="Times New Roman" w:cs="Times New Roman"/>
                <w:color w:val="auto"/>
                <w:szCs w:val="21"/>
                <w:highlight w:val="none"/>
              </w:rPr>
              <w:t>资格</w:t>
            </w:r>
            <w:r>
              <w:rPr>
                <w:rFonts w:hint="eastAsia" w:ascii="Times New Roman" w:hAnsi="Times New Roman" w:cs="Times New Roman"/>
                <w:color w:val="auto"/>
                <w:szCs w:val="21"/>
                <w:highlight w:val="none"/>
              </w:rPr>
              <w:t>要求</w:t>
            </w:r>
          </w:p>
        </w:tc>
        <w:tc>
          <w:tcPr>
            <w:tcW w:w="1843" w:type="dxa"/>
            <w:noWrap w:val="0"/>
            <w:vAlign w:val="center"/>
          </w:tcPr>
          <w:p w14:paraId="3228061B">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（1）具有独立承担民事责任的能力</w:t>
            </w:r>
          </w:p>
        </w:tc>
        <w:tc>
          <w:tcPr>
            <w:tcW w:w="6242" w:type="dxa"/>
            <w:vMerge w:val="restart"/>
            <w:noWrap w:val="0"/>
            <w:vAlign w:val="center"/>
          </w:tcPr>
          <w:p w14:paraId="7AB11F81">
            <w:pPr>
              <w:keepNext w:val="0"/>
              <w:keepLines w:val="0"/>
              <w:suppressLineNumbers w:val="0"/>
              <w:spacing w:before="0" w:beforeAutospacing="0" w:after="0" w:afterAutospacing="0" w:line="240" w:lineRule="exact"/>
              <w:ind w:left="0" w:right="0"/>
              <w:jc w:val="both"/>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提供《</w:t>
            </w:r>
            <w:bookmarkStart w:id="75" w:name="OLE_LINK1"/>
            <w:r>
              <w:rPr>
                <w:rFonts w:hint="eastAsia" w:ascii="Times New Roman" w:hAnsi="Times New Roman" w:cs="Times New Roman"/>
                <w:color w:val="auto"/>
                <w:szCs w:val="21"/>
                <w:highlight w:val="none"/>
                <w:lang w:val="en-US" w:eastAsia="zh-CN"/>
              </w:rPr>
              <w:t>贺州市政府采购供应商信用承诺函</w:t>
            </w:r>
            <w:bookmarkEnd w:id="75"/>
            <w:r>
              <w:rPr>
                <w:rFonts w:hint="eastAsia" w:ascii="Times New Roman" w:hAnsi="Times New Roman" w:cs="Times New Roman"/>
                <w:color w:val="auto"/>
                <w:szCs w:val="21"/>
                <w:highlight w:val="none"/>
                <w:lang w:val="en-US" w:eastAsia="zh-CN"/>
              </w:rPr>
              <w:t>》</w:t>
            </w:r>
          </w:p>
        </w:tc>
      </w:tr>
      <w:tr w14:paraId="6A72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5A4C93C2">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p>
        </w:tc>
        <w:tc>
          <w:tcPr>
            <w:tcW w:w="1843" w:type="dxa"/>
            <w:noWrap w:val="0"/>
            <w:vAlign w:val="center"/>
          </w:tcPr>
          <w:p w14:paraId="528A1760">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（2）</w:t>
            </w:r>
            <w:r>
              <w:rPr>
                <w:rFonts w:hint="default" w:ascii="Times New Roman" w:hAnsi="Times New Roman" w:cs="Times New Roman"/>
                <w:color w:val="auto"/>
                <w:szCs w:val="21"/>
                <w:highlight w:val="none"/>
              </w:rPr>
              <w:t>具有良好的商业信誉和健全的财务会计制度</w:t>
            </w:r>
          </w:p>
        </w:tc>
        <w:tc>
          <w:tcPr>
            <w:tcW w:w="6242" w:type="dxa"/>
            <w:vMerge w:val="continue"/>
            <w:noWrap w:val="0"/>
            <w:vAlign w:val="top"/>
          </w:tcPr>
          <w:p w14:paraId="380E8A5C">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r>
      <w:tr w14:paraId="7883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7C3D2D4B">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p>
        </w:tc>
        <w:tc>
          <w:tcPr>
            <w:tcW w:w="1843" w:type="dxa"/>
            <w:noWrap w:val="0"/>
            <w:vAlign w:val="center"/>
          </w:tcPr>
          <w:p w14:paraId="2D4FD110">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（3）具有履行合同所必需的设备和专业技术能力</w:t>
            </w:r>
          </w:p>
        </w:tc>
        <w:tc>
          <w:tcPr>
            <w:tcW w:w="6242" w:type="dxa"/>
            <w:vMerge w:val="continue"/>
            <w:noWrap w:val="0"/>
            <w:vAlign w:val="top"/>
          </w:tcPr>
          <w:p w14:paraId="3689F29E">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r>
      <w:tr w14:paraId="01B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6C6416CE">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p>
        </w:tc>
        <w:tc>
          <w:tcPr>
            <w:tcW w:w="1843" w:type="dxa"/>
            <w:noWrap w:val="0"/>
            <w:vAlign w:val="center"/>
          </w:tcPr>
          <w:p w14:paraId="41651E5B">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（4）有依法缴纳税收和社会保障金的良好记录</w:t>
            </w:r>
          </w:p>
        </w:tc>
        <w:tc>
          <w:tcPr>
            <w:tcW w:w="6242" w:type="dxa"/>
            <w:vMerge w:val="continue"/>
            <w:noWrap w:val="0"/>
            <w:vAlign w:val="top"/>
          </w:tcPr>
          <w:p w14:paraId="0207E6C8">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r>
      <w:tr w14:paraId="0537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46" w:type="dxa"/>
            <w:vMerge w:val="continue"/>
            <w:noWrap w:val="0"/>
            <w:vAlign w:val="center"/>
          </w:tcPr>
          <w:p w14:paraId="762F6D6D">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p>
        </w:tc>
        <w:tc>
          <w:tcPr>
            <w:tcW w:w="1843" w:type="dxa"/>
            <w:noWrap w:val="0"/>
            <w:vAlign w:val="center"/>
          </w:tcPr>
          <w:p w14:paraId="27218A50">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（5）参加政府采购活动前三年内，在经营活动中没有重大违法记录及不良信用记录</w:t>
            </w:r>
          </w:p>
        </w:tc>
        <w:tc>
          <w:tcPr>
            <w:tcW w:w="6242" w:type="dxa"/>
            <w:vMerge w:val="continue"/>
            <w:noWrap w:val="0"/>
            <w:vAlign w:val="center"/>
          </w:tcPr>
          <w:p w14:paraId="06787285">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r>
      <w:tr w14:paraId="2AD4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5255C879">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p>
        </w:tc>
        <w:tc>
          <w:tcPr>
            <w:tcW w:w="1843" w:type="dxa"/>
            <w:noWrap w:val="0"/>
            <w:vAlign w:val="center"/>
          </w:tcPr>
          <w:p w14:paraId="67A9E241">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（6）具备法律、行政法规规定的其他要求</w:t>
            </w:r>
          </w:p>
        </w:tc>
        <w:tc>
          <w:tcPr>
            <w:tcW w:w="6242" w:type="dxa"/>
            <w:vMerge w:val="continue"/>
            <w:noWrap w:val="0"/>
            <w:vAlign w:val="center"/>
          </w:tcPr>
          <w:p w14:paraId="47AAD78C">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r>
      <w:tr w14:paraId="5AE8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46" w:type="dxa"/>
            <w:vMerge w:val="restart"/>
            <w:noWrap w:val="0"/>
            <w:vAlign w:val="center"/>
          </w:tcPr>
          <w:p w14:paraId="5ADD3091">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供应商应符合的</w:t>
            </w:r>
            <w:r>
              <w:rPr>
                <w:rFonts w:hint="default" w:ascii="Times New Roman" w:hAnsi="Times New Roman" w:cs="Times New Roman"/>
                <w:color w:val="auto"/>
                <w:szCs w:val="21"/>
                <w:highlight w:val="none"/>
              </w:rPr>
              <w:t>特定资格</w:t>
            </w:r>
            <w:r>
              <w:rPr>
                <w:rFonts w:hint="eastAsia" w:ascii="Times New Roman" w:hAnsi="Times New Roman" w:cs="Times New Roman"/>
                <w:color w:val="auto"/>
                <w:szCs w:val="21"/>
                <w:highlight w:val="none"/>
              </w:rPr>
              <w:t>要求</w:t>
            </w:r>
          </w:p>
        </w:tc>
        <w:tc>
          <w:tcPr>
            <w:tcW w:w="1843" w:type="dxa"/>
            <w:noWrap w:val="0"/>
            <w:vAlign w:val="center"/>
          </w:tcPr>
          <w:p w14:paraId="15FFFE24">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（1）资质</w:t>
            </w:r>
            <w:r>
              <w:rPr>
                <w:rFonts w:hint="eastAsia" w:ascii="Times New Roman" w:hAnsi="Times New Roman" w:cs="Times New Roman"/>
                <w:color w:val="auto"/>
                <w:szCs w:val="21"/>
                <w:highlight w:val="none"/>
              </w:rPr>
              <w:t>要求</w:t>
            </w:r>
          </w:p>
        </w:tc>
        <w:tc>
          <w:tcPr>
            <w:tcW w:w="6242" w:type="dxa"/>
            <w:noWrap w:val="0"/>
            <w:vAlign w:val="center"/>
          </w:tcPr>
          <w:p w14:paraId="2EF72E24">
            <w:pPr>
              <w:keepNext w:val="0"/>
              <w:keepLines w:val="0"/>
              <w:suppressLineNumbers w:val="0"/>
              <w:spacing w:before="0" w:beforeAutospacing="0" w:after="0" w:afterAutospacing="0" w:line="240" w:lineRule="exact"/>
              <w:ind w:left="0" w:right="0"/>
              <w:jc w:val="left"/>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须符合</w:t>
            </w:r>
            <w:r>
              <w:rPr>
                <w:rFonts w:hint="eastAsia" w:ascii="Times New Roman" w:hAnsi="Times New Roman" w:cs="Times New Roman"/>
                <w:color w:val="auto"/>
                <w:szCs w:val="21"/>
                <w:highlight w:val="none"/>
              </w:rPr>
              <w:t>“征集公告”</w:t>
            </w:r>
            <w:r>
              <w:rPr>
                <w:rFonts w:hint="default" w:ascii="Times New Roman" w:hAnsi="Times New Roman" w:cs="Times New Roman"/>
                <w:color w:val="auto"/>
                <w:szCs w:val="21"/>
                <w:highlight w:val="none"/>
              </w:rPr>
              <w:t>的要求</w:t>
            </w:r>
            <w:r>
              <w:rPr>
                <w:rFonts w:hint="eastAsia" w:ascii="Times New Roman" w:hAnsi="Times New Roman" w:cs="Times New Roman"/>
                <w:color w:val="auto"/>
                <w:szCs w:val="21"/>
                <w:highlight w:val="none"/>
              </w:rPr>
              <w:t>。</w:t>
            </w:r>
          </w:p>
        </w:tc>
      </w:tr>
      <w:tr w14:paraId="04B2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noWrap w:val="0"/>
            <w:vAlign w:val="center"/>
          </w:tcPr>
          <w:p w14:paraId="36E92D6A">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p>
        </w:tc>
        <w:tc>
          <w:tcPr>
            <w:tcW w:w="1843" w:type="dxa"/>
            <w:noWrap w:val="0"/>
            <w:vAlign w:val="center"/>
          </w:tcPr>
          <w:p w14:paraId="09571961">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（2）业绩要求</w:t>
            </w:r>
          </w:p>
        </w:tc>
        <w:tc>
          <w:tcPr>
            <w:tcW w:w="6242" w:type="dxa"/>
            <w:noWrap w:val="0"/>
            <w:vAlign w:val="center"/>
          </w:tcPr>
          <w:p w14:paraId="050303B1">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须符合</w:t>
            </w:r>
            <w:r>
              <w:rPr>
                <w:rFonts w:hint="eastAsia" w:ascii="Times New Roman" w:hAnsi="Times New Roman" w:cs="Times New Roman"/>
                <w:color w:val="auto"/>
                <w:szCs w:val="21"/>
                <w:highlight w:val="none"/>
              </w:rPr>
              <w:t>“征集公告”</w:t>
            </w:r>
            <w:r>
              <w:rPr>
                <w:rFonts w:hint="default" w:ascii="Times New Roman" w:hAnsi="Times New Roman" w:cs="Times New Roman"/>
                <w:color w:val="auto"/>
                <w:szCs w:val="21"/>
                <w:highlight w:val="none"/>
              </w:rPr>
              <w:t>的要求</w:t>
            </w:r>
          </w:p>
        </w:tc>
      </w:tr>
      <w:tr w14:paraId="5F73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6" w:type="dxa"/>
            <w:vMerge w:val="continue"/>
            <w:noWrap w:val="0"/>
            <w:vAlign w:val="center"/>
          </w:tcPr>
          <w:p w14:paraId="2EAD7FEA">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p>
        </w:tc>
        <w:tc>
          <w:tcPr>
            <w:tcW w:w="1843" w:type="dxa"/>
            <w:noWrap w:val="0"/>
            <w:vAlign w:val="center"/>
          </w:tcPr>
          <w:p w14:paraId="49A0D882">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3</w:t>
            </w:r>
            <w:r>
              <w:rPr>
                <w:rFonts w:hint="eastAsia" w:ascii="Times New Roman" w:hAnsi="Times New Roman" w:cs="Times New Roman"/>
                <w:color w:val="auto"/>
                <w:szCs w:val="21"/>
                <w:highlight w:val="none"/>
              </w:rPr>
              <w:t>）供应商不得参加响应的情形</w:t>
            </w:r>
          </w:p>
        </w:tc>
        <w:tc>
          <w:tcPr>
            <w:tcW w:w="6242" w:type="dxa"/>
            <w:noWrap w:val="0"/>
            <w:vAlign w:val="center"/>
          </w:tcPr>
          <w:p w14:paraId="54E56C76">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ascii="Times New Roman" w:hAnsi="Times New Roman" w:cs="Times New Roman"/>
                <w:color w:val="auto"/>
                <w:kern w:val="0"/>
                <w:szCs w:val="21"/>
                <w:highlight w:val="none"/>
              </w:rPr>
              <w:t>本</w:t>
            </w:r>
            <w:r>
              <w:rPr>
                <w:rFonts w:hint="default" w:ascii="Times New Roman" w:hAnsi="Times New Roman" w:cs="Times New Roman"/>
                <w:color w:val="auto"/>
                <w:kern w:val="0"/>
                <w:szCs w:val="21"/>
                <w:highlight w:val="none"/>
              </w:rPr>
              <w:t>项目的采购活动。</w:t>
            </w:r>
          </w:p>
          <w:p w14:paraId="08D87298">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须提供，格式见第</w:t>
            </w:r>
            <w:r>
              <w:rPr>
                <w:rFonts w:hint="eastAsia" w:ascii="Times New Roman" w:hAnsi="Times New Roman" w:cs="Times New Roman"/>
                <w:color w:val="auto"/>
                <w:szCs w:val="21"/>
                <w:highlight w:val="none"/>
              </w:rPr>
              <w:t>七</w:t>
            </w:r>
            <w:r>
              <w:rPr>
                <w:rFonts w:hint="default" w:ascii="Times New Roman" w:hAnsi="Times New Roman" w:cs="Times New Roman"/>
                <w:color w:val="auto"/>
                <w:szCs w:val="21"/>
                <w:highlight w:val="none"/>
              </w:rPr>
              <w:t>章响应文件格式“</w:t>
            </w:r>
            <w:r>
              <w:rPr>
                <w:rFonts w:hint="eastAsia" w:ascii="Times New Roman" w:hAnsi="Times New Roman" w:cs="Times New Roman"/>
                <w:color w:val="auto"/>
                <w:szCs w:val="21"/>
                <w:highlight w:val="none"/>
              </w:rPr>
              <w:t>供应商直接控股股东、管理关系信息表</w:t>
            </w:r>
            <w:r>
              <w:rPr>
                <w:rFonts w:hint="default" w:ascii="Times New Roman" w:hAnsi="Times New Roman" w:cs="Times New Roman"/>
                <w:color w:val="auto"/>
                <w:szCs w:val="21"/>
                <w:highlight w:val="none"/>
              </w:rPr>
              <w:t>”。</w:t>
            </w:r>
          </w:p>
        </w:tc>
      </w:tr>
      <w:tr w14:paraId="62BC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noWrap w:val="0"/>
            <w:vAlign w:val="center"/>
          </w:tcPr>
          <w:p w14:paraId="7CE11C58">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kern w:val="0"/>
                <w:szCs w:val="21"/>
                <w:highlight w:val="none"/>
              </w:rPr>
            </w:pPr>
          </w:p>
        </w:tc>
        <w:tc>
          <w:tcPr>
            <w:tcW w:w="1843" w:type="dxa"/>
            <w:noWrap w:val="0"/>
            <w:vAlign w:val="center"/>
          </w:tcPr>
          <w:p w14:paraId="2249CE78">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szCs w:val="21"/>
                <w:highlight w:val="none"/>
              </w:rPr>
              <w:t>（</w:t>
            </w:r>
            <w:r>
              <w:rPr>
                <w:rFonts w:hint="default" w:ascii="Times New Roman" w:hAnsi="Times New Roman" w:cs="Times New Roman"/>
                <w:color w:val="auto"/>
                <w:szCs w:val="21"/>
                <w:highlight w:val="none"/>
              </w:rPr>
              <w:t>4</w:t>
            </w:r>
            <w:r>
              <w:rPr>
                <w:rFonts w:hint="eastAsia" w:ascii="Times New Roman" w:hAnsi="Times New Roman" w:cs="Times New Roman"/>
                <w:color w:val="auto"/>
                <w:szCs w:val="21"/>
                <w:highlight w:val="none"/>
              </w:rPr>
              <w:t>）诚信要求</w:t>
            </w:r>
          </w:p>
        </w:tc>
        <w:tc>
          <w:tcPr>
            <w:tcW w:w="6242" w:type="dxa"/>
            <w:noWrap w:val="0"/>
            <w:vAlign w:val="top"/>
          </w:tcPr>
          <w:p w14:paraId="2E78C222">
            <w:pPr>
              <w:keepNext w:val="0"/>
              <w:keepLines w:val="0"/>
              <w:suppressLineNumbers w:val="0"/>
              <w:spacing w:before="0" w:beforeAutospacing="0" w:after="0" w:afterAutospacing="0" w:line="312" w:lineRule="auto"/>
              <w:ind w:left="0" w:right="0"/>
              <w:jc w:val="left"/>
              <w:rPr>
                <w:rFonts w:hint="eastAsia"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未被列入失信被执行人、重大税收违法失信主体、政府采购严重违法失信行为记录名单。</w:t>
            </w:r>
          </w:p>
        </w:tc>
      </w:tr>
      <w:tr w14:paraId="0EE8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noWrap w:val="0"/>
            <w:vAlign w:val="center"/>
          </w:tcPr>
          <w:p w14:paraId="316F23C3">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kern w:val="0"/>
                <w:szCs w:val="21"/>
                <w:highlight w:val="none"/>
              </w:rPr>
            </w:pPr>
          </w:p>
        </w:tc>
        <w:tc>
          <w:tcPr>
            <w:tcW w:w="1843" w:type="dxa"/>
            <w:noWrap w:val="0"/>
            <w:vAlign w:val="center"/>
          </w:tcPr>
          <w:p w14:paraId="3055B277">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（5）其他要求</w:t>
            </w:r>
          </w:p>
        </w:tc>
        <w:tc>
          <w:tcPr>
            <w:tcW w:w="6242" w:type="dxa"/>
            <w:noWrap w:val="0"/>
            <w:vAlign w:val="top"/>
          </w:tcPr>
          <w:p w14:paraId="05CC7AD9">
            <w:pPr>
              <w:keepNext w:val="0"/>
              <w:keepLines w:val="0"/>
              <w:suppressLineNumbers w:val="0"/>
              <w:spacing w:before="0" w:beforeAutospacing="0" w:after="0" w:afterAutospacing="0" w:line="312" w:lineRule="auto"/>
              <w:ind w:left="0" w:right="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按</w:t>
            </w:r>
            <w:r>
              <w:rPr>
                <w:rFonts w:hint="default" w:ascii="Times New Roman" w:hAnsi="Times New Roman" w:cs="Times New Roman"/>
                <w:color w:val="auto"/>
                <w:kern w:val="0"/>
                <w:szCs w:val="21"/>
                <w:highlight w:val="none"/>
              </w:rPr>
              <w:t>照征集公告规定获得征集文件。</w:t>
            </w:r>
            <w:r>
              <w:rPr>
                <w:rFonts w:hint="eastAsia" w:ascii="Times New Roman" w:hAnsi="Times New Roman" w:cs="Times New Roman"/>
                <w:color w:val="auto"/>
                <w:kern w:val="0"/>
                <w:szCs w:val="21"/>
                <w:highlight w:val="none"/>
              </w:rPr>
              <w:t>足额、及时缴纳响应保证金。</w:t>
            </w:r>
          </w:p>
        </w:tc>
      </w:tr>
      <w:tr w14:paraId="5575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46" w:type="dxa"/>
            <w:noWrap w:val="0"/>
            <w:vAlign w:val="center"/>
          </w:tcPr>
          <w:p w14:paraId="2F529408">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采购政策</w:t>
            </w:r>
          </w:p>
        </w:tc>
        <w:tc>
          <w:tcPr>
            <w:tcW w:w="1843" w:type="dxa"/>
            <w:noWrap w:val="0"/>
            <w:vAlign w:val="center"/>
          </w:tcPr>
          <w:p w14:paraId="0135829D">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落实政府采购政策需满足的资格要求</w:t>
            </w:r>
          </w:p>
        </w:tc>
        <w:tc>
          <w:tcPr>
            <w:tcW w:w="6242" w:type="dxa"/>
            <w:noWrap w:val="0"/>
            <w:vAlign w:val="center"/>
          </w:tcPr>
          <w:p w14:paraId="77993C18">
            <w:pPr>
              <w:keepNext w:val="0"/>
              <w:keepLines w:val="0"/>
              <w:suppressLineNumbers w:val="0"/>
              <w:spacing w:before="0" w:beforeAutospacing="0" w:after="0" w:afterAutospacing="0" w:line="240" w:lineRule="exact"/>
              <w:ind w:left="0" w:right="0"/>
              <w:rPr>
                <w:rFonts w:hint="default" w:ascii="宋体" w:hAnsi="宋体" w:cs="宋体"/>
                <w:color w:val="auto"/>
                <w:szCs w:val="21"/>
                <w:highlight w:val="none"/>
              </w:rPr>
            </w:pPr>
            <w:r>
              <w:rPr>
                <w:rFonts w:hint="eastAsia" w:ascii="Times New Roman" w:hAnsi="Times New Roman" w:cs="Times New Roman"/>
                <w:color w:val="auto"/>
                <w:szCs w:val="21"/>
                <w:highlight w:val="none"/>
              </w:rPr>
              <w:t>无</w:t>
            </w:r>
          </w:p>
        </w:tc>
      </w:tr>
      <w:tr w14:paraId="7FF4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0ED2EBC9">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联合体</w:t>
            </w:r>
          </w:p>
        </w:tc>
        <w:tc>
          <w:tcPr>
            <w:tcW w:w="1843" w:type="dxa"/>
            <w:noWrap w:val="0"/>
            <w:vAlign w:val="center"/>
          </w:tcPr>
          <w:p w14:paraId="0668EF81">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联合体要求</w:t>
            </w:r>
          </w:p>
        </w:tc>
        <w:tc>
          <w:tcPr>
            <w:tcW w:w="6242" w:type="dxa"/>
            <w:noWrap w:val="0"/>
            <w:vAlign w:val="center"/>
          </w:tcPr>
          <w:p w14:paraId="52F9E8D2">
            <w:pPr>
              <w:keepNext w:val="0"/>
              <w:keepLines w:val="0"/>
              <w:suppressLineNumbers w:val="0"/>
              <w:spacing w:before="0" w:beforeAutospacing="0" w:after="0" w:afterAutospacing="0" w:line="240" w:lineRule="exact"/>
              <w:ind w:left="0" w:right="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zh-CN"/>
              </w:rPr>
              <w:t>本项目如允许联合体，应提交联合体协议书。</w:t>
            </w:r>
          </w:p>
        </w:tc>
      </w:tr>
    </w:tbl>
    <w:p w14:paraId="42966659">
      <w:pPr>
        <w:rPr>
          <w:b/>
          <w:color w:val="auto"/>
          <w:kern w:val="0"/>
          <w:szCs w:val="21"/>
          <w:highlight w:val="none"/>
        </w:rPr>
      </w:pPr>
    </w:p>
    <w:p w14:paraId="5CB4C3F0">
      <w:pPr>
        <w:spacing w:before="120" w:line="320" w:lineRule="atLeast"/>
        <w:ind w:firstLine="413" w:firstLineChars="196"/>
        <w:outlineLvl w:val="1"/>
        <w:rPr>
          <w:rFonts w:hint="eastAsia"/>
          <w:b/>
          <w:bCs/>
          <w:color w:val="auto"/>
          <w:kern w:val="0"/>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86"/>
        <w:gridCol w:w="4984"/>
      </w:tblGrid>
      <w:tr w14:paraId="3AA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2" w:type="dxa"/>
            <w:noWrap w:val="0"/>
            <w:vAlign w:val="center"/>
          </w:tcPr>
          <w:p w14:paraId="52C7E0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bookmarkStart w:id="76" w:name="_Hlk92966680"/>
            <w:r>
              <w:rPr>
                <w:rFonts w:hint="eastAsia" w:ascii="Times New Roman" w:hAnsi="Times New Roman" w:cs="Times New Roman"/>
                <w:b/>
                <w:color w:val="auto"/>
                <w:kern w:val="0"/>
                <w:szCs w:val="21"/>
                <w:highlight w:val="none"/>
              </w:rPr>
              <w:t>审查</w:t>
            </w:r>
            <w:r>
              <w:rPr>
                <w:rFonts w:hint="default" w:ascii="Times New Roman" w:hAnsi="Times New Roman" w:cs="Times New Roman"/>
                <w:b/>
                <w:color w:val="auto"/>
                <w:kern w:val="0"/>
                <w:szCs w:val="21"/>
                <w:highlight w:val="none"/>
              </w:rPr>
              <w:t>因素</w:t>
            </w:r>
          </w:p>
        </w:tc>
        <w:tc>
          <w:tcPr>
            <w:tcW w:w="2286" w:type="dxa"/>
            <w:noWrap w:val="0"/>
            <w:vAlign w:val="center"/>
          </w:tcPr>
          <w:p w14:paraId="2D987C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审查内容</w:t>
            </w:r>
          </w:p>
        </w:tc>
        <w:tc>
          <w:tcPr>
            <w:tcW w:w="4984" w:type="dxa"/>
            <w:noWrap w:val="0"/>
            <w:vAlign w:val="top"/>
          </w:tcPr>
          <w:p w14:paraId="4D1D301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p>
          <w:p w14:paraId="6E3BC1B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说明</w:t>
            </w:r>
          </w:p>
        </w:tc>
      </w:tr>
      <w:tr w14:paraId="2B08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482" w:type="dxa"/>
            <w:vMerge w:val="restart"/>
            <w:noWrap w:val="0"/>
            <w:vAlign w:val="center"/>
          </w:tcPr>
          <w:p w14:paraId="26B148A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商务资信</w:t>
            </w:r>
          </w:p>
        </w:tc>
        <w:tc>
          <w:tcPr>
            <w:tcW w:w="2286" w:type="dxa"/>
            <w:noWrap w:val="0"/>
            <w:vAlign w:val="center"/>
          </w:tcPr>
          <w:p w14:paraId="47040666">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rPr>
              <w:t>法定代表人身份证明及授权委托书</w:t>
            </w:r>
          </w:p>
        </w:tc>
        <w:tc>
          <w:tcPr>
            <w:tcW w:w="4984" w:type="dxa"/>
            <w:noWrap w:val="0"/>
            <w:vAlign w:val="center"/>
          </w:tcPr>
          <w:p w14:paraId="411E626F">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授权</w:t>
            </w:r>
            <w:r>
              <w:rPr>
                <w:rFonts w:hint="default" w:ascii="Times New Roman" w:hAnsi="Times New Roman" w:cs="Times New Roman"/>
                <w:color w:val="auto"/>
                <w:szCs w:val="21"/>
                <w:highlight w:val="none"/>
              </w:rPr>
              <w:t>代表</w:t>
            </w:r>
            <w:r>
              <w:rPr>
                <w:rFonts w:hint="eastAsia" w:ascii="Times New Roman" w:hAnsi="Times New Roman" w:cs="Times New Roman"/>
                <w:color w:val="auto"/>
                <w:szCs w:val="21"/>
                <w:highlight w:val="none"/>
              </w:rPr>
              <w:t>参加响应</w:t>
            </w:r>
            <w:r>
              <w:rPr>
                <w:rFonts w:hint="default" w:ascii="Times New Roman" w:hAnsi="Times New Roman" w:cs="Times New Roman"/>
                <w:color w:val="auto"/>
                <w:szCs w:val="21"/>
                <w:highlight w:val="none"/>
              </w:rPr>
              <w:t>时审查</w:t>
            </w:r>
            <w:r>
              <w:rPr>
                <w:rFonts w:hint="default" w:ascii="Times New Roman" w:hAnsi="Times New Roman" w:cs="Times New Roman"/>
                <w:color w:val="auto"/>
                <w:highlight w:val="none"/>
              </w:rPr>
              <w:t>：</w:t>
            </w:r>
            <w:r>
              <w:rPr>
                <w:rFonts w:hint="default" w:ascii="宋体" w:hAnsi="宋体" w:cs="Times New Roman"/>
                <w:color w:val="auto"/>
                <w:szCs w:val="21"/>
                <w:highlight w:val="none"/>
              </w:rPr>
              <w:t>法定代表人授权委托书及附件</w:t>
            </w:r>
            <w:r>
              <w:rPr>
                <w:rFonts w:hint="default" w:ascii="Times New Roman" w:hAnsi="Times New Roman" w:cs="Times New Roman"/>
                <w:color w:val="auto"/>
                <w:szCs w:val="21"/>
                <w:highlight w:val="none"/>
              </w:rPr>
              <w:t xml:space="preserve"> </w:t>
            </w:r>
          </w:p>
          <w:p w14:paraId="78C9445A">
            <w:pPr>
              <w:keepNext w:val="0"/>
              <w:keepLines w:val="0"/>
              <w:suppressLineNumbers w:val="0"/>
              <w:spacing w:before="0" w:beforeAutospacing="0" w:after="0" w:afterAutospacing="0" w:line="240" w:lineRule="exact"/>
              <w:ind w:left="0" w:right="0"/>
              <w:rPr>
                <w:rFonts w:hint="default" w:ascii="宋体" w:hAnsi="宋体" w:cs="Times New Roman"/>
                <w:color w:val="auto"/>
                <w:szCs w:val="21"/>
                <w:highlight w:val="none"/>
              </w:rPr>
            </w:pPr>
            <w:r>
              <w:rPr>
                <w:rFonts w:hint="eastAsia" w:ascii="Times New Roman" w:hAnsi="Times New Roman" w:cs="Times New Roman"/>
                <w:color w:val="auto"/>
                <w:szCs w:val="21"/>
                <w:highlight w:val="none"/>
              </w:rPr>
              <w:t>法定代表人直接参加响应</w:t>
            </w:r>
            <w:r>
              <w:rPr>
                <w:rFonts w:hint="default" w:ascii="Times New Roman" w:hAnsi="Times New Roman" w:cs="Times New Roman"/>
                <w:color w:val="auto"/>
                <w:szCs w:val="21"/>
                <w:highlight w:val="none"/>
              </w:rPr>
              <w:t>时审查</w:t>
            </w:r>
            <w:r>
              <w:rPr>
                <w:rFonts w:hint="default" w:ascii="Times New Roman" w:hAnsi="Times New Roman" w:cs="Times New Roman"/>
                <w:color w:val="auto"/>
                <w:highlight w:val="none"/>
              </w:rPr>
              <w:t>：</w:t>
            </w:r>
            <w:r>
              <w:rPr>
                <w:rFonts w:hint="default" w:ascii="宋体" w:hAnsi="宋体" w:cs="Times New Roman"/>
                <w:color w:val="auto"/>
                <w:szCs w:val="21"/>
                <w:highlight w:val="none"/>
              </w:rPr>
              <w:t>法定代表人身份证明</w:t>
            </w:r>
            <w:r>
              <w:rPr>
                <w:rFonts w:hint="eastAsia" w:ascii="宋体" w:hAnsi="宋体" w:cs="Times New Roman"/>
                <w:color w:val="auto"/>
                <w:szCs w:val="21"/>
                <w:highlight w:val="none"/>
              </w:rPr>
              <w:t>及</w:t>
            </w:r>
            <w:r>
              <w:rPr>
                <w:rFonts w:hint="default" w:ascii="宋体" w:hAnsi="宋体" w:cs="Times New Roman"/>
                <w:color w:val="auto"/>
                <w:szCs w:val="21"/>
                <w:highlight w:val="none"/>
              </w:rPr>
              <w:t>附件</w:t>
            </w:r>
          </w:p>
          <w:p w14:paraId="00E3A7B3">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highlight w:val="none"/>
              </w:rPr>
            </w:pPr>
            <w:r>
              <w:rPr>
                <w:rFonts w:hint="default" w:ascii="宋体" w:hAnsi="宋体" w:cs="Times New Roman"/>
                <w:color w:val="auto"/>
                <w:szCs w:val="21"/>
                <w:highlight w:val="none"/>
              </w:rPr>
              <w:t>格式及附件见第</w:t>
            </w:r>
            <w:r>
              <w:rPr>
                <w:rFonts w:hint="eastAsia" w:ascii="Times New Roman" w:hAnsi="Times New Roman" w:cs="Times New Roman"/>
                <w:color w:val="auto"/>
                <w:szCs w:val="21"/>
                <w:highlight w:val="none"/>
              </w:rPr>
              <w:t>七</w:t>
            </w:r>
            <w:r>
              <w:rPr>
                <w:rFonts w:hint="default" w:ascii="宋体" w:hAnsi="宋体" w:cs="Times New Roman"/>
                <w:color w:val="auto"/>
                <w:szCs w:val="21"/>
                <w:highlight w:val="none"/>
              </w:rPr>
              <w:t>章响应文件格式要求</w:t>
            </w:r>
          </w:p>
        </w:tc>
      </w:tr>
      <w:tr w14:paraId="02F4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2" w:type="dxa"/>
            <w:vMerge w:val="continue"/>
            <w:noWrap w:val="0"/>
            <w:vAlign w:val="center"/>
          </w:tcPr>
          <w:p w14:paraId="21232FD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noWrap w:val="0"/>
            <w:vAlign w:val="center"/>
          </w:tcPr>
          <w:p w14:paraId="4DD8B210">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实质性条款响应</w:t>
            </w:r>
          </w:p>
        </w:tc>
        <w:tc>
          <w:tcPr>
            <w:tcW w:w="4984" w:type="dxa"/>
            <w:noWrap w:val="0"/>
            <w:vAlign w:val="center"/>
          </w:tcPr>
          <w:p w14:paraId="0AE5C8C5">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征集文件第二章采购需求响应均无负偏离</w:t>
            </w:r>
          </w:p>
        </w:tc>
      </w:tr>
      <w:tr w14:paraId="1D58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82" w:type="dxa"/>
            <w:vMerge w:val="continue"/>
            <w:noWrap w:val="0"/>
            <w:vAlign w:val="center"/>
          </w:tcPr>
          <w:p w14:paraId="0CE516F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noWrap w:val="0"/>
            <w:vAlign w:val="center"/>
          </w:tcPr>
          <w:p w14:paraId="0B45E599">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串通响应</w:t>
            </w:r>
          </w:p>
        </w:tc>
        <w:tc>
          <w:tcPr>
            <w:tcW w:w="4984" w:type="dxa"/>
            <w:noWrap w:val="0"/>
            <w:vAlign w:val="center"/>
          </w:tcPr>
          <w:p w14:paraId="6BF1689C">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不属于供应商须知正文第</w:t>
            </w:r>
            <w:r>
              <w:rPr>
                <w:rFonts w:hint="default" w:ascii="宋体" w:hAnsi="宋体" w:cs="Times New Roman"/>
                <w:color w:val="auto"/>
                <w:szCs w:val="21"/>
                <w:highlight w:val="none"/>
              </w:rPr>
              <w:t>2.5</w:t>
            </w:r>
            <w:r>
              <w:rPr>
                <w:rFonts w:hint="eastAsia" w:ascii="宋体" w:hAnsi="宋体" w:cs="Times New Roman"/>
                <w:color w:val="auto"/>
                <w:szCs w:val="21"/>
                <w:highlight w:val="none"/>
              </w:rPr>
              <w:t>.</w:t>
            </w:r>
            <w:r>
              <w:rPr>
                <w:rFonts w:hint="default" w:ascii="宋体" w:hAnsi="宋体" w:cs="Times New Roman"/>
                <w:color w:val="auto"/>
                <w:szCs w:val="21"/>
                <w:highlight w:val="none"/>
              </w:rPr>
              <w:t>3</w:t>
            </w:r>
            <w:r>
              <w:rPr>
                <w:rFonts w:hint="eastAsia" w:ascii="宋体" w:hAnsi="宋体" w:cs="Times New Roman"/>
                <w:color w:val="auto"/>
                <w:szCs w:val="21"/>
                <w:highlight w:val="none"/>
              </w:rPr>
              <w:t>.</w:t>
            </w:r>
            <w:r>
              <w:rPr>
                <w:rFonts w:hint="default" w:ascii="宋体" w:hAnsi="宋体" w:cs="Times New Roman"/>
                <w:color w:val="auto"/>
                <w:szCs w:val="21"/>
                <w:highlight w:val="none"/>
              </w:rPr>
              <w:t>4</w:t>
            </w:r>
            <w:r>
              <w:rPr>
                <w:rFonts w:hint="eastAsia" w:ascii="宋体" w:hAnsi="宋体" w:cs="Times New Roman"/>
                <w:color w:val="auto"/>
                <w:szCs w:val="21"/>
                <w:highlight w:val="none"/>
              </w:rPr>
              <w:t>规定的串通响应情形，见</w:t>
            </w:r>
            <w:r>
              <w:rPr>
                <w:rFonts w:hint="default" w:ascii="宋体" w:hAnsi="宋体" w:cs="Times New Roman"/>
                <w:color w:val="auto"/>
                <w:szCs w:val="21"/>
                <w:highlight w:val="none"/>
              </w:rPr>
              <w:t>第</w:t>
            </w:r>
            <w:r>
              <w:rPr>
                <w:rFonts w:hint="eastAsia" w:ascii="Times New Roman" w:hAnsi="Times New Roman" w:cs="Times New Roman"/>
                <w:color w:val="auto"/>
                <w:szCs w:val="21"/>
                <w:highlight w:val="none"/>
              </w:rPr>
              <w:t>七</w:t>
            </w:r>
            <w:r>
              <w:rPr>
                <w:rFonts w:hint="default" w:ascii="宋体" w:hAnsi="宋体" w:cs="Times New Roman"/>
                <w:color w:val="auto"/>
                <w:szCs w:val="21"/>
                <w:highlight w:val="none"/>
              </w:rPr>
              <w:t>章响应文件格式要求</w:t>
            </w:r>
          </w:p>
        </w:tc>
      </w:tr>
      <w:tr w14:paraId="6FCD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82" w:type="dxa"/>
            <w:vMerge w:val="restart"/>
            <w:noWrap w:val="0"/>
            <w:vAlign w:val="center"/>
          </w:tcPr>
          <w:p w14:paraId="44FF937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报价</w:t>
            </w:r>
            <w:r>
              <w:rPr>
                <w:rFonts w:hint="eastAsia" w:ascii="Times New Roman" w:hAnsi="Times New Roman" w:cs="Times New Roman"/>
                <w:b/>
                <w:bCs/>
                <w:color w:val="auto"/>
                <w:kern w:val="0"/>
                <w:szCs w:val="21"/>
                <w:highlight w:val="none"/>
              </w:rPr>
              <w:t>（如本项目需要报价时）</w:t>
            </w:r>
          </w:p>
        </w:tc>
        <w:tc>
          <w:tcPr>
            <w:tcW w:w="2286" w:type="dxa"/>
            <w:tcBorders>
              <w:top w:val="single" w:color="auto" w:sz="4" w:space="0"/>
              <w:left w:val="single" w:color="auto" w:sz="4" w:space="0"/>
              <w:bottom w:val="single" w:color="auto" w:sz="4" w:space="0"/>
              <w:right w:val="single" w:color="auto" w:sz="4" w:space="0"/>
            </w:tcBorders>
            <w:noWrap w:val="0"/>
            <w:vAlign w:val="center"/>
          </w:tcPr>
          <w:p w14:paraId="101B40FF">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有效报价</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C5C16B2">
            <w:pPr>
              <w:keepNext w:val="0"/>
              <w:keepLines w:val="0"/>
              <w:suppressLineNumbers w:val="0"/>
              <w:spacing w:before="0" w:beforeAutospacing="0" w:after="0" w:afterAutospacing="0" w:line="240" w:lineRule="exact"/>
              <w:ind w:left="0" w:right="0"/>
              <w:rPr>
                <w:rFonts w:hint="default" w:ascii="Times New Roman" w:hAnsi="Times New Roman" w:cs="Times New Roman"/>
                <w:bCs/>
                <w:color w:val="auto"/>
                <w:kern w:val="0"/>
                <w:szCs w:val="21"/>
                <w:highlight w:val="none"/>
              </w:rPr>
            </w:pPr>
            <w:r>
              <w:rPr>
                <w:rFonts w:hint="eastAsia" w:ascii="Times New Roman" w:hAnsi="Times New Roman" w:cs="Times New Roman"/>
                <w:color w:val="auto"/>
                <w:highlight w:val="none"/>
              </w:rPr>
              <w:t>报价未超出最高限制单价，有分项的不超过分项最高限制单价</w:t>
            </w:r>
          </w:p>
        </w:tc>
      </w:tr>
      <w:tr w14:paraId="6878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2" w:type="dxa"/>
            <w:vMerge w:val="continue"/>
            <w:noWrap w:val="0"/>
            <w:vAlign w:val="center"/>
          </w:tcPr>
          <w:p w14:paraId="17374144">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noWrap w:val="0"/>
            <w:vAlign w:val="center"/>
          </w:tcPr>
          <w:p w14:paraId="3ABDCF14">
            <w:pPr>
              <w:keepNext w:val="0"/>
              <w:keepLines w:val="0"/>
              <w:suppressLineNumbers w:val="0"/>
              <w:spacing w:before="0" w:beforeAutospacing="0" w:after="0" w:afterAutospacing="0" w:line="240" w:lineRule="exact"/>
              <w:ind w:left="0" w:right="0"/>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漏项报价</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C62FA2B">
            <w:pPr>
              <w:keepNext w:val="0"/>
              <w:keepLines w:val="0"/>
              <w:suppressLineNumbers w:val="0"/>
              <w:spacing w:before="0" w:beforeAutospacing="0" w:after="0" w:afterAutospacing="0" w:line="240" w:lineRule="exact"/>
              <w:ind w:left="0" w:right="0"/>
              <w:rPr>
                <w:rFonts w:hint="default" w:ascii="Times New Roman" w:hAnsi="宋体" w:cs="Times New Roman"/>
                <w:color w:val="auto"/>
                <w:szCs w:val="21"/>
                <w:highlight w:val="none"/>
              </w:rPr>
            </w:pPr>
            <w:r>
              <w:rPr>
                <w:rFonts w:hint="eastAsia" w:ascii="宋体" w:hAnsi="宋体" w:cs="Times New Roman"/>
                <w:color w:val="auto"/>
                <w:szCs w:val="21"/>
                <w:highlight w:val="none"/>
              </w:rPr>
              <w:t>未就所投分标进行报价或者存在漏项报价；</w:t>
            </w:r>
          </w:p>
        </w:tc>
      </w:tr>
      <w:tr w14:paraId="07FF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 w:type="dxa"/>
            <w:vMerge w:val="continue"/>
            <w:noWrap w:val="0"/>
            <w:vAlign w:val="center"/>
          </w:tcPr>
          <w:p w14:paraId="2003FFE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noWrap w:val="0"/>
            <w:vAlign w:val="center"/>
          </w:tcPr>
          <w:p w14:paraId="74F2C63D">
            <w:pPr>
              <w:keepNext w:val="0"/>
              <w:keepLines w:val="0"/>
              <w:suppressLineNumbers w:val="0"/>
              <w:spacing w:before="0" w:beforeAutospacing="0" w:after="0" w:afterAutospacing="0" w:line="240" w:lineRule="exact"/>
              <w:ind w:left="0" w:right="0"/>
              <w:rPr>
                <w:rFonts w:hint="default" w:ascii="Times New Roman" w:hAnsi="宋体" w:cs="Times New Roman"/>
                <w:color w:val="auto"/>
                <w:szCs w:val="21"/>
                <w:highlight w:val="none"/>
              </w:rPr>
            </w:pPr>
            <w:r>
              <w:rPr>
                <w:rFonts w:hint="eastAsia" w:ascii="Times New Roman" w:hAnsi="宋体" w:cs="Times New Roman"/>
                <w:color w:val="auto"/>
                <w:szCs w:val="21"/>
                <w:highlight w:val="none"/>
              </w:rPr>
              <w:t>响应报价唯一性</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D6701F2">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不存在有选择、有条件报价（征集文件允许有备选方案或者其他约定的除外）</w:t>
            </w:r>
          </w:p>
        </w:tc>
      </w:tr>
      <w:tr w14:paraId="3B24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82" w:type="dxa"/>
            <w:vMerge w:val="continue"/>
            <w:noWrap w:val="0"/>
            <w:vAlign w:val="center"/>
          </w:tcPr>
          <w:p w14:paraId="4120FF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noWrap w:val="0"/>
            <w:vAlign w:val="center"/>
          </w:tcPr>
          <w:p w14:paraId="6364CB98">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lang w:val="zh-CN"/>
              </w:rPr>
            </w:pPr>
            <w:r>
              <w:rPr>
                <w:rFonts w:hint="eastAsia" w:ascii="Times New Roman" w:hAnsi="Times New Roman" w:cs="Times New Roman"/>
                <w:color w:val="auto"/>
                <w:szCs w:val="21"/>
                <w:highlight w:val="none"/>
                <w:lang w:val="zh-CN"/>
              </w:rPr>
              <w:t>过低报价合理性</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1FAF244">
            <w:pPr>
              <w:keepNext w:val="0"/>
              <w:keepLines w:val="0"/>
              <w:suppressLineNumbers w:val="0"/>
              <w:spacing w:before="0" w:beforeAutospacing="0" w:after="0" w:afterAutospacing="0" w:line="240" w:lineRule="exact"/>
              <w:ind w:left="0" w:right="0"/>
              <w:rPr>
                <w:rFonts w:hint="default" w:ascii="Times New Roman" w:hAnsi="宋体" w:cs="Times New Roman"/>
                <w:color w:val="auto"/>
                <w:szCs w:val="21"/>
                <w:highlight w:val="none"/>
              </w:rPr>
            </w:pPr>
            <w:r>
              <w:rPr>
                <w:rFonts w:hint="default" w:ascii="Times New Roman" w:hAnsi="Times New Roman" w:cs="Times New Roman"/>
                <w:color w:val="auto"/>
                <w:highlight w:val="none"/>
              </w:rPr>
              <w:t>供应商的报价</w:t>
            </w:r>
            <w:r>
              <w:rPr>
                <w:rFonts w:hint="eastAsia" w:ascii="Times New Roman" w:hAnsi="Times New Roman" w:cs="Times New Roman"/>
                <w:color w:val="auto"/>
                <w:highlight w:val="none"/>
              </w:rPr>
              <w:t>不存在</w:t>
            </w:r>
            <w:r>
              <w:rPr>
                <w:rFonts w:hint="default" w:ascii="Times New Roman" w:hAnsi="Times New Roman" w:cs="Times New Roman"/>
                <w:color w:val="auto"/>
                <w:highlight w:val="none"/>
              </w:rPr>
              <w:t>明显低于其他通过符合性审查供应商报价</w:t>
            </w:r>
            <w:r>
              <w:rPr>
                <w:rFonts w:hint="eastAsia" w:ascii="Times New Roman" w:hAnsi="Times New Roman" w:cs="Times New Roman"/>
                <w:color w:val="auto"/>
                <w:highlight w:val="none"/>
              </w:rPr>
              <w:t>的情况</w:t>
            </w:r>
            <w:r>
              <w:rPr>
                <w:rFonts w:hint="default" w:ascii="Times New Roman" w:hAnsi="Times New Roman" w:cs="Times New Roman"/>
                <w:color w:val="auto"/>
                <w:highlight w:val="none"/>
              </w:rPr>
              <w:t>，</w:t>
            </w:r>
            <w:r>
              <w:rPr>
                <w:rFonts w:hint="eastAsia" w:ascii="Times New Roman" w:hAnsi="Times New Roman" w:cs="Times New Roman"/>
                <w:color w:val="auto"/>
                <w:highlight w:val="none"/>
              </w:rPr>
              <w:t>并可能</w:t>
            </w:r>
            <w:r>
              <w:rPr>
                <w:rFonts w:hint="default" w:ascii="Times New Roman" w:hAnsi="Times New Roman" w:cs="Times New Roman"/>
                <w:color w:val="auto"/>
                <w:highlight w:val="none"/>
              </w:rPr>
              <w:t>影响产品质量或者不能诚信履约</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rPr>
              <w:t>如存在应提供书面说明，必要时提交相关证明材料；</w:t>
            </w:r>
          </w:p>
        </w:tc>
      </w:tr>
      <w:tr w14:paraId="234C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2" w:type="dxa"/>
            <w:vMerge w:val="continue"/>
            <w:noWrap w:val="0"/>
            <w:vAlign w:val="center"/>
          </w:tcPr>
          <w:p w14:paraId="0E6AF89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noWrap w:val="0"/>
            <w:vAlign w:val="center"/>
          </w:tcPr>
          <w:p w14:paraId="48BE4C58">
            <w:pPr>
              <w:keepNext w:val="0"/>
              <w:keepLines w:val="0"/>
              <w:suppressLineNumbers w:val="0"/>
              <w:spacing w:before="0" w:beforeAutospacing="0" w:after="0" w:afterAutospacing="0" w:line="240" w:lineRule="exact"/>
              <w:ind w:left="0" w:right="0"/>
              <w:rPr>
                <w:rFonts w:hint="default" w:ascii="宋体" w:hAnsi="宋体" w:cs="Times New Roman"/>
                <w:color w:val="auto"/>
                <w:szCs w:val="21"/>
                <w:highlight w:val="none"/>
              </w:rPr>
            </w:pPr>
            <w:r>
              <w:rPr>
                <w:rFonts w:hint="eastAsia" w:ascii="Times New Roman" w:hAnsi="Times New Roman" w:cs="Times New Roman"/>
                <w:color w:val="auto"/>
                <w:szCs w:val="21"/>
                <w:highlight w:val="none"/>
              </w:rPr>
              <w:t>响应有效期</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7049B1AA">
            <w:pPr>
              <w:keepNext w:val="0"/>
              <w:keepLines w:val="0"/>
              <w:suppressLineNumbers w:val="0"/>
              <w:spacing w:before="0" w:beforeAutospacing="0" w:after="0" w:afterAutospacing="0" w:line="240" w:lineRule="exact"/>
              <w:ind w:left="0" w:right="0"/>
              <w:rPr>
                <w:rFonts w:hint="default" w:ascii="Times New Roman" w:hAnsi="Times New Roman" w:cs="Times New Roman"/>
                <w:color w:val="auto"/>
                <w:szCs w:val="21"/>
                <w:highlight w:val="none"/>
              </w:rPr>
            </w:pPr>
            <w:r>
              <w:rPr>
                <w:rFonts w:hint="eastAsia" w:ascii="宋体" w:hAnsi="宋体" w:cs="Times New Roman"/>
                <w:color w:val="auto"/>
                <w:szCs w:val="21"/>
                <w:highlight w:val="none"/>
              </w:rPr>
              <w:t>满足征集文件规定</w:t>
            </w:r>
          </w:p>
        </w:tc>
      </w:tr>
      <w:bookmarkEnd w:id="76"/>
    </w:tbl>
    <w:p w14:paraId="7E0013AA">
      <w:pPr>
        <w:tabs>
          <w:tab w:val="left" w:pos="993"/>
        </w:tabs>
        <w:spacing w:line="300" w:lineRule="exact"/>
        <w:ind w:left="426"/>
        <w:rPr>
          <w:rFonts w:ascii="Arial" w:hAnsi="Arial" w:cs="Arial"/>
          <w:b/>
          <w:bCs/>
          <w:color w:val="auto"/>
          <w:kern w:val="0"/>
          <w:szCs w:val="21"/>
          <w:highlight w:val="none"/>
        </w:rPr>
        <w:sectPr>
          <w:headerReference r:id="rId14" w:type="first"/>
          <w:headerReference r:id="rId13" w:type="default"/>
          <w:footerReference r:id="rId15" w:type="default"/>
          <w:pgSz w:w="11906" w:h="16838"/>
          <w:pgMar w:top="1418" w:right="1133" w:bottom="1246" w:left="1418" w:header="851" w:footer="992" w:gutter="0"/>
          <w:cols w:space="720" w:num="1"/>
          <w:docGrid w:linePitch="312" w:charSpace="0"/>
        </w:sectPr>
      </w:pPr>
    </w:p>
    <w:p w14:paraId="2128CA64">
      <w:pPr>
        <w:spacing w:before="120" w:line="320" w:lineRule="atLeast"/>
        <w:outlineLvl w:val="1"/>
        <w:rPr>
          <w:rFonts w:hint="eastAsia"/>
          <w:b/>
          <w:bCs/>
          <w:color w:val="auto"/>
          <w:kern w:val="0"/>
          <w:szCs w:val="21"/>
          <w:highlight w:val="none"/>
        </w:rPr>
      </w:pP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p w14:paraId="6F50C88B">
      <w:pPr>
        <w:ind w:firstLine="420" w:firstLineChars="200"/>
        <w:rPr>
          <w:rFonts w:hint="eastAsia" w:ascii="Times New Roman" w:hAnsi="Times New Roman" w:eastAsia="宋体" w:cs="Times New Roman"/>
          <w:color w:val="auto"/>
          <w:highlight w:val="none"/>
        </w:rPr>
      </w:pPr>
      <w:r>
        <w:rPr>
          <w:rFonts w:hint="eastAsia"/>
          <w:color w:val="auto"/>
          <w:highlight w:val="none"/>
        </w:rPr>
        <w:t>（</w:t>
      </w:r>
      <w:r>
        <w:rPr>
          <w:color w:val="auto"/>
          <w:highlight w:val="none"/>
        </w:rPr>
        <w:t>1</w:t>
      </w:r>
      <w:r>
        <w:rPr>
          <w:rFonts w:hint="eastAsia"/>
          <w:color w:val="auto"/>
          <w:highlight w:val="none"/>
        </w:rPr>
        <w:t>）技术及商务资信分</w:t>
      </w:r>
      <w:r>
        <w:rPr>
          <w:rFonts w:hint="eastAsia" w:ascii="Times New Roman" w:hAnsi="Times New Roman" w:eastAsia="宋体" w:cs="Times New Roman"/>
          <w:color w:val="auto"/>
          <w:highlight w:val="none"/>
        </w:rPr>
        <w:t>（标项一）</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51"/>
        <w:gridCol w:w="4967"/>
        <w:gridCol w:w="1102"/>
        <w:gridCol w:w="1470"/>
      </w:tblGrid>
      <w:tr w14:paraId="49EB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noWrap w:val="0"/>
            <w:vAlign w:val="center"/>
          </w:tcPr>
          <w:p w14:paraId="603257A0">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bookmarkStart w:id="77" w:name="_Hlk99126794"/>
            <w:r>
              <w:rPr>
                <w:rFonts w:hint="default" w:ascii="Times New Roman" w:hAnsi="Times New Roman" w:eastAsia="宋体" w:cs="Times New Roman"/>
                <w:b/>
                <w:color w:val="auto"/>
                <w:szCs w:val="21"/>
                <w:highlight w:val="none"/>
              </w:rPr>
              <w:t>序号</w:t>
            </w:r>
          </w:p>
        </w:tc>
        <w:tc>
          <w:tcPr>
            <w:tcW w:w="851" w:type="dxa"/>
            <w:noWrap w:val="0"/>
            <w:vAlign w:val="center"/>
          </w:tcPr>
          <w:p w14:paraId="0C6C9506">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类型</w:t>
            </w:r>
          </w:p>
        </w:tc>
        <w:tc>
          <w:tcPr>
            <w:tcW w:w="4967" w:type="dxa"/>
            <w:noWrap w:val="0"/>
            <w:vAlign w:val="center"/>
          </w:tcPr>
          <w:p w14:paraId="6314CB55">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评分标准</w:t>
            </w:r>
          </w:p>
        </w:tc>
        <w:tc>
          <w:tcPr>
            <w:tcW w:w="1102" w:type="dxa"/>
            <w:noWrap w:val="0"/>
            <w:vAlign w:val="center"/>
          </w:tcPr>
          <w:p w14:paraId="1AA5C491">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分值权重</w:t>
            </w:r>
          </w:p>
        </w:tc>
        <w:tc>
          <w:tcPr>
            <w:tcW w:w="1470" w:type="dxa"/>
            <w:noWrap w:val="0"/>
            <w:vAlign w:val="center"/>
          </w:tcPr>
          <w:p w14:paraId="66D874B4">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说明</w:t>
            </w:r>
          </w:p>
        </w:tc>
      </w:tr>
      <w:tr w14:paraId="78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28" w:type="dxa"/>
            <w:vMerge w:val="restart"/>
            <w:noWrap w:val="0"/>
            <w:vAlign w:val="center"/>
          </w:tcPr>
          <w:p w14:paraId="0D4C200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851" w:type="dxa"/>
            <w:vMerge w:val="restart"/>
            <w:noWrap w:val="0"/>
            <w:vAlign w:val="center"/>
          </w:tcPr>
          <w:p w14:paraId="62C1FE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技术分 </w:t>
            </w:r>
          </w:p>
          <w:p w14:paraId="36E0172E">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85</w:t>
            </w:r>
            <w:r>
              <w:rPr>
                <w:rFonts w:hint="default" w:ascii="Times New Roman" w:hAnsi="Times New Roman" w:eastAsia="宋体" w:cs="Times New Roman"/>
                <w:color w:val="auto"/>
                <w:szCs w:val="21"/>
                <w:highlight w:val="none"/>
              </w:rPr>
              <w:t>分）</w:t>
            </w:r>
          </w:p>
        </w:tc>
        <w:tc>
          <w:tcPr>
            <w:tcW w:w="4967" w:type="dxa"/>
            <w:tcBorders>
              <w:top w:val="single" w:color="auto" w:sz="4" w:space="0"/>
              <w:left w:val="single" w:color="auto" w:sz="4" w:space="0"/>
              <w:bottom w:val="single" w:color="auto" w:sz="4" w:space="0"/>
              <w:right w:val="single" w:color="auto" w:sz="4" w:space="0"/>
            </w:tcBorders>
            <w:noWrap w:val="0"/>
            <w:vAlign w:val="center"/>
          </w:tcPr>
          <w:p w14:paraId="0A43ADCC">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1、拟派评审人员资格（客观分）</w:t>
            </w:r>
          </w:p>
          <w:p w14:paraId="19716678">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（1）人员中具有一级造价工程师资格1人得1分。（此项满分6分）</w:t>
            </w:r>
          </w:p>
          <w:p w14:paraId="38FE65CD">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（2）人员中具有二级造价工程师资格1人得1分。（此项满分4分）</w:t>
            </w:r>
          </w:p>
          <w:p w14:paraId="56BE3729">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（3）人员中造价工程师专业包括土建、安装、公路、水利四类得2分，专业缺一类不得分。（此项满分2分）</w:t>
            </w:r>
          </w:p>
          <w:p w14:paraId="418BF74C">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注：①已有一级造价工程师按（1）计分的人员，不再计入二级造价工程师（2）得分。</w:t>
            </w:r>
          </w:p>
          <w:p w14:paraId="2D6A58FA">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b/>
                <w:color w:val="auto"/>
                <w:szCs w:val="21"/>
                <w:highlight w:val="none"/>
              </w:rPr>
            </w:pPr>
            <w:r>
              <w:rPr>
                <w:rFonts w:hint="eastAsia" w:ascii="宋体" w:hAnsi="宋体" w:eastAsia="宋体" w:cs="宋体"/>
                <w:bCs/>
                <w:color w:val="000000"/>
                <w:kern w:val="2"/>
                <w:sz w:val="21"/>
                <w:szCs w:val="21"/>
                <w:lang w:val="en-US" w:eastAsia="zh-CN" w:bidi="ar"/>
              </w:rPr>
              <w:t>②如（1）已得满分情况下，未计入（1）的一级造价工程师可按二级造价工程师（2）得分。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8920A6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szCs w:val="21"/>
                <w:highlight w:val="none"/>
                <w:lang w:eastAsia="zh-CN"/>
              </w:rPr>
            </w:pPr>
            <w:r>
              <w:rPr>
                <w:rFonts w:hint="eastAsia" w:ascii="宋体" w:hAnsi="宋体" w:eastAsia="宋体" w:cs="宋体"/>
                <w:bCs/>
                <w:color w:val="000000"/>
                <w:kern w:val="2"/>
                <w:sz w:val="21"/>
                <w:szCs w:val="21"/>
                <w:lang w:val="en-US" w:eastAsia="zh-CN" w:bidi="ar"/>
              </w:rPr>
              <w:t>0-12</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ECCA38B">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1.附注册证书或资格证，否则不得分。</w:t>
            </w:r>
          </w:p>
          <w:p w14:paraId="36945257">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auto"/>
                <w:szCs w:val="21"/>
                <w:highlight w:val="none"/>
              </w:rPr>
            </w:pPr>
            <w:r>
              <w:rPr>
                <w:rFonts w:hint="eastAsia" w:ascii="Times New Roman" w:hAnsi="Times New Roman" w:eastAsia="宋体" w:cs="Times New Roman"/>
                <w:bCs/>
                <w:color w:val="auto"/>
                <w:highlight w:val="none"/>
              </w:rPr>
              <w:t>3.公路</w:t>
            </w:r>
            <w:r>
              <w:rPr>
                <w:rFonts w:hint="default" w:ascii="Times New Roman" w:hAnsi="Times New Roman" w:eastAsia="宋体" w:cs="Times New Roman"/>
                <w:bCs/>
                <w:color w:val="auto"/>
                <w:highlight w:val="none"/>
              </w:rPr>
              <w:t>甲级造价师</w:t>
            </w:r>
            <w:r>
              <w:rPr>
                <w:rFonts w:hint="eastAsia"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rPr>
              <w:t>水利工程造价工程师</w:t>
            </w:r>
            <w:r>
              <w:rPr>
                <w:rFonts w:hint="eastAsia" w:ascii="Times New Roman" w:hAnsi="Times New Roman" w:eastAsia="宋体" w:cs="Times New Roman"/>
                <w:bCs/>
                <w:color w:val="auto"/>
                <w:highlight w:val="none"/>
              </w:rPr>
              <w:t>按一级</w:t>
            </w:r>
            <w:r>
              <w:rPr>
                <w:rFonts w:hint="default" w:ascii="Times New Roman" w:hAnsi="Times New Roman" w:eastAsia="宋体" w:cs="Times New Roman"/>
                <w:bCs/>
                <w:color w:val="auto"/>
                <w:highlight w:val="none"/>
              </w:rPr>
              <w:t>造价师计分</w:t>
            </w:r>
            <w:r>
              <w:rPr>
                <w:rFonts w:hint="eastAsia" w:ascii="Times New Roman" w:hAnsi="Times New Roman" w:eastAsia="宋体" w:cs="Times New Roman"/>
                <w:bCs/>
                <w:color w:val="auto"/>
                <w:highlight w:val="none"/>
              </w:rPr>
              <w:t>；公路乙</w:t>
            </w:r>
            <w:r>
              <w:rPr>
                <w:rFonts w:hint="default" w:ascii="Times New Roman" w:hAnsi="Times New Roman" w:eastAsia="宋体" w:cs="Times New Roman"/>
                <w:bCs/>
                <w:color w:val="auto"/>
                <w:highlight w:val="none"/>
              </w:rPr>
              <w:t>级造价师</w:t>
            </w:r>
            <w:r>
              <w:rPr>
                <w:rFonts w:hint="eastAsia"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rPr>
              <w:t>造价</w:t>
            </w:r>
            <w:r>
              <w:rPr>
                <w:rFonts w:hint="eastAsia" w:ascii="Times New Roman" w:hAnsi="Times New Roman" w:eastAsia="宋体" w:cs="Times New Roman"/>
                <w:bCs/>
                <w:color w:val="auto"/>
                <w:highlight w:val="none"/>
              </w:rPr>
              <w:t>员按二级</w:t>
            </w:r>
            <w:r>
              <w:rPr>
                <w:rFonts w:hint="default" w:ascii="Times New Roman" w:hAnsi="Times New Roman" w:eastAsia="宋体" w:cs="Times New Roman"/>
                <w:bCs/>
                <w:color w:val="auto"/>
                <w:highlight w:val="none"/>
              </w:rPr>
              <w:t>造价师计分</w:t>
            </w:r>
            <w:r>
              <w:rPr>
                <w:rFonts w:hint="eastAsia" w:ascii="Times New Roman" w:hAnsi="Times New Roman" w:eastAsia="宋体" w:cs="Times New Roman"/>
                <w:bCs/>
                <w:color w:val="auto"/>
                <w:highlight w:val="none"/>
              </w:rPr>
              <w:t>。下同。</w:t>
            </w:r>
          </w:p>
        </w:tc>
      </w:tr>
      <w:tr w14:paraId="41D7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3309192F">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851" w:type="dxa"/>
            <w:vMerge w:val="continue"/>
            <w:noWrap w:val="0"/>
            <w:vAlign w:val="center"/>
          </w:tcPr>
          <w:p w14:paraId="0DCA2825">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4967" w:type="dxa"/>
            <w:tcBorders>
              <w:top w:val="single" w:color="auto" w:sz="4" w:space="0"/>
              <w:left w:val="single" w:color="auto" w:sz="4" w:space="0"/>
              <w:bottom w:val="single" w:color="auto" w:sz="4" w:space="0"/>
              <w:right w:val="single" w:color="auto" w:sz="4" w:space="0"/>
            </w:tcBorders>
            <w:noWrap w:val="0"/>
            <w:vAlign w:val="center"/>
          </w:tcPr>
          <w:p w14:paraId="45FC35C8">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2、拟派评审人员职称（客观分）</w:t>
            </w:r>
          </w:p>
          <w:p w14:paraId="61A1C75B">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color w:val="auto"/>
                <w:szCs w:val="21"/>
                <w:highlight w:val="none"/>
              </w:rPr>
            </w:pPr>
            <w:r>
              <w:rPr>
                <w:rFonts w:hint="eastAsia" w:ascii="宋体" w:hAnsi="宋体" w:eastAsia="宋体" w:cs="宋体"/>
                <w:bCs/>
                <w:color w:val="000000"/>
                <w:kern w:val="2"/>
                <w:sz w:val="21"/>
                <w:szCs w:val="21"/>
                <w:lang w:val="en-US" w:eastAsia="zh-CN" w:bidi="ar"/>
              </w:rPr>
              <w:t>人员中具有高级工程师职称每人得1分；工程师职称每人得0.5分。此项满分4分。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061B71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b/>
                <w:color w:val="auto"/>
                <w:szCs w:val="21"/>
                <w:highlight w:val="none"/>
              </w:rPr>
            </w:pPr>
            <w:r>
              <w:rPr>
                <w:rFonts w:hint="eastAsia" w:ascii="宋体" w:hAnsi="宋体" w:eastAsia="宋体" w:cs="宋体"/>
                <w:bCs/>
                <w:color w:val="000000"/>
                <w:kern w:val="2"/>
                <w:sz w:val="21"/>
                <w:szCs w:val="21"/>
                <w:lang w:val="en-US" w:eastAsia="zh-CN" w:bidi="ar"/>
              </w:rPr>
              <w:t>0-4</w:t>
            </w:r>
            <w:r>
              <w:rPr>
                <w:rFonts w:hint="eastAsia" w:ascii="宋体" w:hAnsi="宋体" w:eastAsia="宋体" w:cs="宋体"/>
                <w:b/>
                <w:bCs w:val="0"/>
                <w:color w:val="000000"/>
                <w:kern w:val="2"/>
                <w:sz w:val="21"/>
                <w:szCs w:val="21"/>
                <w:lang w:val="en-US" w:eastAsia="zh-CN" w:bidi="ar"/>
              </w:rPr>
              <w:t xml:space="preserve"> </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2A71EC8">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auto"/>
                <w:szCs w:val="21"/>
                <w:highlight w:val="none"/>
              </w:rPr>
            </w:pPr>
            <w:r>
              <w:rPr>
                <w:rFonts w:hint="eastAsia" w:ascii="Times New Roman" w:hAnsi="Times New Roman" w:eastAsia="宋体" w:cs="Times New Roman"/>
                <w:bCs/>
                <w:color w:val="auto"/>
                <w:highlight w:val="none"/>
              </w:rPr>
              <w:t>附职称证。</w:t>
            </w:r>
          </w:p>
        </w:tc>
      </w:tr>
      <w:tr w14:paraId="5BD7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28" w:type="dxa"/>
            <w:vMerge w:val="continue"/>
            <w:noWrap w:val="0"/>
            <w:vAlign w:val="center"/>
          </w:tcPr>
          <w:p w14:paraId="70EEED67">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851" w:type="dxa"/>
            <w:vMerge w:val="continue"/>
            <w:noWrap w:val="0"/>
            <w:vAlign w:val="center"/>
          </w:tcPr>
          <w:p w14:paraId="7111EB49">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4967" w:type="dxa"/>
            <w:tcBorders>
              <w:top w:val="single" w:color="auto" w:sz="4" w:space="0"/>
              <w:left w:val="single" w:color="auto" w:sz="4" w:space="0"/>
              <w:bottom w:val="single" w:color="auto" w:sz="4" w:space="0"/>
              <w:right w:val="single" w:color="auto" w:sz="4" w:space="0"/>
            </w:tcBorders>
            <w:noWrap w:val="0"/>
            <w:vAlign w:val="center"/>
          </w:tcPr>
          <w:p w14:paraId="68CCB728">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3、质量控制方案（主观分）</w:t>
            </w:r>
          </w:p>
          <w:p w14:paraId="34D45228">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一档（0分）：未提供方案或方案明显不满足要求。</w:t>
            </w:r>
          </w:p>
          <w:p w14:paraId="657208F6">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二档（8分）：复核流程基本达到规范标准，配备有复核人员1人。</w:t>
            </w:r>
          </w:p>
          <w:p w14:paraId="6AAD0F11">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三档（12分）：满足二档的基础上，具有可行的质量控制制度，复核人员2人及以上。</w:t>
            </w:r>
          </w:p>
          <w:p w14:paraId="264770C4">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四档（16分）：满足三档的基础上，复核人员专业2类及以上，质量保证措施能够保证投资评审质量，承诺单项工程的评审成果经复核后误差率＜3%。</w:t>
            </w:r>
          </w:p>
          <w:p w14:paraId="4EFBD963">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五档（20分）：满足四档的基础上，复核人员专业达到4类，经验丰富。质量控制制度健全，保证措施具体有效。</w:t>
            </w:r>
          </w:p>
          <w:p w14:paraId="2093264E">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
              </w:rPr>
              <w:t>六档（24分）：满足五档的基础上，质量控制方案内容齐全、完整，管控措施合理有效，可操性强，对质量控制、编审工作中的关键流程把控到位。</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F08CD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
              </w:rPr>
              <w:t>0-24</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02E8FAA">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auto"/>
                <w:szCs w:val="21"/>
                <w:highlight w:val="none"/>
              </w:rPr>
            </w:pPr>
          </w:p>
        </w:tc>
      </w:tr>
      <w:tr w14:paraId="16BD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73004A9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851" w:type="dxa"/>
            <w:vMerge w:val="continue"/>
            <w:noWrap w:val="0"/>
            <w:vAlign w:val="center"/>
          </w:tcPr>
          <w:p w14:paraId="10556CC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4967" w:type="dxa"/>
            <w:tcBorders>
              <w:top w:val="single" w:color="auto" w:sz="4" w:space="0"/>
              <w:left w:val="single" w:color="auto" w:sz="4" w:space="0"/>
              <w:bottom w:val="single" w:color="auto" w:sz="4" w:space="0"/>
              <w:right w:val="single" w:color="auto" w:sz="4" w:space="0"/>
            </w:tcBorders>
            <w:noWrap w:val="0"/>
            <w:vAlign w:val="center"/>
          </w:tcPr>
          <w:p w14:paraId="2DDEF83D">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4、服务方案分（主观分）</w:t>
            </w:r>
          </w:p>
          <w:p w14:paraId="7B559A59">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一档（0分）：未提供方案或方案明显不满足要求。</w:t>
            </w:r>
          </w:p>
          <w:p w14:paraId="28DCAFD2">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二档（6分）：方案基本能满足本项目的基本需求，有工作计划和流程，完成具体项目的时间和技术安排合理。</w:t>
            </w:r>
          </w:p>
          <w:p w14:paraId="3E5A6ACC">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三档（12分）：方案能满足本项目的基本需求，工作计划和流程合理可行，完成具体项目的时间和技术管理措施切实可行，财政投资评审工作重点难点把握不够准确。</w:t>
            </w:r>
          </w:p>
          <w:p w14:paraId="136B13B4">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四档（18分）：方案满足本项目的实际需求，工作计划和流程周详，完成具体项目的时间和技术管理措施稳妥全面，财政投资评审工作重点难点把握到位，能及时响应采购人服务需求，具有廉洁措施。</w:t>
            </w:r>
          </w:p>
          <w:p w14:paraId="31B9FFFA">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五档（24分）：满足四档的基础上，对富川瑶族自治县财政投资评审工作重点难点把握准确，熟悉财政投资评审工作并可对具体项目提出针对性建议，服务周到。</w:t>
            </w:r>
          </w:p>
          <w:p w14:paraId="12306E4F">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
              </w:rPr>
              <w:t>六档（30分）：满足五档的基础上，服务便捷响应迅速，至少有技术评审人员3人以上，随时可根据采购人要求配合出差或到项目地办公。</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239F89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
              </w:rPr>
              <w:t>0-30</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84E82FB">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auto"/>
                <w:szCs w:val="21"/>
                <w:highlight w:val="none"/>
              </w:rPr>
            </w:pPr>
          </w:p>
        </w:tc>
      </w:tr>
      <w:tr w14:paraId="55ED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dxa"/>
            <w:vMerge w:val="continue"/>
            <w:noWrap w:val="0"/>
            <w:vAlign w:val="center"/>
          </w:tcPr>
          <w:p w14:paraId="5842865F">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851" w:type="dxa"/>
            <w:vMerge w:val="continue"/>
            <w:noWrap w:val="0"/>
            <w:vAlign w:val="center"/>
          </w:tcPr>
          <w:p w14:paraId="3F1714E7">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p>
        </w:tc>
        <w:tc>
          <w:tcPr>
            <w:tcW w:w="4967" w:type="dxa"/>
            <w:noWrap w:val="0"/>
            <w:vAlign w:val="center"/>
          </w:tcPr>
          <w:p w14:paraId="6DAEFD8D">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5、评审报告编制水平（主观分）</w:t>
            </w:r>
          </w:p>
          <w:p w14:paraId="0A8419F8">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一档（0分）：未提供符合要求的评审报告。</w:t>
            </w:r>
          </w:p>
          <w:p w14:paraId="3D930AED">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二档（5分）评审报告内容基本完整、数据准确、依据基本充分。评审内容基本全面、完整，评审结论定性基本客观，定量基本准确。</w:t>
            </w:r>
          </w:p>
          <w:p w14:paraId="05E427D1">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三档（10分）：评审报告内容完整、数据准确、依据充分，评审结论定性客观，定量准确，依据充分，表达清楚、完整。</w:t>
            </w:r>
          </w:p>
          <w:p w14:paraId="251ECEB7">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Cs/>
                <w:color w:val="000000"/>
                <w:kern w:val="2"/>
                <w:sz w:val="21"/>
                <w:szCs w:val="21"/>
                <w:lang w:val="en-US" w:eastAsia="zh-CN" w:bidi="ar"/>
              </w:rPr>
              <w:t>四档（15分）：满足三档的基础上，核增核减原因定性准确、条理清晰，披露问题有理有据、分析透彻，提出评审建议措施具体、针对性强。</w:t>
            </w:r>
          </w:p>
        </w:tc>
        <w:tc>
          <w:tcPr>
            <w:tcW w:w="1102" w:type="dxa"/>
            <w:noWrap w:val="0"/>
            <w:vAlign w:val="center"/>
          </w:tcPr>
          <w:p w14:paraId="0A0B5CF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Cs/>
                <w:color w:val="000000"/>
                <w:kern w:val="2"/>
                <w:sz w:val="21"/>
                <w:szCs w:val="21"/>
                <w:lang w:val="en-US" w:eastAsia="zh-CN" w:bidi="ar"/>
              </w:rPr>
              <w:t>0-15</w:t>
            </w:r>
          </w:p>
        </w:tc>
        <w:tc>
          <w:tcPr>
            <w:tcW w:w="1470" w:type="dxa"/>
            <w:noWrap w:val="0"/>
            <w:vAlign w:val="center"/>
          </w:tcPr>
          <w:p w14:paraId="79F5AC59">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1.以“6.业绩”中任一项目的评审报告（只提供正文部分，不需要提供附件）为评分依据。</w:t>
            </w:r>
          </w:p>
          <w:p w14:paraId="4C5FE41D">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宋体" w:cs="Times New Roman"/>
                <w:b/>
                <w:color w:val="auto"/>
                <w:kern w:val="2"/>
                <w:sz w:val="21"/>
                <w:szCs w:val="24"/>
                <w:highlight w:val="none"/>
                <w:lang w:val="en-US" w:eastAsia="zh-CN" w:bidi="ar-SA"/>
              </w:rPr>
            </w:pPr>
            <w:r>
              <w:rPr>
                <w:rFonts w:hint="eastAsia" w:ascii="宋体" w:hAnsi="宋体" w:eastAsia="宋体" w:cs="宋体"/>
                <w:bCs/>
                <w:color w:val="000000"/>
                <w:kern w:val="2"/>
                <w:sz w:val="21"/>
                <w:szCs w:val="21"/>
                <w:lang w:val="en-US" w:eastAsia="zh-CN" w:bidi="ar"/>
              </w:rPr>
              <w:t>2.如附多份评审报告，仅以第一份报告为评分依据。</w:t>
            </w:r>
          </w:p>
        </w:tc>
      </w:tr>
      <w:tr w14:paraId="5BFF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noWrap w:val="0"/>
            <w:vAlign w:val="center"/>
          </w:tcPr>
          <w:p w14:paraId="216CD10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2</w:t>
            </w:r>
          </w:p>
        </w:tc>
        <w:tc>
          <w:tcPr>
            <w:tcW w:w="851" w:type="dxa"/>
            <w:noWrap w:val="0"/>
            <w:vAlign w:val="center"/>
          </w:tcPr>
          <w:p w14:paraId="3CA86BB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highlight w:val="none"/>
              </w:rPr>
              <w:t>商务资信分（</w:t>
            </w:r>
            <w:r>
              <w:rPr>
                <w:rFonts w:hint="eastAsia" w:ascii="Times New Roman" w:hAnsi="Times New Roman" w:eastAsia="宋体" w:cs="Times New Roman"/>
                <w:bCs/>
                <w:color w:val="auto"/>
                <w:highlight w:val="none"/>
                <w:lang w:val="en-US" w:eastAsia="zh-CN"/>
              </w:rPr>
              <w:t>15</w:t>
            </w:r>
            <w:r>
              <w:rPr>
                <w:rFonts w:hint="default" w:ascii="Times New Roman" w:hAnsi="Times New Roman" w:eastAsia="宋体" w:cs="Times New Roman"/>
                <w:bCs/>
                <w:color w:val="auto"/>
                <w:highlight w:val="none"/>
              </w:rPr>
              <w:t>分）</w:t>
            </w:r>
          </w:p>
        </w:tc>
        <w:tc>
          <w:tcPr>
            <w:tcW w:w="4967" w:type="dxa"/>
            <w:tcBorders>
              <w:top w:val="single" w:color="auto" w:sz="4" w:space="0"/>
              <w:left w:val="single" w:color="auto" w:sz="4" w:space="0"/>
              <w:bottom w:val="single" w:color="auto" w:sz="4" w:space="0"/>
              <w:right w:val="single" w:color="auto" w:sz="4" w:space="0"/>
            </w:tcBorders>
            <w:noWrap w:val="0"/>
            <w:vAlign w:val="center"/>
          </w:tcPr>
          <w:p w14:paraId="0B9AF451">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6、业绩（客观分）</w:t>
            </w:r>
          </w:p>
          <w:p w14:paraId="035DADFC">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bCs/>
                <w:color w:val="auto"/>
                <w:highlight w:val="none"/>
              </w:rPr>
            </w:pPr>
            <w:r>
              <w:rPr>
                <w:rFonts w:hint="eastAsia" w:ascii="宋体" w:hAnsi="宋体" w:eastAsia="宋体" w:cs="宋体"/>
                <w:bCs/>
                <w:color w:val="000000"/>
                <w:kern w:val="2"/>
                <w:sz w:val="21"/>
                <w:szCs w:val="21"/>
                <w:lang w:val="en-US" w:eastAsia="zh-CN" w:bidi="ar"/>
              </w:rPr>
              <w:t>2022年至今，承接过财政、审计部门委托评审且有本次拟派评审人员参与过的工程量清单和招标控制价、项目工程概（预）算编审服务每个项目业绩得1.5分。</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720E33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bCs/>
                <w:color w:val="auto"/>
                <w:highlight w:val="none"/>
              </w:rPr>
            </w:pPr>
            <w:r>
              <w:rPr>
                <w:rFonts w:hint="eastAsia" w:ascii="宋体" w:hAnsi="宋体" w:eastAsia="宋体" w:cs="宋体"/>
                <w:bCs/>
                <w:color w:val="000000"/>
                <w:kern w:val="2"/>
                <w:sz w:val="21"/>
                <w:szCs w:val="21"/>
                <w:lang w:val="en-US" w:eastAsia="zh-CN" w:bidi="ar"/>
              </w:rPr>
              <w:t>0-15</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26EE95F">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1.附单位委托文件或合同或项目审定表/单等证明材料。</w:t>
            </w:r>
          </w:p>
          <w:p w14:paraId="383FD61E">
            <w:pPr>
              <w:keepNext w:val="0"/>
              <w:keepLines w:val="0"/>
              <w:widowControl w:val="0"/>
              <w:suppressLineNumbers w:val="0"/>
              <w:spacing w:before="0" w:beforeAutospacing="0" w:after="0" w:afterAutospacing="0"/>
              <w:ind w:left="0" w:right="0"/>
              <w:jc w:val="left"/>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2.人员提供供应商真实性承诺函。</w:t>
            </w:r>
          </w:p>
          <w:p w14:paraId="19301A0B">
            <w:pPr>
              <w:keepNext w:val="0"/>
              <w:keepLines w:val="0"/>
              <w:widowControl w:val="0"/>
              <w:suppressLineNumbers w:val="0"/>
              <w:spacing w:before="0" w:beforeAutospacing="0" w:after="0" w:afterAutospacing="0"/>
              <w:ind w:left="0" w:leftChars="0" w:right="0" w:rightChars="0"/>
              <w:jc w:val="left"/>
              <w:rPr>
                <w:rFonts w:hint="eastAsia" w:ascii="Times New Roman" w:hAnsi="Times New Roman" w:eastAsia="宋体" w:cs="Times New Roman"/>
                <w:bCs/>
                <w:color w:val="auto"/>
                <w:highlight w:val="none"/>
              </w:rPr>
            </w:pPr>
            <w:r>
              <w:rPr>
                <w:rFonts w:hint="eastAsia" w:ascii="宋体" w:hAnsi="宋体" w:eastAsia="宋体" w:cs="宋体"/>
                <w:bCs/>
                <w:color w:val="000000"/>
                <w:kern w:val="2"/>
                <w:sz w:val="21"/>
                <w:szCs w:val="21"/>
                <w:lang w:val="en-US" w:eastAsia="zh-CN" w:bidi="ar"/>
              </w:rPr>
              <w:t>3.缺一项证明不得分。</w:t>
            </w:r>
          </w:p>
        </w:tc>
      </w:tr>
      <w:bookmarkEnd w:id="77"/>
    </w:tbl>
    <w:p w14:paraId="67C4C70D">
      <w:pPr>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r>
        <w:rPr>
          <w:rFonts w:hint="eastAsia" w:ascii="Times New Roman" w:hAnsi="Times New Roman" w:eastAsia="宋体" w:cs="Times New Roman"/>
          <w:color w:val="auto"/>
          <w:highlight w:val="none"/>
        </w:rPr>
        <w:t>技术及商务资信分（标项二）</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51"/>
        <w:gridCol w:w="5244"/>
        <w:gridCol w:w="825"/>
        <w:gridCol w:w="1470"/>
      </w:tblGrid>
      <w:tr w14:paraId="050A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noWrap w:val="0"/>
            <w:vAlign w:val="center"/>
          </w:tcPr>
          <w:p w14:paraId="7E1E3442">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851" w:type="dxa"/>
            <w:noWrap w:val="0"/>
            <w:vAlign w:val="center"/>
          </w:tcPr>
          <w:p w14:paraId="32EAD1B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类型</w:t>
            </w:r>
          </w:p>
        </w:tc>
        <w:tc>
          <w:tcPr>
            <w:tcW w:w="5244" w:type="dxa"/>
            <w:noWrap w:val="0"/>
            <w:vAlign w:val="center"/>
          </w:tcPr>
          <w:p w14:paraId="2DBED69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c>
          <w:tcPr>
            <w:tcW w:w="825" w:type="dxa"/>
            <w:noWrap w:val="0"/>
            <w:vAlign w:val="center"/>
          </w:tcPr>
          <w:p w14:paraId="6B7752CC">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分值权重</w:t>
            </w:r>
          </w:p>
        </w:tc>
        <w:tc>
          <w:tcPr>
            <w:tcW w:w="1470" w:type="dxa"/>
            <w:noWrap w:val="0"/>
            <w:vAlign w:val="center"/>
          </w:tcPr>
          <w:p w14:paraId="43C3B80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说明</w:t>
            </w:r>
          </w:p>
        </w:tc>
      </w:tr>
      <w:tr w14:paraId="3F66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428" w:type="dxa"/>
            <w:vMerge w:val="restart"/>
            <w:noWrap w:val="0"/>
            <w:vAlign w:val="center"/>
          </w:tcPr>
          <w:p w14:paraId="36D54C1A">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851" w:type="dxa"/>
            <w:vMerge w:val="restart"/>
            <w:noWrap w:val="0"/>
            <w:vAlign w:val="center"/>
          </w:tcPr>
          <w:p w14:paraId="06DB4FD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 xml:space="preserve">技术分 </w:t>
            </w:r>
          </w:p>
          <w:p w14:paraId="1419ABFB">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color w:val="auto"/>
                <w:szCs w:val="21"/>
              </w:rPr>
              <w:t>（85分）</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79F0F39F">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1、拟派评审人员资格（客观分）</w:t>
            </w:r>
          </w:p>
          <w:p w14:paraId="46E865E8">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（1）人员中具有一级造价工程师资格1人得1分。（此项满分6分）</w:t>
            </w:r>
          </w:p>
          <w:p w14:paraId="6B414929">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（2）人员中具有二级造价工程师资格1人得1分。（此项满分4分）</w:t>
            </w:r>
          </w:p>
          <w:p w14:paraId="7BA5AF1E">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（3）人员中造价工程师专业包括土建、安装、公路、水利四类得2分，专业缺一类不得分。（此项满分2分）</w:t>
            </w:r>
          </w:p>
          <w:p w14:paraId="510A1256">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注：①已有一级造价工程师按（1）计分的人员，不再计入二级造价工程师（2）得分。</w:t>
            </w:r>
          </w:p>
          <w:p w14:paraId="1548C87E">
            <w:pPr>
              <w:keepNext w:val="0"/>
              <w:keepLines w:val="0"/>
              <w:suppressLineNumbers w:val="0"/>
              <w:spacing w:before="0" w:beforeAutospacing="0" w:after="0" w:afterAutospacing="0"/>
              <w:ind w:left="0" w:right="0"/>
              <w:jc w:val="left"/>
              <w:rPr>
                <w:rFonts w:hint="eastAsia" w:ascii="宋体" w:hAnsi="宋体" w:eastAsia="宋体" w:cs="宋体"/>
                <w:b/>
                <w:color w:val="auto"/>
                <w:szCs w:val="21"/>
              </w:rPr>
            </w:pPr>
            <w:r>
              <w:rPr>
                <w:rFonts w:hint="eastAsia" w:ascii="宋体" w:hAnsi="宋体" w:eastAsia="宋体" w:cs="宋体"/>
                <w:bCs/>
                <w:color w:val="auto"/>
                <w:szCs w:val="21"/>
              </w:rPr>
              <w:t>②如（1）已得满分情况下，未计入（1）的一级造价工程师可按二级造价工程师（2）得分。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715FB4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Cs/>
                <w:color w:val="auto"/>
                <w:szCs w:val="21"/>
              </w:rPr>
              <w:t>0-12</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78C2A18">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1.附注册证书或资格证，否则不得分。</w:t>
            </w:r>
          </w:p>
          <w:p w14:paraId="080E4C98">
            <w:pPr>
              <w:keepNext w:val="0"/>
              <w:keepLines w:val="0"/>
              <w:suppressLineNumbers w:val="0"/>
              <w:spacing w:before="0" w:beforeAutospacing="0" w:after="0" w:afterAutospacing="0"/>
              <w:ind w:left="0" w:right="0"/>
              <w:jc w:val="left"/>
              <w:rPr>
                <w:rFonts w:hint="eastAsia" w:ascii="宋体" w:hAnsi="宋体" w:eastAsia="宋体" w:cs="宋体"/>
                <w:b/>
                <w:color w:val="auto"/>
                <w:szCs w:val="21"/>
              </w:rPr>
            </w:pPr>
            <w:r>
              <w:rPr>
                <w:rFonts w:hint="eastAsia" w:ascii="宋体" w:hAnsi="宋体" w:eastAsia="宋体" w:cs="宋体"/>
                <w:bCs/>
                <w:color w:val="auto"/>
                <w:szCs w:val="21"/>
              </w:rPr>
              <w:t>3.公路甲级造价师、水利工程造价工程师按一级造价师计分；公路乙级造价师、造价员按二级造价师计分。下同。</w:t>
            </w:r>
          </w:p>
        </w:tc>
      </w:tr>
      <w:tr w14:paraId="7643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765447C3">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851" w:type="dxa"/>
            <w:vMerge w:val="continue"/>
            <w:noWrap w:val="0"/>
            <w:vAlign w:val="center"/>
          </w:tcPr>
          <w:p w14:paraId="3E8C334B">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5244" w:type="dxa"/>
            <w:tcBorders>
              <w:top w:val="single" w:color="auto" w:sz="4" w:space="0"/>
              <w:left w:val="single" w:color="auto" w:sz="4" w:space="0"/>
              <w:bottom w:val="single" w:color="auto" w:sz="4" w:space="0"/>
              <w:right w:val="single" w:color="auto" w:sz="4" w:space="0"/>
            </w:tcBorders>
            <w:noWrap w:val="0"/>
            <w:vAlign w:val="center"/>
          </w:tcPr>
          <w:p w14:paraId="77542288">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2、拟派评审人员职称（客观分）</w:t>
            </w:r>
          </w:p>
          <w:p w14:paraId="4CF88A66">
            <w:pPr>
              <w:keepNext w:val="0"/>
              <w:keepLines w:val="0"/>
              <w:suppressLineNumbers w:val="0"/>
              <w:spacing w:before="0" w:beforeAutospacing="0" w:after="0" w:afterAutospacing="0"/>
              <w:ind w:left="0" w:right="0"/>
              <w:jc w:val="left"/>
              <w:rPr>
                <w:rFonts w:hint="eastAsia" w:ascii="宋体" w:hAnsi="宋体" w:eastAsia="宋体" w:cs="宋体"/>
                <w:b/>
                <w:color w:val="auto"/>
                <w:szCs w:val="21"/>
              </w:rPr>
            </w:pPr>
            <w:r>
              <w:rPr>
                <w:rFonts w:hint="eastAsia" w:ascii="宋体" w:hAnsi="宋体" w:eastAsia="宋体" w:cs="宋体"/>
                <w:bCs/>
                <w:color w:val="auto"/>
                <w:szCs w:val="21"/>
              </w:rPr>
              <w:t>人员中具有高级工程师职称每人得1分；工程师职称每人得0.5分。此项满分4分。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11B154">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Cs/>
                <w:color w:val="auto"/>
                <w:szCs w:val="21"/>
              </w:rPr>
              <w:t>0-4</w:t>
            </w:r>
            <w:r>
              <w:rPr>
                <w:rFonts w:hint="eastAsia" w:ascii="宋体" w:hAnsi="宋体" w:eastAsia="宋体" w:cs="宋体"/>
                <w:b/>
                <w:color w:val="auto"/>
                <w:szCs w:val="21"/>
              </w:rPr>
              <w:t xml:space="preserve"> </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5C8F2C7">
            <w:pPr>
              <w:keepNext w:val="0"/>
              <w:keepLines w:val="0"/>
              <w:suppressLineNumbers w:val="0"/>
              <w:spacing w:before="0" w:beforeAutospacing="0" w:after="0" w:afterAutospacing="0"/>
              <w:ind w:left="0" w:right="0"/>
              <w:jc w:val="left"/>
              <w:rPr>
                <w:rFonts w:hint="eastAsia" w:ascii="宋体" w:hAnsi="宋体" w:eastAsia="宋体" w:cs="宋体"/>
                <w:b/>
                <w:color w:val="auto"/>
                <w:szCs w:val="21"/>
              </w:rPr>
            </w:pPr>
            <w:r>
              <w:rPr>
                <w:rFonts w:hint="eastAsia" w:ascii="宋体" w:hAnsi="宋体" w:eastAsia="宋体" w:cs="宋体"/>
                <w:bCs/>
                <w:color w:val="auto"/>
                <w:szCs w:val="21"/>
              </w:rPr>
              <w:t>附职称证，否则不得分。</w:t>
            </w:r>
          </w:p>
        </w:tc>
      </w:tr>
      <w:tr w14:paraId="032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372534B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851" w:type="dxa"/>
            <w:vMerge w:val="continue"/>
            <w:noWrap w:val="0"/>
            <w:vAlign w:val="center"/>
          </w:tcPr>
          <w:p w14:paraId="189A9207">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5244" w:type="dxa"/>
            <w:tcBorders>
              <w:top w:val="single" w:color="auto" w:sz="4" w:space="0"/>
              <w:left w:val="single" w:color="auto" w:sz="4" w:space="0"/>
              <w:bottom w:val="single" w:color="auto" w:sz="4" w:space="0"/>
              <w:right w:val="single" w:color="auto" w:sz="4" w:space="0"/>
            </w:tcBorders>
            <w:noWrap w:val="0"/>
            <w:vAlign w:val="center"/>
          </w:tcPr>
          <w:p w14:paraId="4871FDC0">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3、质量控制方案（主观分）</w:t>
            </w:r>
          </w:p>
          <w:p w14:paraId="72A1B55A">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一档（0分）：未提供方案或方案明显不满足要求。</w:t>
            </w:r>
          </w:p>
          <w:p w14:paraId="3B44BCE5">
            <w:pPr>
              <w:keepNext w:val="0"/>
              <w:keepLines w:val="0"/>
              <w:suppressLineNumbers w:val="0"/>
              <w:spacing w:before="0" w:beforeAutospacing="0" w:after="0" w:afterAutospacing="0"/>
              <w:ind w:left="0" w:right="0"/>
              <w:jc w:val="left"/>
              <w:rPr>
                <w:rFonts w:hint="eastAsia" w:ascii="宋体" w:hAnsi="宋体" w:eastAsia="宋体" w:cs="宋体"/>
                <w:bCs/>
                <w:color w:val="auto"/>
                <w:szCs w:val="21"/>
                <w:lang w:bidi="ar"/>
              </w:rPr>
            </w:pPr>
            <w:r>
              <w:rPr>
                <w:rFonts w:hint="eastAsia" w:ascii="宋体" w:hAnsi="宋体" w:eastAsia="宋体" w:cs="宋体"/>
                <w:bCs/>
                <w:color w:val="auto"/>
                <w:szCs w:val="21"/>
                <w:lang w:bidi="ar"/>
              </w:rPr>
              <w:t>二档（8分）：复核流程基本达到规范标准，配备有复核人员1人。</w:t>
            </w:r>
          </w:p>
          <w:p w14:paraId="60053C66">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三档（12分）：满足二档的基础上，具有可行的质量控制制度，复核人员2人及以上。</w:t>
            </w:r>
          </w:p>
          <w:p w14:paraId="648BF1D5">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四档（16分）：满足三档的基础上，复核人员专业2类及以上，质量保证措施能够保证投资评审质量，承诺单项工程的评审成果经复核后误差率＜3%。</w:t>
            </w:r>
          </w:p>
          <w:p w14:paraId="7095A1EB">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五档（20分）：满足四档的基础上，复核人员专业达到4类，经验丰富。质量控制制度健全，保证措施具体有效。</w:t>
            </w:r>
          </w:p>
          <w:p w14:paraId="59E55387">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六档（24分）：满足五档的基础上，质量控制方案内容齐全、完整，管控措施合理有效，可操性强，对质量控制、编审工作中的关键流程把控到位。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4B9DBDE">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lang w:bidi="ar"/>
              </w:rPr>
              <w:t>0-24</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667A49E">
            <w:pPr>
              <w:keepNext w:val="0"/>
              <w:keepLines w:val="0"/>
              <w:suppressLineNumbers w:val="0"/>
              <w:spacing w:before="0" w:beforeAutospacing="0" w:after="0" w:afterAutospacing="0"/>
              <w:ind w:left="0" w:right="0"/>
              <w:jc w:val="left"/>
              <w:rPr>
                <w:rFonts w:hint="default" w:ascii="宋体" w:hAnsi="宋体" w:eastAsia="宋体" w:cs="宋体"/>
                <w:b/>
                <w:color w:val="auto"/>
                <w:szCs w:val="21"/>
              </w:rPr>
            </w:pPr>
          </w:p>
        </w:tc>
      </w:tr>
      <w:tr w14:paraId="161D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46114B59">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851" w:type="dxa"/>
            <w:vMerge w:val="continue"/>
            <w:noWrap w:val="0"/>
            <w:vAlign w:val="center"/>
          </w:tcPr>
          <w:p w14:paraId="66C2ABE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5244" w:type="dxa"/>
            <w:tcBorders>
              <w:top w:val="single" w:color="auto" w:sz="4" w:space="0"/>
              <w:left w:val="single" w:color="auto" w:sz="4" w:space="0"/>
              <w:bottom w:val="single" w:color="auto" w:sz="4" w:space="0"/>
              <w:right w:val="single" w:color="auto" w:sz="4" w:space="0"/>
            </w:tcBorders>
            <w:noWrap w:val="0"/>
            <w:vAlign w:val="center"/>
          </w:tcPr>
          <w:p w14:paraId="56982A3E">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4、服务方案分（主观分）</w:t>
            </w:r>
          </w:p>
          <w:p w14:paraId="44550E8B">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一档（0分）：未提供方案或方案明显不满足要求。</w:t>
            </w:r>
          </w:p>
          <w:p w14:paraId="795DF0A8">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二档（6分）：方案基本能满足本项目的基本需求，有工作计划和流程，完成具体项目的时间和技术安排合理。</w:t>
            </w:r>
          </w:p>
          <w:p w14:paraId="5B78939F">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三档（12分）：方案能满足本项目的基本需求，工作计划和流程合理可行，完成具体项目的时间和技术管理措施切实可行，财政投资评审工作重点难点把握不够准确。</w:t>
            </w:r>
          </w:p>
          <w:p w14:paraId="68EE688D">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四档（18分）：方案满足本项目的实际需求，工作计划和流程周详，完成具体项目的时间和技术管理措施稳妥全面，财政投资评审工作重点难点把握到位，能及时响应采购人服务需求，具有廉洁措施。</w:t>
            </w:r>
          </w:p>
          <w:p w14:paraId="063CB893">
            <w:pPr>
              <w:keepNext w:val="0"/>
              <w:keepLines w:val="0"/>
              <w:suppressLineNumbers w:val="0"/>
              <w:spacing w:before="0" w:beforeAutospacing="0" w:after="0" w:afterAutospacing="0"/>
              <w:ind w:left="0" w:right="0"/>
              <w:jc w:val="left"/>
              <w:rPr>
                <w:rFonts w:hint="eastAsia" w:ascii="宋体" w:hAnsi="宋体" w:eastAsia="宋体" w:cs="宋体"/>
                <w:bCs/>
                <w:color w:val="auto"/>
                <w:szCs w:val="21"/>
                <w:lang w:bidi="ar"/>
              </w:rPr>
            </w:pPr>
            <w:r>
              <w:rPr>
                <w:rFonts w:hint="eastAsia" w:ascii="宋体" w:hAnsi="宋体" w:eastAsia="宋体" w:cs="宋体"/>
                <w:bCs/>
                <w:color w:val="auto"/>
                <w:szCs w:val="21"/>
                <w:lang w:bidi="ar"/>
              </w:rPr>
              <w:t>五档（24分）：满足四档的基础上，对</w:t>
            </w:r>
            <w:r>
              <w:rPr>
                <w:rFonts w:hint="eastAsia" w:ascii="宋体" w:hAnsi="宋体" w:eastAsia="宋体" w:cs="宋体"/>
                <w:bCs/>
                <w:color w:val="auto"/>
                <w:szCs w:val="21"/>
                <w:lang w:eastAsia="zh-CN" w:bidi="ar"/>
              </w:rPr>
              <w:t>富川瑶族自治县</w:t>
            </w:r>
            <w:r>
              <w:rPr>
                <w:rFonts w:hint="eastAsia" w:ascii="宋体" w:hAnsi="宋体" w:eastAsia="宋体" w:cs="宋体"/>
                <w:bCs/>
                <w:color w:val="auto"/>
                <w:szCs w:val="21"/>
                <w:lang w:bidi="ar"/>
              </w:rPr>
              <w:t>财政投资评审工作重点难点把握准确，熟悉财政投资评审工作并可对具体项目提出针对性建议，服务周到。</w:t>
            </w:r>
          </w:p>
          <w:p w14:paraId="63E57A54">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六档（30分）：满足五档的基础上，服务便捷响应迅速，至少有技术评审人员3人以上，随时可根据采购人要求配合出差或到项目地办公。</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6C72BD">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lang w:bidi="ar"/>
              </w:rPr>
              <w:t>0-30</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6582417">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p>
        </w:tc>
      </w:tr>
      <w:tr w14:paraId="74C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vMerge w:val="continue"/>
            <w:noWrap w:val="0"/>
            <w:vAlign w:val="center"/>
          </w:tcPr>
          <w:p w14:paraId="320BEBF5">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851" w:type="dxa"/>
            <w:vMerge w:val="continue"/>
            <w:noWrap w:val="0"/>
            <w:vAlign w:val="center"/>
          </w:tcPr>
          <w:p w14:paraId="4899AB22">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p>
        </w:tc>
        <w:tc>
          <w:tcPr>
            <w:tcW w:w="5244" w:type="dxa"/>
            <w:noWrap w:val="0"/>
            <w:vAlign w:val="center"/>
          </w:tcPr>
          <w:p w14:paraId="56CEE8D0">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5、评审报告编制水平（主观分）</w:t>
            </w:r>
          </w:p>
          <w:p w14:paraId="32767A11">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一档（0分）：未提供符合要求的评审报告。</w:t>
            </w:r>
          </w:p>
          <w:p w14:paraId="2F76EC46">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二档（5分）评审报告内容基本完整、数据准确、依据基本充分。评审内容基本全面、完整，评审结论定性基本客观，定量基本准确。</w:t>
            </w:r>
          </w:p>
          <w:p w14:paraId="6D863A51">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三档（10分）：评审报告内容完整、数据准确、依据充分，评审结论定性客观，定量准确，依据充分，表达清楚、完整。</w:t>
            </w:r>
          </w:p>
          <w:p w14:paraId="256124FA">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bidi="ar"/>
              </w:rPr>
              <w:t>四档（15分）：满足三档的基础上，核增核减原因定性准确、条理清晰，披露问题有理有据、分析透彻，提出评审建议措施具体、针对性强。</w:t>
            </w:r>
          </w:p>
        </w:tc>
        <w:tc>
          <w:tcPr>
            <w:tcW w:w="825" w:type="dxa"/>
            <w:noWrap w:val="0"/>
            <w:vAlign w:val="center"/>
          </w:tcPr>
          <w:p w14:paraId="00737D91">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lang w:bidi="ar"/>
              </w:rPr>
              <w:t>0-15</w:t>
            </w:r>
          </w:p>
        </w:tc>
        <w:tc>
          <w:tcPr>
            <w:tcW w:w="1470" w:type="dxa"/>
            <w:noWrap w:val="0"/>
            <w:vAlign w:val="center"/>
          </w:tcPr>
          <w:p w14:paraId="12CEC8CD">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1.以“6.业绩”中任一项目的评审报告（只提供正文部分，不需要提供附件）为评分依据。</w:t>
            </w:r>
          </w:p>
          <w:p w14:paraId="009D525C">
            <w:pPr>
              <w:keepNext w:val="0"/>
              <w:keepLines w:val="0"/>
              <w:suppressLineNumbers w:val="0"/>
              <w:spacing w:before="0" w:beforeAutospacing="0" w:after="0" w:afterAutospacing="0"/>
              <w:ind w:left="0" w:right="0"/>
              <w:jc w:val="left"/>
              <w:rPr>
                <w:rFonts w:hint="eastAsia" w:ascii="宋体" w:hAnsi="宋体" w:eastAsia="宋体" w:cs="宋体"/>
                <w:b/>
                <w:color w:val="auto"/>
                <w:szCs w:val="21"/>
              </w:rPr>
            </w:pPr>
            <w:r>
              <w:rPr>
                <w:rFonts w:hint="eastAsia" w:ascii="宋体" w:hAnsi="宋体" w:eastAsia="宋体" w:cs="宋体"/>
                <w:bCs/>
                <w:color w:val="auto"/>
                <w:szCs w:val="21"/>
              </w:rPr>
              <w:t>2.如附多份评审报告，仅以第一份报告为评分依据。</w:t>
            </w:r>
          </w:p>
        </w:tc>
      </w:tr>
      <w:tr w14:paraId="6892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8" w:type="dxa"/>
            <w:noWrap w:val="0"/>
            <w:vAlign w:val="center"/>
          </w:tcPr>
          <w:p w14:paraId="576DC7F9">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851" w:type="dxa"/>
            <w:noWrap w:val="0"/>
            <w:vAlign w:val="center"/>
          </w:tcPr>
          <w:p w14:paraId="037D0F8C">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Cs/>
                <w:color w:val="auto"/>
                <w:szCs w:val="21"/>
              </w:rPr>
              <w:t>商务资信分（15分）</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1B07528D">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6、业绩（客观分）</w:t>
            </w:r>
          </w:p>
          <w:p w14:paraId="2F18D944">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年至今，承接过财政、审计部门委托评审且有本次拟派评审人员参与过的结算编审服务每个项目业绩得1</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062EEE7">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0-15</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7B50E69">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1.附单位委托文件或合同或项目审定表/单</w:t>
            </w:r>
            <w:r>
              <w:rPr>
                <w:rFonts w:hint="eastAsia" w:ascii="宋体" w:hAnsi="宋体" w:eastAsia="宋体" w:cs="宋体"/>
                <w:bCs/>
                <w:color w:val="auto"/>
                <w:szCs w:val="21"/>
                <w:lang w:val="en-US" w:eastAsia="zh-CN"/>
              </w:rPr>
              <w:t>等证明材料</w:t>
            </w:r>
            <w:r>
              <w:rPr>
                <w:rFonts w:hint="eastAsia" w:ascii="宋体" w:hAnsi="宋体" w:eastAsia="宋体" w:cs="宋体"/>
                <w:bCs/>
                <w:color w:val="auto"/>
                <w:szCs w:val="21"/>
              </w:rPr>
              <w:t>。</w:t>
            </w:r>
          </w:p>
          <w:p w14:paraId="1E6BF29F">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2.人员提供供应商真实性承诺函。</w:t>
            </w:r>
          </w:p>
          <w:p w14:paraId="661BC21A">
            <w:pPr>
              <w:keepNext w:val="0"/>
              <w:keepLines w:val="0"/>
              <w:suppressLineNumbers w:val="0"/>
              <w:spacing w:before="0" w:beforeAutospacing="0" w:after="0" w:afterAutospacing="0"/>
              <w:ind w:left="0" w:right="0"/>
              <w:jc w:val="left"/>
              <w:rPr>
                <w:rFonts w:hint="eastAsia" w:ascii="宋体" w:hAnsi="宋体" w:eastAsia="宋体" w:cs="宋体"/>
                <w:bCs/>
                <w:color w:val="auto"/>
                <w:szCs w:val="21"/>
              </w:rPr>
            </w:pPr>
            <w:r>
              <w:rPr>
                <w:rFonts w:hint="eastAsia" w:ascii="宋体" w:hAnsi="宋体" w:eastAsia="宋体" w:cs="宋体"/>
                <w:bCs/>
                <w:color w:val="auto"/>
                <w:szCs w:val="21"/>
              </w:rPr>
              <w:t>3.缺一项证明不得分。</w:t>
            </w:r>
          </w:p>
        </w:tc>
      </w:tr>
    </w:tbl>
    <w:p w14:paraId="1157E2F8">
      <w:pPr>
        <w:ind w:firstLine="420" w:firstLineChars="200"/>
        <w:rPr>
          <w:color w:val="auto"/>
          <w:highlight w:val="none"/>
        </w:rPr>
      </w:pPr>
      <w:r>
        <w:rPr>
          <w:rFonts w:hint="eastAsia"/>
          <w:color w:val="auto"/>
          <w:highlight w:val="none"/>
        </w:rPr>
        <w:t>（2）政策性扣除计算方法</w:t>
      </w:r>
    </w:p>
    <w:p w14:paraId="3310A0C2">
      <w:pPr>
        <w:ind w:firstLine="420" w:firstLineChars="200"/>
        <w:rPr>
          <w:color w:val="auto"/>
          <w:highlight w:val="none"/>
        </w:rPr>
      </w:pPr>
      <w:r>
        <w:rPr>
          <w:rFonts w:hint="eastAsia"/>
          <w:color w:val="auto"/>
          <w:highlight w:val="none"/>
        </w:rPr>
        <w:t>本项目评审方法为质量优先法，不涉及价格评审，故不对小微企业报价给予价格扣除。</w:t>
      </w:r>
    </w:p>
    <w:p w14:paraId="4AAFE7BF">
      <w:pPr>
        <w:spacing w:before="120" w:line="320" w:lineRule="atLeast"/>
        <w:ind w:firstLine="422" w:firstLineChars="200"/>
        <w:rPr>
          <w:b/>
          <w:bCs/>
          <w:color w:val="auto"/>
          <w:highlight w:val="none"/>
        </w:rPr>
      </w:pPr>
    </w:p>
    <w:p w14:paraId="5D7A8B32">
      <w:pPr>
        <w:ind w:firstLine="420" w:firstLineChars="200"/>
        <w:jc w:val="center"/>
        <w:outlineLvl w:val="0"/>
        <w:rPr>
          <w:color w:val="auto"/>
          <w:sz w:val="32"/>
          <w:szCs w:val="32"/>
          <w:highlight w:val="none"/>
        </w:rPr>
      </w:pPr>
      <w:r>
        <w:rPr>
          <w:color w:val="auto"/>
          <w:highlight w:val="none"/>
        </w:rPr>
        <w:br w:type="page"/>
      </w:r>
      <w:bookmarkEnd w:id="27"/>
      <w:bookmarkEnd w:id="28"/>
      <w:bookmarkStart w:id="78" w:name="_Toc5413"/>
      <w:r>
        <w:rPr>
          <w:color w:val="auto"/>
          <w:sz w:val="32"/>
          <w:szCs w:val="32"/>
          <w:highlight w:val="none"/>
        </w:rPr>
        <w:t xml:space="preserve">第五章  </w:t>
      </w:r>
      <w:r>
        <w:rPr>
          <w:rFonts w:hint="eastAsia"/>
          <w:color w:val="auto"/>
          <w:sz w:val="32"/>
          <w:szCs w:val="32"/>
          <w:highlight w:val="none"/>
        </w:rPr>
        <w:t>框架协议（格式）</w:t>
      </w:r>
      <w:bookmarkEnd w:id="78"/>
    </w:p>
    <w:p w14:paraId="1D0276BE">
      <w:pPr>
        <w:pStyle w:val="26"/>
        <w:snapToGrid w:val="0"/>
        <w:spacing w:before="120" w:after="120" w:line="320" w:lineRule="exact"/>
        <w:jc w:val="center"/>
        <w:rPr>
          <w:rFonts w:hint="eastAsia" w:ascii="Times New Roman" w:hAnsi="Times New Roman" w:eastAsia="宋体"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标项一</w:t>
      </w:r>
    </w:p>
    <w:p w14:paraId="0CBF56D5">
      <w:pPr>
        <w:snapToGrid w:val="0"/>
        <w:spacing w:before="120" w:after="120" w:line="320" w:lineRule="exact"/>
        <w:rPr>
          <w:color w:val="auto"/>
          <w:szCs w:val="21"/>
          <w:highlight w:val="none"/>
        </w:rPr>
      </w:pPr>
      <w:bookmarkStart w:id="79" w:name="_Hlk98842414"/>
      <w:r>
        <w:rPr>
          <w:rFonts w:hint="eastAsia"/>
          <w:color w:val="auto"/>
          <w:szCs w:val="21"/>
          <w:highlight w:val="none"/>
        </w:rPr>
        <w:t>协议甲方（征集人）：</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51C41ACC">
      <w:pPr>
        <w:snapToGrid w:val="0"/>
        <w:spacing w:before="120" w:after="120" w:line="320" w:lineRule="exact"/>
        <w:rPr>
          <w:rFonts w:hint="eastAsia"/>
          <w:color w:val="auto"/>
          <w:szCs w:val="21"/>
          <w:highlight w:val="none"/>
        </w:rPr>
      </w:pPr>
      <w:r>
        <w:rPr>
          <w:rFonts w:hint="eastAsia"/>
          <w:color w:val="auto"/>
          <w:szCs w:val="21"/>
          <w:highlight w:val="none"/>
        </w:rPr>
        <w:t>协议乙方（入围供应商）：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04F43479">
      <w:pPr>
        <w:snapToGrid w:val="0"/>
        <w:spacing w:before="120" w:after="120" w:line="320" w:lineRule="exact"/>
        <w:rPr>
          <w:color w:val="auto"/>
          <w:szCs w:val="21"/>
          <w:highlight w:val="none"/>
        </w:rPr>
      </w:pPr>
    </w:p>
    <w:p w14:paraId="718B9C95">
      <w:pPr>
        <w:snapToGrid w:val="0"/>
        <w:spacing w:before="120" w:after="120" w:line="320" w:lineRule="exact"/>
        <w:ind w:firstLine="420" w:firstLineChars="200"/>
        <w:rPr>
          <w:color w:val="auto"/>
          <w:szCs w:val="21"/>
          <w:highlight w:val="none"/>
        </w:rPr>
      </w:pPr>
      <w:r>
        <w:rPr>
          <w:rFonts w:hint="eastAsia"/>
          <w:color w:val="auto"/>
          <w:szCs w:val="21"/>
          <w:highlight w:val="none"/>
        </w:rPr>
        <w:t>根据《中华人民共和国政府采购法》、《政府采购框架协议采购方式管理暂行办法》等相关法律，按照征集文件约定的事项以及协议乙方的响应文件及其承诺，协议甲乙双方签订框架协议。</w:t>
      </w:r>
    </w:p>
    <w:p w14:paraId="4FA46725">
      <w:pPr>
        <w:snapToGrid w:val="0"/>
        <w:spacing w:before="120" w:after="120" w:line="320" w:lineRule="exact"/>
        <w:rPr>
          <w:b/>
          <w:bCs/>
          <w:color w:val="auto"/>
          <w:szCs w:val="21"/>
          <w:highlight w:val="none"/>
        </w:rPr>
      </w:pPr>
      <w:r>
        <w:rPr>
          <w:rFonts w:hint="eastAsia"/>
          <w:b/>
          <w:bCs/>
          <w:color w:val="auto"/>
          <w:szCs w:val="21"/>
          <w:highlight w:val="none"/>
        </w:rPr>
        <w:t>第一条 项目基本信息</w:t>
      </w:r>
    </w:p>
    <w:p w14:paraId="17EE077F">
      <w:pPr>
        <w:snapToGrid w:val="0"/>
        <w:spacing w:before="120" w:after="120" w:line="320" w:lineRule="exact"/>
        <w:rPr>
          <w:color w:val="auto"/>
          <w:szCs w:val="21"/>
          <w:highlight w:val="none"/>
          <w:u w:val="single"/>
        </w:rPr>
      </w:pPr>
      <w:r>
        <w:rPr>
          <w:rFonts w:hint="eastAsia"/>
          <w:color w:val="auto"/>
          <w:szCs w:val="21"/>
          <w:highlight w:val="none"/>
        </w:rPr>
        <w:t>1．项目名称：</w:t>
      </w:r>
      <w:r>
        <w:rPr>
          <w:rFonts w:hint="eastAsia"/>
          <w:color w:val="auto"/>
          <w:szCs w:val="21"/>
          <w:highlight w:val="none"/>
          <w:u w:val="single"/>
          <w:lang w:eastAsia="zh-CN"/>
        </w:rPr>
        <w:t>富川瑶族自治县2025～2027年度政府投资项目评审服务</w:t>
      </w:r>
      <w:r>
        <w:rPr>
          <w:color w:val="auto"/>
          <w:szCs w:val="21"/>
          <w:highlight w:val="none"/>
          <w:u w:val="single"/>
        </w:rPr>
        <w:t xml:space="preserve">               </w:t>
      </w:r>
      <w:r>
        <w:rPr>
          <w:rFonts w:hint="eastAsia"/>
          <w:color w:val="auto"/>
          <w:szCs w:val="21"/>
          <w:highlight w:val="none"/>
          <w:u w:val="single"/>
        </w:rPr>
        <w:t xml:space="preserve"> </w:t>
      </w:r>
    </w:p>
    <w:p w14:paraId="79F4D0E8">
      <w:pPr>
        <w:snapToGrid w:val="0"/>
        <w:spacing w:before="120" w:after="120" w:line="320" w:lineRule="exact"/>
        <w:rPr>
          <w:color w:val="auto"/>
          <w:szCs w:val="21"/>
          <w:highlight w:val="none"/>
          <w:u w:val="single"/>
        </w:rPr>
      </w:pPr>
      <w:r>
        <w:rPr>
          <w:rFonts w:hint="eastAsia"/>
          <w:color w:val="auto"/>
          <w:szCs w:val="21"/>
          <w:highlight w:val="none"/>
        </w:rPr>
        <w:t>2．项目编号：</w:t>
      </w:r>
      <w:r>
        <w:rPr>
          <w:rFonts w:hint="eastAsia"/>
          <w:color w:val="auto"/>
          <w:szCs w:val="21"/>
          <w:highlight w:val="none"/>
          <w:u w:val="single"/>
        </w:rPr>
        <w:t xml:space="preserve"> </w:t>
      </w:r>
      <w:r>
        <w:rPr>
          <w:color w:val="auto"/>
          <w:szCs w:val="21"/>
          <w:highlight w:val="none"/>
          <w:u w:val="single"/>
        </w:rPr>
        <w:t xml:space="preserve">                              </w:t>
      </w:r>
    </w:p>
    <w:p w14:paraId="70274368">
      <w:pPr>
        <w:snapToGrid w:val="0"/>
        <w:spacing w:before="120" w:after="120" w:line="320" w:lineRule="exact"/>
        <w:rPr>
          <w:rFonts w:hint="default" w:eastAsia="宋体"/>
          <w:color w:val="auto"/>
          <w:szCs w:val="21"/>
          <w:highlight w:val="none"/>
          <w:u w:val="single"/>
          <w:lang w:val="en-US" w:eastAsia="zh-CN"/>
        </w:rPr>
      </w:pPr>
      <w:r>
        <w:rPr>
          <w:rFonts w:hint="eastAsia"/>
          <w:color w:val="auto"/>
          <w:szCs w:val="21"/>
          <w:highlight w:val="none"/>
        </w:rPr>
        <w:t>3．标项：</w:t>
      </w:r>
      <w:r>
        <w:rPr>
          <w:rFonts w:hint="eastAsia"/>
          <w:color w:val="auto"/>
          <w:szCs w:val="21"/>
          <w:highlight w:val="none"/>
          <w:u w:val="single"/>
          <w:lang w:val="en-US" w:eastAsia="zh-CN"/>
        </w:rPr>
        <w:t>标项一</w:t>
      </w:r>
    </w:p>
    <w:p w14:paraId="6B856CC6">
      <w:pPr>
        <w:snapToGrid w:val="0"/>
        <w:spacing w:before="120" w:after="120" w:line="320" w:lineRule="exact"/>
        <w:rPr>
          <w:color w:val="auto"/>
          <w:szCs w:val="21"/>
          <w:highlight w:val="none"/>
          <w:u w:val="single"/>
        </w:rPr>
      </w:pPr>
      <w:r>
        <w:rPr>
          <w:color w:val="auto"/>
          <w:szCs w:val="21"/>
          <w:highlight w:val="none"/>
        </w:rPr>
        <w:t>4</w:t>
      </w:r>
      <w:r>
        <w:rPr>
          <w:rFonts w:hint="eastAsia"/>
          <w:color w:val="auto"/>
          <w:szCs w:val="21"/>
          <w:highlight w:val="none"/>
        </w:rPr>
        <w:t>．采购需求：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详见附件</w:t>
      </w:r>
      <w:r>
        <w:rPr>
          <w:color w:val="auto"/>
          <w:szCs w:val="21"/>
          <w:highlight w:val="none"/>
          <w:u w:val="single"/>
        </w:rPr>
        <w:t xml:space="preserve">    </w:t>
      </w:r>
    </w:p>
    <w:p w14:paraId="09638847">
      <w:pPr>
        <w:snapToGrid w:val="0"/>
        <w:spacing w:before="120" w:after="120" w:line="320" w:lineRule="exact"/>
        <w:rPr>
          <w:rFonts w:hint="eastAsia" w:eastAsia="宋体"/>
          <w:color w:val="auto"/>
          <w:szCs w:val="21"/>
          <w:highlight w:val="none"/>
          <w:u w:val="single"/>
          <w:lang w:eastAsia="zh-CN"/>
        </w:rPr>
      </w:pPr>
      <w:r>
        <w:rPr>
          <w:color w:val="auto"/>
          <w:szCs w:val="21"/>
          <w:highlight w:val="none"/>
        </w:rPr>
        <w:t>5</w:t>
      </w:r>
      <w:r>
        <w:rPr>
          <w:rFonts w:hint="eastAsia"/>
          <w:color w:val="auto"/>
          <w:szCs w:val="21"/>
          <w:highlight w:val="none"/>
        </w:rPr>
        <w:t>．框架协议期限：</w:t>
      </w:r>
      <w:r>
        <w:rPr>
          <w:rFonts w:hint="eastAsia"/>
          <w:color w:val="auto"/>
          <w:szCs w:val="21"/>
          <w:highlight w:val="none"/>
          <w:u w:val="single"/>
          <w:lang w:val="en-US" w:eastAsia="zh-CN"/>
        </w:rPr>
        <w:t>两年</w:t>
      </w:r>
    </w:p>
    <w:p w14:paraId="172A37D5">
      <w:pPr>
        <w:snapToGrid w:val="0"/>
        <w:spacing w:before="120" w:after="120" w:line="320" w:lineRule="exact"/>
        <w:rPr>
          <w:color w:val="auto"/>
          <w:szCs w:val="21"/>
          <w:highlight w:val="none"/>
        </w:rPr>
      </w:pPr>
      <w:r>
        <w:rPr>
          <w:rFonts w:hint="eastAsia"/>
          <w:color w:val="auto"/>
          <w:szCs w:val="21"/>
          <w:highlight w:val="none"/>
        </w:rPr>
        <w:t>6．</w:t>
      </w:r>
      <w:r>
        <w:rPr>
          <w:color w:val="auto"/>
          <w:szCs w:val="21"/>
          <w:highlight w:val="none"/>
        </w:rPr>
        <w:t>最高限制单价：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6"/>
        <w:gridCol w:w="7437"/>
      </w:tblGrid>
      <w:tr w14:paraId="0879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2A8C57A5">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3D81F4A9">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限价</w:t>
            </w:r>
          </w:p>
        </w:tc>
      </w:tr>
      <w:tr w14:paraId="7C0B9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548BA4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1E98D1F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将项目委托</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评审时，按以下费率计算服务费用：</w:t>
            </w:r>
          </w:p>
          <w:p w14:paraId="7AA6672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（1）审核工程概（预）算（含工程量清单、上限控制价），编审费按审查工程项目送审总造价1‰核定基本付费额。</w:t>
            </w:r>
          </w:p>
          <w:p w14:paraId="59EF157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（2）审核工程概（预）算（含工程量清单、上限控制价），审减（增）费按审查定案净减（增）值的3%核定基本付费额。</w:t>
            </w:r>
          </w:p>
          <w:p w14:paraId="43C994C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单个工程项目按上述两种费率合计计算。单个工程项目评审服务费不足</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00元的，按</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00元付费。单个工程项目的评审服务费上限为80万元。</w:t>
            </w:r>
          </w:p>
          <w:p w14:paraId="5A31CBE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2.服务费的计算：评审服务费＝[编审费+审减（增）费]。</w:t>
            </w:r>
          </w:p>
        </w:tc>
      </w:tr>
    </w:tbl>
    <w:p w14:paraId="3FE78451">
      <w:pPr>
        <w:snapToGrid w:val="0"/>
        <w:spacing w:before="120" w:after="120" w:line="320" w:lineRule="exact"/>
        <w:rPr>
          <w:b/>
          <w:bCs/>
          <w:color w:val="auto"/>
          <w:szCs w:val="21"/>
          <w:highlight w:val="none"/>
        </w:rPr>
      </w:pPr>
      <w:r>
        <w:rPr>
          <w:rFonts w:hint="eastAsia"/>
          <w:b/>
          <w:bCs/>
          <w:color w:val="auto"/>
          <w:szCs w:val="21"/>
          <w:highlight w:val="none"/>
        </w:rPr>
        <w:t>第二条 框架协议信息</w:t>
      </w:r>
    </w:p>
    <w:p w14:paraId="45B6A298">
      <w:pPr>
        <w:snapToGrid w:val="0"/>
        <w:spacing w:before="120" w:after="120" w:line="320" w:lineRule="exact"/>
        <w:rPr>
          <w:color w:val="auto"/>
          <w:szCs w:val="21"/>
          <w:highlight w:val="none"/>
        </w:rPr>
      </w:pPr>
      <w:r>
        <w:rPr>
          <w:rFonts w:hint="eastAsia"/>
          <w:color w:val="auto"/>
          <w:szCs w:val="21"/>
          <w:highlight w:val="none"/>
        </w:rPr>
        <w:t>1．服务内容、服务标准、协议价格</w:t>
      </w:r>
    </w:p>
    <w:p w14:paraId="3982840E">
      <w:pPr>
        <w:snapToGrid w:val="0"/>
        <w:spacing w:before="120" w:after="120" w:line="320" w:lineRule="exact"/>
        <w:rPr>
          <w:color w:val="auto"/>
          <w:szCs w:val="21"/>
          <w:highlight w:val="none"/>
          <w:u w:val="single"/>
        </w:rPr>
      </w:pPr>
      <w:r>
        <w:rPr>
          <w:rFonts w:hint="eastAsia"/>
          <w:color w:val="auto"/>
          <w:szCs w:val="21"/>
          <w:highlight w:val="none"/>
        </w:rPr>
        <w:t>1</w:t>
      </w:r>
      <w:r>
        <w:rPr>
          <w:color w:val="auto"/>
          <w:szCs w:val="21"/>
          <w:highlight w:val="none"/>
        </w:rPr>
        <w:t xml:space="preserve">.1 </w:t>
      </w:r>
      <w:r>
        <w:rPr>
          <w:rFonts w:hint="eastAsia"/>
          <w:color w:val="auto"/>
          <w:szCs w:val="21"/>
          <w:highlight w:val="none"/>
        </w:rPr>
        <w:t>服务内容：</w:t>
      </w:r>
      <w:r>
        <w:rPr>
          <w:rFonts w:hint="eastAsia"/>
          <w:color w:val="auto"/>
          <w:szCs w:val="21"/>
          <w:highlight w:val="none"/>
          <w:u w:val="single"/>
        </w:rPr>
        <w:t>为</w:t>
      </w:r>
      <w:r>
        <w:rPr>
          <w:rFonts w:hint="eastAsia"/>
          <w:color w:val="auto"/>
          <w:szCs w:val="21"/>
          <w:highlight w:val="none"/>
          <w:u w:val="single"/>
          <w:lang w:eastAsia="zh-CN"/>
        </w:rPr>
        <w:t>富川瑶族自治县本级</w:t>
      </w:r>
      <w:r>
        <w:rPr>
          <w:rFonts w:hint="eastAsia"/>
          <w:color w:val="auto"/>
          <w:szCs w:val="21"/>
          <w:highlight w:val="none"/>
          <w:u w:val="single"/>
        </w:rPr>
        <w:t>政府投资项目提供概（预）算、工程量清单和招标控制价评审服务</w:t>
      </w:r>
    </w:p>
    <w:p w14:paraId="1D89AEA6">
      <w:pPr>
        <w:snapToGrid w:val="0"/>
        <w:spacing w:before="120" w:after="120" w:line="320" w:lineRule="exact"/>
        <w:rPr>
          <w:rFonts w:hint="eastAsia"/>
          <w:color w:val="auto"/>
          <w:szCs w:val="21"/>
          <w:highlight w:val="none"/>
        </w:rPr>
      </w:pPr>
      <w:r>
        <w:rPr>
          <w:rFonts w:hint="eastAsia"/>
          <w:color w:val="auto"/>
          <w:szCs w:val="21"/>
          <w:highlight w:val="none"/>
        </w:rPr>
        <w:t>1</w:t>
      </w:r>
      <w:r>
        <w:rPr>
          <w:color w:val="auto"/>
          <w:szCs w:val="21"/>
          <w:highlight w:val="none"/>
        </w:rPr>
        <w:t xml:space="preserve">.2 </w:t>
      </w:r>
      <w:r>
        <w:rPr>
          <w:rFonts w:hint="eastAsia"/>
          <w:color w:val="auto"/>
          <w:szCs w:val="21"/>
          <w:highlight w:val="none"/>
        </w:rPr>
        <w:t>服务标准：</w:t>
      </w:r>
    </w:p>
    <w:p w14:paraId="7AA0F4A1">
      <w:pPr>
        <w:snapToGrid w:val="0"/>
        <w:spacing w:before="120" w:after="120" w:line="320" w:lineRule="exact"/>
        <w:rPr>
          <w:rFonts w:hint="eastAsia"/>
          <w:color w:val="auto"/>
          <w:szCs w:val="21"/>
          <w:highlight w:val="none"/>
        </w:rPr>
      </w:pPr>
      <w:r>
        <w:rPr>
          <w:rFonts w:hint="eastAsia"/>
          <w:color w:val="auto"/>
          <w:szCs w:val="21"/>
          <w:highlight w:val="none"/>
        </w:rPr>
        <w:t>（1）严格遵守国家的法律、法规和有关规章制度，严格遵守行为准则和职业道德，按现行的财政投资项目评审操作规程及质量控制办法规定的执行。</w:t>
      </w:r>
    </w:p>
    <w:p w14:paraId="0A614BAF">
      <w:pPr>
        <w:snapToGrid w:val="0"/>
        <w:spacing w:before="120" w:after="120" w:line="320" w:lineRule="exact"/>
        <w:rPr>
          <w:rFonts w:hint="eastAsia"/>
          <w:color w:val="auto"/>
          <w:szCs w:val="21"/>
          <w:highlight w:val="none"/>
        </w:rPr>
      </w:pPr>
      <w:r>
        <w:rPr>
          <w:rFonts w:hint="eastAsia"/>
          <w:color w:val="auto"/>
          <w:szCs w:val="21"/>
          <w:highlight w:val="none"/>
        </w:rPr>
        <w:t>（2）严格按照现行的工程造价管理办法、工程结算编审规程等文件要求进行评审工作，依照相关依据发表专业意见出具成果文件，并对成果的真实性、完整性、准确性负责。</w:t>
      </w:r>
    </w:p>
    <w:p w14:paraId="5840F41C">
      <w:pPr>
        <w:snapToGrid w:val="0"/>
        <w:spacing w:before="120" w:after="120" w:line="320" w:lineRule="exact"/>
        <w:rPr>
          <w:rFonts w:hint="eastAsia"/>
          <w:color w:val="auto"/>
          <w:szCs w:val="21"/>
          <w:highlight w:val="none"/>
        </w:rPr>
      </w:pPr>
      <w:r>
        <w:rPr>
          <w:rFonts w:hint="eastAsia"/>
          <w:color w:val="auto"/>
          <w:szCs w:val="21"/>
          <w:highlight w:val="none"/>
        </w:rPr>
        <w:t>（3）评审人员在项目评审工程中，应该恪守客观公正、实事求是的原则，确保评审工作的真实完整和准确，保证评审质量。</w:t>
      </w:r>
    </w:p>
    <w:p w14:paraId="43F3B545">
      <w:pPr>
        <w:snapToGrid w:val="0"/>
        <w:spacing w:before="120" w:after="120" w:line="320" w:lineRule="exact"/>
        <w:rPr>
          <w:rFonts w:hint="eastAsia"/>
          <w:color w:val="auto"/>
          <w:szCs w:val="21"/>
          <w:highlight w:val="none"/>
        </w:rPr>
      </w:pPr>
      <w:r>
        <w:rPr>
          <w:rFonts w:hint="eastAsia"/>
          <w:color w:val="auto"/>
          <w:szCs w:val="21"/>
          <w:highlight w:val="none"/>
        </w:rPr>
        <w:t xml:space="preserve">（4）评审报告编制标准 </w:t>
      </w:r>
    </w:p>
    <w:p w14:paraId="04DDB692">
      <w:pPr>
        <w:snapToGrid w:val="0"/>
        <w:spacing w:before="120" w:after="120" w:line="320" w:lineRule="exact"/>
        <w:rPr>
          <w:rFonts w:hint="eastAsia"/>
          <w:color w:val="auto"/>
          <w:szCs w:val="21"/>
          <w:highlight w:val="none"/>
        </w:rPr>
      </w:pPr>
      <w:r>
        <w:rPr>
          <w:rFonts w:hint="eastAsia"/>
          <w:color w:val="auto"/>
          <w:szCs w:val="21"/>
          <w:highlight w:val="none"/>
        </w:rPr>
        <w:t>评审内容完整、数据准确、依据充分，评审结论定性客观、定量准确、依据充分，核增核减原因定性准确、条理清晰，披露评审问题有理有据、分析透彻，提出评审建议措施具体、针对性强。</w:t>
      </w:r>
    </w:p>
    <w:p w14:paraId="76A2F9E6">
      <w:pPr>
        <w:snapToGrid w:val="0"/>
        <w:spacing w:before="120" w:after="120" w:line="32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）甲方</w:t>
      </w:r>
      <w:r>
        <w:rPr>
          <w:rFonts w:hint="eastAsia"/>
          <w:color w:val="auto"/>
          <w:szCs w:val="21"/>
          <w:highlight w:val="none"/>
        </w:rPr>
        <w:t>将对成交</w:t>
      </w:r>
      <w:r>
        <w:rPr>
          <w:rFonts w:hint="eastAsia"/>
          <w:color w:val="auto"/>
          <w:szCs w:val="21"/>
          <w:highlight w:val="none"/>
          <w:lang w:eastAsia="zh-CN"/>
        </w:rPr>
        <w:t>乙方</w:t>
      </w:r>
      <w:r>
        <w:rPr>
          <w:rFonts w:hint="eastAsia"/>
          <w:color w:val="auto"/>
          <w:szCs w:val="21"/>
          <w:highlight w:val="none"/>
        </w:rPr>
        <w:t>提交的评审报告和评审结论进行复审，复审结果发现因成交</w:t>
      </w:r>
      <w:r>
        <w:rPr>
          <w:rFonts w:hint="eastAsia"/>
          <w:color w:val="auto"/>
          <w:szCs w:val="21"/>
          <w:highlight w:val="none"/>
          <w:lang w:eastAsia="zh-CN"/>
        </w:rPr>
        <w:t>乙方</w:t>
      </w:r>
      <w:r>
        <w:rPr>
          <w:rFonts w:hint="eastAsia"/>
          <w:color w:val="auto"/>
          <w:szCs w:val="21"/>
          <w:highlight w:val="none"/>
        </w:rPr>
        <w:t>存在严重质量问题时，</w:t>
      </w:r>
      <w:r>
        <w:rPr>
          <w:rFonts w:hint="eastAsia"/>
          <w:color w:val="auto"/>
          <w:szCs w:val="21"/>
          <w:highlight w:val="none"/>
          <w:lang w:eastAsia="zh-CN"/>
        </w:rPr>
        <w:t>甲方</w:t>
      </w:r>
      <w:r>
        <w:rPr>
          <w:rFonts w:hint="eastAsia"/>
          <w:color w:val="auto"/>
          <w:szCs w:val="21"/>
          <w:highlight w:val="none"/>
        </w:rPr>
        <w:t>不支付该项目的评审费用，并做出相应的处理，成交</w:t>
      </w:r>
      <w:r>
        <w:rPr>
          <w:rFonts w:hint="eastAsia"/>
          <w:color w:val="auto"/>
          <w:szCs w:val="21"/>
          <w:highlight w:val="none"/>
          <w:lang w:eastAsia="zh-CN"/>
        </w:rPr>
        <w:t>乙方</w:t>
      </w:r>
      <w:r>
        <w:rPr>
          <w:rFonts w:hint="eastAsia"/>
          <w:color w:val="auto"/>
          <w:szCs w:val="21"/>
          <w:highlight w:val="none"/>
        </w:rPr>
        <w:t>必须承担由此造成的全部经济损失和法律责任。</w:t>
      </w:r>
    </w:p>
    <w:p w14:paraId="581CBD67">
      <w:pPr>
        <w:snapToGrid w:val="0"/>
        <w:spacing w:before="120" w:after="120" w:line="32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6</w:t>
      </w:r>
      <w:r>
        <w:rPr>
          <w:rFonts w:hint="eastAsia"/>
          <w:color w:val="auto"/>
          <w:szCs w:val="21"/>
          <w:highlight w:val="none"/>
          <w:lang w:eastAsia="zh-CN"/>
        </w:rPr>
        <w:t>）乙方</w:t>
      </w:r>
      <w:r>
        <w:rPr>
          <w:rFonts w:hint="eastAsia"/>
          <w:color w:val="auto"/>
          <w:szCs w:val="21"/>
          <w:highlight w:val="none"/>
        </w:rPr>
        <w:t>不得泄露</w:t>
      </w:r>
      <w:r>
        <w:rPr>
          <w:rFonts w:hint="eastAsia"/>
          <w:color w:val="auto"/>
          <w:szCs w:val="21"/>
          <w:highlight w:val="none"/>
          <w:lang w:eastAsia="zh-CN"/>
        </w:rPr>
        <w:t>甲方</w:t>
      </w:r>
      <w:r>
        <w:rPr>
          <w:rFonts w:hint="eastAsia"/>
          <w:color w:val="auto"/>
          <w:szCs w:val="21"/>
          <w:highlight w:val="none"/>
        </w:rPr>
        <w:t>及所承接项目的任何商业机密，不得未经</w:t>
      </w:r>
      <w:r>
        <w:rPr>
          <w:rFonts w:hint="eastAsia"/>
          <w:color w:val="auto"/>
          <w:szCs w:val="21"/>
          <w:highlight w:val="none"/>
          <w:lang w:eastAsia="zh-CN"/>
        </w:rPr>
        <w:t>甲方</w:t>
      </w:r>
      <w:r>
        <w:rPr>
          <w:rFonts w:hint="eastAsia"/>
          <w:color w:val="auto"/>
          <w:szCs w:val="21"/>
          <w:highlight w:val="none"/>
        </w:rPr>
        <w:t>同意擅自对外公开评审结论，一经发现，将由</w:t>
      </w:r>
      <w:r>
        <w:rPr>
          <w:rFonts w:hint="eastAsia"/>
          <w:color w:val="auto"/>
          <w:szCs w:val="21"/>
          <w:highlight w:val="none"/>
          <w:lang w:eastAsia="zh-CN"/>
        </w:rPr>
        <w:t>甲方</w:t>
      </w:r>
      <w:r>
        <w:rPr>
          <w:rFonts w:hint="eastAsia"/>
          <w:color w:val="auto"/>
          <w:szCs w:val="21"/>
          <w:highlight w:val="none"/>
        </w:rPr>
        <w:t>作出相应处理。</w:t>
      </w:r>
    </w:p>
    <w:p w14:paraId="0C357006">
      <w:pPr>
        <w:snapToGrid w:val="0"/>
        <w:spacing w:before="120" w:after="120" w:line="32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7</w:t>
      </w:r>
      <w:r>
        <w:rPr>
          <w:rFonts w:hint="eastAsia"/>
          <w:color w:val="auto"/>
          <w:szCs w:val="21"/>
          <w:highlight w:val="none"/>
          <w:lang w:eastAsia="zh-CN"/>
        </w:rPr>
        <w:t>）</w:t>
      </w:r>
      <w:r>
        <w:rPr>
          <w:rFonts w:hint="eastAsia"/>
          <w:color w:val="auto"/>
          <w:szCs w:val="21"/>
          <w:highlight w:val="none"/>
        </w:rPr>
        <w:t>评审人员应严格遵守廉洁自律的有关规定，坚决抵制各种可能影响客观公正评审的商业贿赂，坚决不搞人情评审，避免和杜绝吃拿卡要的不良行为。如因评审人员原因出现违规违纪行为，应及时处理并承担相应法律责任，</w:t>
      </w:r>
      <w:r>
        <w:rPr>
          <w:rFonts w:hint="eastAsia"/>
          <w:color w:val="auto"/>
          <w:szCs w:val="21"/>
          <w:highlight w:val="none"/>
          <w:lang w:eastAsia="zh-CN"/>
        </w:rPr>
        <w:t>甲方</w:t>
      </w:r>
      <w:r>
        <w:rPr>
          <w:rFonts w:hint="eastAsia"/>
          <w:color w:val="auto"/>
          <w:szCs w:val="21"/>
          <w:highlight w:val="none"/>
        </w:rPr>
        <w:t>有权追究其相关责任并列入黑名单。</w:t>
      </w:r>
    </w:p>
    <w:p w14:paraId="162C45D6">
      <w:pPr>
        <w:snapToGrid w:val="0"/>
        <w:spacing w:before="120" w:after="120" w:line="32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8</w:t>
      </w:r>
      <w:r>
        <w:rPr>
          <w:rFonts w:hint="eastAsia"/>
          <w:color w:val="auto"/>
          <w:szCs w:val="21"/>
          <w:highlight w:val="none"/>
          <w:lang w:eastAsia="zh-CN"/>
        </w:rPr>
        <w:t>）乙方</w:t>
      </w:r>
      <w:r>
        <w:rPr>
          <w:rFonts w:hint="eastAsia"/>
          <w:color w:val="auto"/>
          <w:szCs w:val="21"/>
          <w:highlight w:val="none"/>
        </w:rPr>
        <w:t>必须严格遵守《工程造价咨询企业管理办法》(建设部2006年第149号令)、《财政性投资评审质量控制办法》(财建【2006】1065号）和《贺州市财政局关于印发贺州市本级财政投资评审</w:t>
      </w:r>
      <w:r>
        <w:rPr>
          <w:rFonts w:hint="eastAsia"/>
          <w:color w:val="auto"/>
          <w:szCs w:val="21"/>
          <w:highlight w:val="none"/>
          <w:lang w:val="en-US" w:eastAsia="zh-CN"/>
        </w:rPr>
        <w:t>实施</w:t>
      </w:r>
      <w:r>
        <w:rPr>
          <w:rFonts w:hint="eastAsia"/>
          <w:color w:val="auto"/>
          <w:szCs w:val="21"/>
          <w:highlight w:val="none"/>
        </w:rPr>
        <w:t>办法(2023年修订)的通知》(贺财办[2024]2号)等有关规定，按要求选择具备工程造价审核专业知识、熟悉财政投资审核业务、履行审核程序的人员开展财政投资审核业务，保证取证资料、工作底稿的正确完整和规范。出具的审核报告、结论或意见客观公正，符合审核规范和富川瑶族自治县财政局财政投资评审中心的要求，对出具的审核报告承担法律责任。</w:t>
      </w:r>
    </w:p>
    <w:p w14:paraId="63DBFF12">
      <w:pPr>
        <w:snapToGrid w:val="0"/>
        <w:spacing w:before="120" w:after="120" w:line="32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9</w:t>
      </w:r>
      <w:r>
        <w:rPr>
          <w:rFonts w:hint="eastAsia"/>
          <w:color w:val="auto"/>
          <w:szCs w:val="21"/>
          <w:highlight w:val="none"/>
          <w:lang w:eastAsia="zh-CN"/>
        </w:rPr>
        <w:t>）乙方</w:t>
      </w:r>
      <w:r>
        <w:rPr>
          <w:rFonts w:hint="eastAsia"/>
          <w:color w:val="auto"/>
          <w:szCs w:val="21"/>
          <w:highlight w:val="none"/>
        </w:rPr>
        <w:t>须在每季度第一个月10日前向富川瑶族自治县财政局财政投资评审中心报送上一季度富川瑶族自治县财政投资评审服务项目有关统计报表。</w:t>
      </w:r>
    </w:p>
    <w:p w14:paraId="5EE40A4A">
      <w:pPr>
        <w:snapToGrid w:val="0"/>
        <w:spacing w:before="120" w:after="120" w:line="320" w:lineRule="exact"/>
        <w:rPr>
          <w:rFonts w:hint="eastAsia"/>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10</w:t>
      </w:r>
      <w:r>
        <w:rPr>
          <w:rFonts w:hint="eastAsia"/>
          <w:color w:val="auto"/>
          <w:szCs w:val="21"/>
          <w:highlight w:val="none"/>
          <w:lang w:eastAsia="zh-CN"/>
        </w:rPr>
        <w:t>）乙方自接到甲方提交完整评审项目资料当日起应按以下要求提交评审初步结论：评审项目金额1000万元（含）以下6天内完成；评审项目金额1000万以上至3000万元（含）以下7天内完成；评审项目金额3000万以上至5000万元（含）以下8天内完成；评审项目金额5000万以上至8000万元（含）以下9天内完成；评审项目金额8000万以上10天内完成。</w:t>
      </w:r>
    </w:p>
    <w:p w14:paraId="03F07AC3">
      <w:pPr>
        <w:snapToGrid w:val="0"/>
        <w:spacing w:before="120" w:after="120" w:line="320" w:lineRule="exact"/>
        <w:rPr>
          <w:rFonts w:hint="eastAsia" w:eastAsia="宋体"/>
          <w:color w:val="auto"/>
          <w:szCs w:val="21"/>
          <w:highlight w:val="none"/>
          <w:lang w:eastAsia="zh-CN"/>
        </w:rPr>
      </w:pPr>
      <w:r>
        <w:rPr>
          <w:rFonts w:hint="eastAsia"/>
          <w:color w:val="auto"/>
          <w:szCs w:val="21"/>
          <w:highlight w:val="none"/>
          <w:lang w:eastAsia="zh-CN"/>
        </w:rPr>
        <w:t>上述规定期限是从乙方与采购人办理项目资料交接手续之日起，至乙方将审核结果分析报告送交采购人复核之日止。若确有不可抗力因素或其他特殊原因，需要延长审核期限的，乙方应当在协议约定期限内向采购人提出书面申请，并取得采购人同意的书面批复。如无特殊情况而拖延完成时间的，每拖延一天扣减评审服务费的2%，拖延时间达30日的则扣除所有评审服务费。如遇县政府对项目评审时间的特殊要求，乙方则应无条件服从采购人的时间安排。</w:t>
      </w:r>
    </w:p>
    <w:p w14:paraId="12FA56E0">
      <w:pPr>
        <w:snapToGrid w:val="0"/>
        <w:spacing w:before="120" w:after="120" w:line="320" w:lineRule="exact"/>
        <w:rPr>
          <w:color w:val="auto"/>
          <w:szCs w:val="21"/>
          <w:highlight w:val="none"/>
          <w:u w:val="single"/>
        </w:rPr>
      </w:pPr>
      <w:r>
        <w:rPr>
          <w:rFonts w:hint="eastAsia"/>
          <w:color w:val="auto"/>
          <w:szCs w:val="21"/>
          <w:highlight w:val="none"/>
        </w:rPr>
        <w:t>1</w:t>
      </w:r>
      <w:r>
        <w:rPr>
          <w:color w:val="auto"/>
          <w:szCs w:val="21"/>
          <w:highlight w:val="none"/>
        </w:rPr>
        <w:t xml:space="preserve">.3 </w:t>
      </w:r>
      <w:r>
        <w:rPr>
          <w:rFonts w:hint="eastAsia"/>
          <w:color w:val="auto"/>
          <w:szCs w:val="21"/>
          <w:highlight w:val="none"/>
        </w:rPr>
        <w:t>协议价格（响应报价）：</w:t>
      </w:r>
      <w:r>
        <w:rPr>
          <w:rFonts w:hint="eastAsia"/>
          <w:color w:val="auto"/>
          <w:szCs w:val="21"/>
          <w:highlight w:val="none"/>
          <w:u w:val="single"/>
        </w:rPr>
        <w:t>同“最高限制单价”</w:t>
      </w:r>
    </w:p>
    <w:p w14:paraId="4DA87632">
      <w:pPr>
        <w:pStyle w:val="26"/>
        <w:adjustRightInd w:val="0"/>
        <w:snapToGrid w:val="0"/>
        <w:spacing w:line="360" w:lineRule="auto"/>
        <w:rPr>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w:t>
      </w:r>
      <w:r>
        <w:rPr>
          <w:rFonts w:hint="eastAsia"/>
          <w:color w:val="auto"/>
          <w:highlight w:val="none"/>
        </w:rPr>
        <w:t>适用框架协议的采购人或服务对象范围</w:t>
      </w:r>
    </w:p>
    <w:p w14:paraId="78FF9760">
      <w:pPr>
        <w:pStyle w:val="26"/>
        <w:adjustRightInd w:val="0"/>
        <w:snapToGrid w:val="0"/>
        <w:spacing w:line="360" w:lineRule="auto"/>
        <w:rPr>
          <w:rFonts w:hint="eastAsia" w:ascii="Times New Roman" w:hAnsi="Times New Roman" w:eastAsia="宋体" w:cs="Times New Roman"/>
          <w:color w:val="auto"/>
          <w:highlight w:val="none"/>
          <w:lang w:eastAsia="zh-CN"/>
        </w:rPr>
      </w:pPr>
      <w:r>
        <w:rPr>
          <w:rFonts w:hint="eastAsia"/>
          <w:color w:val="auto"/>
          <w:highlight w:val="none"/>
          <w:u w:val="single"/>
          <w:lang w:eastAsia="zh-CN"/>
        </w:rPr>
        <w:t>富川瑶族自治县财政局财政投资评审中心</w:t>
      </w:r>
    </w:p>
    <w:p w14:paraId="6063FF64">
      <w:pPr>
        <w:snapToGrid w:val="0"/>
        <w:spacing w:before="120" w:after="120" w:line="320" w:lineRule="exact"/>
        <w:rPr>
          <w:rFonts w:hint="eastAsia"/>
          <w:color w:val="auto"/>
          <w:szCs w:val="21"/>
          <w:highlight w:val="none"/>
          <w:u w:val="single"/>
        </w:rPr>
      </w:pPr>
      <w:bookmarkStart w:id="80" w:name="_Hlk98860373"/>
      <w:r>
        <w:rPr>
          <w:color w:val="auto"/>
          <w:szCs w:val="21"/>
          <w:highlight w:val="none"/>
        </w:rPr>
        <w:t>3</w:t>
      </w:r>
      <w:r>
        <w:rPr>
          <w:rFonts w:hint="eastAsia"/>
          <w:color w:val="auto"/>
          <w:szCs w:val="21"/>
          <w:highlight w:val="none"/>
        </w:rPr>
        <w:t>．履行合同的地域范围：</w:t>
      </w:r>
      <w:r>
        <w:rPr>
          <w:rFonts w:hint="eastAsia"/>
          <w:color w:val="auto"/>
          <w:szCs w:val="21"/>
          <w:highlight w:val="none"/>
          <w:u w:val="single"/>
        </w:rPr>
        <w:t>采购人指定地点。</w:t>
      </w:r>
    </w:p>
    <w:bookmarkEnd w:id="80"/>
    <w:p w14:paraId="4B5DE9F8">
      <w:pPr>
        <w:snapToGrid w:val="0"/>
        <w:spacing w:before="120" w:after="120" w:line="320" w:lineRule="exact"/>
        <w:rPr>
          <w:b/>
          <w:bCs/>
          <w:color w:val="auto"/>
          <w:szCs w:val="21"/>
          <w:highlight w:val="none"/>
        </w:rPr>
      </w:pPr>
      <w:r>
        <w:rPr>
          <w:rFonts w:hint="eastAsia"/>
          <w:b/>
          <w:bCs/>
          <w:color w:val="auto"/>
          <w:szCs w:val="21"/>
          <w:highlight w:val="none"/>
        </w:rPr>
        <w:t>第三条 确定第二阶段成交供应商的方式</w:t>
      </w:r>
    </w:p>
    <w:p w14:paraId="412AF006">
      <w:pPr>
        <w:snapToGrid w:val="0"/>
        <w:spacing w:before="120" w:after="120" w:line="320" w:lineRule="exact"/>
        <w:rPr>
          <w:rFonts w:hint="eastAsia"/>
          <w:color w:val="auto"/>
          <w:szCs w:val="21"/>
          <w:highlight w:val="none"/>
          <w:u w:val="single"/>
        </w:rPr>
      </w:pPr>
      <w:r>
        <w:rPr>
          <w:rFonts w:hint="eastAsia"/>
          <w:color w:val="auto"/>
          <w:szCs w:val="21"/>
          <w:highlight w:val="none"/>
        </w:rPr>
        <w:t>1．甲方在入围供应商中通过</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（1）</w:t>
      </w:r>
      <w:r>
        <w:rPr>
          <w:color w:val="auto"/>
          <w:szCs w:val="21"/>
          <w:highlight w:val="none"/>
          <w:u w:val="single"/>
        </w:rPr>
        <w:t xml:space="preserve"> </w:t>
      </w:r>
      <w:r>
        <w:rPr>
          <w:rFonts w:hint="eastAsia"/>
          <w:color w:val="auto"/>
          <w:szCs w:val="21"/>
          <w:highlight w:val="none"/>
          <w:u w:val="single"/>
        </w:rPr>
        <w:t>种</w:t>
      </w:r>
      <w:r>
        <w:rPr>
          <w:rFonts w:hint="eastAsia"/>
          <w:color w:val="auto"/>
          <w:szCs w:val="21"/>
          <w:highlight w:val="none"/>
        </w:rPr>
        <w:t>方式确定成交供应商并签订合同。</w:t>
      </w:r>
    </w:p>
    <w:p w14:paraId="7B2585AA">
      <w:pPr>
        <w:snapToGrid w:val="0"/>
        <w:spacing w:before="120" w:after="120" w:line="320" w:lineRule="exact"/>
        <w:rPr>
          <w:color w:val="auto"/>
          <w:szCs w:val="21"/>
          <w:highlight w:val="none"/>
        </w:rPr>
      </w:pPr>
      <w:r>
        <w:rPr>
          <w:rFonts w:hint="eastAsia"/>
          <w:color w:val="auto"/>
          <w:szCs w:val="21"/>
          <w:highlight w:val="none"/>
        </w:rPr>
        <w:t>（1）直接选定</w:t>
      </w:r>
    </w:p>
    <w:p w14:paraId="443BDEB4">
      <w:pPr>
        <w:snapToGrid w:val="0"/>
        <w:spacing w:before="120" w:after="120" w:line="320" w:lineRule="exact"/>
        <w:rPr>
          <w:rFonts w:hint="eastAsia"/>
          <w:color w:val="auto"/>
          <w:szCs w:val="21"/>
          <w:highlight w:val="none"/>
        </w:rPr>
      </w:pPr>
      <w:r>
        <w:rPr>
          <w:rFonts w:hint="eastAsia"/>
          <w:color w:val="auto"/>
          <w:szCs w:val="21"/>
          <w:highlight w:val="none"/>
        </w:rPr>
        <w:t>直接选定规则：依据入围产品价格、质量以及服务便利性、用户评价等因素，从入围供应商中直接选定成交供应商。</w:t>
      </w:r>
    </w:p>
    <w:p w14:paraId="775231DC">
      <w:pPr>
        <w:snapToGrid w:val="0"/>
        <w:spacing w:before="120" w:after="120" w:line="320" w:lineRule="exact"/>
        <w:rPr>
          <w:color w:val="auto"/>
          <w:szCs w:val="21"/>
          <w:highlight w:val="none"/>
        </w:rPr>
      </w:pPr>
      <w:r>
        <w:rPr>
          <w:rFonts w:hint="eastAsia"/>
          <w:color w:val="auto"/>
          <w:szCs w:val="21"/>
          <w:highlight w:val="none"/>
        </w:rPr>
        <w:t>（2）二次竞价</w:t>
      </w:r>
    </w:p>
    <w:p w14:paraId="5580513F">
      <w:pPr>
        <w:snapToGrid w:val="0"/>
        <w:spacing w:before="120" w:after="120" w:line="320" w:lineRule="exact"/>
        <w:rPr>
          <w:color w:val="auto"/>
          <w:szCs w:val="21"/>
          <w:highlight w:val="none"/>
        </w:rPr>
      </w:pPr>
      <w:r>
        <w:rPr>
          <w:rFonts w:hint="eastAsia"/>
          <w:color w:val="auto"/>
          <w:szCs w:val="21"/>
          <w:highlight w:val="none"/>
        </w:rPr>
        <w:t>二次竞价规则：乙方以第一阶段的响应报价（协议价格）为最高限价，依照响应文件中承诺的入围产品（服务）、采购合同等事项，根据采购人明确的竞价需求，参与二次竞价，以报价最低的为成交供应商。</w:t>
      </w:r>
    </w:p>
    <w:p w14:paraId="6258B778">
      <w:pPr>
        <w:snapToGrid w:val="0"/>
        <w:spacing w:before="120" w:after="120" w:line="320" w:lineRule="exact"/>
        <w:rPr>
          <w:color w:val="auto"/>
          <w:szCs w:val="21"/>
          <w:highlight w:val="none"/>
          <w:u w:val="single"/>
        </w:rPr>
      </w:pPr>
      <w:r>
        <w:rPr>
          <w:rFonts w:hint="eastAsia"/>
          <w:color w:val="auto"/>
          <w:szCs w:val="21"/>
          <w:highlight w:val="none"/>
        </w:rPr>
        <w:t>二次竞价截止时间：</w:t>
      </w:r>
      <w:r>
        <w:rPr>
          <w:rFonts w:hint="eastAsia"/>
          <w:color w:val="auto"/>
          <w:szCs w:val="21"/>
          <w:highlight w:val="none"/>
          <w:u w:val="single"/>
        </w:rPr>
        <w:t xml:space="preserve"> </w:t>
      </w:r>
      <w:r>
        <w:rPr>
          <w:color w:val="auto"/>
          <w:szCs w:val="21"/>
          <w:highlight w:val="none"/>
          <w:u w:val="single"/>
        </w:rPr>
        <w:t xml:space="preserve">            </w:t>
      </w:r>
    </w:p>
    <w:p w14:paraId="5F89EB92">
      <w:pPr>
        <w:snapToGrid w:val="0"/>
        <w:spacing w:before="120" w:after="120" w:line="320" w:lineRule="exact"/>
        <w:rPr>
          <w:rFonts w:hint="eastAsia"/>
          <w:color w:val="auto"/>
          <w:szCs w:val="21"/>
          <w:highlight w:val="none"/>
          <w:u w:val="single"/>
        </w:rPr>
      </w:pPr>
      <w:r>
        <w:rPr>
          <w:rFonts w:hint="eastAsia"/>
          <w:color w:val="auto"/>
          <w:szCs w:val="21"/>
          <w:highlight w:val="none"/>
        </w:rPr>
        <w:t>二次竞价需求：</w:t>
      </w:r>
      <w:r>
        <w:rPr>
          <w:rFonts w:hint="eastAsia"/>
          <w:color w:val="auto"/>
          <w:szCs w:val="21"/>
          <w:highlight w:val="none"/>
          <w:u w:val="single"/>
        </w:rPr>
        <w:t xml:space="preserve"> </w:t>
      </w:r>
      <w:r>
        <w:rPr>
          <w:color w:val="auto"/>
          <w:szCs w:val="21"/>
          <w:highlight w:val="none"/>
          <w:u w:val="single"/>
        </w:rPr>
        <w:t xml:space="preserve">                 </w:t>
      </w:r>
    </w:p>
    <w:p w14:paraId="38C3F657">
      <w:pPr>
        <w:snapToGrid w:val="0"/>
        <w:spacing w:before="120" w:after="120" w:line="320" w:lineRule="exact"/>
        <w:rPr>
          <w:color w:val="auto"/>
          <w:szCs w:val="21"/>
          <w:highlight w:val="none"/>
        </w:rPr>
      </w:pPr>
      <w:r>
        <w:rPr>
          <w:rFonts w:hint="eastAsia"/>
          <w:color w:val="auto"/>
          <w:szCs w:val="21"/>
          <w:highlight w:val="none"/>
        </w:rPr>
        <w:t>（3）顺序轮候</w:t>
      </w:r>
    </w:p>
    <w:p w14:paraId="4467D570">
      <w:pPr>
        <w:snapToGrid w:val="0"/>
        <w:spacing w:before="120" w:after="120" w:line="320" w:lineRule="exact"/>
        <w:rPr>
          <w:rFonts w:hint="eastAsia"/>
          <w:color w:val="auto"/>
          <w:szCs w:val="21"/>
          <w:highlight w:val="none"/>
        </w:rPr>
      </w:pPr>
      <w:r>
        <w:rPr>
          <w:rFonts w:hint="eastAsia"/>
          <w:color w:val="auto"/>
          <w:szCs w:val="21"/>
          <w:highlight w:val="none"/>
        </w:rPr>
        <w:t>顺序轮候规则：以入围供应商从高到低排名依次进行合同授予，每个入围供应商在一个顺序轮候期内，仅能获得一次合同授予的机会。框架协议有效期截止后，轮候则终止，不保证所有供应商所承接的实际项目数量或金额均等。</w:t>
      </w:r>
    </w:p>
    <w:p w14:paraId="1EA7FCBD">
      <w:pPr>
        <w:snapToGrid w:val="0"/>
        <w:spacing w:before="120" w:after="120" w:line="320" w:lineRule="exact"/>
        <w:rPr>
          <w:color w:val="auto"/>
          <w:szCs w:val="21"/>
          <w:highlight w:val="none"/>
          <w:u w:val="single"/>
        </w:rPr>
      </w:pPr>
      <w:r>
        <w:rPr>
          <w:rFonts w:hint="eastAsia"/>
          <w:color w:val="auto"/>
          <w:szCs w:val="21"/>
          <w:highlight w:val="none"/>
        </w:rPr>
        <w:t>顺序轮候期：</w:t>
      </w:r>
      <w:r>
        <w:rPr>
          <w:rFonts w:hint="eastAsia"/>
          <w:color w:val="auto"/>
          <w:szCs w:val="21"/>
          <w:highlight w:val="none"/>
          <w:u w:val="single"/>
        </w:rPr>
        <w:t xml:space="preserve"> </w:t>
      </w:r>
      <w:r>
        <w:rPr>
          <w:color w:val="auto"/>
          <w:szCs w:val="21"/>
          <w:highlight w:val="none"/>
          <w:u w:val="single"/>
        </w:rPr>
        <w:t xml:space="preserve">            </w:t>
      </w:r>
    </w:p>
    <w:p w14:paraId="6CBDB9AB">
      <w:pPr>
        <w:snapToGrid w:val="0"/>
        <w:spacing w:before="120" w:after="120" w:line="320" w:lineRule="exact"/>
        <w:rPr>
          <w:b/>
          <w:bCs/>
          <w:color w:val="auto"/>
          <w:szCs w:val="21"/>
          <w:highlight w:val="none"/>
        </w:rPr>
      </w:pPr>
      <w:r>
        <w:rPr>
          <w:rFonts w:hint="eastAsia"/>
          <w:b/>
          <w:bCs/>
          <w:color w:val="auto"/>
          <w:szCs w:val="21"/>
          <w:highlight w:val="none"/>
        </w:rPr>
        <w:t>第四条 入围产品升级换代规则</w:t>
      </w:r>
    </w:p>
    <w:p w14:paraId="55262C11">
      <w:pPr>
        <w:snapToGrid w:val="0"/>
        <w:spacing w:before="120" w:after="120" w:line="320" w:lineRule="exact"/>
        <w:rPr>
          <w:rFonts w:hint="eastAsia"/>
          <w:color w:val="auto"/>
          <w:szCs w:val="21"/>
          <w:highlight w:val="none"/>
          <w:u w:val="single"/>
        </w:rPr>
      </w:pPr>
      <w:r>
        <w:rPr>
          <w:rFonts w:hint="eastAsia"/>
          <w:color w:val="auto"/>
          <w:szCs w:val="21"/>
          <w:highlight w:val="none"/>
          <w:u w:val="single"/>
        </w:rPr>
        <w:t>无</w:t>
      </w:r>
    </w:p>
    <w:p w14:paraId="5267A8D5">
      <w:pPr>
        <w:snapToGrid w:val="0"/>
        <w:spacing w:before="120" w:after="120" w:line="320" w:lineRule="exact"/>
        <w:rPr>
          <w:b/>
          <w:bCs/>
          <w:color w:val="auto"/>
          <w:szCs w:val="21"/>
          <w:highlight w:val="none"/>
        </w:rPr>
      </w:pPr>
      <w:r>
        <w:rPr>
          <w:rFonts w:hint="eastAsia"/>
          <w:b/>
          <w:bCs/>
          <w:color w:val="auto"/>
          <w:szCs w:val="21"/>
          <w:highlight w:val="none"/>
        </w:rPr>
        <w:t>第五条 资金支付方式、时间、条件</w:t>
      </w:r>
    </w:p>
    <w:p w14:paraId="28B7EDC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本项目无预付款。服务费按项目申请支付。成交供应商在完成评审工作后填写《项目委托评审费支付申请表》并加盖公章后送采购人审核签认，由</w:t>
      </w:r>
      <w:r>
        <w:rPr>
          <w:rFonts w:hint="eastAsia" w:ascii="Times New Roman" w:hAnsi="Times New Roman" w:eastAsia="宋体" w:cs="Times New Roman"/>
          <w:color w:val="auto"/>
          <w:szCs w:val="21"/>
          <w:highlight w:val="none"/>
          <w:lang w:val="en-US" w:eastAsia="zh-CN"/>
        </w:rPr>
        <w:t>征集</w:t>
      </w:r>
      <w:r>
        <w:rPr>
          <w:rFonts w:hint="eastAsia" w:ascii="Times New Roman" w:hAnsi="Times New Roman" w:eastAsia="宋体" w:cs="Times New Roman"/>
          <w:color w:val="auto"/>
          <w:szCs w:val="21"/>
          <w:highlight w:val="none"/>
        </w:rPr>
        <w:t>人直接向成交供应商支付。双方账户信息如下：</w:t>
      </w:r>
    </w:p>
    <w:p w14:paraId="28C49D20">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甲方名称：</w:t>
      </w:r>
      <w:r>
        <w:rPr>
          <w:rFonts w:hint="eastAsia" w:ascii="Times New Roman" w:hAnsi="Times New Roman" w:eastAsia="宋体" w:cs="Times New Roman"/>
          <w:color w:val="auto"/>
          <w:szCs w:val="21"/>
          <w:highlight w:val="none"/>
          <w:u w:val="single"/>
          <w:lang w:val="en-US" w:eastAsia="zh-CN"/>
        </w:rPr>
        <w:t>富川瑶族自治县财政局</w:t>
      </w:r>
      <w:r>
        <w:rPr>
          <w:rFonts w:ascii="Times New Roman" w:hAnsi="Times New Roman" w:eastAsia="宋体" w:cs="Times New Roman"/>
          <w:color w:val="auto"/>
          <w:szCs w:val="21"/>
          <w:highlight w:val="none"/>
        </w:rPr>
        <w:t xml:space="preserve"> </w:t>
      </w:r>
    </w:p>
    <w:p w14:paraId="73F0EE2F">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国税纳税人识别号：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78083830">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户名：</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1D10DAE6">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开户行：</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7AA980BD">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帐号：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6E7F0061">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地址：</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6D8DA87B">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联系电话：</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652D627B">
      <w:pPr>
        <w:snapToGrid w:val="0"/>
        <w:spacing w:line="360" w:lineRule="exact"/>
        <w:ind w:firstLine="420" w:firstLineChars="200"/>
        <w:rPr>
          <w:rFonts w:ascii="Times New Roman" w:hAnsi="Times New Roman" w:eastAsia="宋体" w:cs="Times New Roman"/>
          <w:bCs/>
          <w:color w:val="auto"/>
          <w:szCs w:val="21"/>
          <w:highlight w:val="none"/>
        </w:rPr>
      </w:pPr>
    </w:p>
    <w:p w14:paraId="51B2C0C9">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乙方名称：</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2AA7ABBE">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国税纳税人识别号：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6A787FD5">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户名：</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5AFA7603">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开户行：</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63E826CA">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帐号：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0E897EB4">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地址：</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0B9459D0">
      <w:pPr>
        <w:snapToGrid w:val="0"/>
        <w:spacing w:line="360" w:lineRule="exact"/>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bCs/>
          <w:color w:val="auto"/>
          <w:szCs w:val="21"/>
          <w:highlight w:val="none"/>
        </w:rPr>
        <w:t>联系电话：</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765651FA">
      <w:pPr>
        <w:snapToGrid w:val="0"/>
        <w:spacing w:line="360" w:lineRule="exact"/>
        <w:ind w:firstLine="420" w:firstLineChars="200"/>
        <w:rPr>
          <w:rFonts w:hint="eastAsia" w:ascii="Times New Roman" w:hAnsi="Times New Roman" w:eastAsia="宋体" w:cs="Times New Roman"/>
          <w:bCs/>
          <w:color w:val="auto"/>
          <w:szCs w:val="21"/>
          <w:highlight w:val="none"/>
        </w:rPr>
      </w:pPr>
    </w:p>
    <w:p w14:paraId="0E701D53">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如需改变上述账户，应提前10日以书面通知甲方。如乙方未按本合同规定通知导致甲方逾期付款，甲方不承担任何违约责任，乙方应承担因此产生的一切费用。对于满足合同约定支付条件的，甲方原则上应当自收到发票后10个工作日内将资金支付到合同约定的乙方账户。</w:t>
      </w:r>
    </w:p>
    <w:p w14:paraId="3F5D207C">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付费额的计算公式</w:t>
      </w:r>
    </w:p>
    <w:p w14:paraId="0DA1E850">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评审服务费＝[编审费+审减（增）费]。</w:t>
      </w:r>
    </w:p>
    <w:p w14:paraId="2CDFD6A6">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.费率其他约定</w:t>
      </w:r>
    </w:p>
    <w:p w14:paraId="06979A46">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当成交供应商承接的项目评审存在特殊情况，采购人与成交供应商协商确定费率后，另行在采购合同中约定。</w:t>
      </w:r>
    </w:p>
    <w:p w14:paraId="3B2B9231">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.履约保证金</w:t>
      </w:r>
    </w:p>
    <w:p w14:paraId="11437D87">
      <w:pPr>
        <w:snapToGrid w:val="0"/>
        <w:spacing w:before="120" w:after="120" w:line="320" w:lineRule="exact"/>
        <w:rPr>
          <w:color w:val="auto"/>
          <w:szCs w:val="21"/>
          <w:highlight w:val="none"/>
          <w:u w:val="single"/>
        </w:rPr>
      </w:pPr>
      <w:r>
        <w:rPr>
          <w:rFonts w:hint="eastAsia" w:ascii="Times New Roman" w:hAnsi="Times New Roman" w:eastAsia="宋体" w:cs="Times New Roman"/>
          <w:color w:val="auto"/>
          <w:szCs w:val="21"/>
          <w:highlight w:val="none"/>
        </w:rPr>
        <w:t>无。</w:t>
      </w:r>
    </w:p>
    <w:p w14:paraId="614C8457">
      <w:pPr>
        <w:snapToGrid w:val="0"/>
        <w:spacing w:before="120" w:after="120" w:line="320" w:lineRule="exact"/>
        <w:rPr>
          <w:b/>
          <w:bCs/>
          <w:color w:val="auto"/>
          <w:szCs w:val="21"/>
          <w:highlight w:val="none"/>
        </w:rPr>
      </w:pPr>
      <w:r>
        <w:rPr>
          <w:rFonts w:hint="eastAsia"/>
          <w:b/>
          <w:bCs/>
          <w:color w:val="auto"/>
          <w:szCs w:val="21"/>
          <w:highlight w:val="none"/>
        </w:rPr>
        <w:t>第六条 采购合同文本</w:t>
      </w:r>
    </w:p>
    <w:p w14:paraId="6C8DFB37">
      <w:pPr>
        <w:snapToGrid w:val="0"/>
        <w:spacing w:before="120" w:after="120" w:line="320" w:lineRule="exact"/>
        <w:rPr>
          <w:rFonts w:hint="eastAsia"/>
          <w:color w:val="auto"/>
          <w:szCs w:val="21"/>
          <w:highlight w:val="none"/>
          <w:u w:val="single"/>
        </w:rPr>
      </w:pPr>
      <w:r>
        <w:rPr>
          <w:rFonts w:hint="eastAsia"/>
          <w:color w:val="auto"/>
          <w:szCs w:val="21"/>
          <w:highlight w:val="none"/>
          <w:u w:val="single"/>
        </w:rPr>
        <w:t>详见第六章合同主要条款（格式）。</w:t>
      </w:r>
    </w:p>
    <w:p w14:paraId="7A69C475">
      <w:pPr>
        <w:snapToGrid w:val="0"/>
        <w:spacing w:before="120" w:after="120" w:line="320" w:lineRule="exact"/>
        <w:rPr>
          <w:color w:val="auto"/>
          <w:szCs w:val="21"/>
          <w:highlight w:val="none"/>
        </w:rPr>
      </w:pPr>
      <w:r>
        <w:rPr>
          <w:rFonts w:hint="eastAsia"/>
          <w:b/>
          <w:bCs/>
          <w:color w:val="auto"/>
          <w:szCs w:val="21"/>
          <w:highlight w:val="none"/>
        </w:rPr>
        <w:t>第七条 入围供应商清退和补充规则</w:t>
      </w:r>
    </w:p>
    <w:p w14:paraId="7F2D3466">
      <w:pPr>
        <w:snapToGrid w:val="0"/>
        <w:spacing w:before="120" w:after="120" w:line="32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．入围供应商的清退</w:t>
      </w:r>
    </w:p>
    <w:p w14:paraId="510B0496">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乙方在签订本框架协议前出现以下情形之一的，甲方将取消其入围资格；乙方在签订本框架协议后出现以下情形之一的，</w:t>
      </w:r>
      <w:bookmarkStart w:id="81" w:name="_Hlk98861500"/>
      <w:r>
        <w:rPr>
          <w:rFonts w:hint="eastAsia" w:ascii="Times New Roman" w:hAnsi="Times New Roman" w:eastAsia="宋体" w:cs="Times New Roman"/>
          <w:szCs w:val="21"/>
        </w:rPr>
        <w:t>甲方将解除与其签订的框架协议</w:t>
      </w:r>
      <w:bookmarkEnd w:id="81"/>
      <w:r>
        <w:rPr>
          <w:rFonts w:hint="eastAsia" w:ascii="Times New Roman" w:hAnsi="Times New Roman" w:eastAsia="宋体" w:cs="Times New Roman"/>
          <w:szCs w:val="21"/>
        </w:rPr>
        <w:t xml:space="preserve">： </w:t>
      </w:r>
    </w:p>
    <w:p w14:paraId="7CC6D0EE">
      <w:pPr>
        <w:snapToGrid w:val="0"/>
        <w:spacing w:before="120" w:after="120"/>
        <w:rPr>
          <w:rFonts w:hint="eastAsia" w:ascii="Times New Roman" w:hAnsi="Times New Roman" w:eastAsia="宋体" w:cs="Times New Roman"/>
          <w:szCs w:val="21"/>
        </w:rPr>
      </w:pPr>
      <w:r>
        <w:rPr>
          <w:rFonts w:hint="eastAsia" w:ascii="Times New Roman" w:hAnsi="Times New Roman" w:eastAsia="宋体" w:cs="Times New Roman"/>
          <w:szCs w:val="21"/>
        </w:rPr>
        <w:t xml:space="preserve">（1）恶意串通谋取入围或者合同成交的； </w:t>
      </w:r>
    </w:p>
    <w:p w14:paraId="71175784">
      <w:pPr>
        <w:snapToGrid w:val="0"/>
        <w:spacing w:before="120" w:after="120"/>
        <w:rPr>
          <w:rFonts w:hint="eastAsia" w:ascii="Times New Roman" w:hAnsi="Times New Roman" w:eastAsia="宋体" w:cs="Times New Roman"/>
          <w:szCs w:val="21"/>
        </w:rPr>
      </w:pPr>
      <w:r>
        <w:rPr>
          <w:rFonts w:hint="eastAsia" w:ascii="Times New Roman" w:hAnsi="Times New Roman" w:eastAsia="宋体" w:cs="Times New Roman"/>
          <w:szCs w:val="21"/>
        </w:rPr>
        <w:t xml:space="preserve">（2）提供虚假材料谋取入围或者合同成交的； </w:t>
      </w:r>
    </w:p>
    <w:p w14:paraId="3AF068E4">
      <w:pPr>
        <w:snapToGrid w:val="0"/>
        <w:spacing w:before="120" w:after="120"/>
        <w:rPr>
          <w:rFonts w:hint="eastAsia" w:ascii="Times New Roman" w:hAnsi="Times New Roman" w:eastAsia="宋体" w:cs="Times New Roman"/>
          <w:szCs w:val="21"/>
        </w:rPr>
      </w:pPr>
      <w:r>
        <w:rPr>
          <w:rFonts w:hint="eastAsia" w:ascii="Times New Roman" w:hAnsi="Times New Roman" w:eastAsia="宋体" w:cs="Times New Roman"/>
          <w:szCs w:val="21"/>
        </w:rPr>
        <w:t xml:space="preserve">（3）除不可抗力外拒不接受合同授予的。 </w:t>
      </w:r>
    </w:p>
    <w:p w14:paraId="4B119736">
      <w:pPr>
        <w:snapToGrid w:val="0"/>
        <w:spacing w:before="120" w:after="120"/>
        <w:rPr>
          <w:rFonts w:hint="eastAsia" w:ascii="Times New Roman" w:hAnsi="Times New Roman" w:eastAsia="宋体" w:cs="Times New Roman"/>
          <w:color w:val="auto"/>
          <w:szCs w:val="21"/>
        </w:rPr>
      </w:pPr>
      <w:r>
        <w:rPr>
          <w:rFonts w:hint="eastAsia" w:ascii="Times New Roman" w:hAnsi="Times New Roman" w:eastAsia="宋体" w:cs="Times New Roman"/>
          <w:szCs w:val="21"/>
        </w:rPr>
        <w:t>（4）不履行合同义务或者履行合同义务不符合约定，经采购人请求履行后仍不履行或者仍未按约定履</w:t>
      </w:r>
      <w:r>
        <w:rPr>
          <w:rFonts w:hint="eastAsia" w:ascii="Times New Roman" w:hAnsi="Times New Roman" w:eastAsia="宋体" w:cs="Times New Roman"/>
          <w:color w:val="auto"/>
          <w:szCs w:val="21"/>
        </w:rPr>
        <w:t xml:space="preserve">行的； </w:t>
      </w:r>
    </w:p>
    <w:p w14:paraId="3033220E">
      <w:pPr>
        <w:snapToGrid w:val="0"/>
        <w:spacing w:before="120" w:after="12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（5）框架协议有效期内，因违法行为被禁止或限制参加政府采购活动的； </w:t>
      </w:r>
    </w:p>
    <w:p w14:paraId="23A7FD81">
      <w:pPr>
        <w:snapToGrid w:val="0"/>
        <w:spacing w:before="120" w:after="120" w:line="276"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（6）入围供应商的组织机构、经营、财务状况发生较大变化，可能造成不能履行框架协议或合同、无法按照征集文件要求提交履约保证金的，未主动告知，给采购人造成损失的；</w:t>
      </w:r>
    </w:p>
    <w:p w14:paraId="16C025C5">
      <w:pPr>
        <w:snapToGrid w:val="0"/>
        <w:spacing w:before="120" w:after="120" w:line="32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（7）未按照征集文件评审办法要求提供需要核查的原件或原件与响应文件中提供的不一致或提供虚假材料的。</w:t>
      </w:r>
    </w:p>
    <w:p w14:paraId="03C38A61">
      <w:pPr>
        <w:snapToGrid w:val="0"/>
        <w:spacing w:before="120" w:after="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（8）乙方无故超出本框架协议规定的项目评审规定时间50%以上且累计出现三次以上（含三次）。</w:t>
      </w:r>
    </w:p>
    <w:p w14:paraId="66949AAA">
      <w:pPr>
        <w:snapToGrid w:val="0"/>
        <w:spacing w:before="120" w:after="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（9）在合同期内经甲方检查三次以上（含）常驻贺州人员不到位的。</w:t>
      </w:r>
    </w:p>
    <w:p w14:paraId="550514FB">
      <w:pPr>
        <w:snapToGrid w:val="0"/>
        <w:spacing w:before="120" w:after="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（10）年度考核被评为“不合格”的。</w:t>
      </w:r>
    </w:p>
    <w:p w14:paraId="093067A5">
      <w:pPr>
        <w:snapToGrid w:val="0"/>
        <w:spacing w:before="120" w:after="120" w:line="320" w:lineRule="exact"/>
        <w:rPr>
          <w:rFonts w:hint="eastAsia" w:ascii="宋体" w:hAnsi="宋体" w:eastAsia="宋体" w:cs="宋体"/>
          <w:color w:val="auto"/>
          <w:szCs w:val="21"/>
          <w:highlight w:val="none"/>
          <w:shd w:val="clear" w:color="FFFFFF" w:fill="D9D9D9"/>
        </w:rPr>
      </w:pPr>
      <w:r>
        <w:rPr>
          <w:rFonts w:hint="eastAsia" w:ascii="宋体" w:hAnsi="宋体" w:eastAsia="宋体" w:cs="宋体"/>
        </w:rPr>
        <w:t>（11）乙方被广西区各级纪检监察或行政监督</w:t>
      </w:r>
      <w:r>
        <w:rPr>
          <w:rFonts w:hint="eastAsia" w:ascii="Times New Roman" w:hAnsi="Times New Roman" w:eastAsia="宋体" w:cs="Times New Roman"/>
        </w:rPr>
        <w:t>部门处罚或列入黑名单。</w:t>
      </w:r>
    </w:p>
    <w:p w14:paraId="788E0821">
      <w:pPr>
        <w:snapToGrid w:val="0"/>
        <w:spacing w:before="120" w:after="120"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（12）其他违反法律法规的情形。</w:t>
      </w:r>
    </w:p>
    <w:p w14:paraId="70F2BE08">
      <w:pPr>
        <w:spacing w:before="120" w:line="276" w:lineRule="auto"/>
        <w:ind w:left="2" w:leftChars="1"/>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2．用户反馈和评价机制</w:t>
      </w:r>
    </w:p>
    <w:p w14:paraId="1CF42F91">
      <w:pPr>
        <w:snapToGrid w:val="0"/>
        <w:spacing w:before="120" w:after="120" w:line="32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供应商在提交服务成果后，由采购人或服务对象填写成果评价表，反馈至征集人处。因供应商原因导致评价结果1次不满意的，供应商应当书面陈述原因并提出改进措施。累计达到3次不满意的，取消本次入围资格。</w:t>
      </w:r>
    </w:p>
    <w:p w14:paraId="27CAF172">
      <w:pPr>
        <w:spacing w:before="120" w:line="276" w:lineRule="auto"/>
        <w:ind w:left="2" w:leftChars="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．入围供应商的补充</w:t>
      </w:r>
    </w:p>
    <w:p w14:paraId="451F5D6C">
      <w:pPr>
        <w:spacing w:before="120" w:line="276" w:lineRule="auto"/>
        <w:rPr>
          <w:rFonts w:ascii="Times New Roman" w:hAnsi="Times New Roman" w:eastAsia="宋体" w:cs="Times New Roman"/>
          <w:szCs w:val="21"/>
        </w:rPr>
      </w:pPr>
      <w:r>
        <w:rPr>
          <w:rFonts w:hint="eastAsia" w:ascii="Times New Roman" w:hAnsi="Times New Roman" w:eastAsia="宋体" w:cs="Times New Roman"/>
          <w:szCs w:val="21"/>
        </w:rPr>
        <w:t>甲方启动补充征集程序。</w:t>
      </w:r>
    </w:p>
    <w:p w14:paraId="3C285968">
      <w:pPr>
        <w:spacing w:before="120" w:line="276" w:lineRule="auto"/>
        <w:rPr>
          <w:rFonts w:ascii="Times New Roman" w:hAnsi="Times New Roman" w:eastAsia="宋体" w:cs="Times New Roman"/>
          <w:szCs w:val="21"/>
          <w:u w:val="single"/>
        </w:rPr>
      </w:pPr>
      <w:r>
        <w:rPr>
          <w:rFonts w:hint="eastAsia" w:ascii="Times New Roman" w:hAnsi="Times New Roman" w:eastAsia="宋体" w:cs="Times New Roman"/>
          <w:szCs w:val="21"/>
        </w:rPr>
        <w:t>补充征集的条件：</w:t>
      </w:r>
      <w:r>
        <w:rPr>
          <w:rFonts w:hint="eastAsia" w:ascii="Times New Roman" w:hAnsi="Times New Roman" w:eastAsia="宋体" w:cs="Times New Roman"/>
          <w:szCs w:val="21"/>
          <w:u w:val="single"/>
        </w:rPr>
        <w:t>当出现入围供应商被清退或剩余入围供应商不足入围供应商总数70%且影响框架协议执行的情形</w:t>
      </w:r>
    </w:p>
    <w:p w14:paraId="0FBB925B">
      <w:pPr>
        <w:spacing w:before="120" w:line="276" w:lineRule="auto"/>
        <w:rPr>
          <w:rFonts w:ascii="Times New Roman" w:hAnsi="Times New Roman" w:eastAsia="宋体" w:cs="Times New Roman"/>
          <w:szCs w:val="21"/>
          <w:u w:val="single"/>
        </w:rPr>
      </w:pPr>
      <w:r>
        <w:rPr>
          <w:rFonts w:hint="eastAsia" w:ascii="Times New Roman" w:hAnsi="Times New Roman" w:eastAsia="宋体" w:cs="Times New Roman"/>
          <w:szCs w:val="21"/>
        </w:rPr>
        <w:t>补充征集的程序：</w:t>
      </w:r>
      <w:r>
        <w:rPr>
          <w:rFonts w:hint="eastAsia" w:ascii="Times New Roman" w:hAnsi="Times New Roman" w:eastAsia="宋体" w:cs="Times New Roman"/>
          <w:szCs w:val="21"/>
          <w:u w:val="single"/>
        </w:rPr>
        <w:t>同原征集文件</w:t>
      </w:r>
    </w:p>
    <w:p w14:paraId="19ECD987">
      <w:pPr>
        <w:spacing w:before="120" w:line="276" w:lineRule="auto"/>
        <w:rPr>
          <w:rFonts w:ascii="Times New Roman" w:hAnsi="Times New Roman" w:eastAsia="宋体" w:cs="Times New Roman"/>
          <w:szCs w:val="21"/>
        </w:rPr>
      </w:pPr>
      <w:r>
        <w:rPr>
          <w:rFonts w:hint="eastAsia" w:ascii="Times New Roman" w:hAnsi="Times New Roman" w:eastAsia="宋体" w:cs="Times New Roman"/>
          <w:szCs w:val="21"/>
        </w:rPr>
        <w:t>补充征集的评审方法：</w:t>
      </w:r>
      <w:r>
        <w:rPr>
          <w:rFonts w:hint="eastAsia" w:ascii="Times New Roman" w:hAnsi="Times New Roman" w:eastAsia="宋体" w:cs="Times New Roman"/>
          <w:szCs w:val="21"/>
          <w:u w:val="single"/>
        </w:rPr>
        <w:t>同原征集文件</w:t>
      </w:r>
    </w:p>
    <w:p w14:paraId="2485648F">
      <w:pPr>
        <w:spacing w:before="120" w:line="276" w:lineRule="auto"/>
        <w:rPr>
          <w:rFonts w:ascii="Times New Roman" w:hAnsi="Times New Roman" w:eastAsia="宋体" w:cs="Times New Roman"/>
          <w:szCs w:val="21"/>
        </w:rPr>
      </w:pPr>
      <w:r>
        <w:rPr>
          <w:rFonts w:hint="eastAsia" w:ascii="Times New Roman" w:hAnsi="Times New Roman" w:eastAsia="宋体" w:cs="Times New Roman"/>
          <w:szCs w:val="21"/>
        </w:rPr>
        <w:t>补充征集的淘汰比例：</w:t>
      </w:r>
      <w:r>
        <w:rPr>
          <w:rFonts w:hint="eastAsia" w:ascii="Times New Roman" w:hAnsi="Times New Roman" w:eastAsia="宋体" w:cs="Times New Roman"/>
          <w:szCs w:val="21"/>
          <w:u w:val="single"/>
        </w:rPr>
        <w:t>同原征集文件</w:t>
      </w:r>
    </w:p>
    <w:p w14:paraId="4AD11247">
      <w:pPr>
        <w:spacing w:before="120" w:line="276" w:lineRule="auto"/>
        <w:rPr>
          <w:rFonts w:hint="eastAsia" w:ascii="Times New Roman" w:hAnsi="Times New Roman" w:eastAsia="宋体" w:cs="Times New Roman"/>
          <w:szCs w:val="21"/>
        </w:rPr>
      </w:pPr>
      <w:r>
        <w:rPr>
          <w:rFonts w:hint="eastAsia" w:ascii="Times New Roman" w:hAnsi="Times New Roman" w:eastAsia="宋体" w:cs="Times New Roman"/>
          <w:szCs w:val="21"/>
        </w:rPr>
        <w:t>补充征集的框架协议有效期：</w:t>
      </w:r>
      <w:r>
        <w:rPr>
          <w:rFonts w:hint="eastAsia" w:ascii="Times New Roman" w:hAnsi="Times New Roman" w:eastAsia="宋体" w:cs="Times New Roman"/>
          <w:szCs w:val="21"/>
          <w:u w:val="single"/>
        </w:rPr>
        <w:t>同本协议有效期</w:t>
      </w:r>
    </w:p>
    <w:p w14:paraId="2805176D">
      <w:pPr>
        <w:spacing w:before="120" w:line="276" w:lineRule="auto"/>
        <w:rPr>
          <w:rFonts w:hint="eastAsia"/>
          <w:color w:val="auto"/>
          <w:szCs w:val="21"/>
          <w:highlight w:val="none"/>
        </w:rPr>
      </w:pPr>
      <w:r>
        <w:rPr>
          <w:rFonts w:hint="eastAsia" w:ascii="Times New Roman" w:hAnsi="Times New Roman" w:eastAsia="宋体" w:cs="Times New Roman"/>
          <w:szCs w:val="21"/>
        </w:rPr>
        <w:t>补充征集期间，本框架协议继续履行。被取消入围资格或者被解除框架协议的供应商不得参加同一封闭式框架协议补充征集。</w:t>
      </w:r>
    </w:p>
    <w:p w14:paraId="0E2DC481">
      <w:pPr>
        <w:snapToGrid w:val="0"/>
        <w:spacing w:before="120" w:after="120" w:line="320" w:lineRule="exact"/>
        <w:rPr>
          <w:b/>
          <w:bCs/>
          <w:color w:val="auto"/>
          <w:szCs w:val="21"/>
          <w:highlight w:val="none"/>
        </w:rPr>
      </w:pPr>
      <w:r>
        <w:rPr>
          <w:rFonts w:hint="eastAsia"/>
          <w:b/>
          <w:bCs/>
          <w:color w:val="auto"/>
          <w:szCs w:val="21"/>
          <w:highlight w:val="none"/>
        </w:rPr>
        <w:t>第八条 甲方权利和义务</w:t>
      </w:r>
    </w:p>
    <w:p w14:paraId="237824EA">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1．甲方将依照有关法规、规章的规定，要求采购人按照本项目征集文件采购需求及本框架协议约定的事项从入围供应商中选定成交供应商。</w:t>
      </w:r>
    </w:p>
    <w:p w14:paraId="061A3C2A">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2．甲方负责管理乙方的服务活动，使其符合采购价格不高于响应报价的价格，采购质量优良和服务良好的要求。</w:t>
      </w:r>
    </w:p>
    <w:p w14:paraId="1469410B">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3．甲方有权按照本项目征集文件以及本框架协议和采购合同等文件对乙方履约行为进行监督和检查，收集并公开采购人对入围供应商履行框架协议和采购合同情况的反馈与评价。</w:t>
      </w:r>
    </w:p>
    <w:p w14:paraId="7A595CE2">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4．甲方按规定公开框架协议有效期内入围供应商成交结果情况。</w:t>
      </w:r>
    </w:p>
    <w:p w14:paraId="7EB5CACA">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5．甲方有权对入围供应商进行清退或补充等相关事宜。</w:t>
      </w:r>
    </w:p>
    <w:p w14:paraId="76F75B20">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6．如征集文件有要求需要在框架协议中另行确定的事项，甲方有权按征集文件要求执行。</w:t>
      </w:r>
    </w:p>
    <w:p w14:paraId="6D042097">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7. 甲方有权要求乙方按时、按质、按量、按计划与合同协议约定完成本项目，并有权对乙方工作情况进行监督。如发现乙方与项目有关人员有意串通增大工程量或弄虚作假增加评审金额的，经查实按违约责任处理。</w:t>
      </w:r>
    </w:p>
    <w:p w14:paraId="749B4FB9">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8. 根据项目进度，甲方有权及时对乙方提交的方案提出修改意见，并要求乙方按修改意见完成服务工作。</w:t>
      </w:r>
    </w:p>
    <w:p w14:paraId="53BC35E4">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9. 乙方配备的项目投入人员应得到甲方的认可。</w:t>
      </w:r>
    </w:p>
    <w:p w14:paraId="117C1B42">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10. 甲方有权要求乙方更换不合格的工作人员。</w:t>
      </w:r>
    </w:p>
    <w:p w14:paraId="1EDBCD39">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11. 按合同要求及时向乙方支付服务费用。</w:t>
      </w:r>
    </w:p>
    <w:p w14:paraId="45D4F9BC">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12. 如采购项目涉及采购标的的知识产权归属的，产权归属为甲方。   </w:t>
      </w:r>
    </w:p>
    <w:p w14:paraId="4E3E5C56">
      <w:pPr>
        <w:snapToGrid w:val="0"/>
        <w:spacing w:before="120" w:after="120" w:line="320" w:lineRule="exact"/>
        <w:rPr>
          <w:rFonts w:hint="eastAsia"/>
          <w:color w:val="auto"/>
          <w:szCs w:val="21"/>
          <w:highlight w:val="none"/>
        </w:rPr>
      </w:pPr>
      <w:r>
        <w:rPr>
          <w:rFonts w:hint="eastAsia" w:ascii="Times New Roman" w:hAnsi="Times New Roman" w:eastAsia="宋体" w:cs="Times New Roman"/>
          <w:szCs w:val="21"/>
        </w:rPr>
        <w:t>13. 处理方式：采购人在中华人民共和国境内使用供应商提供的产品及服务时免受第三方提出的侵犯其专利权或其它知识产权的起诉。如果第三方提出侵权指控，乙方应承担由此而引起的一切法律责任和费用。</w:t>
      </w:r>
    </w:p>
    <w:p w14:paraId="0C696204">
      <w:pPr>
        <w:snapToGrid w:val="0"/>
        <w:spacing w:before="120" w:after="120" w:line="320" w:lineRule="exact"/>
        <w:rPr>
          <w:rFonts w:ascii="Times New Roman" w:hAnsi="Times New Roman" w:eastAsia="宋体" w:cs="Times New Roman"/>
          <w:b/>
          <w:bCs/>
          <w:szCs w:val="21"/>
        </w:rPr>
      </w:pPr>
      <w:r>
        <w:rPr>
          <w:rFonts w:hint="eastAsia" w:ascii="Times New Roman" w:hAnsi="Times New Roman" w:eastAsia="宋体" w:cs="Times New Roman"/>
          <w:b/>
          <w:bCs/>
          <w:szCs w:val="21"/>
        </w:rPr>
        <w:t>第九条 乙方权利和义务</w:t>
      </w:r>
    </w:p>
    <w:p w14:paraId="6F3B7366">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1．乙方应当遵守采购人按照本协议规定的选定成交供应商的方式获得成交供应商资格。</w:t>
      </w:r>
    </w:p>
    <w:p w14:paraId="1313389A">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2．乙方提供的产品或服务应符合国家标准和征集文件中要求的标准。</w:t>
      </w:r>
    </w:p>
    <w:p w14:paraId="1EE0D00E">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3．乙方应保证依据征集文件要求及响应承诺，向采购人提供质量不降低，价格不提高的产品、以及与之配套的耗材、配件。</w:t>
      </w:r>
    </w:p>
    <w:p w14:paraId="40FD6402">
      <w:pPr>
        <w:snapToGrid w:val="0"/>
        <w:spacing w:before="120" w:after="120" w:line="320" w:lineRule="exact"/>
        <w:rPr>
          <w:rFonts w:ascii="Times New Roman" w:hAnsi="Times New Roman" w:eastAsia="宋体" w:cs="Times New Roman"/>
          <w:szCs w:val="21"/>
        </w:rPr>
      </w:pPr>
      <w:r>
        <w:rPr>
          <w:rFonts w:hint="eastAsia" w:ascii="Times New Roman" w:hAnsi="Times New Roman" w:eastAsia="宋体" w:cs="Times New Roman"/>
          <w:szCs w:val="21"/>
        </w:rPr>
        <w:t>4．乙方应接受并配合甲方的评价及反馈机制，严格履行服务承诺。</w:t>
      </w:r>
    </w:p>
    <w:p w14:paraId="48BBF70F">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5．乙方无正当理由，不得主动放弃入围资格或者退出框架协议，否则，乙方不得参加同一封闭式框架协议补充征集，或者重新申请加入同一开放式框架协议。甲方保留对乙方追究责任的权利。</w:t>
      </w:r>
    </w:p>
    <w:p w14:paraId="2178BA2F">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6．乙方应按照征集文件评审办法要求提供需要核查的原件，如原件与响应文件中提供的不一致或虚假的或未提供的，甲方有权取消乙方入围资格，另行确定入围供应商。</w:t>
      </w:r>
    </w:p>
    <w:p w14:paraId="7D2AE6E5">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7. 严格履行合同文件（含征集文件、响应文件等）约定和承诺的服务内容和质量标准，保证甲方项目的相关工作质量和进度。</w:t>
      </w:r>
    </w:p>
    <w:p w14:paraId="563CAADB">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8. 必须严格实施乙方响应文件中承诺的人力资源配置。在必须补充或更换人员时，必须补充或更换优于或等同于响应文件所承诺资质的评审人员（包括主审、协审人员），并需取得甲方书面同意。</w:t>
      </w:r>
    </w:p>
    <w:p w14:paraId="360F4E2E">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在框架协议有效期内，如乙方在第二阶段签订合同时需要调整人员，调整的人员应当是响应文件中承诺的拟投入人员，且签订合同前须提供人员名单送甲方审核。</w:t>
      </w:r>
    </w:p>
    <w:p w14:paraId="06A6CDB3">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9.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465B5066">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10.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CBA5262">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11. 乙方评审人员（包括主审、协审人员）应签订保密协议并履行保密义务。如乙方因违反本条约定给甲方造成损失的，乙方应当承担相应的法律责任，并赔偿由此给甲方造成的一切损失。</w:t>
      </w:r>
    </w:p>
    <w:p w14:paraId="5871E131">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12. 乙方应履行回避义务。乙方以及乙方评审人员（包括主审、协审人员）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 </w:t>
      </w:r>
    </w:p>
    <w:p w14:paraId="30062C85">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13. 按照合同约定收取服务费，当甲方出现无故拖欠费用时，乙方有权采取适当方式进行催缴，若甲方仍未支付费用，乙方有权停止工作。</w:t>
      </w:r>
    </w:p>
    <w:p w14:paraId="3D99EBE2">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14. 有义务妥善保管甲方提供的资料，并在审核工作完成后，完整交回甲方。</w:t>
      </w:r>
    </w:p>
    <w:p w14:paraId="2F783D07">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15. 乙方应服从甲方对可能委托项目的指派及分配，并了解本项目签订框架协议后仅代表取得入围本项目服务资格，不等同于可确保直接承接相应数量的项目评审工作并获得相应项目的服务费用。</w:t>
      </w:r>
    </w:p>
    <w:p w14:paraId="1E7F78CB">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16.甲方不定期对乙方配备在贺州的专业技术人员到位情况进行检查。如发现人员不到位的的情况，由乙方通知缺位人员在一天内到位并经甲方确认，否则中止其评审业务工作安排，经甲方检查配备在贺州分公司专业技术人员全部到位后再恢复评审业务工作。（本条适用于乙方在响应文件中承诺有常驻贺州的人员）</w:t>
      </w:r>
    </w:p>
    <w:p w14:paraId="5F06EE8F">
      <w:pPr>
        <w:snapToGrid w:val="0"/>
        <w:spacing w:before="120" w:after="120" w:line="320" w:lineRule="exact"/>
        <w:rPr>
          <w:rFonts w:hint="eastAsia" w:ascii="Times New Roman" w:hAnsi="Times New Roman" w:eastAsia="宋体" w:cs="Times New Roman"/>
          <w:szCs w:val="21"/>
        </w:rPr>
      </w:pPr>
      <w:r>
        <w:rPr>
          <w:rFonts w:hint="eastAsia" w:ascii="Times New Roman" w:hAnsi="Times New Roman" w:eastAsia="宋体" w:cs="Times New Roman"/>
          <w:szCs w:val="21"/>
        </w:rPr>
        <w:t>17.乙方应当签订保密协议（附后）及廉洁承诺书（附后）。</w:t>
      </w:r>
    </w:p>
    <w:p w14:paraId="064B11E8">
      <w:pPr>
        <w:snapToGrid w:val="0"/>
        <w:spacing w:line="360" w:lineRule="exact"/>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第</w:t>
      </w:r>
      <w:r>
        <w:rPr>
          <w:rFonts w:hint="eastAsia" w:ascii="Times New Roman" w:hAnsi="Times New Roman" w:eastAsia="宋体" w:cs="Times New Roman"/>
          <w:b/>
          <w:color w:val="auto"/>
          <w:szCs w:val="21"/>
          <w:highlight w:val="none"/>
        </w:rPr>
        <w:t>十</w:t>
      </w:r>
      <w:r>
        <w:rPr>
          <w:rFonts w:ascii="Times New Roman" w:hAnsi="Times New Roman" w:eastAsia="宋体" w:cs="Times New Roman"/>
          <w:b/>
          <w:color w:val="auto"/>
          <w:szCs w:val="21"/>
          <w:highlight w:val="none"/>
        </w:rPr>
        <w:t xml:space="preserve">条  </w:t>
      </w:r>
      <w:r>
        <w:rPr>
          <w:rFonts w:hint="eastAsia" w:ascii="Times New Roman" w:hAnsi="Times New Roman" w:eastAsia="宋体" w:cs="Times New Roman"/>
          <w:b/>
          <w:color w:val="auto"/>
          <w:szCs w:val="21"/>
          <w:highlight w:val="none"/>
        </w:rPr>
        <w:t>履约</w:t>
      </w:r>
      <w:r>
        <w:rPr>
          <w:rFonts w:ascii="Times New Roman" w:hAnsi="Times New Roman" w:eastAsia="宋体" w:cs="Times New Roman"/>
          <w:b/>
          <w:color w:val="auto"/>
          <w:szCs w:val="21"/>
          <w:highlight w:val="none"/>
        </w:rPr>
        <w:t>验收</w:t>
      </w:r>
    </w:p>
    <w:p w14:paraId="6D4CF537">
      <w:pPr>
        <w:snapToGrid w:val="0"/>
        <w:spacing w:before="120" w:after="120"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 乙方提供不符合</w:t>
      </w:r>
      <w:r>
        <w:rPr>
          <w:rFonts w:hint="eastAsia" w:ascii="Times New Roman" w:hAnsi="Times New Roman" w:eastAsia="宋体" w:cs="Times New Roman"/>
          <w:color w:val="auto"/>
          <w:szCs w:val="21"/>
          <w:highlight w:val="none"/>
        </w:rPr>
        <w:t>征集文件、响应文件</w:t>
      </w:r>
      <w:r>
        <w:rPr>
          <w:rFonts w:ascii="Times New Roman" w:hAnsi="Times New Roman" w:eastAsia="宋体" w:cs="Times New Roman"/>
          <w:color w:val="auto"/>
          <w:szCs w:val="21"/>
          <w:highlight w:val="none"/>
        </w:rPr>
        <w:t>和本合同规定的服务</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，甲方有权拒绝接受</w:t>
      </w:r>
      <w:r>
        <w:rPr>
          <w:rFonts w:hint="eastAsia" w:ascii="Times New Roman" w:hAnsi="Times New Roman" w:eastAsia="宋体" w:cs="Times New Roman"/>
          <w:color w:val="auto"/>
          <w:szCs w:val="21"/>
          <w:highlight w:val="none"/>
        </w:rPr>
        <w:t xml:space="preserve">。 </w:t>
      </w:r>
    </w:p>
    <w:p w14:paraId="72767D54">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 甲方委托第三方组织的验收项目，其验收时间以该项目验收方案确定的验收时间为准，验收结果以该项目验收报告结论为准。在验收过程中发现乙方有违约问题，可暂缓资金结算</w:t>
      </w:r>
      <w:r>
        <w:rPr>
          <w:rFonts w:hint="eastAsia" w:ascii="Times New Roman" w:hAnsi="Times New Roman" w:eastAsia="宋体" w:cs="Times New Roman"/>
          <w:color w:val="auto"/>
          <w:szCs w:val="21"/>
          <w:highlight w:val="none"/>
          <w:lang w:val="en-US" w:eastAsia="zh-CN"/>
        </w:rPr>
        <w:t>并停止向乙方委派业务</w:t>
      </w:r>
      <w:r>
        <w:rPr>
          <w:rFonts w:ascii="Times New Roman" w:hAnsi="Times New Roman" w:eastAsia="宋体" w:cs="Times New Roman"/>
          <w:color w:val="auto"/>
          <w:szCs w:val="21"/>
          <w:highlight w:val="none"/>
        </w:rPr>
        <w:t>，待违约问题解决后，方可办理资金结算事宜</w:t>
      </w:r>
      <w:r>
        <w:rPr>
          <w:rFonts w:hint="eastAsia" w:ascii="Times New Roman" w:hAnsi="Times New Roman" w:eastAsia="宋体" w:cs="Times New Roman"/>
          <w:color w:val="auto"/>
          <w:szCs w:val="21"/>
          <w:highlight w:val="none"/>
          <w:lang w:val="en-US" w:eastAsia="zh-CN"/>
        </w:rPr>
        <w:t>并未委派业务</w:t>
      </w:r>
      <w:r>
        <w:rPr>
          <w:rFonts w:ascii="Times New Roman" w:hAnsi="Times New Roman" w:eastAsia="宋体" w:cs="Times New Roman"/>
          <w:color w:val="auto"/>
          <w:szCs w:val="21"/>
          <w:highlight w:val="none"/>
        </w:rPr>
        <w:t>。</w:t>
      </w:r>
    </w:p>
    <w:p w14:paraId="28A2BDAB">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 甲方对验收有异议的，在验收后五个工作日内以书面形式向乙方提出，乙方应自收到甲方书面异议后 7 日内及时予以解决。</w:t>
      </w:r>
    </w:p>
    <w:p w14:paraId="1B090C96">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在项目完成且收到</w:t>
      </w:r>
      <w:r>
        <w:rPr>
          <w:rFonts w:hint="eastAsia" w:ascii="Times New Roman" w:hAnsi="Times New Roman" w:eastAsia="宋体" w:cs="Times New Roman"/>
          <w:color w:val="auto"/>
          <w:szCs w:val="21"/>
          <w:highlight w:val="none"/>
          <w:lang w:val="en-US" w:eastAsia="zh-CN"/>
        </w:rPr>
        <w:t>乙方</w:t>
      </w:r>
      <w:r>
        <w:rPr>
          <w:rFonts w:hint="eastAsia" w:ascii="Times New Roman" w:hAnsi="Times New Roman" w:eastAsia="宋体" w:cs="Times New Roman"/>
          <w:color w:val="auto"/>
          <w:szCs w:val="21"/>
          <w:highlight w:val="none"/>
        </w:rPr>
        <w:t>验收申请后5个工作日内组织开展履约验收。</w:t>
      </w:r>
    </w:p>
    <w:p w14:paraId="2A297522">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rPr>
        <w:t>. 其他未尽事宜应严格按照《关于印发广西壮族自治区政府采购项目履约验收管理办法的通知》[桂财采〔2015〕22号]以及《财政部关于进一步加强政府采购需求和履约验收管理的指导意见》[财库〔2016〕205号]规定执行。</w:t>
      </w:r>
    </w:p>
    <w:p w14:paraId="611F4D16">
      <w:pPr>
        <w:snapToGrid w:val="0"/>
        <w:spacing w:before="120" w:after="120" w:line="32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履约验收方案详见附件。</w:t>
      </w:r>
    </w:p>
    <w:p w14:paraId="19C4D133">
      <w:pPr>
        <w:snapToGrid w:val="0"/>
        <w:spacing w:line="360" w:lineRule="exac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 xml:space="preserve">第十一条 </w:t>
      </w:r>
      <w:r>
        <w:rPr>
          <w:rFonts w:ascii="Times New Roman" w:hAnsi="Times New Roman" w:eastAsia="宋体" w:cs="Times New Roman"/>
          <w:b/>
          <w:color w:val="auto"/>
          <w:szCs w:val="21"/>
          <w:highlight w:val="none"/>
        </w:rPr>
        <w:t>违约责任</w:t>
      </w:r>
    </w:p>
    <w:p w14:paraId="7F59E9E4">
      <w:pPr>
        <w:snapToGrid w:val="0"/>
        <w:spacing w:line="36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ascii="Times New Roman" w:hAnsi="Times New Roman" w:eastAsia="微软雅黑" w:cs="Times New Roman"/>
          <w:color w:val="auto"/>
          <w:szCs w:val="21"/>
          <w:highlight w:val="none"/>
        </w:rPr>
        <w:t xml:space="preserve"> </w:t>
      </w:r>
      <w:r>
        <w:rPr>
          <w:rFonts w:ascii="Times New Roman" w:hAnsi="Times New Roman" w:eastAsia="宋体" w:cs="Times New Roman"/>
          <w:color w:val="auto"/>
          <w:szCs w:val="21"/>
          <w:highlight w:val="none"/>
        </w:rPr>
        <w:t>若因乙方原因而未能履行合同或未达到合同约定的要求，甲方有权书面</w:t>
      </w:r>
      <w:r>
        <w:rPr>
          <w:rFonts w:hint="eastAsia" w:ascii="Times New Roman" w:hAnsi="Times New Roman" w:eastAsia="宋体" w:cs="Times New Roman"/>
          <w:color w:val="auto"/>
          <w:szCs w:val="21"/>
          <w:highlight w:val="none"/>
        </w:rPr>
        <w:t>督促</w:t>
      </w:r>
      <w:r>
        <w:rPr>
          <w:rFonts w:ascii="Times New Roman" w:hAnsi="Times New Roman" w:eastAsia="宋体" w:cs="Times New Roman"/>
          <w:color w:val="auto"/>
          <w:szCs w:val="21"/>
          <w:highlight w:val="none"/>
        </w:rPr>
        <w:t>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14:paraId="6F768A9E">
      <w:pPr>
        <w:snapToGrid w:val="0"/>
        <w:spacing w:line="36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2042C564">
      <w:pPr>
        <w:snapToGrid w:val="0"/>
        <w:spacing w:line="36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乙方或乙方人员违反保密义务时，甲方有权书面通知乙方解除合同，且无需支付合同解除后的合同后续费用。同时，</w:t>
      </w:r>
      <w:r>
        <w:rPr>
          <w:rFonts w:hint="eastAsia" w:ascii="Times New Roman" w:hAnsi="Times New Roman" w:eastAsia="宋体" w:cs="Times New Roman"/>
          <w:color w:val="auto"/>
          <w:szCs w:val="21"/>
          <w:highlight w:val="none"/>
          <w:lang w:val="en-US" w:eastAsia="zh-CN"/>
        </w:rPr>
        <w:t>甲方停止委派业务给乙方，</w:t>
      </w:r>
      <w:r>
        <w:rPr>
          <w:rFonts w:ascii="Times New Roman" w:hAnsi="Times New Roman" w:eastAsia="宋体" w:cs="Times New Roman"/>
          <w:color w:val="auto"/>
          <w:szCs w:val="21"/>
          <w:highlight w:val="none"/>
        </w:rPr>
        <w:t>乙方必须退还甲方已付出的所有咨询费用，并赔偿由此给甲方造成的全部损失。</w:t>
      </w:r>
    </w:p>
    <w:p w14:paraId="7E05517E">
      <w:pPr>
        <w:snapToGrid w:val="0"/>
        <w:spacing w:line="36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乙方提供的服务如侵犯了第三方合法权益而引发的任何纠纷或诉讼，均由乙方负责交涉并承担全部责任。</w:t>
      </w:r>
    </w:p>
    <w:p w14:paraId="75E981AB">
      <w:pPr>
        <w:snapToGrid w:val="0"/>
        <w:spacing w:line="360" w:lineRule="exact"/>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乙方出现</w:t>
      </w:r>
      <w:r>
        <w:rPr>
          <w:rFonts w:hint="eastAsia" w:ascii="Times New Roman" w:hAnsi="Times New Roman" w:eastAsia="宋体" w:cs="Times New Roman"/>
          <w:color w:val="auto"/>
          <w:szCs w:val="21"/>
          <w:highlight w:val="none"/>
          <w:u w:val="single"/>
        </w:rPr>
        <w:t>1</w:t>
      </w:r>
      <w:r>
        <w:rPr>
          <w:rFonts w:hint="eastAsia" w:ascii="Times New Roman" w:hAnsi="Times New Roman" w:eastAsia="宋体" w:cs="Times New Roman"/>
          <w:color w:val="auto"/>
          <w:szCs w:val="21"/>
          <w:highlight w:val="none"/>
        </w:rPr>
        <w:t>次损坏审核资料的，给予警告一次；出现</w:t>
      </w:r>
      <w:r>
        <w:rPr>
          <w:rFonts w:hint="eastAsia" w:ascii="Times New Roman" w:hAnsi="Times New Roman" w:eastAsia="宋体" w:cs="Times New Roman"/>
          <w:color w:val="auto"/>
          <w:szCs w:val="21"/>
          <w:highlight w:val="none"/>
          <w:u w:val="single"/>
        </w:rPr>
        <w:t>2</w:t>
      </w:r>
      <w:r>
        <w:rPr>
          <w:rFonts w:hint="eastAsia" w:ascii="Times New Roman" w:hAnsi="Times New Roman" w:eastAsia="宋体" w:cs="Times New Roman"/>
          <w:color w:val="auto"/>
          <w:szCs w:val="21"/>
          <w:highlight w:val="none"/>
        </w:rPr>
        <w:t>次损坏审核资料或</w:t>
      </w:r>
      <w:r>
        <w:rPr>
          <w:rFonts w:hint="eastAsia" w:ascii="Times New Roman" w:hAnsi="Times New Roman" w:eastAsia="宋体" w:cs="Times New Roman"/>
          <w:color w:val="auto"/>
          <w:szCs w:val="21"/>
          <w:highlight w:val="none"/>
          <w:u w:val="single"/>
        </w:rPr>
        <w:t>1</w:t>
      </w:r>
      <w:r>
        <w:rPr>
          <w:rFonts w:hint="eastAsia" w:ascii="Times New Roman" w:hAnsi="Times New Roman" w:eastAsia="宋体" w:cs="Times New Roman"/>
          <w:color w:val="auto"/>
          <w:szCs w:val="21"/>
          <w:highlight w:val="none"/>
        </w:rPr>
        <w:t>次丢失审核资料，终止合同，并按情节轻重究其责任。</w:t>
      </w:r>
    </w:p>
    <w:p w14:paraId="023EFBFE">
      <w:pPr>
        <w:snapToGrid w:val="0"/>
        <w:spacing w:line="36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 乙方未按本合同和响应文件中规定的服务承诺提供售后服务的，乙方应按本合同合计金额</w:t>
      </w:r>
      <w:r>
        <w:rPr>
          <w:rFonts w:ascii="Times New Roman" w:hAnsi="Times New Roman" w:eastAsia="宋体" w:cs="Times New Roman"/>
          <w:color w:val="auto"/>
          <w:szCs w:val="21"/>
          <w:highlight w:val="none"/>
          <w:u w:val="single"/>
        </w:rPr>
        <w:t xml:space="preserve"> 5%</w:t>
      </w:r>
      <w:r>
        <w:rPr>
          <w:rFonts w:ascii="Times New Roman" w:hAnsi="Times New Roman" w:eastAsia="宋体" w:cs="Times New Roman"/>
          <w:color w:val="auto"/>
          <w:szCs w:val="21"/>
          <w:highlight w:val="none"/>
        </w:rPr>
        <w:t>向甲方支付违约金。</w:t>
      </w:r>
    </w:p>
    <w:p w14:paraId="1BE5E060">
      <w:pPr>
        <w:snapToGrid w:val="0"/>
        <w:spacing w:line="360" w:lineRule="exact"/>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val="en-US" w:eastAsia="zh-CN"/>
        </w:rPr>
        <w:t>7</w:t>
      </w:r>
      <w:r>
        <w:rPr>
          <w:rFonts w:hint="eastAsia" w:ascii="Times New Roman" w:hAnsi="Times New Roman" w:eastAsia="宋体" w:cs="Times New Roman"/>
          <w:color w:val="auto"/>
          <w:szCs w:val="21"/>
          <w:highlight w:val="none"/>
        </w:rPr>
        <w:t>.乙方不得将委托的服务工作内容透露给除甲方或采购人以外的任何单位或个人。如发现并经查实的，甲方有权终止框架协议并追究违约责任。</w:t>
      </w:r>
    </w:p>
    <w:p w14:paraId="0BA4B818">
      <w:pPr>
        <w:snapToGrid w:val="0"/>
        <w:spacing w:line="360" w:lineRule="exact"/>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.乙方已接受委托审核某工程项目上限控制价的，不能代理该项目招标代理工作，不能与该工程项目有关的投标人提供与该工程项目投标有关的服务；如发现并经查实的，甲方有权终止框架协议并追究违约责任。</w:t>
      </w:r>
    </w:p>
    <w:p w14:paraId="1E23DC68">
      <w:pPr>
        <w:snapToGrid w:val="0"/>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.乙方及其审核人员工作出现重大过失，故意提供不实或内容虚假的审核工作底稿，给审核工作造成损失或严重后果的，不得再参与财政投资审核业务。有触犯相关法律的，将承担相应的法律责任。</w:t>
      </w:r>
    </w:p>
    <w:p w14:paraId="6EC4C698">
      <w:pPr>
        <w:snapToGrid w:val="0"/>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.乙方审核人员在审核业务中因涉嫌玩忽职守、徇私舞弊或违反回避制度等行为，给审核工作造成损失或严重后果的，将按国家有关规定给予相应处罚。</w:t>
      </w:r>
    </w:p>
    <w:p w14:paraId="1BA6DBBD">
      <w:pPr>
        <w:snapToGrid w:val="0"/>
        <w:spacing w:line="360" w:lineRule="exact"/>
        <w:rPr>
          <w:rFonts w:ascii="Times New Roman" w:hAnsi="Times New Roman" w:eastAsia="宋体" w:cs="Times New Roman"/>
          <w:color w:val="auto"/>
        </w:rPr>
      </w:pP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.实行廉政建设一票否决制。审核服务期内乙方审核人员发生违规违纪现象的，由甲方或采购人责令其限期整改，情节严重的将终止框架协议，并提请有关部门对相关人员和乙方依法处理。</w:t>
      </w:r>
    </w:p>
    <w:p w14:paraId="5F878F5B">
      <w:pPr>
        <w:snapToGrid w:val="0"/>
        <w:spacing w:line="36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13</w:t>
      </w:r>
      <w:r>
        <w:rPr>
          <w:rFonts w:ascii="Times New Roman" w:hAnsi="Times New Roman" w:eastAsia="宋体" w:cs="Times New Roman"/>
          <w:color w:val="auto"/>
          <w:szCs w:val="21"/>
        </w:rPr>
        <w:t>. 其它违约行为按违约服务成果费用金额5%收取违约金并赔偿经济损失。</w:t>
      </w:r>
    </w:p>
    <w:p w14:paraId="156A0645">
      <w:pPr>
        <w:snapToGrid w:val="0"/>
        <w:spacing w:line="360" w:lineRule="exact"/>
        <w:rPr>
          <w:rFonts w:ascii="Times New Roman" w:hAnsi="Times New Roman" w:eastAsia="宋体" w:cs="Times New Roman"/>
          <w:b/>
          <w:color w:val="auto"/>
          <w:szCs w:val="21"/>
        </w:rPr>
      </w:pPr>
      <w:r>
        <w:rPr>
          <w:rFonts w:ascii="Times New Roman" w:hAnsi="Times New Roman" w:eastAsia="宋体" w:cs="Times New Roman"/>
          <w:b/>
          <w:color w:val="auto"/>
          <w:szCs w:val="21"/>
        </w:rPr>
        <w:t>第十</w:t>
      </w:r>
      <w:r>
        <w:rPr>
          <w:rFonts w:hint="eastAsia" w:ascii="Times New Roman" w:hAnsi="Times New Roman" w:eastAsia="宋体" w:cs="Times New Roman"/>
          <w:b/>
          <w:color w:val="auto"/>
          <w:szCs w:val="21"/>
        </w:rPr>
        <w:t>二</w:t>
      </w:r>
      <w:r>
        <w:rPr>
          <w:rFonts w:ascii="Times New Roman" w:hAnsi="Times New Roman" w:eastAsia="宋体" w:cs="Times New Roman"/>
          <w:b/>
          <w:color w:val="auto"/>
          <w:szCs w:val="21"/>
        </w:rPr>
        <w:t>条 不可抗力事件处理</w:t>
      </w:r>
    </w:p>
    <w:p w14:paraId="556BC2BC">
      <w:pPr>
        <w:snapToGrid w:val="0"/>
        <w:spacing w:line="36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 在合同有效期内，任何一方因不可抗力事件导致不能履行合同，则合同履行期可延长，其延长期与不可抗力影响期相同。</w:t>
      </w:r>
    </w:p>
    <w:p w14:paraId="7977D12C">
      <w:pPr>
        <w:snapToGrid w:val="0"/>
        <w:spacing w:line="360" w:lineRule="exact"/>
        <w:rPr>
          <w:rFonts w:ascii="Times New Roman" w:hAnsi="Times New Roman" w:eastAsia="宋体" w:cs="Times New Roman"/>
          <w:color w:val="auto"/>
          <w:szCs w:val="21"/>
        </w:rPr>
      </w:pPr>
      <w:r>
        <w:rPr>
          <w:rFonts w:ascii="Times New Roman" w:hAnsi="Times New Roman" w:eastAsia="宋体" w:cs="Times New Roman"/>
          <w:color w:val="auto"/>
          <w:szCs w:val="21"/>
        </w:rPr>
        <w:t>2. 不可抗力事件发生后，应立即通知对方，并寄送有关权威机构出具的证明。</w:t>
      </w:r>
    </w:p>
    <w:p w14:paraId="39780855">
      <w:pPr>
        <w:snapToGrid w:val="0"/>
        <w:spacing w:line="36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 不可抗力事件延续</w:t>
      </w:r>
      <w:r>
        <w:rPr>
          <w:rFonts w:hint="eastAsia" w:ascii="Times New Roman" w:hAnsi="Times New Roman" w:eastAsia="宋体" w:cs="Times New Roman"/>
          <w:color w:val="auto"/>
          <w:szCs w:val="21"/>
        </w:rPr>
        <w:t>三十</w:t>
      </w:r>
      <w:r>
        <w:rPr>
          <w:rFonts w:ascii="Times New Roman" w:hAnsi="Times New Roman" w:eastAsia="宋体" w:cs="Times New Roman"/>
          <w:color w:val="auto"/>
          <w:szCs w:val="21"/>
        </w:rPr>
        <w:t>天以上，双方应通过友好协商，确定是否继续履行合同。</w:t>
      </w:r>
    </w:p>
    <w:p w14:paraId="2C2AF17A">
      <w:pPr>
        <w:snapToGrid w:val="0"/>
        <w:spacing w:line="360" w:lineRule="exact"/>
        <w:rPr>
          <w:rFonts w:ascii="Times New Roman" w:hAnsi="Times New Roman" w:eastAsia="宋体" w:cs="Times New Roman"/>
          <w:b/>
          <w:color w:val="auto"/>
          <w:szCs w:val="21"/>
        </w:rPr>
      </w:pPr>
      <w:r>
        <w:rPr>
          <w:rFonts w:ascii="Times New Roman" w:hAnsi="Times New Roman" w:eastAsia="宋体" w:cs="Times New Roman"/>
          <w:b/>
          <w:color w:val="auto"/>
          <w:szCs w:val="21"/>
        </w:rPr>
        <w:t>第十</w:t>
      </w:r>
      <w:r>
        <w:rPr>
          <w:rFonts w:hint="eastAsia" w:ascii="Times New Roman" w:hAnsi="Times New Roman" w:eastAsia="宋体" w:cs="Times New Roman"/>
          <w:b/>
          <w:color w:val="auto"/>
          <w:szCs w:val="21"/>
        </w:rPr>
        <w:t>三</w:t>
      </w:r>
      <w:r>
        <w:rPr>
          <w:rFonts w:ascii="Times New Roman" w:hAnsi="Times New Roman" w:eastAsia="宋体" w:cs="Times New Roman"/>
          <w:b/>
          <w:color w:val="auto"/>
          <w:szCs w:val="21"/>
        </w:rPr>
        <w:t>条</w:t>
      </w:r>
      <w:r>
        <w:rPr>
          <w:rFonts w:hint="eastAsia" w:ascii="Times New Roman" w:hAnsi="Times New Roman" w:eastAsia="宋体" w:cs="Times New Roman"/>
          <w:b/>
          <w:color w:val="auto"/>
          <w:szCs w:val="21"/>
        </w:rPr>
        <w:t xml:space="preserve"> </w:t>
      </w:r>
      <w:r>
        <w:rPr>
          <w:rFonts w:ascii="Times New Roman" w:hAnsi="Times New Roman" w:eastAsia="宋体" w:cs="Times New Roman"/>
          <w:b/>
          <w:color w:val="auto"/>
          <w:szCs w:val="21"/>
        </w:rPr>
        <w:t>争议解决</w:t>
      </w:r>
    </w:p>
    <w:p w14:paraId="04B138A4">
      <w:pPr>
        <w:snapToGrid w:val="0"/>
        <w:spacing w:line="36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 因服务成果质量问题发生争议的，应邀请国家认</w:t>
      </w:r>
      <w:r>
        <w:rPr>
          <w:rFonts w:hint="eastAsia" w:ascii="Times New Roman" w:hAnsi="Times New Roman" w:eastAsia="宋体" w:cs="Times New Roman"/>
          <w:color w:val="auto"/>
          <w:szCs w:val="21"/>
        </w:rPr>
        <w:t>定</w:t>
      </w:r>
      <w:r>
        <w:rPr>
          <w:rFonts w:ascii="Times New Roman" w:hAnsi="Times New Roman" w:eastAsia="宋体" w:cs="Times New Roman"/>
          <w:color w:val="auto"/>
          <w:szCs w:val="21"/>
        </w:rPr>
        <w:t>的评估机构按照标准对服务成果质量进行验收。服务成果符合标准的，鉴定费由甲方承担；服务成果不符合标准的，鉴定费由乙方承担。</w:t>
      </w:r>
    </w:p>
    <w:p w14:paraId="190DF410">
      <w:pPr>
        <w:snapToGrid w:val="0"/>
        <w:spacing w:line="360" w:lineRule="exact"/>
        <w:rPr>
          <w:rFonts w:ascii="Times New Roman" w:hAnsi="Times New Roman" w:eastAsia="宋体" w:cs="Times New Roman"/>
          <w:color w:val="auto"/>
          <w:szCs w:val="21"/>
        </w:rPr>
      </w:pPr>
      <w:r>
        <w:rPr>
          <w:rFonts w:ascii="Times New Roman" w:hAnsi="Times New Roman" w:eastAsia="宋体" w:cs="Times New Roman"/>
          <w:color w:val="auto"/>
          <w:szCs w:val="21"/>
        </w:rPr>
        <w:t>2. 因履行本合同引起的或与本合同有关的争议，甲乙双方应首先通过友好协商解决，如果协商不能解决，可向甲方所在地人民法院提起诉讼。</w:t>
      </w:r>
    </w:p>
    <w:p w14:paraId="025A26AA">
      <w:pPr>
        <w:snapToGrid w:val="0"/>
        <w:spacing w:before="120" w:after="120" w:line="320" w:lineRule="exact"/>
        <w:rPr>
          <w:rFonts w:hint="eastAsia" w:ascii="Times New Roman" w:hAnsi="Times New Roman" w:eastAsia="宋体" w:cs="Times New Roman"/>
          <w:b/>
          <w:bCs/>
          <w:color w:val="auto"/>
          <w:szCs w:val="21"/>
        </w:rPr>
      </w:pPr>
      <w:r>
        <w:rPr>
          <w:rFonts w:ascii="Times New Roman" w:hAnsi="Times New Roman" w:eastAsia="宋体" w:cs="Times New Roman"/>
          <w:color w:val="auto"/>
          <w:szCs w:val="21"/>
        </w:rPr>
        <w:t>3. 诉讼期间，本合同继续履行。</w:t>
      </w:r>
    </w:p>
    <w:p w14:paraId="451009F4">
      <w:pPr>
        <w:snapToGrid w:val="0"/>
        <w:spacing w:before="120" w:after="120" w:line="320" w:lineRule="exact"/>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第十四条 其他</w:t>
      </w:r>
    </w:p>
    <w:p w14:paraId="275B3D9E">
      <w:pPr>
        <w:snapToGrid w:val="0"/>
        <w:spacing w:before="120" w:after="120" w:line="320" w:lineRule="exact"/>
        <w:rPr>
          <w:rFonts w:hint="eastAsia" w:ascii="Times New Roman" w:hAnsi="Times New Roman" w:eastAsia="宋体" w:cs="Times New Roman"/>
          <w:b/>
          <w:bCs/>
          <w:color w:val="auto"/>
          <w:szCs w:val="21"/>
        </w:rPr>
      </w:pPr>
      <w:r>
        <w:rPr>
          <w:rFonts w:hint="eastAsia" w:ascii="Times New Roman" w:hAnsi="Times New Roman" w:eastAsia="宋体" w:cs="Times New Roman"/>
          <w:color w:val="auto"/>
          <w:szCs w:val="21"/>
        </w:rPr>
        <w:t>1．本协议原则上由双方代表人签订并加盖单位公章后生效。</w:t>
      </w:r>
      <w:r>
        <w:rPr>
          <w:rFonts w:hint="eastAsia" w:ascii="Times New Roman" w:hAnsi="Times New Roman" w:eastAsia="宋体" w:cs="Times New Roman"/>
          <w:b/>
          <w:bCs/>
          <w:color w:val="auto"/>
          <w:szCs w:val="21"/>
        </w:rPr>
        <w:t xml:space="preserve"> </w:t>
      </w:r>
    </w:p>
    <w:p w14:paraId="65E493B0">
      <w:pPr>
        <w:snapToGrid w:val="0"/>
        <w:spacing w:before="120" w:after="120" w:line="320" w:lineRule="exact"/>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2．本协议为框架协议，具体项目具体事宜需在采购合同中进一步予以明确。框架协议与采购合同构成不可分割的整体。</w:t>
      </w:r>
    </w:p>
    <w:p w14:paraId="2C48A43E">
      <w:pPr>
        <w:snapToGrid w:val="0"/>
        <w:spacing w:before="120" w:after="120" w:line="320" w:lineRule="exact"/>
        <w:jc w:val="left"/>
        <w:rPr>
          <w:color w:val="auto"/>
          <w:szCs w:val="21"/>
          <w:highlight w:val="none"/>
        </w:rPr>
      </w:pPr>
      <w:r>
        <w:rPr>
          <w:rFonts w:hint="eastAsia" w:ascii="Times New Roman" w:hAnsi="Times New Roman" w:eastAsia="宋体" w:cs="Times New Roman"/>
          <w:color w:val="auto"/>
          <w:szCs w:val="21"/>
        </w:rPr>
        <w:t>3．本协议一式五份，双方各执二份，采购代理机构一份，具有同等法律效力。</w:t>
      </w:r>
    </w:p>
    <w:p w14:paraId="18475D4A">
      <w:pPr>
        <w:snapToGrid w:val="0"/>
        <w:spacing w:before="120" w:after="120" w:line="320" w:lineRule="exact"/>
        <w:jc w:val="left"/>
        <w:rPr>
          <w:rFonts w:hint="eastAsia"/>
          <w:color w:val="auto"/>
          <w:szCs w:val="21"/>
          <w:highlight w:val="none"/>
        </w:rPr>
      </w:pPr>
    </w:p>
    <w:p w14:paraId="579E455B">
      <w:pPr>
        <w:snapToGrid w:val="0"/>
        <w:spacing w:before="120" w:after="120" w:line="320" w:lineRule="exact"/>
        <w:jc w:val="left"/>
        <w:rPr>
          <w:rFonts w:hint="eastAsia"/>
          <w:color w:val="auto"/>
          <w:szCs w:val="21"/>
          <w:highlight w:val="none"/>
        </w:rPr>
      </w:pPr>
    </w:p>
    <w:p w14:paraId="66A0E667">
      <w:pPr>
        <w:snapToGrid w:val="0"/>
        <w:spacing w:before="120" w:after="120" w:line="320" w:lineRule="exact"/>
        <w:jc w:val="left"/>
        <w:rPr>
          <w:color w:val="auto"/>
          <w:szCs w:val="21"/>
          <w:highlight w:val="none"/>
        </w:rPr>
      </w:pPr>
    </w:p>
    <w:p w14:paraId="6B97F9D2">
      <w:pPr>
        <w:snapToGrid w:val="0"/>
        <w:spacing w:before="120" w:after="120" w:line="320" w:lineRule="exact"/>
        <w:jc w:val="left"/>
        <w:rPr>
          <w:color w:val="auto"/>
          <w:szCs w:val="21"/>
          <w:highlight w:val="none"/>
        </w:rPr>
      </w:pPr>
      <w:r>
        <w:rPr>
          <w:rFonts w:hint="eastAsia"/>
          <w:color w:val="auto"/>
          <w:szCs w:val="21"/>
          <w:highlight w:val="none"/>
        </w:rPr>
        <w:t xml:space="preserve">协议甲方名称（盖章）：_________ </w:t>
      </w:r>
      <w:r>
        <w:rPr>
          <w:color w:val="auto"/>
          <w:szCs w:val="21"/>
          <w:highlight w:val="none"/>
        </w:rPr>
        <w:t xml:space="preserve">            </w:t>
      </w:r>
      <w:r>
        <w:rPr>
          <w:rFonts w:hint="eastAsia"/>
          <w:color w:val="auto"/>
          <w:szCs w:val="21"/>
          <w:highlight w:val="none"/>
        </w:rPr>
        <w:t>协议乙方名称（盖章）：_____________</w:t>
      </w:r>
    </w:p>
    <w:p w14:paraId="12609368">
      <w:pPr>
        <w:snapToGrid w:val="0"/>
        <w:spacing w:before="120" w:after="120" w:line="320" w:lineRule="exact"/>
        <w:jc w:val="left"/>
        <w:rPr>
          <w:color w:val="auto"/>
          <w:szCs w:val="21"/>
          <w:highlight w:val="none"/>
          <w:u w:val="single"/>
        </w:rPr>
      </w:pPr>
      <w:r>
        <w:rPr>
          <w:rFonts w:hint="eastAsia"/>
          <w:color w:val="auto"/>
          <w:szCs w:val="21"/>
          <w:highlight w:val="none"/>
        </w:rPr>
        <w:t xml:space="preserve">地址：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地址：</w:t>
      </w:r>
      <w:r>
        <w:rPr>
          <w:rFonts w:hint="eastAsia"/>
          <w:color w:val="auto"/>
          <w:szCs w:val="21"/>
          <w:highlight w:val="none"/>
          <w:u w:val="single"/>
        </w:rPr>
        <w:t xml:space="preserve"> </w:t>
      </w:r>
      <w:r>
        <w:rPr>
          <w:color w:val="auto"/>
          <w:szCs w:val="21"/>
          <w:highlight w:val="none"/>
          <w:u w:val="single"/>
        </w:rPr>
        <w:t xml:space="preserve">               </w:t>
      </w:r>
    </w:p>
    <w:p w14:paraId="23E8AF3C">
      <w:pPr>
        <w:snapToGrid w:val="0"/>
        <w:spacing w:before="120" w:after="120" w:line="320" w:lineRule="exact"/>
        <w:jc w:val="left"/>
        <w:rPr>
          <w:rFonts w:hint="eastAsia"/>
          <w:color w:val="auto"/>
          <w:szCs w:val="21"/>
          <w:highlight w:val="none"/>
        </w:rPr>
      </w:pPr>
      <w:r>
        <w:rPr>
          <w:rFonts w:hint="eastAsia"/>
          <w:color w:val="auto"/>
          <w:szCs w:val="21"/>
          <w:highlight w:val="none"/>
        </w:rPr>
        <w:t>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联系方式：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17993C5E">
      <w:pPr>
        <w:snapToGrid w:val="0"/>
        <w:spacing w:before="120" w:after="120" w:line="320" w:lineRule="exact"/>
        <w:jc w:val="left"/>
        <w:rPr>
          <w:rFonts w:hint="eastAsia"/>
          <w:color w:val="auto"/>
          <w:szCs w:val="21"/>
          <w:highlight w:val="none"/>
        </w:rPr>
      </w:pPr>
      <w:r>
        <w:rPr>
          <w:rFonts w:hint="eastAsia"/>
          <w:color w:val="auto"/>
          <w:szCs w:val="21"/>
          <w:highlight w:val="none"/>
        </w:rPr>
        <w:t xml:space="preserve">代表签字：_________      </w:t>
      </w:r>
      <w:r>
        <w:rPr>
          <w:color w:val="auto"/>
          <w:szCs w:val="21"/>
          <w:highlight w:val="none"/>
        </w:rPr>
        <w:t xml:space="preserve">                  </w:t>
      </w:r>
      <w:r>
        <w:rPr>
          <w:rFonts w:hint="eastAsia"/>
          <w:color w:val="auto"/>
          <w:szCs w:val="21"/>
          <w:highlight w:val="none"/>
        </w:rPr>
        <w:t>代表签字：_________</w:t>
      </w:r>
    </w:p>
    <w:p w14:paraId="619672CE">
      <w:pPr>
        <w:snapToGrid w:val="0"/>
        <w:spacing w:before="120" w:after="120" w:line="320" w:lineRule="exact"/>
        <w:jc w:val="left"/>
        <w:rPr>
          <w:rFonts w:hint="eastAsia"/>
          <w:color w:val="auto"/>
          <w:szCs w:val="21"/>
          <w:highlight w:val="none"/>
        </w:rPr>
      </w:pPr>
      <w:r>
        <w:rPr>
          <w:rFonts w:hint="eastAsia"/>
          <w:color w:val="auto"/>
          <w:szCs w:val="21"/>
          <w:highlight w:val="none"/>
        </w:rPr>
        <w:t xml:space="preserve">日期：____年____月____日 </w:t>
      </w:r>
      <w:r>
        <w:rPr>
          <w:color w:val="auto"/>
          <w:szCs w:val="21"/>
          <w:highlight w:val="none"/>
        </w:rPr>
        <w:t xml:space="preserve">                  </w:t>
      </w:r>
      <w:r>
        <w:rPr>
          <w:rFonts w:hint="eastAsia"/>
          <w:color w:val="auto"/>
          <w:szCs w:val="21"/>
          <w:highlight w:val="none"/>
        </w:rPr>
        <w:t>日期：____年____月____日</w:t>
      </w:r>
    </w:p>
    <w:p w14:paraId="6AA28EBD">
      <w:pPr>
        <w:pStyle w:val="26"/>
        <w:snapToGrid w:val="0"/>
        <w:spacing w:before="120" w:after="120" w:line="320" w:lineRule="exact"/>
        <w:jc w:val="center"/>
        <w:rPr>
          <w:rFonts w:hint="eastAsia" w:ascii="Times New Roman" w:hAnsi="Times New Roman" w:eastAsia="宋体" w:cs="Times New Roman"/>
          <w:color w:val="auto"/>
          <w:sz w:val="32"/>
          <w:szCs w:val="32"/>
          <w:highlight w:val="none"/>
          <w:lang w:val="en-US" w:eastAsia="zh-CN"/>
        </w:rPr>
      </w:pPr>
      <w:r>
        <w:rPr>
          <w:rFonts w:hint="eastAsia"/>
          <w:color w:val="auto"/>
          <w:szCs w:val="21"/>
          <w:highlight w:val="none"/>
        </w:rPr>
        <w:br w:type="page"/>
      </w:r>
      <w:r>
        <w:rPr>
          <w:rFonts w:hint="eastAsia" w:ascii="Times New Roman" w:hAnsi="Times New Roman" w:eastAsia="宋体" w:cs="Times New Roman"/>
          <w:color w:val="auto"/>
          <w:sz w:val="32"/>
          <w:szCs w:val="32"/>
          <w:highlight w:val="none"/>
          <w:lang w:val="en-US" w:eastAsia="zh-CN"/>
        </w:rPr>
        <w:t>标项二</w:t>
      </w:r>
    </w:p>
    <w:p w14:paraId="600FA0F8">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协议甲方（征集人）：</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6ABA99EE">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协议乙方（入围供应商）：</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 xml:space="preserve">                       </w:t>
      </w:r>
    </w:p>
    <w:p w14:paraId="0F8BDAEA">
      <w:pPr>
        <w:snapToGrid w:val="0"/>
        <w:spacing w:before="120" w:after="120" w:line="320" w:lineRule="exact"/>
        <w:rPr>
          <w:rFonts w:ascii="Times New Roman" w:hAnsi="Times New Roman" w:eastAsia="宋体" w:cs="Times New Roman"/>
          <w:color w:val="auto"/>
          <w:szCs w:val="21"/>
          <w:highlight w:val="none"/>
        </w:rPr>
      </w:pPr>
    </w:p>
    <w:p w14:paraId="22628F08">
      <w:pPr>
        <w:snapToGrid w:val="0"/>
        <w:spacing w:before="120" w:after="120" w:line="320" w:lineRule="exac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根据《中华人民共和国政府采购法》、《政府采购框架协议采购方式管理暂行办法》等相关法律，按照征集文件约定的事项以及协议乙方的响应文件及其承诺，协议甲乙双方签订框架协议。</w:t>
      </w:r>
    </w:p>
    <w:p w14:paraId="12357213">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第一条 项目基本信息</w:t>
      </w:r>
    </w:p>
    <w:p w14:paraId="6871DE8A">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1．项目名称：</w:t>
      </w:r>
      <w:r>
        <w:rPr>
          <w:rFonts w:hint="eastAsia" w:ascii="Times New Roman" w:hAnsi="Times New Roman" w:eastAsia="宋体" w:cs="Times New Roman"/>
          <w:color w:val="auto"/>
          <w:szCs w:val="21"/>
          <w:highlight w:val="none"/>
          <w:u w:val="single"/>
          <w:lang w:eastAsia="zh-CN"/>
        </w:rPr>
        <w:t>富川瑶族自治县2025～2027年度政府投资项目评审服务</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p>
    <w:p w14:paraId="7E32A24F">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2．项目编号：</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p w14:paraId="77F2E4A5">
      <w:pPr>
        <w:snapToGrid w:val="0"/>
        <w:spacing w:before="120" w:after="120" w:line="320" w:lineRule="exact"/>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rPr>
        <w:t>3．标项：</w:t>
      </w:r>
      <w:r>
        <w:rPr>
          <w:rFonts w:hint="eastAsia" w:ascii="Times New Roman" w:hAnsi="Times New Roman" w:eastAsia="宋体" w:cs="Times New Roman"/>
          <w:color w:val="auto"/>
          <w:szCs w:val="21"/>
          <w:highlight w:val="none"/>
          <w:u w:val="single"/>
          <w:lang w:val="en-US" w:eastAsia="zh-CN"/>
        </w:rPr>
        <w:t>标项二</w:t>
      </w:r>
    </w:p>
    <w:p w14:paraId="18ADCE72">
      <w:pPr>
        <w:snapToGrid w:val="0"/>
        <w:spacing w:before="120" w:after="120" w:line="320" w:lineRule="exac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．采购需求：</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详见附件</w:t>
      </w:r>
      <w:r>
        <w:rPr>
          <w:rFonts w:ascii="Times New Roman" w:hAnsi="Times New Roman" w:eastAsia="宋体" w:cs="Times New Roman"/>
          <w:color w:val="auto"/>
          <w:szCs w:val="21"/>
          <w:highlight w:val="none"/>
          <w:u w:val="single"/>
        </w:rPr>
        <w:t xml:space="preserve">    </w:t>
      </w:r>
    </w:p>
    <w:p w14:paraId="47FBF041">
      <w:pPr>
        <w:snapToGrid w:val="0"/>
        <w:spacing w:before="120" w:after="120" w:line="320" w:lineRule="exact"/>
        <w:rPr>
          <w:rFonts w:hint="eastAsia" w:ascii="Times New Roman" w:hAnsi="Times New Roman" w:eastAsia="宋体" w:cs="Times New Roman"/>
          <w:color w:val="auto"/>
          <w:szCs w:val="21"/>
          <w:highlight w:val="none"/>
          <w:u w:val="single"/>
          <w:lang w:eastAsia="zh-CN"/>
        </w:rPr>
      </w:pP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．框架协议期限：</w:t>
      </w:r>
      <w:r>
        <w:rPr>
          <w:rFonts w:hint="eastAsia" w:ascii="Times New Roman" w:hAnsi="Times New Roman" w:eastAsia="宋体" w:cs="Times New Roman"/>
          <w:color w:val="auto"/>
          <w:szCs w:val="21"/>
          <w:highlight w:val="none"/>
          <w:u w:val="single"/>
          <w:lang w:val="en-US" w:eastAsia="zh-CN"/>
        </w:rPr>
        <w:t>1年3个月</w:t>
      </w:r>
    </w:p>
    <w:p w14:paraId="138F856B">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最高限制单价：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6"/>
        <w:gridCol w:w="7437"/>
      </w:tblGrid>
      <w:tr w14:paraId="271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40B91842">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443577F0">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限价</w:t>
            </w:r>
          </w:p>
        </w:tc>
      </w:tr>
      <w:tr w14:paraId="2FE52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6642B8F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二</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70F65D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1.征集人将项目委托供应商进行结算评审服务时，按以下费率计算服务费用：</w:t>
            </w:r>
          </w:p>
          <w:p w14:paraId="63ACD50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（1）编审费按审查工程项目送审总造价2‰核定基本付费额。</w:t>
            </w:r>
          </w:p>
          <w:p w14:paraId="24A609B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（2）审减（增）费按审查定案净减（增）值的4%核定基本付费额。</w:t>
            </w:r>
          </w:p>
          <w:p w14:paraId="0736F8D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lang w:val="en-US" w:eastAsia="zh-CN" w:bidi="ar"/>
              </w:rPr>
              <w:t>单个工程项目按上述两种费率合计</w:t>
            </w:r>
            <w:r>
              <w:rPr>
                <w:rFonts w:hint="eastAsia" w:ascii="宋体" w:hAnsi="宋体" w:eastAsia="宋体" w:cs="宋体"/>
                <w:kern w:val="2"/>
                <w:sz w:val="21"/>
                <w:szCs w:val="21"/>
                <w:highlight w:val="none"/>
                <w:lang w:val="en-US" w:eastAsia="zh-CN" w:bidi="ar"/>
              </w:rPr>
              <w:t>计算。单个工程项目评审服务费不足2000元的，按2000元付费，评审服务费无上限。</w:t>
            </w:r>
          </w:p>
          <w:p w14:paraId="02E46D9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bidi="ar"/>
              </w:rPr>
              <w:t>2.在计算和支付评审服务费时，征集</w:t>
            </w:r>
            <w:r>
              <w:rPr>
                <w:rFonts w:hint="eastAsia" w:ascii="宋体" w:hAnsi="宋体" w:eastAsia="宋体" w:cs="宋体"/>
                <w:kern w:val="2"/>
                <w:sz w:val="21"/>
                <w:szCs w:val="21"/>
                <w:lang w:val="en-US" w:eastAsia="zh-CN" w:bidi="ar"/>
              </w:rPr>
              <w:t>人根据实际情况维持不变或降低基准费率，具体分类如下：</w:t>
            </w:r>
          </w:p>
          <w:p w14:paraId="55B8A7E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（1）上述的基准费率是以单项工程送审金额在1000万元以下（含1000万元）为标准的基准费率。</w:t>
            </w:r>
          </w:p>
          <w:p w14:paraId="6E06BE5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（2）单项工程送金额在1000万元以上3000万元以下（含3000万元）的费率按基准费率的95%计算支付。</w:t>
            </w:r>
          </w:p>
          <w:p w14:paraId="15EF5DF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（3）单项工程送审金额在3000万元以上5000万元以下（含5000万元）的费率按基准费率的90%计算支付。</w:t>
            </w:r>
          </w:p>
          <w:p w14:paraId="40ABBAF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（4）单项工程送审额在5000万元以上1亿元以下（含1亿元）的费率按本次基准费率的85%计算支付。</w:t>
            </w:r>
          </w:p>
          <w:p w14:paraId="6A0DC0C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（5）单项工程送审金额在1亿元以上2亿元以下（含2亿元）的费率按基准费率的80%计算支付。</w:t>
            </w:r>
          </w:p>
          <w:p w14:paraId="31D3253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（6）单项工程送审金额在2亿元以上5亿元以下（含5亿元）的按基准费率75%计算支付。</w:t>
            </w:r>
          </w:p>
          <w:p w14:paraId="61820E3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（7）5亿元以上的费率按基准费率的70%计算支付。</w:t>
            </w:r>
          </w:p>
          <w:p w14:paraId="43599CF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rPr>
            </w:pPr>
            <w:r>
              <w:rPr>
                <w:rFonts w:hint="eastAsia" w:ascii="宋体" w:hAnsi="宋体" w:eastAsia="宋体" w:cs="宋体"/>
                <w:kern w:val="2"/>
                <w:sz w:val="21"/>
                <w:szCs w:val="21"/>
                <w:lang w:val="en-US" w:eastAsia="zh-CN" w:bidi="ar"/>
              </w:rPr>
              <w:t>3.服务费的计算：评审服务费＝[编审费+审减（增）费]×费率</w:t>
            </w:r>
          </w:p>
        </w:tc>
      </w:tr>
    </w:tbl>
    <w:p w14:paraId="121F3E4F">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第二条 框架协议信息</w:t>
      </w:r>
    </w:p>
    <w:p w14:paraId="1B15CC72">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1．服务内容、服务标准、协议价格</w:t>
      </w:r>
    </w:p>
    <w:p w14:paraId="179AD4F4">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 xml:space="preserve">.1 </w:t>
      </w:r>
      <w:r>
        <w:rPr>
          <w:rFonts w:hint="eastAsia" w:ascii="Times New Roman" w:hAnsi="Times New Roman" w:eastAsia="宋体" w:cs="Times New Roman"/>
          <w:color w:val="auto"/>
          <w:szCs w:val="21"/>
          <w:highlight w:val="none"/>
        </w:rPr>
        <w:t>服务内容：</w:t>
      </w:r>
      <w:r>
        <w:rPr>
          <w:rFonts w:hint="eastAsia" w:ascii="Times New Roman" w:hAnsi="Times New Roman" w:eastAsia="宋体" w:cs="Times New Roman"/>
          <w:color w:val="auto"/>
          <w:szCs w:val="21"/>
          <w:highlight w:val="none"/>
          <w:u w:val="single"/>
        </w:rPr>
        <w:t>为</w:t>
      </w:r>
      <w:r>
        <w:rPr>
          <w:rFonts w:hint="eastAsia" w:ascii="Times New Roman" w:hAnsi="Times New Roman" w:eastAsia="宋体" w:cs="Times New Roman"/>
          <w:color w:val="auto"/>
          <w:szCs w:val="21"/>
          <w:highlight w:val="none"/>
          <w:u w:val="single"/>
          <w:lang w:eastAsia="zh-CN"/>
        </w:rPr>
        <w:t>富川瑶族自治县本级</w:t>
      </w:r>
      <w:r>
        <w:rPr>
          <w:rFonts w:hint="eastAsia" w:ascii="Times New Roman" w:hAnsi="Times New Roman" w:eastAsia="宋体" w:cs="Times New Roman"/>
          <w:color w:val="auto"/>
          <w:szCs w:val="21"/>
          <w:highlight w:val="none"/>
          <w:u w:val="single"/>
        </w:rPr>
        <w:t>政府投资项目提供结算评审服务</w:t>
      </w:r>
    </w:p>
    <w:p w14:paraId="68918C09">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 xml:space="preserve">.2 </w:t>
      </w:r>
      <w:r>
        <w:rPr>
          <w:rFonts w:hint="eastAsia" w:ascii="Times New Roman" w:hAnsi="Times New Roman" w:eastAsia="宋体" w:cs="Times New Roman"/>
          <w:color w:val="auto"/>
          <w:szCs w:val="21"/>
          <w:highlight w:val="none"/>
        </w:rPr>
        <w:t>服务标准：</w:t>
      </w:r>
    </w:p>
    <w:p w14:paraId="71FF6CC5">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（1）严格遵守国家的法律、法规和有关规章制度，严格遵守行为准则和职业道德，按现行的财政投资项目评审操作规程及质量控制办法规定的执行。</w:t>
      </w:r>
    </w:p>
    <w:p w14:paraId="66728431">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（2）严格按照现行的工程造价管理办法、工程结算编审规程等文件要求进行评审工作，依照相关依据发表专业意见出具成果文件，并对成果的真实性、完整性、准确性负责。</w:t>
      </w:r>
    </w:p>
    <w:p w14:paraId="1A3A5C21">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（3）评审人员在项目评审工程中，应该恪守客观公正、实事求是的原则，确保评审工作的真实完整和准确，保证评审质量。</w:t>
      </w:r>
    </w:p>
    <w:p w14:paraId="13280674">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（4）评审报告编制标准 </w:t>
      </w:r>
    </w:p>
    <w:p w14:paraId="083FC70A">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评审内容完整、数据准确、依据充分，评审结论定性客观、定量准确、依据充分，核增核减原因定性准确、条理清晰，披露评审问题有理有据、分析透彻，提出评审建议措施具体、针对性强。</w:t>
      </w:r>
    </w:p>
    <w:p w14:paraId="33A1FD23">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（5）质量控制</w:t>
      </w:r>
    </w:p>
    <w:p w14:paraId="78277E35">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乙方</w:t>
      </w:r>
      <w:r>
        <w:rPr>
          <w:rFonts w:hint="eastAsia" w:ascii="Times New Roman" w:hAnsi="Times New Roman" w:eastAsia="宋体" w:cs="Times New Roman"/>
          <w:color w:val="auto"/>
          <w:szCs w:val="21"/>
        </w:rPr>
        <w:t>对协审项目进行审核，并向采购人出具工程结（决）算审核结果分析报告。采购人将对</w:t>
      </w:r>
      <w:r>
        <w:rPr>
          <w:rFonts w:hint="eastAsia" w:ascii="Times New Roman" w:hAnsi="Times New Roman" w:eastAsia="宋体" w:cs="Times New Roman"/>
          <w:color w:val="auto"/>
          <w:szCs w:val="21"/>
          <w:lang w:eastAsia="zh-CN"/>
        </w:rPr>
        <w:t>乙方</w:t>
      </w:r>
      <w:r>
        <w:rPr>
          <w:rFonts w:hint="eastAsia" w:ascii="Times New Roman" w:hAnsi="Times New Roman" w:eastAsia="宋体" w:cs="Times New Roman"/>
          <w:color w:val="auto"/>
          <w:szCs w:val="21"/>
        </w:rPr>
        <w:t>提交的评审报告和评审结论进行复审，经采购人复核，误差率超过送审造价的1.5%时，每超过1个百分点，扣减协审单位该协审项目协审服务费的20%；超过送审造价的3%，协审服务费全部扣除，且每发生一次暂停两轮审核项目的安排，在服务期内经采购人复核，发现</w:t>
      </w:r>
      <w:r>
        <w:rPr>
          <w:rFonts w:hint="eastAsia" w:ascii="Times New Roman" w:hAnsi="Times New Roman" w:eastAsia="宋体" w:cs="Times New Roman"/>
          <w:color w:val="auto"/>
          <w:szCs w:val="21"/>
          <w:lang w:eastAsia="zh-CN"/>
        </w:rPr>
        <w:t>乙方</w:t>
      </w:r>
      <w:r>
        <w:rPr>
          <w:rFonts w:hint="eastAsia" w:ascii="Times New Roman" w:hAnsi="Times New Roman" w:eastAsia="宋体" w:cs="Times New Roman"/>
          <w:color w:val="auto"/>
          <w:szCs w:val="21"/>
        </w:rPr>
        <w:t>的审核结果误差率超过1.5%达到3次的，或是审核结果误差率超过3%达到2次的，采购人可终止双方签订的协审合同，并取消其协审备选单位资格，并将有关情况通报贺州市住建局、贺州市财政局采购办。</w:t>
      </w:r>
    </w:p>
    <w:p w14:paraId="06D17D58">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（6）乙方不得泄露采购人及所承接项目的任何商业机密，不得未经采购人同意擅自对外公开评审结论，一经发现，将由采购人作出相应处理。</w:t>
      </w:r>
    </w:p>
    <w:p w14:paraId="0A5E37AB">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并列入黑名单。</w:t>
      </w:r>
    </w:p>
    <w:p w14:paraId="1F0D72ED">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（8）乙方必须严格遵守《工程造价咨询企业管理办法》(建设部2006年第149号令)、《财政性投资评审质量控制办法》(财建【2006】1065号）、《贺州市财政局关于印发贺州市本级财政投资评审</w:t>
      </w:r>
      <w:r>
        <w:rPr>
          <w:rFonts w:hint="eastAsia" w:ascii="Times New Roman" w:hAnsi="Times New Roman" w:eastAsia="宋体" w:cs="Times New Roman"/>
          <w:color w:val="auto"/>
          <w:szCs w:val="21"/>
          <w:lang w:val="en-US" w:eastAsia="zh-CN"/>
        </w:rPr>
        <w:t>实施</w:t>
      </w:r>
      <w:r>
        <w:rPr>
          <w:rFonts w:hint="eastAsia" w:ascii="Times New Roman" w:hAnsi="Times New Roman" w:eastAsia="宋体" w:cs="Times New Roman"/>
          <w:color w:val="auto"/>
          <w:szCs w:val="21"/>
        </w:rPr>
        <w:t>办法(2023年修订)的通知》(贺财办[2024]2号)等有关规定，按要求选择具备工程造价审核专业知识、熟悉财政投资审核业务、履行审核程序的人员开展财政投资审核业务，保证取证资料、工作底稿的正确完整和规范。出具的审核报告、结论或意见客观公正，符合审核规范和富川瑶族自治县财政投资评审中心的要求，对出具的审核报告承担法律责任。</w:t>
      </w:r>
    </w:p>
    <w:p w14:paraId="001A5144">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（9）乙方须在每季度第一个月10日前向富川瑶族自治县财政投资评审中心报送上一季度富川瑶族自治县财政投资评审服务项目有关统计报表。</w:t>
      </w:r>
    </w:p>
    <w:p w14:paraId="0FC3476F">
      <w:pPr>
        <w:snapToGrid w:val="0"/>
        <w:spacing w:before="120" w:after="120" w:line="320" w:lineRule="exac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lang w:eastAsia="zh-CN"/>
        </w:rPr>
        <w:t>）乙方自接到甲方提交完整评审项目资料当日起应按以下要求提交评审初步结论：评审项目金额500万元（含）以下的，20天内完成；评审项目金额500万以上至2000万元（含）以下30天内完成；评审项目金额2000万以上至5000万元（含）以下45天内完成；评审项目金额5000万以上60天内完成。乙方无故超出上述评审规定时间50%以上、累计出现三次以上（含三次），富川瑶族自治县财政局将乙方列入财政评审项目评审黑名单，取消其评审资格。</w:t>
      </w:r>
    </w:p>
    <w:p w14:paraId="430C258A">
      <w:pPr>
        <w:snapToGrid w:val="0"/>
        <w:spacing w:before="120" w:after="120" w:line="320" w:lineRule="exac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上述规定期限是从乙方与采购人办理项目资料交接手续之日起，至乙方将审核结果分析报告送交采购人复核之日止。若确有不可抗力因素或其他特殊原因，需要延长审核期限的，乙方应当在协议约定期限内向采购人提出书面申请，并取得采购人同意的书面批复。如无特殊情况而拖延完成时间的，每拖延一天扣减评审服务费的2%，拖延时间达30日的则扣除所有评审服务费。如遇县政府对项目评审时间的特殊要求，乙方则应无条件服从采购人的时间安排。</w:t>
      </w:r>
    </w:p>
    <w:p w14:paraId="0B98FDE3">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 xml:space="preserve">.3 </w:t>
      </w:r>
      <w:r>
        <w:rPr>
          <w:rFonts w:hint="eastAsia" w:ascii="Times New Roman" w:hAnsi="Times New Roman" w:eastAsia="宋体" w:cs="Times New Roman"/>
          <w:color w:val="auto"/>
          <w:szCs w:val="21"/>
          <w:highlight w:val="none"/>
        </w:rPr>
        <w:t>协议价格（响应报价）：</w:t>
      </w:r>
      <w:r>
        <w:rPr>
          <w:rFonts w:hint="eastAsia" w:ascii="Times New Roman" w:hAnsi="Times New Roman" w:eastAsia="宋体" w:cs="Times New Roman"/>
          <w:color w:val="auto"/>
          <w:szCs w:val="21"/>
          <w:highlight w:val="none"/>
          <w:u w:val="single"/>
        </w:rPr>
        <w:t>同“最高限制单价”</w:t>
      </w:r>
    </w:p>
    <w:p w14:paraId="259B0298">
      <w:pPr>
        <w:widowControl w:val="0"/>
        <w:adjustRightInd w:val="0"/>
        <w:snapToGrid w:val="0"/>
        <w:spacing w:line="360" w:lineRule="auto"/>
        <w:jc w:val="both"/>
        <w:rPr>
          <w:rFonts w:ascii="宋体" w:hAnsi="Courier New" w:eastAsia="宋体" w:cs="Courier New"/>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适用框架协议的采购人或服务对象范围</w:t>
      </w:r>
    </w:p>
    <w:p w14:paraId="76C55C70">
      <w:pPr>
        <w:widowControl w:val="0"/>
        <w:adjustRightInd w:val="0"/>
        <w:snapToGrid w:val="0"/>
        <w:spacing w:line="360" w:lineRule="auto"/>
        <w:jc w:val="both"/>
        <w:rPr>
          <w:rFonts w:hint="eastAsia" w:ascii="Times New Roman" w:hAnsi="Times New Roman" w:eastAsia="宋体" w:cs="Times New Roman"/>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u w:val="single"/>
          <w:lang w:val="en-US" w:eastAsia="zh-CN" w:bidi="ar-SA"/>
        </w:rPr>
        <w:t>富川瑶族自治县财政局</w:t>
      </w:r>
    </w:p>
    <w:p w14:paraId="432136B3">
      <w:pPr>
        <w:snapToGrid w:val="0"/>
        <w:spacing w:before="120" w:after="120" w:line="320" w:lineRule="exact"/>
        <w:rPr>
          <w:rFonts w:hint="eastAsia"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．履行合同的地域范围：</w:t>
      </w:r>
      <w:r>
        <w:rPr>
          <w:rFonts w:hint="eastAsia" w:ascii="Times New Roman" w:hAnsi="Times New Roman" w:eastAsia="宋体" w:cs="Times New Roman"/>
          <w:color w:val="auto"/>
          <w:szCs w:val="21"/>
          <w:highlight w:val="none"/>
          <w:u w:val="single"/>
        </w:rPr>
        <w:t>采购人指定地点。</w:t>
      </w:r>
    </w:p>
    <w:p w14:paraId="0E598CAA">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第三条 确定第二阶段成交供应商的方式</w:t>
      </w:r>
    </w:p>
    <w:p w14:paraId="14B91642">
      <w:pPr>
        <w:snapToGrid w:val="0"/>
        <w:spacing w:before="120" w:after="120" w:line="320" w:lineRule="exact"/>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1．甲方在入围供应商中通过</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（1）</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种</w:t>
      </w:r>
      <w:r>
        <w:rPr>
          <w:rFonts w:hint="eastAsia" w:ascii="Times New Roman" w:hAnsi="Times New Roman" w:eastAsia="宋体" w:cs="Times New Roman"/>
          <w:color w:val="auto"/>
          <w:szCs w:val="21"/>
          <w:highlight w:val="none"/>
        </w:rPr>
        <w:t>方式确定成交供应商并签订合同。</w:t>
      </w:r>
    </w:p>
    <w:p w14:paraId="59981509">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（1）直接选定</w:t>
      </w:r>
    </w:p>
    <w:p w14:paraId="68CF5BD0">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直接选定规则：依据入围产品价格、质量以及服务便利性、用户评价等因素，从入围供应商中直接选定成交供应商。</w:t>
      </w:r>
    </w:p>
    <w:p w14:paraId="48D18A71">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（2）二次竞价</w:t>
      </w:r>
    </w:p>
    <w:p w14:paraId="0654CC65">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二次竞价规则：乙方以第一阶段的响应报价（协议价格）为最高限价，依照响应文件中承诺的入围产品（服务）、采购合同等事项，根据采购人明确的竞价需求，参与二次竞价，以报价最低的为成交供应商。</w:t>
      </w:r>
    </w:p>
    <w:p w14:paraId="0A016456">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二次竞价截止时间：</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p w14:paraId="3071A68E">
      <w:pPr>
        <w:snapToGrid w:val="0"/>
        <w:spacing w:before="120" w:after="120" w:line="320" w:lineRule="exact"/>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二次竞价需求：</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p w14:paraId="3B147427">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（3）顺序轮候</w:t>
      </w:r>
    </w:p>
    <w:p w14:paraId="6260CFE6">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顺序轮候规则：以入围供应商从高到低排名依次进行合同授予，每个入围供应商在一个顺序轮候期内，仅能获得一次合同授予的机会。框架协议有效期截止后，轮候则终止，不保证所有供应商所承接的实际项目数量或金额均等。</w:t>
      </w:r>
    </w:p>
    <w:p w14:paraId="0ADCB248">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顺序轮候期：</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p w14:paraId="277F341E">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第四条 入围产品升级换代规则</w:t>
      </w:r>
    </w:p>
    <w:p w14:paraId="10F62F15">
      <w:pPr>
        <w:snapToGrid w:val="0"/>
        <w:spacing w:before="120" w:after="120" w:line="320" w:lineRule="exact"/>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无</w:t>
      </w:r>
    </w:p>
    <w:p w14:paraId="659D927C">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第五条 资金支付方式、时间、条件</w:t>
      </w:r>
    </w:p>
    <w:p w14:paraId="629EB87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本项目无预付款。服务费按项目申请支付。成交供应商在完成评审工作后填写《项目委托评审费支付申请表》并加盖公章后送采购人审核签认，由</w:t>
      </w:r>
      <w:r>
        <w:rPr>
          <w:rFonts w:hint="eastAsia" w:ascii="Times New Roman" w:hAnsi="Times New Roman" w:eastAsia="宋体" w:cs="Times New Roman"/>
          <w:color w:val="auto"/>
          <w:szCs w:val="21"/>
          <w:highlight w:val="none"/>
          <w:lang w:val="en-US" w:eastAsia="zh-CN"/>
        </w:rPr>
        <w:t>征集</w:t>
      </w:r>
      <w:r>
        <w:rPr>
          <w:rFonts w:hint="eastAsia" w:ascii="Times New Roman" w:hAnsi="Times New Roman" w:eastAsia="宋体" w:cs="Times New Roman"/>
          <w:color w:val="auto"/>
          <w:szCs w:val="21"/>
          <w:highlight w:val="none"/>
        </w:rPr>
        <w:t>人直接向成交供应商支付。双方账户信息如下：</w:t>
      </w:r>
    </w:p>
    <w:p w14:paraId="7C571A23">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甲方名称：</w:t>
      </w:r>
      <w:r>
        <w:rPr>
          <w:rFonts w:hint="eastAsia" w:ascii="Times New Roman" w:hAnsi="Times New Roman" w:eastAsia="宋体" w:cs="Times New Roman"/>
          <w:color w:val="auto"/>
          <w:szCs w:val="21"/>
          <w:highlight w:val="none"/>
          <w:u w:val="single"/>
          <w:lang w:val="en-US" w:eastAsia="zh-CN"/>
        </w:rPr>
        <w:t>富川瑶族自治县财政局</w:t>
      </w:r>
      <w:r>
        <w:rPr>
          <w:rFonts w:ascii="Times New Roman" w:hAnsi="Times New Roman" w:eastAsia="宋体" w:cs="Times New Roman"/>
          <w:color w:val="auto"/>
          <w:szCs w:val="21"/>
          <w:highlight w:val="none"/>
        </w:rPr>
        <w:t xml:space="preserve"> </w:t>
      </w:r>
    </w:p>
    <w:p w14:paraId="2022A64E">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国税纳税人识别号：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402D37AA">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户名：</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521C0C29">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开户行：</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52F4D9D2">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帐号：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0AA0235A">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地址：</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642CA754">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联系电话：</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7D1CFCD7">
      <w:pPr>
        <w:snapToGrid w:val="0"/>
        <w:spacing w:line="360" w:lineRule="exact"/>
        <w:ind w:firstLine="420" w:firstLineChars="200"/>
        <w:rPr>
          <w:rFonts w:ascii="Times New Roman" w:hAnsi="Times New Roman" w:eastAsia="宋体" w:cs="Times New Roman"/>
          <w:bCs/>
          <w:color w:val="auto"/>
          <w:szCs w:val="21"/>
          <w:highlight w:val="none"/>
        </w:rPr>
      </w:pPr>
    </w:p>
    <w:p w14:paraId="482DCD2B">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乙方名称：</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566AA419">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国税纳税人识别号：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6CE4D112">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户名：</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37DFC085">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开户行：</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62F01C91">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帐号：</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4C629B30">
      <w:pPr>
        <w:snapToGrid w:val="0"/>
        <w:spacing w:line="360" w:lineRule="exact"/>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地址：</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5523D60C">
      <w:pPr>
        <w:snapToGrid w:val="0"/>
        <w:spacing w:line="360" w:lineRule="exact"/>
        <w:ind w:firstLine="420" w:firstLineChars="200"/>
        <w:rPr>
          <w:rFonts w:ascii="Times New Roman" w:hAnsi="Times New Roman" w:eastAsia="宋体" w:cs="Times New Roman"/>
          <w:color w:val="auto"/>
          <w:szCs w:val="21"/>
          <w:highlight w:val="none"/>
          <w:u w:val="single"/>
        </w:rPr>
      </w:pPr>
      <w:r>
        <w:rPr>
          <w:rFonts w:hint="eastAsia" w:ascii="Times New Roman" w:hAnsi="Times New Roman" w:eastAsia="宋体" w:cs="Times New Roman"/>
          <w:bCs/>
          <w:color w:val="auto"/>
          <w:szCs w:val="21"/>
          <w:highlight w:val="none"/>
        </w:rPr>
        <w:t>联系电话：</w:t>
      </w: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w:t>
      </w:r>
    </w:p>
    <w:p w14:paraId="35CBAE75">
      <w:pPr>
        <w:snapToGrid w:val="0"/>
        <w:spacing w:line="360" w:lineRule="exact"/>
        <w:ind w:firstLine="420" w:firstLineChars="200"/>
        <w:rPr>
          <w:rFonts w:hint="eastAsia" w:ascii="Times New Roman" w:hAnsi="Times New Roman" w:eastAsia="宋体" w:cs="Times New Roman"/>
          <w:bCs/>
          <w:color w:val="auto"/>
          <w:szCs w:val="21"/>
          <w:highlight w:val="none"/>
        </w:rPr>
      </w:pPr>
    </w:p>
    <w:p w14:paraId="2D76D5A2">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乙方如需改变上述账户，应提前10日以书面通知甲方。如乙方未按本合同规定通知导致甲方逾期付款，甲方不承担任何违约责任，乙方应承担因此产生的一切费用。对于满足合同约定支付条件的，甲方原则上应当自收到发票后10个工作日内将资金支付到合同约定的乙方账户。</w:t>
      </w:r>
    </w:p>
    <w:p w14:paraId="4A327FE2">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 付费额的计算公式</w:t>
      </w:r>
    </w:p>
    <w:p w14:paraId="76B9029C">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评审服务费＝[编审费+审减（增）费]×费率</w:t>
      </w:r>
    </w:p>
    <w:p w14:paraId="74D56AF2">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.费率其他约定</w:t>
      </w:r>
    </w:p>
    <w:p w14:paraId="20221F2A">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当成交供应商承接的项目评审存在特殊情况，采购人与成交供应商协商确定费率后，另行在采购合同中约定。</w:t>
      </w:r>
    </w:p>
    <w:p w14:paraId="209F94DC">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.履约保证金</w:t>
      </w:r>
    </w:p>
    <w:p w14:paraId="1B21005B">
      <w:pPr>
        <w:snapToGrid w:val="0"/>
        <w:spacing w:before="120" w:after="120" w:line="32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无。</w:t>
      </w:r>
    </w:p>
    <w:p w14:paraId="64E24B9C">
      <w:pPr>
        <w:snapToGrid w:val="0"/>
        <w:spacing w:before="120" w:after="120" w:line="320" w:lineRule="exact"/>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第六条 采购合同文本</w:t>
      </w:r>
    </w:p>
    <w:p w14:paraId="32329137">
      <w:pPr>
        <w:snapToGrid w:val="0"/>
        <w:spacing w:before="120" w:after="120" w:line="320" w:lineRule="exact"/>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详见第六章合同主要条款（格式）。</w:t>
      </w:r>
    </w:p>
    <w:p w14:paraId="2711ED4D">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b/>
          <w:bCs/>
          <w:color w:val="auto"/>
          <w:szCs w:val="21"/>
          <w:highlight w:val="none"/>
        </w:rPr>
        <w:t>第七条 入围供应商清退和补充规则</w:t>
      </w:r>
    </w:p>
    <w:p w14:paraId="619DBE0C">
      <w:pPr>
        <w:snapToGrid w:val="0"/>
        <w:spacing w:before="120" w:after="120"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．入围供应商的清退</w:t>
      </w:r>
    </w:p>
    <w:p w14:paraId="7E5A3B13">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乙方在签订本框架协议前出现以下情形之一的，甲方将取消其入围资格；乙方在签订本框架协议后出现以下情形之一的，甲方将解除与其签订的框架协议： </w:t>
      </w:r>
    </w:p>
    <w:p w14:paraId="4EB7F626">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（1）恶意串通谋取入围或者合同成交的； </w:t>
      </w:r>
    </w:p>
    <w:p w14:paraId="3B722C6F">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（2）提供虚假材料谋取入围或者合同成交的； </w:t>
      </w:r>
    </w:p>
    <w:p w14:paraId="78B67D5D">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（3）除不可抗力外拒不接受合同授予的。 </w:t>
      </w:r>
    </w:p>
    <w:p w14:paraId="0F0EF62D">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（4）不履行合同义务或者履行合同义务不符合约定，经采购人请求履行后仍不履行或者仍未按约定履行的； </w:t>
      </w:r>
    </w:p>
    <w:p w14:paraId="206723E7">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（5）框架协议有效期内，因违法行为被禁止或限制参加政府采购活动的； </w:t>
      </w:r>
    </w:p>
    <w:p w14:paraId="20ECFFDA">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（6）入围供应商的组织机构、经营、财务状况发生较大变化，可能造成不能履行框架协议或合同、无法按照征集文件要求提交履约保证金的，未主动告知，给采购人造成损失的；</w:t>
      </w:r>
    </w:p>
    <w:p w14:paraId="1F9622C9">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（7）未按照征集文件评审办法要求提供需要核查的原件或原件与响应文件中提供的不一致或提供虚假材料的。</w:t>
      </w:r>
    </w:p>
    <w:p w14:paraId="16A7F11C">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（8）乙方无故超出本框架协议规定的项目评审规定时间</w:t>
      </w:r>
      <w:r>
        <w:rPr>
          <w:rFonts w:hint="eastAsia" w:ascii="Times New Roman" w:hAnsi="Times New Roman" w:eastAsia="宋体" w:cs="Times New Roman"/>
          <w:color w:val="auto"/>
          <w:szCs w:val="21"/>
          <w:highlight w:val="none"/>
          <w:lang w:val="en-US" w:eastAsia="zh-CN"/>
        </w:rPr>
        <w:t>50</w:t>
      </w:r>
      <w:r>
        <w:rPr>
          <w:rFonts w:hint="eastAsia" w:ascii="Times New Roman" w:hAnsi="Times New Roman" w:eastAsia="宋体" w:cs="Times New Roman"/>
          <w:color w:val="auto"/>
          <w:szCs w:val="21"/>
          <w:highlight w:val="none"/>
        </w:rPr>
        <w:t>%以上且累计出现三次以上（含三次）。</w:t>
      </w:r>
    </w:p>
    <w:p w14:paraId="7563DE54">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（9）在合同期内经监督办检查三次以上（含）常驻贺州人员不到位的。</w:t>
      </w:r>
    </w:p>
    <w:p w14:paraId="1B163E7E">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（10）年度考核被评为“不合格”的。</w:t>
      </w:r>
    </w:p>
    <w:p w14:paraId="1566D832">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（11）乙方被广西区各级纪检监察或行政监督部门处罚或列入黑名单。</w:t>
      </w:r>
    </w:p>
    <w:p w14:paraId="176D7A75">
      <w:pPr>
        <w:snapToGrid w:val="0"/>
        <w:spacing w:before="120" w:after="120" w:line="32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（12）其他违反法律法规的情形。</w:t>
      </w:r>
    </w:p>
    <w:p w14:paraId="22EAFAB3">
      <w:pPr>
        <w:spacing w:before="120" w:line="276" w:lineRule="auto"/>
        <w:ind w:left="2" w:leftChars="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．用户反馈和评价机制</w:t>
      </w:r>
    </w:p>
    <w:p w14:paraId="519124A9">
      <w:pPr>
        <w:snapToGrid w:val="0"/>
        <w:spacing w:before="120" w:after="120" w:line="320" w:lineRule="exac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在提交服务成果后，由采购人或服务对象填写成果评价表，反馈至征集人处。因供应商原因导致评价结果1次不满意的，供应商应当书面陈述原因并提出改进措施。累计达到3次不满意的，取消本次入围资格。</w:t>
      </w:r>
    </w:p>
    <w:p w14:paraId="2DE14082">
      <w:pPr>
        <w:spacing w:before="120" w:line="276" w:lineRule="auto"/>
        <w:ind w:left="2" w:leftChars="1"/>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．入围供应商的补充</w:t>
      </w:r>
    </w:p>
    <w:p w14:paraId="342FC80B">
      <w:pPr>
        <w:spacing w:before="120" w:line="276"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甲方</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（是/否）启动补充征集程序。</w:t>
      </w:r>
    </w:p>
    <w:p w14:paraId="5D041A1F">
      <w:pPr>
        <w:spacing w:before="120" w:line="276" w:lineRule="auto"/>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补充征集的条件：</w:t>
      </w:r>
      <w:r>
        <w:rPr>
          <w:rFonts w:hint="eastAsia" w:ascii="Times New Roman" w:hAnsi="Times New Roman" w:eastAsia="宋体" w:cs="Times New Roman"/>
          <w:color w:val="auto"/>
          <w:szCs w:val="21"/>
          <w:highlight w:val="none"/>
          <w:u w:val="single"/>
        </w:rPr>
        <w:t>当出现入围供应商被清退或剩余入围供应商不足入围供应商总数70%且影响框架协议执行的情形</w:t>
      </w:r>
    </w:p>
    <w:p w14:paraId="68FBB20E">
      <w:pPr>
        <w:spacing w:before="120" w:line="276" w:lineRule="auto"/>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补充征集的程序：</w:t>
      </w:r>
      <w:r>
        <w:rPr>
          <w:rFonts w:hint="eastAsia" w:ascii="Times New Roman" w:hAnsi="Times New Roman" w:eastAsia="宋体" w:cs="Times New Roman"/>
          <w:color w:val="auto"/>
          <w:szCs w:val="21"/>
          <w:highlight w:val="none"/>
          <w:u w:val="single"/>
        </w:rPr>
        <w:t>同原征集文件</w:t>
      </w:r>
    </w:p>
    <w:p w14:paraId="154E10C0">
      <w:pPr>
        <w:spacing w:before="120" w:line="276"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补充征集的评审方法：</w:t>
      </w:r>
      <w:r>
        <w:rPr>
          <w:rFonts w:hint="eastAsia" w:ascii="Times New Roman" w:hAnsi="Times New Roman" w:eastAsia="宋体" w:cs="Times New Roman"/>
          <w:color w:val="auto"/>
          <w:szCs w:val="21"/>
          <w:highlight w:val="none"/>
          <w:u w:val="single"/>
        </w:rPr>
        <w:t>同原征集文件</w:t>
      </w:r>
    </w:p>
    <w:p w14:paraId="105782FC">
      <w:pPr>
        <w:spacing w:before="120" w:line="276"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补充征集的淘汰比例：</w:t>
      </w:r>
      <w:r>
        <w:rPr>
          <w:rFonts w:hint="eastAsia" w:ascii="Times New Roman" w:hAnsi="Times New Roman" w:eastAsia="宋体" w:cs="Times New Roman"/>
          <w:color w:val="auto"/>
          <w:szCs w:val="21"/>
          <w:highlight w:val="none"/>
          <w:u w:val="single"/>
        </w:rPr>
        <w:t>同原征集文件</w:t>
      </w:r>
    </w:p>
    <w:p w14:paraId="3DB337B4">
      <w:pPr>
        <w:spacing w:before="120" w:line="276"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补充征集的框架协议有效期：</w:t>
      </w:r>
      <w:r>
        <w:rPr>
          <w:rFonts w:hint="eastAsia" w:ascii="Times New Roman" w:hAnsi="Times New Roman" w:eastAsia="宋体" w:cs="Times New Roman"/>
          <w:color w:val="auto"/>
          <w:szCs w:val="21"/>
          <w:highlight w:val="none"/>
          <w:u w:val="single"/>
        </w:rPr>
        <w:t>同本协议有效期</w:t>
      </w:r>
    </w:p>
    <w:p w14:paraId="78850718">
      <w:pPr>
        <w:spacing w:before="120" w:line="276"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补充征集期间，本框架协议继续履行。被取消入围资格或者被解除框架协议的供应商不得参加同一封闭式框架协议补充征集。</w:t>
      </w:r>
    </w:p>
    <w:p w14:paraId="4F71DB97">
      <w:pPr>
        <w:snapToGrid w:val="0"/>
        <w:spacing w:before="120" w:after="120" w:line="320" w:lineRule="exac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第八条 甲方权利和义务</w:t>
      </w:r>
    </w:p>
    <w:p w14:paraId="66CDA24D">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1．甲方将依照有关法规、规章的规定，要求采购人按照本项目征集文件采购需求及本框架协议约定的事项从入围供应商中选定成交供应商。</w:t>
      </w:r>
    </w:p>
    <w:p w14:paraId="3E6F954A">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2．甲方负责管理乙方的服务活动，使其符合采购价格不高于响应报价的价格，采购质量优良和服务良好的要求。</w:t>
      </w:r>
    </w:p>
    <w:p w14:paraId="4C2C1F36">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3．甲方有权按照本项目征集文件以及本框架协议和采购合同等文件对乙方履约行为进行监督和检查，收集并公开采购人对入围供应商履行框架协议和采购合同情况的反馈与评价。</w:t>
      </w:r>
    </w:p>
    <w:p w14:paraId="67D91314">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4．甲方按规定公开框架协议有效期内入围供应商成交结果情况。</w:t>
      </w:r>
    </w:p>
    <w:p w14:paraId="25668D14">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5．甲方有权对入围供应商进行清退或补充等相关事宜。</w:t>
      </w:r>
    </w:p>
    <w:p w14:paraId="0567F4AA">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6．如征集文件有要求需要在框架协议中另行确定的事项，甲方有权按征集文件要求执行。</w:t>
      </w:r>
    </w:p>
    <w:p w14:paraId="4D4856D9">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 甲方有权要求乙方按时、按质、按量、按计划与合同协议约定完成本项目，并有权对乙方工作情况进行监督。如发现乙方与项目有关人员有意串通增大工程量或弄虚作假增加评审金额的，经查实按违约责任处理。</w:t>
      </w:r>
    </w:p>
    <w:p w14:paraId="72C9B9FC">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8. 根据项目进度，甲方有权及时对乙方提交的方案提出修改意见，并要求乙方按修改意见完成服务工作。</w:t>
      </w:r>
    </w:p>
    <w:p w14:paraId="65C332E0">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9. 乙方配备的项目投入人员应得到甲方的认可。</w:t>
      </w:r>
    </w:p>
    <w:p w14:paraId="17D1C249">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10. 甲方有权要求乙方更换不合格的工作人员。</w:t>
      </w:r>
    </w:p>
    <w:p w14:paraId="45CB6048">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11. 按合同要求及时向乙方支付服务费用。</w:t>
      </w:r>
    </w:p>
    <w:p w14:paraId="642EF396">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12. 如采购项目涉及采购标的的知识产权归属的，产权归属为甲方。   </w:t>
      </w:r>
    </w:p>
    <w:p w14:paraId="13401215">
      <w:pPr>
        <w:snapToGrid w:val="0"/>
        <w:spacing w:before="120" w:after="120" w:line="32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13. 处理方式：采购人在中华人民共和国境内使用供应商提供的产品及服务时免受第三方提出的侵犯其专利权或其它知识产权的起诉。如果第三方提出侵权指控，乙方应承担由此而引起的一切法律责任和费用。</w:t>
      </w:r>
    </w:p>
    <w:p w14:paraId="76B672CC">
      <w:pPr>
        <w:snapToGrid w:val="0"/>
        <w:spacing w:before="120" w:after="120" w:line="320" w:lineRule="exac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第九条 乙方权利和义务</w:t>
      </w:r>
    </w:p>
    <w:p w14:paraId="6E83583D">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1．乙方应当遵守采购人按照本协议规定的选定成交供应商的方式获得成交供应商资格。</w:t>
      </w:r>
    </w:p>
    <w:p w14:paraId="696125F7">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2．乙方提供的产品或服务应符合国家标准和征集文件中要求的标准。</w:t>
      </w:r>
    </w:p>
    <w:p w14:paraId="09FFD448">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3．乙方应保证依据征集文件要求及响应承诺，向采购人提供质量不降低，价格不提高的产品、以及与之配套的耗材、配件。</w:t>
      </w:r>
    </w:p>
    <w:p w14:paraId="37729AD2">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4．乙方应接受并配合甲方的评价及反馈机制，严格履行服务承诺。</w:t>
      </w:r>
    </w:p>
    <w:p w14:paraId="6F4A3539">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5．乙方无正当理由，不得主动放弃入围资格或者退出框架协议，否则，乙方不得参加同一封闭式框架协议补充征集，或者重新申请加入同一开放式框架协议。甲方保留对乙方追究责任的权利。</w:t>
      </w:r>
    </w:p>
    <w:p w14:paraId="4C80159C">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6．乙方应按照征集文件评审办法要求提供需要核查的原件，如原件与响应文件中提供的不一致或虚假的或未提供的，甲方有权取消乙方入围资格，另行确定入围供应商。</w:t>
      </w:r>
    </w:p>
    <w:p w14:paraId="7B97283D">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7. 严格履行合同文件（含征集文件、响应文件等）约定和承诺的服务内容和质量标准，保证甲方项目的相关工作质量和进度。</w:t>
      </w:r>
    </w:p>
    <w:p w14:paraId="38339E7D">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8. 必须严格实施乙方响应文件中承诺的人力资源配置。在必须补充或更换人员时，必须补充或更换优于或等同于响应文件所承诺资质的评审人员（包括主审、协审人员），并需取得甲方书面同意。</w:t>
      </w:r>
    </w:p>
    <w:p w14:paraId="0DD8573F">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在框架协议有效期内，如乙方在第二阶段签订合同时需要调整人员，调整的人员应当是响应文件中承诺的拟投入人员，且签订合同前须提供人员名单送甲方审核。</w:t>
      </w:r>
    </w:p>
    <w:p w14:paraId="54A3E692">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9.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09A4E540">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10.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8F4EAC1">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11. 乙方评审人员（包括主审、协审人员）应签订保密协议并履行保密义务。如乙方因违反本条约定给甲方造成损失的，乙方应当承担相应的法律责任，并赔偿由此给甲方造成的一切损失。</w:t>
      </w:r>
    </w:p>
    <w:p w14:paraId="034D0D26">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12. 乙方应履行回避义务。乙方以及乙方评审人员（包括主审、协审人员）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 </w:t>
      </w:r>
    </w:p>
    <w:p w14:paraId="2854FD3F">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13. 按照合同约定收取服务费，当甲方出现无故拖欠费用时，乙方有权采取适当方式进行催缴，若甲方仍未支付费用，乙方有权停止工作。</w:t>
      </w:r>
    </w:p>
    <w:p w14:paraId="704C6DFE">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14. 有义务妥善保管甲方提供的资料，并在审核工作完成后，完整交回甲方。</w:t>
      </w:r>
    </w:p>
    <w:p w14:paraId="53FAEFA0">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15. 乙方应服从甲方对可能委托项目的指派及分配，并了解本项目签订框架协议后仅代表取得入围本项目服务资格，不等同于可确保直接承接相应数量的项目评审工作并获得相应项目的服务费用。</w:t>
      </w:r>
    </w:p>
    <w:p w14:paraId="551F68D1">
      <w:pPr>
        <w:snapToGrid w:val="0"/>
        <w:spacing w:before="120" w:after="120" w:line="32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16.甲方不定期对乙方配备在贺州市或</w:t>
      </w:r>
      <w:r>
        <w:rPr>
          <w:rFonts w:hint="eastAsia" w:ascii="Times New Roman" w:hAnsi="Times New Roman" w:eastAsia="宋体" w:cs="Times New Roman"/>
          <w:color w:val="auto"/>
          <w:szCs w:val="21"/>
          <w:lang w:eastAsia="zh-CN"/>
        </w:rPr>
        <w:t>富川瑶族自治县</w:t>
      </w:r>
      <w:r>
        <w:rPr>
          <w:rFonts w:hint="eastAsia" w:ascii="Times New Roman" w:hAnsi="Times New Roman" w:eastAsia="宋体" w:cs="Times New Roman"/>
          <w:color w:val="auto"/>
          <w:szCs w:val="21"/>
        </w:rPr>
        <w:t>的专业技术人员到位情况进行检查。如发现人员不到位的的情况，由乙方通知缺位人员在一天内到位并经甲方确认，否则中止其评审业务工作安排，经甲方检查配备在贺州市或</w:t>
      </w:r>
      <w:r>
        <w:rPr>
          <w:rFonts w:hint="eastAsia" w:ascii="Times New Roman" w:hAnsi="Times New Roman" w:eastAsia="宋体" w:cs="Times New Roman"/>
          <w:color w:val="auto"/>
          <w:szCs w:val="21"/>
          <w:lang w:eastAsia="zh-CN"/>
        </w:rPr>
        <w:t>富川瑶族自治县</w:t>
      </w:r>
      <w:r>
        <w:rPr>
          <w:rFonts w:hint="eastAsia" w:ascii="Times New Roman" w:hAnsi="Times New Roman" w:eastAsia="宋体" w:cs="Times New Roman"/>
          <w:color w:val="auto"/>
          <w:szCs w:val="21"/>
        </w:rPr>
        <w:t>的专业技术人员全部到位后再恢复评审业务工作。（本条适用于乙方在响应文件中承诺有常驻贺州市或</w:t>
      </w:r>
      <w:r>
        <w:rPr>
          <w:rFonts w:hint="eastAsia" w:ascii="Times New Roman" w:hAnsi="Times New Roman" w:eastAsia="宋体" w:cs="Times New Roman"/>
          <w:color w:val="auto"/>
          <w:szCs w:val="21"/>
          <w:lang w:eastAsia="zh-CN"/>
        </w:rPr>
        <w:t>富川瑶族自治县</w:t>
      </w:r>
      <w:r>
        <w:rPr>
          <w:rFonts w:hint="eastAsia" w:ascii="Times New Roman" w:hAnsi="Times New Roman" w:eastAsia="宋体" w:cs="Times New Roman"/>
          <w:color w:val="auto"/>
          <w:szCs w:val="21"/>
        </w:rPr>
        <w:t>的人员）</w:t>
      </w:r>
    </w:p>
    <w:p w14:paraId="7F49A086">
      <w:pPr>
        <w:snapToGrid w:val="0"/>
        <w:spacing w:before="120" w:after="120" w:line="32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17.乙方应当签订保密协议（附后）及廉洁承诺书（附后）。</w:t>
      </w:r>
    </w:p>
    <w:p w14:paraId="2415DE51">
      <w:pPr>
        <w:snapToGrid w:val="0"/>
        <w:spacing w:line="360" w:lineRule="exact"/>
        <w:rPr>
          <w:rFonts w:ascii="Calibri" w:hAnsi="Calibri" w:eastAsia="宋体" w:cs="Times New Roman"/>
          <w:color w:val="auto"/>
          <w:szCs w:val="21"/>
        </w:rPr>
      </w:pPr>
      <w:r>
        <w:rPr>
          <w:rFonts w:ascii="Calibri" w:hAnsi="Calibri" w:eastAsia="宋体" w:cs="Times New Roman"/>
          <w:b/>
          <w:color w:val="auto"/>
          <w:szCs w:val="21"/>
        </w:rPr>
        <w:t>第</w:t>
      </w:r>
      <w:r>
        <w:rPr>
          <w:rFonts w:hint="eastAsia" w:ascii="Calibri" w:hAnsi="Calibri" w:eastAsia="宋体" w:cs="Times New Roman"/>
          <w:b/>
          <w:color w:val="auto"/>
          <w:szCs w:val="21"/>
        </w:rPr>
        <w:t>十</w:t>
      </w:r>
      <w:r>
        <w:rPr>
          <w:rFonts w:ascii="Calibri" w:hAnsi="Calibri" w:eastAsia="宋体" w:cs="Times New Roman"/>
          <w:b/>
          <w:color w:val="auto"/>
          <w:szCs w:val="21"/>
        </w:rPr>
        <w:t xml:space="preserve">条  </w:t>
      </w:r>
      <w:r>
        <w:rPr>
          <w:rFonts w:hint="eastAsia" w:ascii="Calibri" w:hAnsi="Calibri" w:eastAsia="宋体" w:cs="Times New Roman"/>
          <w:b/>
          <w:color w:val="auto"/>
          <w:szCs w:val="21"/>
        </w:rPr>
        <w:t>履约</w:t>
      </w:r>
      <w:r>
        <w:rPr>
          <w:rFonts w:ascii="Calibri" w:hAnsi="Calibri" w:eastAsia="宋体" w:cs="Times New Roman"/>
          <w:b/>
          <w:color w:val="auto"/>
          <w:szCs w:val="21"/>
        </w:rPr>
        <w:t>验收</w:t>
      </w:r>
    </w:p>
    <w:p w14:paraId="54579B31">
      <w:pPr>
        <w:snapToGrid w:val="0"/>
        <w:spacing w:before="120" w:after="120" w:line="32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1. 乙方提供不符合</w:t>
      </w:r>
      <w:r>
        <w:rPr>
          <w:rFonts w:hint="eastAsia" w:ascii="Calibri" w:hAnsi="Calibri" w:eastAsia="宋体" w:cs="Times New Roman"/>
          <w:color w:val="auto"/>
          <w:szCs w:val="21"/>
        </w:rPr>
        <w:t>征集文件、响应文件</w:t>
      </w:r>
      <w:r>
        <w:rPr>
          <w:rFonts w:ascii="Calibri" w:hAnsi="Calibri" w:eastAsia="宋体" w:cs="Times New Roman"/>
          <w:color w:val="auto"/>
          <w:szCs w:val="21"/>
        </w:rPr>
        <w:t>和本合同规定的服务</w:t>
      </w:r>
      <w:r>
        <w:rPr>
          <w:rFonts w:hint="eastAsia" w:ascii="Calibri" w:hAnsi="Calibri" w:eastAsia="宋体" w:cs="Times New Roman"/>
          <w:color w:val="auto"/>
          <w:szCs w:val="21"/>
        </w:rPr>
        <w:t>的</w:t>
      </w:r>
      <w:r>
        <w:rPr>
          <w:rFonts w:ascii="Calibri" w:hAnsi="Calibri" w:eastAsia="宋体" w:cs="Times New Roman"/>
          <w:color w:val="auto"/>
          <w:szCs w:val="21"/>
        </w:rPr>
        <w:t>，甲方有权拒绝接受</w:t>
      </w:r>
      <w:r>
        <w:rPr>
          <w:rFonts w:hint="eastAsia" w:ascii="Calibri" w:hAnsi="Calibri" w:eastAsia="宋体" w:cs="Times New Roman"/>
          <w:color w:val="auto"/>
          <w:szCs w:val="21"/>
        </w:rPr>
        <w:t xml:space="preserve">。 </w:t>
      </w:r>
    </w:p>
    <w:p w14:paraId="2D1332D9">
      <w:pPr>
        <w:snapToGrid w:val="0"/>
        <w:spacing w:before="120" w:after="120" w:line="32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2</w:t>
      </w:r>
      <w:r>
        <w:rPr>
          <w:rFonts w:ascii="Calibri" w:hAnsi="Calibri" w:eastAsia="宋体" w:cs="Times New Roman"/>
          <w:color w:val="auto"/>
          <w:szCs w:val="21"/>
        </w:rPr>
        <w:t>. 甲方委托第三方组织的验收项目，其验收时间以该项目验收方案确定的验收时间为准，验收结果以该项目验收报告结论为准。在验收过程中发现乙方有违约问题，可暂缓资金结算</w:t>
      </w:r>
      <w:r>
        <w:rPr>
          <w:rFonts w:hint="eastAsia" w:ascii="Calibri" w:hAnsi="Calibri" w:eastAsia="宋体" w:cs="Times New Roman"/>
          <w:color w:val="auto"/>
          <w:szCs w:val="21"/>
        </w:rPr>
        <w:t>并停止向乙方委派业务</w:t>
      </w:r>
      <w:r>
        <w:rPr>
          <w:rFonts w:ascii="Calibri" w:hAnsi="Calibri" w:eastAsia="宋体" w:cs="Times New Roman"/>
          <w:color w:val="auto"/>
          <w:szCs w:val="21"/>
        </w:rPr>
        <w:t>，待违约问题解决后，方可办理资金结算事宜</w:t>
      </w:r>
      <w:r>
        <w:rPr>
          <w:rFonts w:hint="eastAsia" w:ascii="Calibri" w:hAnsi="Calibri" w:eastAsia="宋体" w:cs="Times New Roman"/>
          <w:color w:val="auto"/>
          <w:szCs w:val="21"/>
        </w:rPr>
        <w:t>并未委派业务</w:t>
      </w:r>
      <w:r>
        <w:rPr>
          <w:rFonts w:ascii="Calibri" w:hAnsi="Calibri" w:eastAsia="宋体" w:cs="Times New Roman"/>
          <w:color w:val="auto"/>
          <w:szCs w:val="21"/>
        </w:rPr>
        <w:t>。</w:t>
      </w:r>
    </w:p>
    <w:p w14:paraId="179D3482">
      <w:pPr>
        <w:snapToGrid w:val="0"/>
        <w:spacing w:before="120" w:after="120" w:line="32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3</w:t>
      </w:r>
      <w:r>
        <w:rPr>
          <w:rFonts w:ascii="Calibri" w:hAnsi="Calibri" w:eastAsia="宋体" w:cs="Times New Roman"/>
          <w:color w:val="auto"/>
          <w:szCs w:val="21"/>
        </w:rPr>
        <w:t>. 甲方对验收有异议的，在验收后五个工作日内以书面形式向乙方提出，乙方应自收到甲方书面异议后 7 日内及时予以解决。</w:t>
      </w:r>
    </w:p>
    <w:p w14:paraId="7FB73BAF">
      <w:pPr>
        <w:snapToGrid w:val="0"/>
        <w:spacing w:before="120" w:after="120" w:line="32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在项目完成且收到</w:t>
      </w:r>
      <w:r>
        <w:rPr>
          <w:rFonts w:hint="eastAsia" w:ascii="Times New Roman" w:hAnsi="Times New Roman" w:eastAsia="宋体" w:cs="Times New Roman"/>
          <w:color w:val="auto"/>
          <w:szCs w:val="21"/>
          <w:highlight w:val="none"/>
          <w:lang w:val="en-US" w:eastAsia="zh-CN"/>
        </w:rPr>
        <w:t>乙方</w:t>
      </w:r>
      <w:r>
        <w:rPr>
          <w:rFonts w:hint="eastAsia" w:ascii="Times New Roman" w:hAnsi="Times New Roman" w:eastAsia="宋体" w:cs="Times New Roman"/>
          <w:color w:val="auto"/>
          <w:szCs w:val="21"/>
          <w:highlight w:val="none"/>
        </w:rPr>
        <w:t>验收申请后5个工作日内组织开展履约验收。</w:t>
      </w:r>
    </w:p>
    <w:p w14:paraId="738844D5">
      <w:pPr>
        <w:snapToGrid w:val="0"/>
        <w:spacing w:before="120" w:after="120" w:line="32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rPr>
        <w:t>. 其他未尽事宜应严格按照《关于印发广西壮族自治区政府采购项目履约验收管理办法的通知》[桂财采〔2015〕22号]以及《财政部关于进一步加强政府采购需求和履约验收管理的指导意见》[财库〔2016〕205号]规定执行。</w:t>
      </w:r>
    </w:p>
    <w:p w14:paraId="5D9ADFE6">
      <w:pPr>
        <w:snapToGrid w:val="0"/>
        <w:spacing w:before="120" w:after="120" w:line="320" w:lineRule="exact"/>
        <w:ind w:firstLine="420" w:firstLineChars="200"/>
        <w:rPr>
          <w:rFonts w:hint="eastAsia" w:ascii="Calibri" w:hAnsi="Calibri" w:eastAsia="宋体" w:cs="Times New Roman"/>
          <w:color w:val="auto"/>
          <w:szCs w:val="21"/>
        </w:rPr>
      </w:pP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履约验收方案详见附件。</w:t>
      </w:r>
    </w:p>
    <w:p w14:paraId="23269BD9">
      <w:pPr>
        <w:snapToGrid w:val="0"/>
        <w:spacing w:line="360" w:lineRule="exact"/>
        <w:rPr>
          <w:rFonts w:ascii="Calibri" w:hAnsi="Calibri" w:eastAsia="宋体" w:cs="Times New Roman"/>
          <w:b/>
          <w:color w:val="auto"/>
          <w:szCs w:val="21"/>
        </w:rPr>
      </w:pPr>
      <w:r>
        <w:rPr>
          <w:rFonts w:hint="eastAsia" w:ascii="Calibri" w:hAnsi="Calibri" w:eastAsia="宋体" w:cs="Times New Roman"/>
          <w:b/>
          <w:color w:val="auto"/>
          <w:szCs w:val="21"/>
        </w:rPr>
        <w:t xml:space="preserve">第十一条 </w:t>
      </w:r>
      <w:r>
        <w:rPr>
          <w:rFonts w:ascii="Calibri" w:hAnsi="Calibri" w:eastAsia="宋体" w:cs="Times New Roman"/>
          <w:b/>
          <w:color w:val="auto"/>
          <w:szCs w:val="21"/>
        </w:rPr>
        <w:t>违约责任</w:t>
      </w:r>
    </w:p>
    <w:p w14:paraId="49FC503C">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1.</w:t>
      </w:r>
      <w:r>
        <w:rPr>
          <w:rFonts w:ascii="Calibri" w:hAnsi="Calibri" w:eastAsia="微软雅黑" w:cs="Times New Roman"/>
          <w:color w:val="auto"/>
          <w:szCs w:val="21"/>
        </w:rPr>
        <w:t xml:space="preserve"> </w:t>
      </w:r>
      <w:r>
        <w:rPr>
          <w:rFonts w:ascii="Calibri" w:hAnsi="Calibri" w:eastAsia="宋体" w:cs="Times New Roman"/>
          <w:color w:val="auto"/>
          <w:szCs w:val="21"/>
        </w:rPr>
        <w:t>若因乙方原因而未能履行合同或未达到合同约定的要求，甲方有权书面</w:t>
      </w:r>
      <w:r>
        <w:rPr>
          <w:rFonts w:hint="eastAsia" w:ascii="Calibri" w:hAnsi="Calibri" w:eastAsia="宋体" w:cs="Times New Roman"/>
          <w:color w:val="auto"/>
          <w:szCs w:val="21"/>
        </w:rPr>
        <w:t>督促</w:t>
      </w:r>
      <w:r>
        <w:rPr>
          <w:rFonts w:ascii="Calibri" w:hAnsi="Calibri" w:eastAsia="宋体" w:cs="Times New Roman"/>
          <w:color w:val="auto"/>
          <w:szCs w:val="21"/>
        </w:rPr>
        <w:t>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14:paraId="11A09AE7">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0B96BB05">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3. 乙方或乙方人员违反保密义务时，甲方有权书面通知乙方解除合同，且无需支付合同解除后的合同后续费用。同时，</w:t>
      </w:r>
      <w:r>
        <w:rPr>
          <w:rFonts w:hint="eastAsia" w:ascii="Calibri" w:hAnsi="Calibri" w:eastAsia="宋体" w:cs="Times New Roman"/>
          <w:color w:val="auto"/>
          <w:szCs w:val="21"/>
        </w:rPr>
        <w:t>甲方停止委派业务给乙方，</w:t>
      </w:r>
      <w:r>
        <w:rPr>
          <w:rFonts w:ascii="Calibri" w:hAnsi="Calibri" w:eastAsia="宋体" w:cs="Times New Roman"/>
          <w:color w:val="auto"/>
          <w:szCs w:val="21"/>
        </w:rPr>
        <w:t>乙方必须退还甲方已付出的所有咨询费用，并赔偿由此给甲方造成的全部损失。</w:t>
      </w:r>
    </w:p>
    <w:p w14:paraId="0C9AC094">
      <w:pPr>
        <w:snapToGrid w:val="0"/>
        <w:spacing w:line="360" w:lineRule="exact"/>
        <w:ind w:firstLine="420" w:firstLineChars="200"/>
        <w:jc w:val="left"/>
        <w:rPr>
          <w:rFonts w:ascii="Calibri" w:hAnsi="Calibri" w:eastAsia="宋体" w:cs="Times New Roman"/>
          <w:color w:val="auto"/>
          <w:szCs w:val="21"/>
        </w:rPr>
      </w:pPr>
      <w:r>
        <w:rPr>
          <w:rFonts w:ascii="Calibri" w:hAnsi="Calibri" w:eastAsia="宋体" w:cs="Times New Roman"/>
          <w:color w:val="auto"/>
          <w:szCs w:val="21"/>
        </w:rPr>
        <w:t>4. 乙方提供的服务如侵犯了第三方合法权益而引发的任何纠纷或诉讼，均由乙方负责交涉并承担全部责任。</w:t>
      </w:r>
    </w:p>
    <w:p w14:paraId="78F00CD1">
      <w:pPr>
        <w:snapToGrid w:val="0"/>
        <w:spacing w:line="360" w:lineRule="exact"/>
        <w:ind w:firstLine="420" w:firstLineChars="200"/>
        <w:jc w:val="left"/>
        <w:rPr>
          <w:rFonts w:ascii="Calibri" w:hAnsi="Calibri" w:eastAsia="宋体" w:cs="Times New Roman"/>
          <w:color w:val="auto"/>
          <w:szCs w:val="21"/>
        </w:rPr>
      </w:pPr>
      <w:r>
        <w:rPr>
          <w:rFonts w:hint="eastAsia" w:ascii="Calibri" w:hAnsi="Calibri" w:eastAsia="宋体" w:cs="Times New Roman"/>
          <w:color w:val="auto"/>
          <w:szCs w:val="21"/>
        </w:rPr>
        <w:t>5</w:t>
      </w:r>
      <w:r>
        <w:rPr>
          <w:rFonts w:ascii="Calibri" w:hAnsi="Calibri" w:eastAsia="宋体" w:cs="Times New Roman"/>
          <w:color w:val="auto"/>
          <w:szCs w:val="21"/>
        </w:rPr>
        <w:t xml:space="preserve">. </w:t>
      </w:r>
      <w:r>
        <w:rPr>
          <w:rFonts w:hint="eastAsia" w:ascii="Calibri" w:hAnsi="Calibri" w:eastAsia="宋体" w:cs="Times New Roman"/>
          <w:color w:val="auto"/>
          <w:szCs w:val="21"/>
        </w:rPr>
        <w:t>乙方出现</w:t>
      </w:r>
      <w:r>
        <w:rPr>
          <w:rFonts w:hint="eastAsia" w:ascii="Calibri" w:hAnsi="Calibri" w:eastAsia="宋体" w:cs="Times New Roman"/>
          <w:color w:val="auto"/>
          <w:szCs w:val="21"/>
          <w:u w:val="single"/>
        </w:rPr>
        <w:t>1</w:t>
      </w:r>
      <w:r>
        <w:rPr>
          <w:rFonts w:hint="eastAsia" w:ascii="Calibri" w:hAnsi="Calibri" w:eastAsia="宋体" w:cs="Times New Roman"/>
          <w:color w:val="auto"/>
          <w:szCs w:val="21"/>
        </w:rPr>
        <w:t>次损坏审核资料的，给予警告一次；出现</w:t>
      </w:r>
      <w:r>
        <w:rPr>
          <w:rFonts w:hint="eastAsia" w:ascii="Calibri" w:hAnsi="Calibri" w:eastAsia="宋体" w:cs="Times New Roman"/>
          <w:color w:val="auto"/>
          <w:szCs w:val="21"/>
          <w:u w:val="single"/>
        </w:rPr>
        <w:t>2</w:t>
      </w:r>
      <w:r>
        <w:rPr>
          <w:rFonts w:hint="eastAsia" w:ascii="Calibri" w:hAnsi="Calibri" w:eastAsia="宋体" w:cs="Times New Roman"/>
          <w:color w:val="auto"/>
          <w:szCs w:val="21"/>
        </w:rPr>
        <w:t>次损坏审核资料或</w:t>
      </w:r>
      <w:r>
        <w:rPr>
          <w:rFonts w:hint="eastAsia" w:ascii="Calibri" w:hAnsi="Calibri" w:eastAsia="宋体" w:cs="Times New Roman"/>
          <w:color w:val="auto"/>
          <w:szCs w:val="21"/>
          <w:u w:val="single"/>
        </w:rPr>
        <w:t>1</w:t>
      </w:r>
      <w:r>
        <w:rPr>
          <w:rFonts w:hint="eastAsia" w:ascii="Calibri" w:hAnsi="Calibri" w:eastAsia="宋体" w:cs="Times New Roman"/>
          <w:color w:val="auto"/>
          <w:szCs w:val="21"/>
        </w:rPr>
        <w:t>次丢失审核资料，终止合同，并按情节轻重究其责任。</w:t>
      </w:r>
    </w:p>
    <w:p w14:paraId="5DF0D833">
      <w:pPr>
        <w:snapToGrid w:val="0"/>
        <w:spacing w:line="36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6</w:t>
      </w:r>
      <w:r>
        <w:rPr>
          <w:rFonts w:ascii="Calibri" w:hAnsi="Calibri" w:eastAsia="宋体" w:cs="Times New Roman"/>
          <w:color w:val="auto"/>
          <w:szCs w:val="21"/>
        </w:rPr>
        <w:t>. 乙方未按本合同和响应文件中规定的服务承诺提供售后服务的，乙方应按本合同合计金额</w:t>
      </w:r>
      <w:r>
        <w:rPr>
          <w:rFonts w:ascii="Calibri" w:hAnsi="Calibri" w:eastAsia="宋体" w:cs="Times New Roman"/>
          <w:color w:val="auto"/>
          <w:szCs w:val="21"/>
          <w:u w:val="single"/>
        </w:rPr>
        <w:t xml:space="preserve"> 5%</w:t>
      </w:r>
      <w:r>
        <w:rPr>
          <w:rFonts w:ascii="Calibri" w:hAnsi="Calibri" w:eastAsia="宋体" w:cs="Times New Roman"/>
          <w:color w:val="auto"/>
          <w:szCs w:val="21"/>
        </w:rPr>
        <w:t>向甲方支付违约金。</w:t>
      </w:r>
    </w:p>
    <w:p w14:paraId="44C72AE2">
      <w:pPr>
        <w:snapToGrid w:val="0"/>
        <w:spacing w:line="360" w:lineRule="exact"/>
        <w:ind w:firstLine="420" w:firstLineChars="200"/>
        <w:rPr>
          <w:rFonts w:ascii="Calibri" w:hAnsi="Calibri" w:eastAsia="宋体" w:cs="Times New Roman"/>
          <w:color w:val="auto"/>
        </w:rPr>
      </w:pPr>
      <w:r>
        <w:rPr>
          <w:rFonts w:hint="eastAsia" w:ascii="Calibri" w:hAnsi="Calibri" w:eastAsia="宋体" w:cs="Times New Roman"/>
          <w:color w:val="auto"/>
          <w:szCs w:val="21"/>
        </w:rPr>
        <w:t>7.乙方不得将委托的服务工作内容透露给除甲方或采购人以外的任何单位或个人。如发现并经查实的，甲方有权终止框架协议并追究违约责任。</w:t>
      </w:r>
    </w:p>
    <w:p w14:paraId="49BA5F13">
      <w:pPr>
        <w:snapToGrid w:val="0"/>
        <w:spacing w:line="360" w:lineRule="exact"/>
        <w:ind w:firstLine="420" w:firstLineChars="200"/>
        <w:rPr>
          <w:rFonts w:ascii="Calibri" w:hAnsi="Calibri" w:eastAsia="宋体" w:cs="Times New Roman"/>
          <w:color w:val="auto"/>
        </w:rPr>
      </w:pPr>
      <w:r>
        <w:rPr>
          <w:rFonts w:hint="eastAsia" w:ascii="Calibri" w:hAnsi="Calibri" w:eastAsia="宋体" w:cs="Times New Roman"/>
          <w:color w:val="auto"/>
        </w:rPr>
        <w:t>8.乙方已接受委托审核某工程项目上限控制价的，不能代理该项目招标代理工作，不能与该工程项目有关的投标人提供与该工程项目投标有关的服务；如发现并经查实的，甲方有权终止框架协议并追究违约责任。</w:t>
      </w:r>
    </w:p>
    <w:p w14:paraId="22BD1D91">
      <w:pPr>
        <w:snapToGrid w:val="0"/>
        <w:spacing w:line="360" w:lineRule="exact"/>
        <w:ind w:firstLine="420" w:firstLineChars="200"/>
        <w:rPr>
          <w:rFonts w:hint="eastAsia" w:ascii="Calibri" w:hAnsi="Calibri" w:eastAsia="宋体" w:cs="Times New Roman"/>
          <w:color w:val="auto"/>
        </w:rPr>
      </w:pPr>
      <w:r>
        <w:rPr>
          <w:rFonts w:hint="eastAsia" w:ascii="Calibri" w:hAnsi="Calibri" w:eastAsia="宋体" w:cs="Times New Roman"/>
          <w:color w:val="auto"/>
        </w:rPr>
        <w:t>9.乙方及其审核人员工作出现重大过失，故意提供不实或内容虚假的审核工作底稿，给审核工作造成损失或严重后果的，不得再参与财政投资审核业务。有触犯相关法律的，将承担相应的法律责任。</w:t>
      </w:r>
    </w:p>
    <w:p w14:paraId="0CAB898D">
      <w:pPr>
        <w:snapToGrid w:val="0"/>
        <w:spacing w:line="360" w:lineRule="exact"/>
        <w:ind w:firstLine="420" w:firstLineChars="200"/>
        <w:rPr>
          <w:rFonts w:hint="eastAsia" w:ascii="Calibri" w:hAnsi="Calibri" w:eastAsia="宋体" w:cs="Times New Roman"/>
          <w:color w:val="auto"/>
        </w:rPr>
      </w:pPr>
      <w:r>
        <w:rPr>
          <w:rFonts w:hint="eastAsia" w:ascii="Calibri" w:hAnsi="Calibri" w:eastAsia="宋体" w:cs="Times New Roman"/>
          <w:color w:val="auto"/>
        </w:rPr>
        <w:t>10.乙方审核人员在审核业务中因涉嫌玩忽职守、徇私舞弊或违反回避制度等行为，给审核工作造成损失或严重后果的，将按国家有关规定给予相应处罚。</w:t>
      </w:r>
    </w:p>
    <w:p w14:paraId="526D062B">
      <w:pPr>
        <w:snapToGrid w:val="0"/>
        <w:spacing w:line="360" w:lineRule="exact"/>
        <w:ind w:firstLine="420" w:firstLineChars="200"/>
        <w:rPr>
          <w:rFonts w:ascii="Calibri" w:hAnsi="Calibri" w:eastAsia="宋体" w:cs="Times New Roman"/>
          <w:color w:val="auto"/>
        </w:rPr>
      </w:pPr>
      <w:r>
        <w:rPr>
          <w:rFonts w:hint="eastAsia" w:ascii="Calibri" w:hAnsi="Calibri" w:eastAsia="宋体" w:cs="Times New Roman"/>
          <w:color w:val="auto"/>
        </w:rPr>
        <w:t>11.实行廉政建设一票否决制。审核服务期内乙方审核人员发生违规违纪现象的，由甲方或采购人责令其限期整改，情节严重的将终止框架协议，并提请有关部门对相关人员和乙方依法处理。</w:t>
      </w:r>
    </w:p>
    <w:p w14:paraId="268DEEE1">
      <w:pPr>
        <w:snapToGrid w:val="0"/>
        <w:spacing w:line="36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13</w:t>
      </w:r>
      <w:r>
        <w:rPr>
          <w:rFonts w:ascii="Calibri" w:hAnsi="Calibri" w:eastAsia="宋体" w:cs="Times New Roman"/>
          <w:color w:val="auto"/>
          <w:szCs w:val="21"/>
        </w:rPr>
        <w:t>. 其它违约行为按违约服务成果费用金额5%收取违约金并赔偿经济损失。</w:t>
      </w:r>
    </w:p>
    <w:p w14:paraId="6EFA1168">
      <w:pPr>
        <w:snapToGrid w:val="0"/>
        <w:spacing w:line="360" w:lineRule="exact"/>
        <w:rPr>
          <w:rFonts w:ascii="Calibri" w:hAnsi="Calibri" w:eastAsia="宋体" w:cs="Times New Roman"/>
          <w:b/>
          <w:color w:val="auto"/>
          <w:szCs w:val="21"/>
        </w:rPr>
      </w:pPr>
      <w:r>
        <w:rPr>
          <w:rFonts w:ascii="Calibri" w:hAnsi="Calibri" w:eastAsia="宋体" w:cs="Times New Roman"/>
          <w:b/>
          <w:color w:val="auto"/>
          <w:szCs w:val="21"/>
        </w:rPr>
        <w:t>第十</w:t>
      </w:r>
      <w:r>
        <w:rPr>
          <w:rFonts w:hint="eastAsia" w:ascii="Calibri" w:hAnsi="Calibri" w:eastAsia="宋体" w:cs="Times New Roman"/>
          <w:b/>
          <w:color w:val="auto"/>
          <w:szCs w:val="21"/>
        </w:rPr>
        <w:t>二</w:t>
      </w:r>
      <w:r>
        <w:rPr>
          <w:rFonts w:ascii="Calibri" w:hAnsi="Calibri" w:eastAsia="宋体" w:cs="Times New Roman"/>
          <w:b/>
          <w:color w:val="auto"/>
          <w:szCs w:val="21"/>
        </w:rPr>
        <w:t>条 不可抗力事件处理</w:t>
      </w:r>
    </w:p>
    <w:p w14:paraId="446453AD">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1. 在合同有效期内，任何一方因不可抗力事件导致不能履行合同，则合同履行期可延长，其延长期与不可抗力影响期相同。</w:t>
      </w:r>
    </w:p>
    <w:p w14:paraId="6A9D239E">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2. 不可抗力事件发生后，应立即通知对方，并寄送有关权威机构出具的证明。</w:t>
      </w:r>
    </w:p>
    <w:p w14:paraId="56B96FB9">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3. 不可抗力事件延续</w:t>
      </w:r>
      <w:r>
        <w:rPr>
          <w:rFonts w:hint="eastAsia" w:ascii="Calibri" w:hAnsi="Calibri" w:eastAsia="宋体" w:cs="Times New Roman"/>
          <w:color w:val="auto"/>
          <w:szCs w:val="21"/>
        </w:rPr>
        <w:t>三十</w:t>
      </w:r>
      <w:r>
        <w:rPr>
          <w:rFonts w:ascii="Calibri" w:hAnsi="Calibri" w:eastAsia="宋体" w:cs="Times New Roman"/>
          <w:color w:val="auto"/>
          <w:szCs w:val="21"/>
        </w:rPr>
        <w:t>天以上，双方应通过友好协商，确定是否继续履行合同。</w:t>
      </w:r>
    </w:p>
    <w:p w14:paraId="2D6F3288">
      <w:pPr>
        <w:snapToGrid w:val="0"/>
        <w:spacing w:line="360" w:lineRule="exact"/>
        <w:rPr>
          <w:rFonts w:ascii="Calibri" w:hAnsi="Calibri" w:eastAsia="宋体" w:cs="Times New Roman"/>
          <w:b/>
          <w:color w:val="auto"/>
          <w:szCs w:val="21"/>
        </w:rPr>
      </w:pPr>
      <w:r>
        <w:rPr>
          <w:rFonts w:ascii="Calibri" w:hAnsi="Calibri" w:eastAsia="宋体" w:cs="Times New Roman"/>
          <w:b/>
          <w:color w:val="auto"/>
          <w:szCs w:val="21"/>
        </w:rPr>
        <w:t>第十</w:t>
      </w:r>
      <w:r>
        <w:rPr>
          <w:rFonts w:hint="eastAsia" w:ascii="Calibri" w:hAnsi="Calibri" w:eastAsia="宋体" w:cs="Times New Roman"/>
          <w:b/>
          <w:color w:val="auto"/>
          <w:szCs w:val="21"/>
        </w:rPr>
        <w:t>三</w:t>
      </w:r>
      <w:r>
        <w:rPr>
          <w:rFonts w:ascii="Calibri" w:hAnsi="Calibri" w:eastAsia="宋体" w:cs="Times New Roman"/>
          <w:b/>
          <w:color w:val="auto"/>
          <w:szCs w:val="21"/>
        </w:rPr>
        <w:t>条</w:t>
      </w:r>
      <w:r>
        <w:rPr>
          <w:rFonts w:hint="eastAsia" w:ascii="Calibri" w:hAnsi="Calibri" w:eastAsia="宋体" w:cs="Times New Roman"/>
          <w:b/>
          <w:color w:val="auto"/>
          <w:szCs w:val="21"/>
        </w:rPr>
        <w:t xml:space="preserve"> </w:t>
      </w:r>
      <w:r>
        <w:rPr>
          <w:rFonts w:ascii="Calibri" w:hAnsi="Calibri" w:eastAsia="宋体" w:cs="Times New Roman"/>
          <w:b/>
          <w:color w:val="auto"/>
          <w:szCs w:val="21"/>
        </w:rPr>
        <w:t>争议解决</w:t>
      </w:r>
    </w:p>
    <w:p w14:paraId="7F2561B3">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1. 因服务成果质量问题发生争议的，应邀请国家认</w:t>
      </w:r>
      <w:r>
        <w:rPr>
          <w:rFonts w:hint="eastAsia" w:ascii="Calibri" w:hAnsi="Calibri" w:eastAsia="宋体" w:cs="Times New Roman"/>
          <w:color w:val="auto"/>
          <w:szCs w:val="21"/>
        </w:rPr>
        <w:t>定</w:t>
      </w:r>
      <w:r>
        <w:rPr>
          <w:rFonts w:ascii="Calibri" w:hAnsi="Calibri" w:eastAsia="宋体" w:cs="Times New Roman"/>
          <w:color w:val="auto"/>
          <w:szCs w:val="21"/>
        </w:rPr>
        <w:t>的评估机构按照标准对服务成果质量进行验收。服务成果符合标准的，鉴定费由甲方承担；服务成果不符合标准的，鉴定费由乙方承担。</w:t>
      </w:r>
    </w:p>
    <w:p w14:paraId="14327840">
      <w:pPr>
        <w:snapToGrid w:val="0"/>
        <w:spacing w:line="360" w:lineRule="exact"/>
        <w:ind w:firstLine="420" w:firstLineChars="200"/>
        <w:rPr>
          <w:rFonts w:ascii="Calibri" w:hAnsi="Calibri" w:eastAsia="宋体" w:cs="Times New Roman"/>
          <w:color w:val="auto"/>
          <w:szCs w:val="21"/>
        </w:rPr>
      </w:pPr>
      <w:r>
        <w:rPr>
          <w:rFonts w:ascii="Calibri" w:hAnsi="Calibri" w:eastAsia="宋体" w:cs="Times New Roman"/>
          <w:color w:val="auto"/>
          <w:szCs w:val="21"/>
        </w:rPr>
        <w:t>2. 因履行本合同引起的或与本合同有关的争议，甲乙双方应首先通过友好协商解决，如果协商不能解决，可向甲方所在地人民法院提起诉讼。</w:t>
      </w:r>
    </w:p>
    <w:p w14:paraId="3C94092B">
      <w:pPr>
        <w:snapToGrid w:val="0"/>
        <w:spacing w:before="120" w:after="120" w:line="320" w:lineRule="exact"/>
        <w:ind w:firstLine="420" w:firstLineChars="200"/>
        <w:rPr>
          <w:rFonts w:hint="eastAsia" w:ascii="Calibri" w:hAnsi="Calibri" w:eastAsia="宋体" w:cs="Times New Roman"/>
          <w:b/>
          <w:bCs/>
          <w:color w:val="auto"/>
          <w:szCs w:val="21"/>
        </w:rPr>
      </w:pPr>
      <w:r>
        <w:rPr>
          <w:rFonts w:ascii="Calibri" w:hAnsi="Calibri" w:eastAsia="宋体" w:cs="Times New Roman"/>
          <w:color w:val="auto"/>
          <w:szCs w:val="21"/>
        </w:rPr>
        <w:t>3. 诉讼期间，本合同继续履行。</w:t>
      </w:r>
    </w:p>
    <w:p w14:paraId="4191631F">
      <w:pPr>
        <w:snapToGrid w:val="0"/>
        <w:spacing w:before="120" w:after="120" w:line="320" w:lineRule="exact"/>
        <w:rPr>
          <w:rFonts w:hint="eastAsia" w:ascii="Calibri" w:hAnsi="Calibri" w:eastAsia="宋体" w:cs="Times New Roman"/>
          <w:b/>
          <w:bCs/>
          <w:color w:val="auto"/>
          <w:szCs w:val="21"/>
        </w:rPr>
      </w:pPr>
      <w:r>
        <w:rPr>
          <w:rFonts w:hint="eastAsia" w:ascii="Calibri" w:hAnsi="Calibri" w:eastAsia="宋体" w:cs="Times New Roman"/>
          <w:b/>
          <w:bCs/>
          <w:color w:val="auto"/>
          <w:szCs w:val="21"/>
        </w:rPr>
        <w:t>第十四条 其他</w:t>
      </w:r>
    </w:p>
    <w:p w14:paraId="445556D4">
      <w:pPr>
        <w:snapToGrid w:val="0"/>
        <w:spacing w:before="120" w:after="120" w:line="320" w:lineRule="exact"/>
        <w:ind w:firstLine="420" w:firstLineChars="200"/>
        <w:rPr>
          <w:rFonts w:hint="eastAsia" w:ascii="Calibri" w:hAnsi="Calibri" w:eastAsia="宋体" w:cs="Times New Roman"/>
          <w:b/>
          <w:bCs/>
          <w:color w:val="auto"/>
          <w:szCs w:val="21"/>
        </w:rPr>
      </w:pPr>
      <w:r>
        <w:rPr>
          <w:rFonts w:hint="eastAsia" w:ascii="Calibri" w:hAnsi="Calibri" w:eastAsia="宋体" w:cs="Times New Roman"/>
          <w:color w:val="auto"/>
          <w:szCs w:val="21"/>
        </w:rPr>
        <w:t>1．本协议原则上由双方代表人签订并加盖单位公章后生效。</w:t>
      </w:r>
      <w:r>
        <w:rPr>
          <w:rFonts w:hint="eastAsia" w:ascii="Calibri" w:hAnsi="Calibri" w:eastAsia="宋体" w:cs="Times New Roman"/>
          <w:b/>
          <w:bCs/>
          <w:color w:val="auto"/>
          <w:szCs w:val="21"/>
        </w:rPr>
        <w:t xml:space="preserve"> </w:t>
      </w:r>
    </w:p>
    <w:p w14:paraId="0C298746">
      <w:pPr>
        <w:snapToGrid w:val="0"/>
        <w:spacing w:before="120" w:after="120" w:line="320" w:lineRule="exact"/>
        <w:ind w:firstLine="420" w:firstLineChars="200"/>
        <w:jc w:val="left"/>
        <w:rPr>
          <w:rFonts w:hint="eastAsia" w:ascii="Calibri" w:hAnsi="Calibri" w:eastAsia="宋体" w:cs="Times New Roman"/>
          <w:color w:val="auto"/>
          <w:szCs w:val="21"/>
        </w:rPr>
      </w:pPr>
      <w:r>
        <w:rPr>
          <w:rFonts w:hint="eastAsia" w:ascii="Calibri" w:hAnsi="Calibri" w:eastAsia="宋体" w:cs="Times New Roman"/>
          <w:color w:val="auto"/>
          <w:szCs w:val="21"/>
        </w:rPr>
        <w:t>2．本协议为框架协议，具体项目具体事宜需在采购合同中进一步予以明确。框架协议与采购合同构成不可分割的整体。</w:t>
      </w:r>
    </w:p>
    <w:p w14:paraId="573E9FB3">
      <w:pPr>
        <w:snapToGrid w:val="0"/>
        <w:spacing w:before="120" w:after="120" w:line="320" w:lineRule="exact"/>
        <w:ind w:firstLine="420" w:firstLineChars="200"/>
        <w:jc w:val="left"/>
        <w:rPr>
          <w:rFonts w:ascii="Times New Roman" w:hAnsi="Times New Roman" w:eastAsia="宋体" w:cs="Times New Roman"/>
          <w:color w:val="auto"/>
          <w:szCs w:val="21"/>
          <w:highlight w:val="none"/>
        </w:rPr>
      </w:pPr>
      <w:r>
        <w:rPr>
          <w:rFonts w:hint="eastAsia" w:ascii="Calibri" w:hAnsi="Calibri" w:eastAsia="宋体" w:cs="Times New Roman"/>
          <w:color w:val="auto"/>
          <w:szCs w:val="21"/>
        </w:rPr>
        <w:t>3．本协议一式五份，双方各执二份，采购代理机构一份，具有同等法律效力。</w:t>
      </w:r>
    </w:p>
    <w:p w14:paraId="518448BC">
      <w:pPr>
        <w:snapToGrid w:val="0"/>
        <w:spacing w:before="120" w:after="120" w:line="320" w:lineRule="exact"/>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协议甲方名称（盖章）：_________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协议乙方名称（盖章）：_____________</w:t>
      </w:r>
    </w:p>
    <w:p w14:paraId="06FA83AD">
      <w:pPr>
        <w:snapToGrid w:val="0"/>
        <w:spacing w:before="120" w:after="120" w:line="320" w:lineRule="exact"/>
        <w:jc w:val="lef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 xml:space="preserve">地址：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地址：</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p w14:paraId="7824609C">
      <w:pPr>
        <w:snapToGrid w:val="0"/>
        <w:spacing w:before="120" w:after="120" w:line="32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联系方式：</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联系方式：</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 xml:space="preserve">                        </w:t>
      </w:r>
    </w:p>
    <w:p w14:paraId="306C0DE7">
      <w:pPr>
        <w:snapToGrid w:val="0"/>
        <w:spacing w:before="120" w:after="120" w:line="32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代表签字：_________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代表签字：_________</w:t>
      </w:r>
    </w:p>
    <w:p w14:paraId="666CEEBB">
      <w:pPr>
        <w:snapToGrid w:val="0"/>
        <w:spacing w:before="120" w:after="120" w:line="320" w:lineRule="exact"/>
        <w:jc w:val="left"/>
        <w:rPr>
          <w:rFonts w:hint="eastAsia"/>
          <w:color w:val="auto"/>
          <w:szCs w:val="21"/>
          <w:highlight w:val="none"/>
        </w:rPr>
      </w:pPr>
      <w:r>
        <w:rPr>
          <w:rFonts w:hint="eastAsia" w:ascii="Times New Roman" w:hAnsi="Times New Roman" w:eastAsia="宋体" w:cs="Times New Roman"/>
          <w:color w:val="auto"/>
          <w:szCs w:val="21"/>
          <w:highlight w:val="none"/>
        </w:rPr>
        <w:t xml:space="preserve">日期：____年____月____日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日期：____年____月____日</w:t>
      </w:r>
    </w:p>
    <w:p w14:paraId="5C128D2C">
      <w:pPr>
        <w:spacing w:before="120" w:line="320" w:lineRule="exact"/>
        <w:rPr>
          <w:rFonts w:ascii="仿宋" w:hAnsi="仿宋" w:eastAsia="仿宋"/>
          <w:color w:val="auto"/>
          <w:szCs w:val="21"/>
          <w:highlight w:val="none"/>
          <w:u w:val="single"/>
        </w:rPr>
      </w:pPr>
    </w:p>
    <w:p w14:paraId="61AEB638">
      <w:pPr>
        <w:spacing w:before="120" w:line="320" w:lineRule="atLeast"/>
        <w:jc w:val="left"/>
        <w:outlineLvl w:val="1"/>
        <w:rPr>
          <w:rFonts w:hint="eastAsia" w:ascii="Times New Roman" w:hAnsi="Times New Roman" w:eastAsia="宋体" w:cs="Times New Roman"/>
          <w:b/>
          <w:bCs/>
          <w:color w:val="auto"/>
          <w:kern w:val="0"/>
          <w:szCs w:val="21"/>
          <w:highlight w:val="none"/>
        </w:rPr>
      </w:pPr>
      <w:r>
        <w:rPr>
          <w:rFonts w:ascii="Times New Roman" w:hAnsi="Times New Roman" w:cs="Times New Roman"/>
          <w:color w:val="auto"/>
          <w:highlight w:val="none"/>
        </w:rPr>
        <w:br w:type="page"/>
      </w:r>
      <w:bookmarkEnd w:id="79"/>
      <w:bookmarkStart w:id="82" w:name="_Toc16303"/>
      <w:r>
        <w:rPr>
          <w:rFonts w:ascii="Times New Roman" w:hAnsi="Times New Roman" w:eastAsia="宋体" w:cs="Times New Roman"/>
          <w:b/>
          <w:bCs/>
          <w:color w:val="auto"/>
          <w:kern w:val="0"/>
          <w:szCs w:val="21"/>
          <w:highlight w:val="none"/>
        </w:rPr>
        <w:t>附件</w:t>
      </w:r>
      <w:r>
        <w:rPr>
          <w:rFonts w:hint="eastAsia" w:ascii="Times New Roman" w:hAnsi="Times New Roman" w:eastAsia="宋体" w:cs="Times New Roman"/>
          <w:b/>
          <w:bCs/>
          <w:color w:val="auto"/>
          <w:kern w:val="0"/>
          <w:szCs w:val="21"/>
          <w:highlight w:val="none"/>
        </w:rPr>
        <w:t>1</w:t>
      </w:r>
    </w:p>
    <w:p w14:paraId="5CDE7B44">
      <w:pPr>
        <w:snapToGrid w:val="0"/>
        <w:spacing w:line="360" w:lineRule="exact"/>
        <w:jc w:val="center"/>
        <w:rPr>
          <w:rFonts w:ascii="Times New Roman" w:hAnsi="Times New Roman" w:eastAsia="宋体" w:cs="Times New Roman"/>
          <w:b/>
          <w:bCs/>
          <w:color w:val="auto"/>
          <w:szCs w:val="21"/>
          <w:highlight w:val="none"/>
        </w:rPr>
      </w:pPr>
    </w:p>
    <w:p w14:paraId="2A67433E">
      <w:pPr>
        <w:snapToGrid w:val="0"/>
        <w:spacing w:line="360" w:lineRule="exact"/>
        <w:jc w:val="center"/>
        <w:rPr>
          <w:rFonts w:ascii="Times New Roman" w:hAnsi="Times New Roman" w:eastAsia="宋体" w:cs="Times New Roman"/>
          <w:b/>
          <w:bCs/>
          <w:color w:val="auto"/>
          <w:sz w:val="24"/>
          <w:highlight w:val="none"/>
        </w:rPr>
      </w:pPr>
      <w:r>
        <w:rPr>
          <w:rFonts w:ascii="Times New Roman" w:hAnsi="Times New Roman" w:eastAsia="宋体" w:cs="Times New Roman"/>
          <w:b/>
          <w:bCs/>
          <w:color w:val="auto"/>
          <w:sz w:val="24"/>
          <w:highlight w:val="none"/>
        </w:rPr>
        <w:t>履约</w:t>
      </w:r>
      <w:r>
        <w:rPr>
          <w:rFonts w:hint="eastAsia" w:ascii="Times New Roman" w:hAnsi="Times New Roman" w:eastAsia="宋体" w:cs="Times New Roman"/>
          <w:b/>
          <w:bCs/>
          <w:color w:val="auto"/>
          <w:sz w:val="24"/>
          <w:highlight w:val="none"/>
        </w:rPr>
        <w:t>验收方案</w:t>
      </w:r>
    </w:p>
    <w:p w14:paraId="11F5CE41">
      <w:pPr>
        <w:widowControl/>
        <w:jc w:val="left"/>
        <w:rPr>
          <w:rFonts w:ascii="Times New Roman" w:hAnsi="Times New Roman" w:eastAsia="宋体" w:cs="Times New Roman"/>
          <w:color w:val="auto"/>
          <w:szCs w:val="21"/>
          <w:highlight w:val="none"/>
        </w:rPr>
      </w:pPr>
    </w:p>
    <w:p w14:paraId="76C02BE7">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1.履约验收工作参加人员</w:t>
      </w:r>
    </w:p>
    <w:p w14:paraId="248B1FE3">
      <w:pPr>
        <w:spacing w:before="120" w:line="32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1.1履约验收主体单位</w:t>
      </w:r>
    </w:p>
    <w:p w14:paraId="5DDA35CC">
      <w:pPr>
        <w:spacing w:before="120" w:line="320" w:lineRule="exact"/>
        <w:ind w:firstLine="420" w:firstLineChars="200"/>
        <w:jc w:val="left"/>
        <w:rPr>
          <w:rFonts w:ascii="宋体" w:hAnsi="宋体" w:eastAsia="宋体" w:cs="宋体"/>
          <w:color w:val="auto"/>
          <w:szCs w:val="21"/>
          <w:highlight w:val="none"/>
          <w:u w:val="single"/>
        </w:rPr>
      </w:pPr>
      <w:r>
        <w:rPr>
          <w:rStyle w:val="58"/>
          <w:rFonts w:hint="eastAsia" w:ascii="Times New Roman" w:hAnsi="Times New Roman" w:eastAsia="宋体" w:cs="Times New Roman"/>
          <w:color w:val="auto"/>
          <w:highlight w:val="none"/>
        </w:rPr>
        <w:t>采购人或采购人委托的机构</w:t>
      </w:r>
    </w:p>
    <w:p w14:paraId="5DD1D1C6">
      <w:pPr>
        <w:spacing w:before="120" w:line="32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1.2履约验收参加人员</w:t>
      </w:r>
    </w:p>
    <w:p w14:paraId="466802C8">
      <w:pPr>
        <w:spacing w:before="120" w:line="320" w:lineRule="exact"/>
        <w:ind w:firstLine="420" w:firstLineChars="200"/>
        <w:jc w:val="left"/>
        <w:rPr>
          <w:rFonts w:ascii="宋体" w:hAnsi="宋体" w:eastAsia="宋体" w:cs="宋体"/>
          <w:color w:val="auto"/>
          <w:szCs w:val="21"/>
          <w:highlight w:val="none"/>
          <w:u w:val="single"/>
        </w:rPr>
      </w:pPr>
      <w:r>
        <w:rPr>
          <w:rFonts w:hint="eastAsia" w:ascii="Times New Roman" w:hAnsi="Times New Roman" w:eastAsia="宋体" w:cs="Times New Roman"/>
          <w:color w:val="auto"/>
          <w:highlight w:val="none"/>
        </w:rPr>
        <w:t>采购人代表、委托机构代表、成交供应商代表及采购人邀请的其他人员</w:t>
      </w:r>
    </w:p>
    <w:p w14:paraId="0F2250E0">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2.履约验收时间</w:t>
      </w:r>
    </w:p>
    <w:p w14:paraId="76B66E20">
      <w:pPr>
        <w:spacing w:before="120"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20XX年XX月XX日</w:t>
      </w:r>
    </w:p>
    <w:p w14:paraId="0E90F65C">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3.履约验收地点</w:t>
      </w:r>
    </w:p>
    <w:p w14:paraId="3DD46328">
      <w:pPr>
        <w:spacing w:before="120"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XX市XX区XX路XX号</w:t>
      </w:r>
    </w:p>
    <w:p w14:paraId="56D528E8">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4.履约验收方式</w:t>
      </w:r>
    </w:p>
    <w:p w14:paraId="05E1233A">
      <w:pPr>
        <w:spacing w:before="120" w:line="320" w:lineRule="exact"/>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采购人自行验收</w:t>
      </w:r>
    </w:p>
    <w:p w14:paraId="7F8A0D4A">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5.履约验收程序</w:t>
      </w:r>
    </w:p>
    <w:p w14:paraId="193CB89C">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5.1成立验收小组</w:t>
      </w:r>
    </w:p>
    <w:p w14:paraId="528861B4">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量化验收标准</w:t>
      </w:r>
    </w:p>
    <w:p w14:paraId="6287CDCE">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组织验收</w:t>
      </w:r>
    </w:p>
    <w:p w14:paraId="1AB17BCB">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出具验收报告</w:t>
      </w:r>
    </w:p>
    <w:p w14:paraId="2666BD69">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ascii="宋体" w:hAnsi="宋体" w:eastAsia="宋体" w:cs="宋体"/>
          <w:b/>
          <w:bCs/>
          <w:color w:val="auto"/>
          <w:szCs w:val="21"/>
          <w:highlight w:val="none"/>
        </w:rPr>
        <w:t>5</w:t>
      </w:r>
      <w:r>
        <w:rPr>
          <w:rFonts w:hint="eastAsia" w:ascii="宋体" w:hAnsi="宋体" w:eastAsia="宋体" w:cs="宋体"/>
          <w:b/>
          <w:bCs/>
          <w:color w:val="auto"/>
          <w:szCs w:val="21"/>
          <w:highlight w:val="none"/>
        </w:rPr>
        <w:t>验收结果公告</w:t>
      </w:r>
    </w:p>
    <w:p w14:paraId="2AE0D020">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ascii="宋体" w:hAnsi="宋体" w:eastAsia="宋体" w:cs="宋体"/>
          <w:b/>
          <w:bCs/>
          <w:color w:val="auto"/>
          <w:szCs w:val="21"/>
          <w:highlight w:val="none"/>
        </w:rPr>
        <w:t>6</w:t>
      </w:r>
      <w:r>
        <w:rPr>
          <w:rFonts w:hint="eastAsia" w:ascii="宋体" w:hAnsi="宋体" w:eastAsia="宋体" w:cs="宋体"/>
          <w:b/>
          <w:bCs/>
          <w:color w:val="auto"/>
          <w:szCs w:val="21"/>
          <w:highlight w:val="none"/>
        </w:rPr>
        <w:t>验收资料归档</w:t>
      </w:r>
    </w:p>
    <w:p w14:paraId="18CCE983">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采购合同项目完成验收后，采购人整理好验收原始记录等资料后妥善保管，不得变造、隐匿或者销毁，验收资料保存期为采购结束之日起至少保存15年。</w:t>
      </w:r>
    </w:p>
    <w:p w14:paraId="31A92D27">
      <w:pPr>
        <w:spacing w:before="120" w:line="320" w:lineRule="exact"/>
        <w:jc w:val="left"/>
        <w:rPr>
          <w:rFonts w:ascii="宋体" w:hAnsi="宋体" w:eastAsia="宋体" w:cs="宋体"/>
          <w:b/>
          <w:bCs/>
          <w:iCs/>
          <w:color w:val="auto"/>
          <w:szCs w:val="21"/>
          <w:highlight w:val="none"/>
        </w:rPr>
      </w:pPr>
      <w:r>
        <w:rPr>
          <w:rFonts w:hint="eastAsia" w:ascii="宋体" w:hAnsi="宋体" w:eastAsia="宋体" w:cs="宋体"/>
          <w:b/>
          <w:bCs/>
          <w:color w:val="auto"/>
          <w:szCs w:val="21"/>
          <w:highlight w:val="none"/>
        </w:rPr>
        <w:t>6.履约验收内容</w:t>
      </w:r>
    </w:p>
    <w:p w14:paraId="51A035F9">
      <w:pPr>
        <w:spacing w:before="120" w:line="320" w:lineRule="exact"/>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对采购服务的人员选派及工作配合情况、评审时效、评审质量、评审报告编写及文本情况、急件项目加分、质量时效问题、廉政职业道德等进行验收，按</w:t>
      </w:r>
      <w:r>
        <w:rPr>
          <w:rFonts w:hint="eastAsia" w:ascii="Times New Roman" w:hAnsi="Times New Roman" w:eastAsia="宋体" w:cs="Times New Roman"/>
          <w:color w:val="auto"/>
          <w:szCs w:val="21"/>
          <w:highlight w:val="none"/>
        </w:rPr>
        <w:t>《广西壮族自治区财政投资评审中心协作机构考评办法》执行</w:t>
      </w:r>
      <w:r>
        <w:rPr>
          <w:rFonts w:hint="eastAsia" w:ascii="宋体" w:hAnsi="宋体" w:eastAsia="宋体" w:cs="宋体"/>
          <w:color w:val="auto"/>
          <w:szCs w:val="21"/>
          <w:highlight w:val="none"/>
        </w:rPr>
        <w:t>。</w:t>
      </w:r>
    </w:p>
    <w:p w14:paraId="5295ABBD">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7.履约验收标准</w:t>
      </w:r>
    </w:p>
    <w:p w14:paraId="026E02EE">
      <w:pPr>
        <w:pStyle w:val="134"/>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4711C53C">
      <w:pPr>
        <w:pStyle w:val="134"/>
        <w:spacing w:before="120" w:line="320" w:lineRule="exact"/>
        <w:ind w:firstLine="420"/>
        <w:rPr>
          <w:rFonts w:ascii="宋体" w:hAnsi="宋体" w:cs="宋体"/>
          <w:color w:val="auto"/>
          <w:sz w:val="21"/>
          <w:szCs w:val="21"/>
          <w:highlight w:val="none"/>
        </w:rPr>
      </w:pPr>
      <w:r>
        <w:rPr>
          <w:rFonts w:hint="eastAsia" w:ascii="宋体" w:hAnsi="宋体" w:eastAsia="宋体" w:cs="宋体"/>
          <w:color w:val="auto"/>
          <w:kern w:val="2"/>
          <w:sz w:val="21"/>
          <w:szCs w:val="21"/>
          <w:highlight w:val="none"/>
        </w:rPr>
        <w:t>（1）成交供应商应提供完备的技术或服务资料等，并派遣坐班人员进行驻场服务。验收合格条件如下：</w:t>
      </w:r>
    </w:p>
    <w:p w14:paraId="59D3BD93">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服务技术参数与响应文件中响应表或证明材料一致，性能或指标达到规定的标准。否则，以实际服务技术参数与响应文件响应表参数或证明材料比较，按如下情况处理：</w:t>
      </w:r>
    </w:p>
    <w:p w14:paraId="1CAE2DC0">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①供应商响应文件响应表或证明材料中满足或优于的技术参数，在验收时实际不满足技术参数要求的，视为供货商违约，采购人有权终止合同，并追究供应商责任，同时报财政部门备案。</w:t>
      </w:r>
    </w:p>
    <w:p w14:paraId="42863E53">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②供应商响应文件响应表或证明材料中优于的技术参数，在验收时实际仅满足并未优于技术参数要求的，视为供货商违约，采购人有权终止合同，并追究供应商责任，同时报财政部门备案。</w:t>
      </w:r>
    </w:p>
    <w:p w14:paraId="1ED6AE4F">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③供应商响应文件响应表或证明材料中不满足的技术参数，在验收时实际满足技术参数的要求，以满足技术参数的要求验收。 </w:t>
      </w:r>
    </w:p>
    <w:p w14:paraId="04955AFB">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④供应商响应文件响应表或证明材料中满足的技术参数，在验收时实际优于技术参数的要求，以满足技术参数的要求验收。</w:t>
      </w:r>
    </w:p>
    <w:p w14:paraId="332E40AE">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317AB581">
      <w:pPr>
        <w:spacing w:before="12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6FEE59BF">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（2）技术资料、评审报告等资料齐全。</w:t>
      </w:r>
    </w:p>
    <w:p w14:paraId="101FC450">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（3）在服务期间所出现的问题得到解决，并工作正常。</w:t>
      </w:r>
    </w:p>
    <w:p w14:paraId="72384011">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（4）在规定时间内完成服务及验收，并经采购人确认。</w:t>
      </w:r>
    </w:p>
    <w:p w14:paraId="2C3B4650">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（5）服务在符合采购人要求后，才作为最终验收。</w:t>
      </w:r>
    </w:p>
    <w:p w14:paraId="3BBE95C4">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（6）成交供应商提供的服务未达到征集文件规定要求，且对采购人造成损失的，由成交供应商承担一切责任，并赔偿所造成的损失。</w:t>
      </w:r>
    </w:p>
    <w:p w14:paraId="5C034050">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（7）采购人需要其他有关单位对成交供应商交付的产品或服务进行确认的，相关配合事项由成交供应商与其他有关单位协调。</w:t>
      </w:r>
    </w:p>
    <w:p w14:paraId="236E6B11">
      <w:pPr>
        <w:spacing w:before="120" w:line="3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（8）政府采购合同约定的其他要求及响应文件响应的其他标准。</w:t>
      </w:r>
    </w:p>
    <w:p w14:paraId="714F1F78">
      <w:pPr>
        <w:spacing w:before="120" w:line="32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8.履约验收其他事项</w:t>
      </w:r>
    </w:p>
    <w:p w14:paraId="70906ACC">
      <w:pPr>
        <w:snapToGrid w:val="0"/>
        <w:spacing w:before="120" w:after="120"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C3D1B63">
      <w:pPr>
        <w:snapToGrid w:val="0"/>
        <w:spacing w:before="120" w:after="120" w:line="320" w:lineRule="exact"/>
        <w:jc w:val="left"/>
        <w:rPr>
          <w:rFonts w:hint="eastAsia" w:ascii="Times New Roman" w:hAnsi="Times New Roman" w:eastAsia="宋体" w:cs="Times New Roman"/>
          <w:b/>
          <w:bCs/>
          <w:color w:val="auto"/>
          <w:kern w:val="0"/>
          <w:szCs w:val="21"/>
          <w:highlight w:val="none"/>
          <w:lang w:val="en-US" w:eastAsia="zh-CN"/>
        </w:rPr>
      </w:pPr>
      <w:r>
        <w:rPr>
          <w:rFonts w:hint="eastAsia" w:ascii="宋体" w:hAnsi="宋体" w:eastAsia="宋体" w:cs="宋体"/>
          <w:color w:val="auto"/>
          <w:szCs w:val="21"/>
          <w:highlight w:val="none"/>
        </w:rPr>
        <w:br w:type="page"/>
      </w:r>
      <w:r>
        <w:rPr>
          <w:rFonts w:hint="eastAsia" w:ascii="Times New Roman" w:hAnsi="Times New Roman" w:eastAsia="宋体" w:cs="Times New Roman"/>
          <w:b/>
          <w:bCs/>
          <w:color w:val="auto"/>
          <w:kern w:val="0"/>
          <w:szCs w:val="21"/>
          <w:highlight w:val="none"/>
          <w:lang w:val="en-US" w:eastAsia="zh-CN"/>
        </w:rPr>
        <w:t>附件2保密协议</w:t>
      </w:r>
    </w:p>
    <w:p w14:paraId="536FE3E2">
      <w:pPr>
        <w:keepNext w:val="0"/>
        <w:keepLines w:val="0"/>
        <w:pageBreakBefore w:val="0"/>
        <w:widowControl/>
        <w:kinsoku/>
        <w:overflowPunct/>
        <w:topLinePunct w:val="0"/>
        <w:autoSpaceDE/>
        <w:autoSpaceDN/>
        <w:bidi w:val="0"/>
        <w:adjustRightInd/>
        <w:snapToGrid/>
        <w:spacing w:line="470" w:lineRule="exact"/>
        <w:ind w:firstLine="0" w:firstLineChars="0"/>
        <w:jc w:val="center"/>
        <w:textAlignment w:val="auto"/>
        <w:rPr>
          <w:rFonts w:hint="eastAsia" w:ascii="宋体" w:hAnsi="宋体" w:eastAsia="宋体" w:cs="宋体"/>
          <w:b w:val="0"/>
          <w:bCs/>
          <w:color w:val="auto"/>
          <w:kern w:val="0"/>
          <w:sz w:val="21"/>
          <w:szCs w:val="21"/>
          <w:highlight w:val="none"/>
          <w:shd w:val="clear" w:color="auto" w:fill="FFFFFF"/>
          <w:lang w:eastAsia="zh-CN" w:bidi="ar"/>
        </w:rPr>
      </w:pPr>
      <w:bookmarkStart w:id="83" w:name="_Toc8557"/>
      <w:bookmarkStart w:id="84" w:name="_Toc29004"/>
      <w:bookmarkStart w:id="85" w:name="_Toc14863"/>
      <w:bookmarkStart w:id="86" w:name="_Toc3393"/>
      <w:r>
        <w:rPr>
          <w:rFonts w:hint="eastAsia" w:ascii="宋体" w:hAnsi="宋体" w:eastAsia="宋体" w:cs="宋体"/>
          <w:b w:val="0"/>
          <w:bCs/>
          <w:color w:val="auto"/>
          <w:kern w:val="0"/>
          <w:sz w:val="21"/>
          <w:szCs w:val="21"/>
          <w:highlight w:val="none"/>
          <w:shd w:val="clear" w:color="auto" w:fill="FFFFFF"/>
          <w:lang w:bidi="ar"/>
        </w:rPr>
        <w:t>保密</w:t>
      </w:r>
      <w:r>
        <w:rPr>
          <w:rFonts w:hint="eastAsia" w:ascii="宋体" w:hAnsi="宋体" w:eastAsia="宋体" w:cs="宋体"/>
          <w:b w:val="0"/>
          <w:bCs/>
          <w:color w:val="auto"/>
          <w:kern w:val="0"/>
          <w:sz w:val="21"/>
          <w:szCs w:val="21"/>
          <w:highlight w:val="none"/>
          <w:shd w:val="clear" w:color="auto" w:fill="FFFFFF"/>
          <w:lang w:val="en-US" w:eastAsia="zh-CN" w:bidi="ar"/>
        </w:rPr>
        <w:t>协议</w:t>
      </w:r>
    </w:p>
    <w:p w14:paraId="772CEFC6">
      <w:pPr>
        <w:keepNext w:val="0"/>
        <w:keepLines w:val="0"/>
        <w:pageBreakBefore w:val="0"/>
        <w:widowControl/>
        <w:kinsoku/>
        <w:wordWrap/>
        <w:overflowPunct/>
        <w:topLinePunct w:val="0"/>
        <w:autoSpaceDE/>
        <w:autoSpaceDN/>
        <w:bidi w:val="0"/>
        <w:adjustRightInd/>
        <w:snapToGrid/>
        <w:spacing w:after="120" w:line="470" w:lineRule="exact"/>
        <w:ind w:left="210" w:leftChars="10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为确保</w:t>
      </w:r>
      <w:r>
        <w:rPr>
          <w:rFonts w:hint="eastAsia" w:ascii="宋体" w:hAnsi="宋体" w:eastAsia="宋体" w:cs="宋体"/>
          <w:color w:val="auto"/>
          <w:sz w:val="21"/>
          <w:szCs w:val="21"/>
          <w:highlight w:val="none"/>
          <w:lang w:val="en-US" w:eastAsia="zh-CN"/>
        </w:rPr>
        <w:t>协审项目</w:t>
      </w:r>
      <w:r>
        <w:rPr>
          <w:rFonts w:hint="eastAsia" w:ascii="宋体" w:hAnsi="宋体" w:eastAsia="宋体" w:cs="宋体"/>
          <w:color w:val="auto"/>
          <w:sz w:val="21"/>
          <w:szCs w:val="21"/>
          <w:highlight w:val="none"/>
          <w:lang w:val="zh-CN"/>
        </w:rPr>
        <w:t>的安全性、保密性，规范项目行为，根据国家保密以及有关规定，就参与本项目的保密承诺如下：</w:t>
      </w:r>
    </w:p>
    <w:p w14:paraId="1B78315B">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承诺保守本项目涉及的保密信息，包括项目相关资料、项目现状、建设内容、等。</w:t>
      </w:r>
    </w:p>
    <w:p w14:paraId="094C6A40">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承诺按国家相关保密法律法规规定进行项目管理，未经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CN"/>
        </w:rPr>
        <w:t>批准，不将该项目保密信息以任何形式泄露给任何个人、单位、</w:t>
      </w:r>
      <w:r>
        <w:rPr>
          <w:rFonts w:hint="eastAsia" w:ascii="宋体" w:hAnsi="宋体" w:eastAsia="宋体" w:cs="宋体"/>
          <w:color w:val="auto"/>
          <w:sz w:val="21"/>
          <w:szCs w:val="21"/>
          <w:highlight w:val="none"/>
        </w:rPr>
        <w:t>团</w:t>
      </w:r>
      <w:r>
        <w:rPr>
          <w:rFonts w:hint="eastAsia" w:ascii="宋体" w:hAnsi="宋体" w:eastAsia="宋体" w:cs="宋体"/>
          <w:color w:val="auto"/>
          <w:sz w:val="21"/>
          <w:szCs w:val="21"/>
          <w:highlight w:val="none"/>
          <w:lang w:val="zh-CN"/>
        </w:rPr>
        <w:t>体、机关、公司、实体及其他组织，不擅自扩大知悉范围。</w:t>
      </w:r>
    </w:p>
    <w:p w14:paraId="0E14EB85">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承诺本项目相关信息仅在参与该项目的负责人和项目相关干系人范围内知悉。</w:t>
      </w:r>
    </w:p>
    <w:p w14:paraId="2874F757">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承诺于项目结束后及时清退项目相关资料和密件，不采取抄写、复印、拷贝等任何方式私自留存或转移。</w:t>
      </w:r>
    </w:p>
    <w:p w14:paraId="5AB53687">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承担保密义务的期限为无限期保密，直至</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CN"/>
        </w:rPr>
        <w:t>宣布解密或者秘密信息实际己公开。</w:t>
      </w:r>
    </w:p>
    <w:p w14:paraId="76E4D939">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本协议未尽内容，将严格按照国家保密有关法律法规执行。</w:t>
      </w:r>
    </w:p>
    <w:p w14:paraId="6A465A4B">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如违反本协议的规定，</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CN"/>
        </w:rPr>
        <w:t>有权限根据国家有关法律法规，追究责任；构成犯罪的，提交国家司法部门依法追究刑事责任。</w:t>
      </w:r>
    </w:p>
    <w:p w14:paraId="297C67C7">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lang w:val="zh-CN"/>
        </w:rPr>
        <w:t>承诺愿意接受本保密承诺书的法律约束。</w:t>
      </w:r>
    </w:p>
    <w:p w14:paraId="3A1BF22A">
      <w:pPr>
        <w:keepNext w:val="0"/>
        <w:keepLines w:val="0"/>
        <w:pageBreakBefore w:val="0"/>
        <w:widowControl/>
        <w:numPr>
          <w:ilvl w:val="0"/>
          <w:numId w:val="2"/>
        </w:numPr>
        <w:kinsoku/>
        <w:wordWrap/>
        <w:overflowPunct/>
        <w:topLinePunct w:val="0"/>
        <w:autoSpaceDE/>
        <w:autoSpaceDN/>
        <w:bidi w:val="0"/>
        <w:adjustRightInd/>
        <w:snapToGrid/>
        <w:spacing w:after="120" w:line="470" w:lineRule="exact"/>
        <w:ind w:left="986" w:leftChars="0" w:hanging="42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本保密</w:t>
      </w:r>
      <w:r>
        <w:rPr>
          <w:rFonts w:hint="eastAsia"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val="zh-CN"/>
        </w:rPr>
        <w:t>自签</w:t>
      </w:r>
      <w:r>
        <w:rPr>
          <w:rFonts w:hint="eastAsia" w:ascii="宋体" w:hAnsi="宋体" w:eastAsia="宋体" w:cs="宋体"/>
          <w:color w:val="auto"/>
          <w:sz w:val="21"/>
          <w:szCs w:val="21"/>
          <w:highlight w:val="none"/>
          <w:lang w:val="en-US" w:eastAsia="zh-CN"/>
        </w:rPr>
        <w:t>字</w:t>
      </w:r>
      <w:r>
        <w:rPr>
          <w:rFonts w:hint="eastAsia" w:ascii="宋体" w:hAnsi="宋体" w:eastAsia="宋体" w:cs="宋体"/>
          <w:color w:val="auto"/>
          <w:sz w:val="21"/>
          <w:szCs w:val="21"/>
          <w:highlight w:val="none"/>
          <w:lang w:val="zh-CN"/>
        </w:rPr>
        <w:t>之日起生效。</w:t>
      </w:r>
    </w:p>
    <w:p w14:paraId="1130299E">
      <w:pPr>
        <w:keepNext w:val="0"/>
        <w:keepLines w:val="0"/>
        <w:pageBreakBefore w:val="0"/>
        <w:widowControl/>
        <w:kinsoku/>
        <w:wordWrap w:val="0"/>
        <w:overflowPunct/>
        <w:topLinePunct w:val="0"/>
        <w:autoSpaceDE/>
        <w:autoSpaceDN/>
        <w:bidi w:val="0"/>
        <w:adjustRightInd/>
        <w:snapToGrid/>
        <w:spacing w:after="120" w:line="470" w:lineRule="exact"/>
        <w:ind w:firstLine="420" w:firstLineChars="20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承诺人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en-US" w:eastAsia="zh-CN"/>
        </w:rPr>
        <w:t xml:space="preserve">            </w:t>
      </w:r>
    </w:p>
    <w:p w14:paraId="3157E524">
      <w:pPr>
        <w:spacing w:before="120" w:line="320" w:lineRule="exact"/>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日</w:t>
      </w:r>
      <w:bookmarkEnd w:id="83"/>
      <w:bookmarkEnd w:id="84"/>
      <w:bookmarkEnd w:id="85"/>
      <w:bookmarkEnd w:id="86"/>
    </w:p>
    <w:p w14:paraId="0EB0B44D">
      <w:pPr>
        <w:spacing w:before="120" w:line="320" w:lineRule="exact"/>
        <w:jc w:val="left"/>
        <w:rPr>
          <w:rFonts w:hint="default" w:ascii="仿宋" w:hAnsi="仿宋" w:eastAsia="仿宋" w:cs="Times New Roman"/>
          <w:color w:val="auto"/>
          <w:szCs w:val="21"/>
          <w:highlight w:val="none"/>
          <w:u w:val="single"/>
          <w:lang w:val="en-US" w:eastAsia="zh-CN"/>
        </w:rPr>
      </w:pPr>
      <w:r>
        <w:rPr>
          <w:rFonts w:hint="eastAsia" w:ascii="Times New Roman" w:hAnsi="Times New Roman" w:eastAsia="宋体" w:cs="Times New Roman"/>
          <w:b/>
          <w:bCs/>
          <w:color w:val="auto"/>
          <w:kern w:val="0"/>
          <w:szCs w:val="21"/>
          <w:highlight w:val="none"/>
          <w:lang w:val="en-US" w:eastAsia="zh-CN"/>
        </w:rPr>
        <w:br w:type="page"/>
      </w:r>
      <w:r>
        <w:rPr>
          <w:rFonts w:hint="eastAsia" w:ascii="Times New Roman" w:hAnsi="Times New Roman" w:eastAsia="宋体" w:cs="Times New Roman"/>
          <w:b/>
          <w:bCs/>
          <w:color w:val="auto"/>
          <w:kern w:val="0"/>
          <w:szCs w:val="21"/>
          <w:highlight w:val="none"/>
          <w:lang w:val="en-US" w:eastAsia="zh-CN"/>
        </w:rPr>
        <w:t>附件3廉洁承诺书</w:t>
      </w:r>
    </w:p>
    <w:p w14:paraId="4D22EC40">
      <w:pPr>
        <w:spacing w:line="620" w:lineRule="exact"/>
        <w:ind w:firstLine="422" w:firstLineChars="200"/>
        <w:jc w:val="center"/>
        <w:outlineLvl w:val="9"/>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廉洁承诺书</w:t>
      </w:r>
    </w:p>
    <w:p w14:paraId="2820763D">
      <w:pPr>
        <w:spacing w:line="620" w:lineRule="exact"/>
        <w:ind w:firstLine="420" w:firstLineChars="200"/>
        <w:outlineLvl w:val="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为加强政府投资项目评审服务工作的廉洁建设，根据国家、自治区有关法律法规，我单位作如下承诺</w:t>
      </w:r>
      <w:r>
        <w:rPr>
          <w:rFonts w:hint="eastAsia" w:ascii="宋体" w:hAnsi="宋体" w:eastAsia="宋体" w:cs="Times New Roman"/>
          <w:color w:val="auto"/>
          <w:sz w:val="21"/>
          <w:szCs w:val="21"/>
          <w:highlight w:val="none"/>
          <w:lang w:eastAsia="zh-CN"/>
        </w:rPr>
        <w:t>：</w:t>
      </w:r>
    </w:p>
    <w:p w14:paraId="6B87D1DD">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第一条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自觉遵守国家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广西壮族自治区的政策法规和</w:t>
      </w:r>
      <w:r>
        <w:rPr>
          <w:rFonts w:hint="eastAsia" w:ascii="宋体" w:hAnsi="宋体" w:eastAsia="宋体" w:cs="Times New Roman"/>
          <w:color w:val="auto"/>
          <w:sz w:val="21"/>
          <w:szCs w:val="21"/>
          <w:highlight w:val="none"/>
          <w:lang w:val="en-US" w:eastAsia="zh-CN"/>
        </w:rPr>
        <w:t>富川瑶族自治县财政局</w:t>
      </w:r>
      <w:r>
        <w:rPr>
          <w:rFonts w:hint="eastAsia" w:ascii="宋体" w:hAnsi="宋体" w:eastAsia="宋体" w:cs="Times New Roman"/>
          <w:color w:val="auto"/>
          <w:sz w:val="21"/>
          <w:szCs w:val="21"/>
          <w:highlight w:val="none"/>
        </w:rPr>
        <w:t>的各项管理制度</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严格按照财政投资项目评审操作规程和财政投资评审质量控制办法实施评审工作，坚持原则，秉公办事，维护国家、社会公众利益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严格执行国家及行业有关法规规章，履行岗位职责，忠于职守，严格把关。</w:t>
      </w:r>
    </w:p>
    <w:p w14:paraId="750E6B73">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不向甲方工作人员请客、送礼及组织其它有可能影响客观公正评审的活动。</w:t>
      </w:r>
    </w:p>
    <w:p w14:paraId="00FEC48F">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第三条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不向项目业主或施工单位等相关单位、人员接受或索要回扣、礼金、有价证券、贵重物品等。</w:t>
      </w:r>
    </w:p>
    <w:p w14:paraId="63BA8FF0">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第四条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不向评审对象报销应由个人支付的费用。</w:t>
      </w:r>
    </w:p>
    <w:p w14:paraId="2B9FEBB4">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第五条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不与项目业主或施工单位串通，有意增大或减少工程量、弄虚作假增加评审额、有意使工程量清单漏项，影响项目评审的客观、公正性。</w:t>
      </w:r>
    </w:p>
    <w:p w14:paraId="4270AE51">
      <w:pPr>
        <w:spacing w:line="620" w:lineRule="exact"/>
        <w:ind w:firstLine="420" w:firstLineChars="200"/>
        <w:outlineLvl w:val="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第六条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不向外界泄露评审工作机密</w:t>
      </w:r>
      <w:r>
        <w:rPr>
          <w:rFonts w:hint="eastAsia" w:ascii="宋体" w:hAnsi="宋体" w:eastAsia="宋体" w:cs="Times New Roman"/>
          <w:color w:val="auto"/>
          <w:sz w:val="21"/>
          <w:szCs w:val="21"/>
          <w:highlight w:val="none"/>
          <w:lang w:eastAsia="zh-CN"/>
        </w:rPr>
        <w:t>。</w:t>
      </w:r>
    </w:p>
    <w:p w14:paraId="79C064F1">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第七条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不私下接触评审对象及相关人员。</w:t>
      </w:r>
    </w:p>
    <w:p w14:paraId="1332F0BD">
      <w:pPr>
        <w:spacing w:line="620" w:lineRule="exact"/>
        <w:ind w:firstLine="420" w:firstLineChars="200"/>
        <w:outlineLvl w:val="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第八条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不为经济违法单位和个人出谋划策，通风报信，开脱责任，隐瞒实情，出具伪证</w:t>
      </w:r>
      <w:r>
        <w:rPr>
          <w:rFonts w:hint="eastAsia" w:ascii="宋体" w:hAnsi="宋体" w:eastAsia="宋体" w:cs="Times New Roman"/>
          <w:color w:val="auto"/>
          <w:sz w:val="21"/>
          <w:szCs w:val="21"/>
          <w:highlight w:val="none"/>
          <w:lang w:eastAsia="zh-CN"/>
        </w:rPr>
        <w:t>。</w:t>
      </w:r>
    </w:p>
    <w:p w14:paraId="64EBEA3E">
      <w:pPr>
        <w:spacing w:line="620" w:lineRule="exact"/>
        <w:ind w:firstLine="420" w:firstLineChars="200"/>
        <w:outlineLvl w:val="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第九条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评审工作不推诿、不拖拉、不扯皮、不</w:t>
      </w:r>
      <w:r>
        <w:rPr>
          <w:rFonts w:hint="eastAsia" w:ascii="宋体" w:hAnsi="宋体" w:eastAsia="宋体" w:cs="Times New Roman"/>
          <w:color w:val="auto"/>
          <w:sz w:val="21"/>
          <w:szCs w:val="21"/>
          <w:highlight w:val="none"/>
          <w:lang w:val="en-US" w:eastAsia="zh-CN"/>
        </w:rPr>
        <w:t>敷衍</w:t>
      </w:r>
      <w:r>
        <w:rPr>
          <w:rFonts w:hint="eastAsia" w:ascii="宋体" w:hAnsi="宋体" w:eastAsia="宋体" w:cs="Times New Roman"/>
          <w:color w:val="auto"/>
          <w:sz w:val="21"/>
          <w:szCs w:val="21"/>
          <w:highlight w:val="none"/>
        </w:rPr>
        <w:t>塞责，不刁难、不报复评审对象</w:t>
      </w:r>
      <w:r>
        <w:rPr>
          <w:rFonts w:hint="eastAsia" w:ascii="宋体" w:hAnsi="宋体" w:eastAsia="宋体" w:cs="Times New Roman"/>
          <w:color w:val="auto"/>
          <w:sz w:val="21"/>
          <w:szCs w:val="21"/>
          <w:highlight w:val="none"/>
          <w:lang w:eastAsia="zh-CN"/>
        </w:rPr>
        <w:t>。</w:t>
      </w:r>
    </w:p>
    <w:p w14:paraId="70AE8092">
      <w:pPr>
        <w:spacing w:line="620" w:lineRule="exact"/>
        <w:ind w:firstLine="420" w:firstLineChars="200"/>
        <w:outlineLvl w:val="9"/>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第十条</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如有违反上述规定，按相关规定接受处罚</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给相关单位造成经济损失的，予以赔偿。</w:t>
      </w:r>
    </w:p>
    <w:p w14:paraId="5F3BEB0A">
      <w:pPr>
        <w:keepNext w:val="0"/>
        <w:keepLines w:val="0"/>
        <w:pageBreakBefore w:val="0"/>
        <w:widowControl/>
        <w:kinsoku/>
        <w:wordWrap w:val="0"/>
        <w:overflowPunct/>
        <w:topLinePunct w:val="0"/>
        <w:autoSpaceDE/>
        <w:autoSpaceDN/>
        <w:bidi w:val="0"/>
        <w:adjustRightInd/>
        <w:snapToGrid/>
        <w:spacing w:after="120" w:line="470" w:lineRule="exact"/>
        <w:ind w:firstLine="420" w:firstLineChars="20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承诺人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en-US" w:eastAsia="zh-CN"/>
        </w:rPr>
        <w:t xml:space="preserve">            </w:t>
      </w:r>
    </w:p>
    <w:p w14:paraId="15F2CE85">
      <w:pPr>
        <w:pStyle w:val="161"/>
        <w:wordWrap/>
        <w:ind w:firstLine="4370" w:firstLineChars="19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val="en-US" w:eastAsia="zh-CN"/>
        </w:rPr>
        <w:t>法定代表人（签字或盖章）</w:t>
      </w:r>
      <w:r>
        <w:rPr>
          <w:rFonts w:hint="eastAsia" w:ascii="宋体" w:hAnsi="宋体" w:cs="宋体"/>
          <w:color w:val="auto"/>
          <w:sz w:val="21"/>
          <w:szCs w:val="21"/>
          <w:highlight w:val="none"/>
          <w:u w:val="single"/>
          <w:lang w:val="en-US" w:eastAsia="zh-CN"/>
        </w:rPr>
        <w:t xml:space="preserve">                </w:t>
      </w:r>
    </w:p>
    <w:p w14:paraId="70F7D148">
      <w:pPr>
        <w:pStyle w:val="161"/>
        <w:wordWrap/>
        <w:ind w:firstLine="6210" w:firstLineChars="270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日</w:t>
      </w:r>
    </w:p>
    <w:p w14:paraId="797F2C61">
      <w:pPr>
        <w:pStyle w:val="161"/>
        <w:wordWrap/>
        <w:jc w:val="center"/>
        <w:outlineLvl w:val="0"/>
        <w:rPr>
          <w:rFonts w:ascii="Times New Roman" w:hAnsi="Times New Roman" w:cs="Times New Roman"/>
          <w:color w:val="auto"/>
          <w:sz w:val="32"/>
          <w:szCs w:val="32"/>
          <w:highlight w:val="none"/>
        </w:rPr>
      </w:pPr>
      <w:r>
        <w:rPr>
          <w:rFonts w:ascii="Times New Roman" w:hAnsi="Times New Roman" w:cs="Times New Roman"/>
          <w:color w:val="auto"/>
          <w:highlight w:val="none"/>
        </w:rPr>
        <w:br w:type="page"/>
      </w:r>
      <w:bookmarkStart w:id="87" w:name="_Toc3911"/>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六</w:t>
      </w:r>
      <w:r>
        <w:rPr>
          <w:rFonts w:ascii="Times New Roman" w:hAnsi="Times New Roman" w:cs="Times New Roman"/>
          <w:color w:val="auto"/>
          <w:sz w:val="32"/>
          <w:szCs w:val="32"/>
          <w:highlight w:val="none"/>
        </w:rPr>
        <w:t>章  合同主要条款格式</w:t>
      </w:r>
      <w:bookmarkEnd w:id="82"/>
      <w:bookmarkEnd w:id="87"/>
    </w:p>
    <w:p w14:paraId="362202D4">
      <w:pPr>
        <w:jc w:val="center"/>
        <w:rPr>
          <w:rFonts w:hint="eastAsia" w:ascii="Times New Roman" w:hAnsi="Times New Roman" w:eastAsia="宋体" w:cs="Times New Roman"/>
          <w:bCs/>
          <w:color w:val="auto"/>
          <w:sz w:val="22"/>
          <w:szCs w:val="22"/>
          <w:highlight w:val="none"/>
          <w:u w:val="single"/>
        </w:rPr>
      </w:pPr>
      <w:r>
        <w:rPr>
          <w:rFonts w:hint="eastAsia"/>
          <w:color w:val="auto"/>
          <w:szCs w:val="21"/>
          <w:highlight w:val="none"/>
        </w:rPr>
        <w:t xml:space="preserve"> </w:t>
      </w:r>
      <w:r>
        <w:rPr>
          <w:rFonts w:hint="eastAsia" w:ascii="Times New Roman" w:hAnsi="Times New Roman" w:eastAsia="宋体" w:cs="Times New Roman"/>
          <w:b/>
          <w:bCs/>
          <w:color w:val="auto"/>
          <w:sz w:val="24"/>
          <w:highlight w:val="none"/>
          <w:u w:val="single"/>
        </w:rPr>
        <w:t>（项目名称及编号）</w:t>
      </w:r>
      <w:r>
        <w:rPr>
          <w:rFonts w:hint="eastAsia" w:ascii="Times New Roman" w:hAnsi="Times New Roman" w:eastAsia="宋体" w:cs="Times New Roman"/>
          <w:b/>
          <w:bCs/>
          <w:color w:val="auto"/>
          <w:sz w:val="24"/>
          <w:highlight w:val="none"/>
        </w:rPr>
        <w:t>项目评审服务合同</w:t>
      </w:r>
      <w:r>
        <w:rPr>
          <w:rFonts w:ascii="Times New Roman" w:hAnsi="Times New Roman" w:eastAsia="宋体" w:cs="Times New Roman"/>
          <w:b/>
          <w:bCs/>
          <w:color w:val="auto"/>
          <w:sz w:val="24"/>
          <w:highlight w:val="none"/>
        </w:rPr>
        <w:t xml:space="preserve"> </w:t>
      </w:r>
    </w:p>
    <w:p w14:paraId="44E6017B">
      <w:pPr>
        <w:snapToGrid w:val="0"/>
        <w:spacing w:line="360" w:lineRule="exact"/>
        <w:ind w:right="480" w:firstLine="5985" w:firstLineChars="2850"/>
        <w:rPr>
          <w:rFonts w:ascii="Times New Roman" w:hAnsi="Times New Roman" w:eastAsia="宋体" w:cs="Times New Roman"/>
          <w:bCs/>
          <w:color w:val="auto"/>
          <w:szCs w:val="21"/>
          <w:highlight w:val="none"/>
          <w:u w:val="single"/>
        </w:rPr>
      </w:pPr>
      <w:r>
        <w:rPr>
          <w:rFonts w:ascii="Times New Roman" w:hAnsi="Times New Roman" w:eastAsia="宋体" w:cs="Times New Roman"/>
          <w:bCs/>
          <w:color w:val="auto"/>
          <w:szCs w:val="21"/>
          <w:highlight w:val="none"/>
        </w:rPr>
        <w:t>合同编号：</w:t>
      </w:r>
    </w:p>
    <w:p w14:paraId="6484BA00">
      <w:pPr>
        <w:snapToGrid w:val="0"/>
        <w:spacing w:line="360" w:lineRule="exact"/>
        <w:rPr>
          <w:rFonts w:ascii="Times New Roman" w:hAnsi="Times New Roman" w:eastAsia="宋体" w:cs="Times New Roman"/>
          <w:color w:val="auto"/>
          <w:szCs w:val="21"/>
          <w:highlight w:val="none"/>
        </w:rPr>
      </w:pPr>
    </w:p>
    <w:p w14:paraId="1D9C9BBB">
      <w:pPr>
        <w:snapToGrid w:val="0"/>
        <w:spacing w:line="360" w:lineRule="exac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采购</w:t>
      </w:r>
      <w:r>
        <w:rPr>
          <w:rFonts w:hint="eastAsia" w:ascii="Times New Roman" w:hAnsi="Times New Roman" w:eastAsia="宋体" w:cs="Times New Roman"/>
          <w:color w:val="auto"/>
          <w:szCs w:val="21"/>
          <w:highlight w:val="none"/>
        </w:rPr>
        <w:t>人</w:t>
      </w:r>
      <w:r>
        <w:rPr>
          <w:rFonts w:ascii="Times New Roman" w:hAnsi="Times New Roman" w:eastAsia="宋体" w:cs="Times New Roman"/>
          <w:color w:val="auto"/>
          <w:szCs w:val="21"/>
          <w:highlight w:val="none"/>
        </w:rPr>
        <w:t>（甲方）</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p>
    <w:p w14:paraId="5BDBBC5D">
      <w:pPr>
        <w:snapToGrid w:val="0"/>
        <w:spacing w:line="360" w:lineRule="exact"/>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rPr>
        <w:t>成交</w:t>
      </w:r>
      <w:r>
        <w:rPr>
          <w:rFonts w:ascii="Times New Roman" w:hAnsi="Times New Roman" w:eastAsia="宋体" w:cs="Times New Roman"/>
          <w:color w:val="auto"/>
          <w:szCs w:val="21"/>
          <w:highlight w:val="none"/>
        </w:rPr>
        <w:t>供应商（乙方）</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p>
    <w:p w14:paraId="389F29F2">
      <w:pPr>
        <w:snapToGrid w:val="0"/>
        <w:spacing w:line="360" w:lineRule="exac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 xml:space="preserve">签  订  地  点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签 订 时 间</w:t>
      </w:r>
      <w:r>
        <w:rPr>
          <w:rFonts w:ascii="Times New Roman" w:hAnsi="Times New Roman" w:eastAsia="宋体" w:cs="Times New Roman"/>
          <w:color w:val="auto"/>
          <w:szCs w:val="21"/>
          <w:highlight w:val="none"/>
          <w:u w:val="single"/>
        </w:rPr>
        <w:t xml:space="preserve">                       </w:t>
      </w:r>
    </w:p>
    <w:p w14:paraId="44DBA10F">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716838C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根据《中华人民共和国政府采购法》等法律、法规规定，按照征集文件</w:t>
      </w:r>
      <w:r>
        <w:rPr>
          <w:rFonts w:hint="eastAsia" w:ascii="Times New Roman" w:hAnsi="Times New Roman" w:eastAsia="宋体" w:cs="Times New Roman"/>
          <w:color w:val="auto"/>
          <w:szCs w:val="21"/>
          <w:highlight w:val="none"/>
        </w:rPr>
        <w:t>及框架协议</w:t>
      </w:r>
      <w:r>
        <w:rPr>
          <w:rFonts w:ascii="Times New Roman" w:hAnsi="Times New Roman" w:eastAsia="宋体" w:cs="Times New Roman"/>
          <w:color w:val="auto"/>
          <w:szCs w:val="21"/>
          <w:highlight w:val="none"/>
        </w:rPr>
        <w:t>规定条款和乙方响应文件及其承诺，甲乙双方签订本合同。</w:t>
      </w:r>
    </w:p>
    <w:p w14:paraId="1D423B9D">
      <w:pPr>
        <w:adjustRightInd w:val="0"/>
        <w:snapToGrid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第一条　项目概况及服务范围</w:t>
      </w:r>
    </w:p>
    <w:p w14:paraId="53DD6D7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1.项目名称</w:t>
      </w:r>
      <w:r>
        <w:rPr>
          <w:rFonts w:hint="eastAsia" w:ascii="Times New Roman" w:hAnsi="Times New Roman" w:eastAsia="宋体" w:cs="Times New Roman"/>
          <w:color w:val="auto"/>
          <w:szCs w:val="21"/>
          <w:highlight w:val="none"/>
        </w:rPr>
        <w:t>及编号</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 xml:space="preserve">； </w:t>
      </w:r>
    </w:p>
    <w:p w14:paraId="27F91B48">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2.服务内容：</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w:t>
      </w:r>
    </w:p>
    <w:p w14:paraId="6E1F04E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val="en-US" w:eastAsia="zh-CN"/>
        </w:rPr>
        <w:t>标项</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rPr>
        <w:t>；</w:t>
      </w:r>
    </w:p>
    <w:p w14:paraId="07916FC9">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ascii="Times New Roman" w:hAnsi="Times New Roman" w:eastAsia="宋体" w:cs="Times New Roman"/>
          <w:color w:val="auto"/>
          <w:szCs w:val="21"/>
          <w:highlight w:val="none"/>
        </w:rPr>
        <w:t>.服务期：</w:t>
      </w:r>
      <w:r>
        <w:rPr>
          <w:rFonts w:hint="eastAsia" w:ascii="Times New Roman" w:hAnsi="Times New Roman" w:eastAsia="宋体" w:cs="Times New Roman"/>
          <w:color w:val="auto"/>
          <w:szCs w:val="21"/>
          <w:highlight w:val="none"/>
          <w:u w:val="single"/>
        </w:rPr>
        <w:t>按框架协议规定执行</w:t>
      </w:r>
      <w:r>
        <w:rPr>
          <w:rFonts w:ascii="Times New Roman" w:hAnsi="Times New Roman" w:eastAsia="宋体" w:cs="Times New Roman"/>
          <w:color w:val="auto"/>
          <w:szCs w:val="21"/>
          <w:highlight w:val="none"/>
        </w:rPr>
        <w:t>；</w:t>
      </w:r>
    </w:p>
    <w:p w14:paraId="78419EE1">
      <w:pPr>
        <w:adjustRightInd w:val="0"/>
        <w:snapToGrid w:val="0"/>
        <w:spacing w:line="360" w:lineRule="auto"/>
        <w:ind w:firstLine="420" w:firstLineChars="200"/>
        <w:rPr>
          <w:rFonts w:ascii="宋体" w:hAnsi="Courier New" w:eastAsia="宋体" w:cs="Courier New"/>
          <w:color w:val="auto"/>
          <w:szCs w:val="21"/>
          <w:highlight w:val="none"/>
        </w:rPr>
      </w:pPr>
      <w:r>
        <w:rPr>
          <w:rFonts w:hint="eastAsia"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rPr>
        <w:t>.</w:t>
      </w:r>
      <w:bookmarkStart w:id="88" w:name="_Hlk77611311"/>
      <w:r>
        <w:rPr>
          <w:rFonts w:hint="eastAsia" w:ascii="Times New Roman" w:hAnsi="Times New Roman" w:eastAsia="宋体" w:cs="Times New Roman"/>
          <w:color w:val="auto"/>
          <w:szCs w:val="21"/>
          <w:highlight w:val="none"/>
        </w:rPr>
        <w:t>协议价格：</w:t>
      </w:r>
      <w:r>
        <w:rPr>
          <w:rFonts w:hint="eastAsia" w:ascii="Times New Roman" w:hAnsi="Times New Roman" w:eastAsia="宋体" w:cs="Times New Roman"/>
          <w:color w:val="auto"/>
          <w:szCs w:val="21"/>
          <w:highlight w:val="none"/>
          <w:u w:val="single"/>
        </w:rPr>
        <w:t>按框架协议规定执行</w:t>
      </w:r>
      <w:r>
        <w:rPr>
          <w:rFonts w:hint="eastAsia" w:ascii="Times New Roman" w:hAnsi="Times New Roman" w:eastAsia="宋体" w:cs="Times New Roman"/>
          <w:color w:val="auto"/>
          <w:szCs w:val="21"/>
          <w:highlight w:val="none"/>
        </w:rPr>
        <w:t>。</w:t>
      </w:r>
    </w:p>
    <w:bookmarkEnd w:id="88"/>
    <w:p w14:paraId="77CCAD65">
      <w:pPr>
        <w:adjustRightInd w:val="0"/>
        <w:snapToGrid w:val="0"/>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w:t>
      </w:r>
      <w:r>
        <w:rPr>
          <w:rFonts w:hint="eastAsia" w:ascii="Times New Roman" w:hAnsi="Times New Roman" w:eastAsia="宋体" w:cs="Times New Roman"/>
          <w:b/>
          <w:color w:val="auto"/>
          <w:szCs w:val="21"/>
          <w:highlight w:val="none"/>
        </w:rPr>
        <w:t>二</w:t>
      </w:r>
      <w:r>
        <w:rPr>
          <w:rFonts w:ascii="Times New Roman" w:hAnsi="Times New Roman" w:eastAsia="宋体" w:cs="Times New Roman"/>
          <w:b/>
          <w:color w:val="auto"/>
          <w:szCs w:val="21"/>
          <w:highlight w:val="none"/>
        </w:rPr>
        <w:t>条　签订本合同依据</w:t>
      </w:r>
    </w:p>
    <w:p w14:paraId="6000B79F">
      <w:pPr>
        <w:adjustRightInd w:val="0"/>
        <w:snapToGrid w:val="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框架协议</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采购征集文件</w:t>
      </w: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乙方提供的响应文件；</w:t>
      </w:r>
      <w:r>
        <w:rPr>
          <w:rFonts w:ascii="Times New Roman" w:hAnsi="Times New Roman" w:eastAsia="宋体" w:cs="Times New Roman"/>
          <w:color w:val="auto"/>
          <w:szCs w:val="21"/>
          <w:highlight w:val="none"/>
        </w:rPr>
        <w:t>4.入围通知书。</w:t>
      </w:r>
    </w:p>
    <w:p w14:paraId="10DEBB19">
      <w:pPr>
        <w:adjustRightInd w:val="0"/>
        <w:snapToGrid w:val="0"/>
        <w:ind w:firstLine="422" w:firstLineChars="200"/>
        <w:rPr>
          <w:rFonts w:hint="eastAsia"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第</w:t>
      </w:r>
      <w:r>
        <w:rPr>
          <w:rFonts w:hint="eastAsia" w:ascii="Times New Roman" w:hAnsi="Times New Roman" w:eastAsia="宋体" w:cs="Times New Roman"/>
          <w:b/>
          <w:color w:val="auto"/>
          <w:szCs w:val="21"/>
          <w:highlight w:val="none"/>
        </w:rPr>
        <w:t>三</w:t>
      </w:r>
      <w:r>
        <w:rPr>
          <w:rFonts w:ascii="Times New Roman" w:hAnsi="Times New Roman" w:eastAsia="宋体" w:cs="Times New Roman"/>
          <w:b/>
          <w:color w:val="auto"/>
          <w:szCs w:val="21"/>
          <w:highlight w:val="none"/>
        </w:rPr>
        <w:t xml:space="preserve">条 </w:t>
      </w:r>
      <w:r>
        <w:rPr>
          <w:rFonts w:hint="eastAsia" w:ascii="Times New Roman" w:hAnsi="Times New Roman" w:eastAsia="宋体" w:cs="Times New Roman"/>
          <w:b/>
          <w:color w:val="auto"/>
          <w:szCs w:val="21"/>
          <w:highlight w:val="none"/>
        </w:rPr>
        <w:t>其他约定</w:t>
      </w:r>
    </w:p>
    <w:p w14:paraId="10F367A8">
      <w:pPr>
        <w:adjustRightInd w:val="0"/>
        <w:snapToGrid w:val="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1.本合同基于甲乙双方签订的</w:t>
      </w:r>
      <w:r>
        <w:rPr>
          <w:rFonts w:hint="eastAsia" w:ascii="Times New Roman" w:hAnsi="Times New Roman" w:eastAsia="宋体" w:cs="Times New Roman"/>
          <w:color w:val="auto"/>
          <w:szCs w:val="21"/>
          <w:highlight w:val="none"/>
          <w:lang w:eastAsia="zh-CN"/>
        </w:rPr>
        <w:t>富川瑶族自治县2025～2027年度政府投资项目评审服务</w:t>
      </w:r>
      <w:r>
        <w:rPr>
          <w:rFonts w:hint="eastAsia" w:ascii="Times New Roman" w:hAnsi="Times New Roman" w:eastAsia="宋体" w:cs="Times New Roman"/>
          <w:color w:val="auto"/>
          <w:szCs w:val="21"/>
          <w:highlight w:val="none"/>
        </w:rPr>
        <w:t>框架协议授予。</w:t>
      </w:r>
    </w:p>
    <w:p w14:paraId="01B3A803">
      <w:pPr>
        <w:adjustRightInd w:val="0"/>
        <w:snapToGrid w:val="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2.本合同未尽事宜，遵照《民法典》有关条文执行。</w:t>
      </w:r>
    </w:p>
    <w:p w14:paraId="527681F4">
      <w:pPr>
        <w:adjustRightInd w:val="0"/>
        <w:snapToGrid w:val="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3.合同执行中，如需修改或补充合同内容，由双方协商另签署书面修改或补充合同。但补充内容不得改变框架协议约定的合同实质性条款。</w:t>
      </w:r>
    </w:p>
    <w:p w14:paraId="331CBDA1">
      <w:pPr>
        <w:adjustRightInd w:val="0"/>
        <w:snapToGrid w:val="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4.除《中华人民共和国政府采购法》第五十条规定的情形外，本合同一经签订，甲乙双方不得擅自变更、中止或终止。</w:t>
      </w:r>
    </w:p>
    <w:p w14:paraId="2E9AB7BC">
      <w:pPr>
        <w:adjustRightInd w:val="0"/>
        <w:snapToGrid w:val="0"/>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5.未经甲方书面同意，乙方不得擅自转让其应履行的合同义务。</w:t>
      </w:r>
    </w:p>
    <w:p w14:paraId="1DED7FFB">
      <w:pPr>
        <w:adjustRightInd w:val="0"/>
        <w:snapToGrid w:val="0"/>
        <w:ind w:firstLine="422" w:firstLineChars="200"/>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第</w:t>
      </w:r>
      <w:r>
        <w:rPr>
          <w:rFonts w:hint="eastAsia" w:ascii="Times New Roman" w:hAnsi="Times New Roman" w:eastAsia="宋体" w:cs="Times New Roman"/>
          <w:b/>
          <w:color w:val="auto"/>
          <w:szCs w:val="21"/>
          <w:highlight w:val="none"/>
        </w:rPr>
        <w:t>四</w:t>
      </w:r>
      <w:r>
        <w:rPr>
          <w:rFonts w:ascii="Times New Roman" w:hAnsi="Times New Roman" w:eastAsia="宋体" w:cs="Times New Roman"/>
          <w:b/>
          <w:color w:val="auto"/>
          <w:szCs w:val="21"/>
          <w:highlight w:val="none"/>
        </w:rPr>
        <w:t>条　</w:t>
      </w:r>
      <w:r>
        <w:rPr>
          <w:rFonts w:ascii="Times New Roman" w:hAnsi="Times New Roman" w:eastAsia="宋体" w:cs="Times New Roman"/>
          <w:color w:val="auto"/>
          <w:szCs w:val="21"/>
          <w:highlight w:val="none"/>
        </w:rPr>
        <w:t>本合同一式</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份，</w:t>
      </w:r>
      <w:r>
        <w:rPr>
          <w:rFonts w:hint="eastAsia" w:ascii="Times New Roman" w:hAnsi="Times New Roman" w:eastAsia="宋体" w:cs="Times New Roman"/>
          <w:color w:val="auto"/>
          <w:szCs w:val="21"/>
          <w:highlight w:val="none"/>
        </w:rPr>
        <w:t>双方各一份，</w:t>
      </w:r>
      <w:r>
        <w:rPr>
          <w:rFonts w:ascii="Times New Roman" w:hAnsi="Times New Roman" w:eastAsia="宋体" w:cs="Times New Roman"/>
          <w:color w:val="auto"/>
          <w:szCs w:val="21"/>
          <w:highlight w:val="none"/>
        </w:rPr>
        <w:t>具有同等法律效力。</w:t>
      </w:r>
    </w:p>
    <w:p w14:paraId="713F0936">
      <w:pPr>
        <w:adjustRightInd w:val="0"/>
        <w:snapToGrid w:val="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本合同经甲乙双方法定代表人或被授权代表签字并加盖单位公章后生效。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777"/>
      </w:tblGrid>
      <w:tr w14:paraId="5B76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522" w:type="dxa"/>
            <w:noWrap w:val="0"/>
            <w:vAlign w:val="center"/>
          </w:tcPr>
          <w:p w14:paraId="75450165">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甲方（章）      </w:t>
            </w:r>
          </w:p>
          <w:p w14:paraId="1B526197">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p>
          <w:p w14:paraId="1DA35B10">
            <w:pPr>
              <w:keepNext w:val="0"/>
              <w:keepLines w:val="0"/>
              <w:suppressLineNumbers w:val="0"/>
              <w:snapToGrid w:val="0"/>
              <w:spacing w:before="0" w:beforeAutospacing="0" w:after="0" w:afterAutospacing="0" w:line="360" w:lineRule="exact"/>
              <w:ind w:left="0" w:right="0" w:firstLine="945" w:firstLineChars="450"/>
              <w:jc w:val="righ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年    月    日</w:t>
            </w:r>
          </w:p>
        </w:tc>
        <w:tc>
          <w:tcPr>
            <w:tcW w:w="4777" w:type="dxa"/>
            <w:noWrap w:val="0"/>
            <w:vAlign w:val="center"/>
          </w:tcPr>
          <w:p w14:paraId="1419EC2E">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乙方（章）       </w:t>
            </w:r>
          </w:p>
          <w:p w14:paraId="6227DB0B">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p>
          <w:p w14:paraId="5E9E8793">
            <w:pPr>
              <w:keepNext w:val="0"/>
              <w:keepLines w:val="0"/>
              <w:suppressLineNumbers w:val="0"/>
              <w:snapToGrid w:val="0"/>
              <w:spacing w:before="0" w:beforeAutospacing="0" w:after="0" w:afterAutospacing="0" w:line="360" w:lineRule="exact"/>
              <w:ind w:left="0" w:right="0"/>
              <w:jc w:val="righ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年    月    日</w:t>
            </w:r>
          </w:p>
        </w:tc>
      </w:tr>
      <w:tr w14:paraId="303E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4522" w:type="dxa"/>
            <w:noWrap w:val="0"/>
            <w:vAlign w:val="center"/>
          </w:tcPr>
          <w:p w14:paraId="2FF3AC59">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szCs w:val="21"/>
                <w:highlight w:val="none"/>
              </w:rPr>
              <w:t>委托代理人：</w:t>
            </w:r>
          </w:p>
        </w:tc>
        <w:tc>
          <w:tcPr>
            <w:tcW w:w="4777" w:type="dxa"/>
            <w:noWrap w:val="0"/>
            <w:vAlign w:val="center"/>
          </w:tcPr>
          <w:p w14:paraId="5F373CC0">
            <w:pPr>
              <w:keepNext w:val="0"/>
              <w:keepLines w:val="0"/>
              <w:suppressLineNumbers w:val="0"/>
              <w:snapToGrid w:val="0"/>
              <w:spacing w:before="0" w:beforeAutospacing="0" w:after="0" w:afterAutospacing="0" w:line="360" w:lineRule="exact"/>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r>
              <w:rPr>
                <w:rFonts w:hint="eastAsia" w:ascii="Times New Roman" w:hAnsi="Times New Roman" w:eastAsia="宋体" w:cs="Times New Roman"/>
                <w:color w:val="auto"/>
                <w:szCs w:val="21"/>
                <w:highlight w:val="none"/>
              </w:rPr>
              <w:t>或委托代理人</w:t>
            </w:r>
            <w:r>
              <w:rPr>
                <w:rFonts w:hint="default" w:ascii="Times New Roman" w:hAnsi="Times New Roman" w:eastAsia="宋体" w:cs="Times New Roman"/>
                <w:color w:val="auto"/>
                <w:szCs w:val="21"/>
                <w:highlight w:val="none"/>
              </w:rPr>
              <w:t>：</w:t>
            </w:r>
          </w:p>
        </w:tc>
      </w:tr>
    </w:tbl>
    <w:p w14:paraId="59A85A11">
      <w:pPr>
        <w:widowControl/>
        <w:jc w:val="left"/>
        <w:rPr>
          <w:rFonts w:ascii="仿宋" w:hAnsi="仿宋" w:eastAsia="仿宋"/>
          <w:color w:val="auto"/>
          <w:szCs w:val="21"/>
          <w:highlight w:val="none"/>
          <w:u w:val="single"/>
        </w:rPr>
      </w:pPr>
    </w:p>
    <w:p w14:paraId="53C821A6">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bookmarkStart w:id="89" w:name="_Toc19714"/>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七</w:t>
      </w:r>
      <w:r>
        <w:rPr>
          <w:rFonts w:ascii="Times New Roman" w:hAnsi="Times New Roman" w:cs="Times New Roman"/>
          <w:color w:val="auto"/>
          <w:sz w:val="32"/>
          <w:szCs w:val="32"/>
          <w:highlight w:val="none"/>
        </w:rPr>
        <w:t>章  响应文件格式</w:t>
      </w:r>
      <w:bookmarkEnd w:id="89"/>
    </w:p>
    <w:p w14:paraId="4B208CE1">
      <w:pPr>
        <w:rPr>
          <w:rFonts w:hint="eastAsia"/>
          <w:color w:val="auto"/>
          <w:sz w:val="28"/>
          <w:szCs w:val="28"/>
          <w:highlight w:val="none"/>
        </w:rPr>
      </w:pPr>
    </w:p>
    <w:p w14:paraId="21637611">
      <w:pPr>
        <w:rPr>
          <w:rFonts w:hint="eastAsia"/>
          <w:color w:val="auto"/>
          <w:sz w:val="28"/>
          <w:szCs w:val="28"/>
          <w:highlight w:val="none"/>
        </w:rPr>
      </w:pPr>
    </w:p>
    <w:p w14:paraId="6C9D01A5">
      <w:pPr>
        <w:rPr>
          <w:rFonts w:hint="eastAsia"/>
          <w:color w:val="auto"/>
          <w:sz w:val="28"/>
          <w:szCs w:val="28"/>
          <w:highlight w:val="none"/>
        </w:rPr>
      </w:pPr>
    </w:p>
    <w:p w14:paraId="084872A1">
      <w:pPr>
        <w:rPr>
          <w:rFonts w:hint="eastAsia"/>
          <w:color w:val="auto"/>
          <w:sz w:val="28"/>
          <w:szCs w:val="28"/>
          <w:highlight w:val="none"/>
        </w:rPr>
      </w:pPr>
    </w:p>
    <w:p w14:paraId="0EA4B335">
      <w:pPr>
        <w:spacing w:line="500" w:lineRule="exact"/>
        <w:ind w:firstLine="560" w:firstLineChars="200"/>
        <w:rPr>
          <w:color w:val="auto"/>
          <w:sz w:val="28"/>
          <w:szCs w:val="28"/>
          <w:highlight w:val="none"/>
        </w:rPr>
      </w:pPr>
      <w:r>
        <w:rPr>
          <w:rFonts w:hint="eastAsia"/>
          <w:color w:val="auto"/>
          <w:sz w:val="28"/>
          <w:szCs w:val="28"/>
          <w:highlight w:val="none"/>
        </w:rPr>
        <w:t>注：有签字、盖章要求的应按要求</w:t>
      </w:r>
      <w:bookmarkStart w:id="90" w:name="_Hlk89032274"/>
      <w:r>
        <w:rPr>
          <w:rFonts w:hint="eastAsia"/>
          <w:color w:val="auto"/>
          <w:sz w:val="28"/>
          <w:szCs w:val="28"/>
          <w:highlight w:val="none"/>
        </w:rPr>
        <w:t>签字（签章）、盖章（签章）</w:t>
      </w:r>
      <w:bookmarkEnd w:id="90"/>
      <w:r>
        <w:rPr>
          <w:rFonts w:hint="eastAsia"/>
          <w:color w:val="auto"/>
          <w:sz w:val="28"/>
          <w:szCs w:val="28"/>
          <w:highlight w:val="none"/>
        </w:rPr>
        <w:t>。</w:t>
      </w:r>
    </w:p>
    <w:p w14:paraId="6A3DA03D">
      <w:pPr>
        <w:snapToGrid w:val="0"/>
        <w:spacing w:before="120" w:beforeLines="50" w:after="50" w:line="440" w:lineRule="exact"/>
        <w:jc w:val="left"/>
        <w:outlineLvl w:val="1"/>
        <w:rPr>
          <w:bCs/>
          <w:color w:val="auto"/>
          <w:sz w:val="24"/>
          <w:highlight w:val="none"/>
        </w:rPr>
      </w:pPr>
      <w:r>
        <w:rPr>
          <w:color w:val="auto"/>
          <w:highlight w:val="none"/>
        </w:rPr>
        <w:br w:type="page"/>
      </w:r>
      <w:bookmarkStart w:id="91" w:name="_Toc254970557"/>
      <w:bookmarkStart w:id="92" w:name="_Toc254970698"/>
      <w:r>
        <w:rPr>
          <w:rFonts w:hint="eastAsia"/>
          <w:bCs/>
          <w:color w:val="auto"/>
          <w:sz w:val="24"/>
          <w:highlight w:val="none"/>
        </w:rPr>
        <w:t>1</w:t>
      </w:r>
      <w:r>
        <w:rPr>
          <w:bCs/>
          <w:color w:val="auto"/>
          <w:sz w:val="24"/>
          <w:highlight w:val="none"/>
        </w:rPr>
        <w:t>．响应文件封面参考格式</w:t>
      </w:r>
      <w:r>
        <w:rPr>
          <w:rFonts w:hint="eastAsia"/>
          <w:bCs/>
          <w:color w:val="auto"/>
          <w:sz w:val="24"/>
          <w:highlight w:val="none"/>
        </w:rPr>
        <w:t>（资格证明文件）</w:t>
      </w:r>
      <w:r>
        <w:rPr>
          <w:bCs/>
          <w:color w:val="auto"/>
          <w:sz w:val="24"/>
          <w:highlight w:val="none"/>
        </w:rPr>
        <w:t xml:space="preserve">： </w:t>
      </w:r>
    </w:p>
    <w:p w14:paraId="2592D109">
      <w:pPr>
        <w:snapToGrid w:val="0"/>
        <w:spacing w:before="120" w:beforeLines="50" w:after="50" w:line="360" w:lineRule="exact"/>
        <w:rPr>
          <w:color w:val="auto"/>
          <w:sz w:val="24"/>
          <w:highlight w:val="none"/>
        </w:rPr>
      </w:pPr>
    </w:p>
    <w:p w14:paraId="2B49F48E">
      <w:pPr>
        <w:snapToGrid w:val="0"/>
        <w:spacing w:before="120" w:beforeLines="50" w:after="50" w:line="360" w:lineRule="exact"/>
        <w:jc w:val="center"/>
        <w:rPr>
          <w:bCs/>
          <w:color w:val="auto"/>
          <w:sz w:val="24"/>
          <w:highlight w:val="none"/>
        </w:rPr>
      </w:pPr>
    </w:p>
    <w:p w14:paraId="72B4BAE6">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1F054340">
      <w:pPr>
        <w:snapToGrid w:val="0"/>
        <w:spacing w:before="120" w:beforeLines="50" w:after="50" w:line="360" w:lineRule="exact"/>
        <w:jc w:val="center"/>
        <w:rPr>
          <w:b/>
          <w:bCs/>
          <w:color w:val="auto"/>
          <w:sz w:val="44"/>
          <w:szCs w:val="44"/>
          <w:highlight w:val="none"/>
        </w:rPr>
      </w:pPr>
    </w:p>
    <w:p w14:paraId="27F51F90">
      <w:pPr>
        <w:snapToGrid w:val="0"/>
        <w:spacing w:before="120" w:beforeLines="50" w:after="50" w:line="360" w:lineRule="exact"/>
        <w:jc w:val="center"/>
        <w:rPr>
          <w:b/>
          <w:bCs/>
          <w:color w:val="auto"/>
          <w:sz w:val="44"/>
          <w:szCs w:val="44"/>
          <w:highlight w:val="none"/>
        </w:rPr>
      </w:pPr>
    </w:p>
    <w:p w14:paraId="72925034">
      <w:pPr>
        <w:snapToGrid w:val="0"/>
        <w:spacing w:before="120" w:beforeLines="50" w:after="50" w:line="360" w:lineRule="exact"/>
        <w:jc w:val="center"/>
        <w:rPr>
          <w:b/>
          <w:bCs/>
          <w:color w:val="auto"/>
          <w:sz w:val="44"/>
          <w:szCs w:val="44"/>
          <w:highlight w:val="none"/>
        </w:rPr>
      </w:pPr>
      <w:r>
        <w:rPr>
          <w:b/>
          <w:bCs/>
          <w:color w:val="auto"/>
          <w:sz w:val="44"/>
          <w:szCs w:val="44"/>
          <w:highlight w:val="none"/>
        </w:rPr>
        <w:t>资格</w:t>
      </w:r>
      <w:r>
        <w:rPr>
          <w:rFonts w:hint="eastAsia"/>
          <w:b/>
          <w:bCs/>
          <w:color w:val="auto"/>
          <w:sz w:val="44"/>
          <w:szCs w:val="44"/>
          <w:highlight w:val="none"/>
        </w:rPr>
        <w:t>证明</w:t>
      </w:r>
      <w:r>
        <w:rPr>
          <w:b/>
          <w:bCs/>
          <w:color w:val="auto"/>
          <w:sz w:val="44"/>
          <w:szCs w:val="44"/>
          <w:highlight w:val="none"/>
        </w:rPr>
        <w:t>文件</w:t>
      </w:r>
    </w:p>
    <w:p w14:paraId="5621108D">
      <w:pPr>
        <w:snapToGrid w:val="0"/>
        <w:spacing w:before="120" w:beforeLines="50" w:after="50" w:line="360" w:lineRule="exact"/>
        <w:rPr>
          <w:bCs/>
          <w:color w:val="auto"/>
          <w:sz w:val="24"/>
          <w:highlight w:val="none"/>
        </w:rPr>
      </w:pPr>
    </w:p>
    <w:p w14:paraId="2A78F784">
      <w:pPr>
        <w:snapToGrid w:val="0"/>
        <w:spacing w:before="120" w:beforeLines="50" w:after="50" w:line="360" w:lineRule="exact"/>
        <w:rPr>
          <w:bCs/>
          <w:color w:val="auto"/>
          <w:sz w:val="24"/>
          <w:highlight w:val="none"/>
        </w:rPr>
      </w:pPr>
    </w:p>
    <w:p w14:paraId="6CA3896D">
      <w:pPr>
        <w:snapToGrid w:val="0"/>
        <w:spacing w:before="120" w:beforeLines="50" w:after="50" w:line="360" w:lineRule="exact"/>
        <w:rPr>
          <w:bCs/>
          <w:color w:val="auto"/>
          <w:sz w:val="24"/>
          <w:highlight w:val="none"/>
        </w:rPr>
      </w:pPr>
    </w:p>
    <w:p w14:paraId="114BDAE6">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65FF0CC5">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D46A2B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89DC32E">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7D5A21B8">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619196E">
      <w:pPr>
        <w:pStyle w:val="7"/>
        <w:snapToGrid w:val="0"/>
        <w:spacing w:before="50" w:after="50" w:line="360" w:lineRule="exact"/>
        <w:ind w:firstLine="960" w:firstLineChars="400"/>
        <w:rPr>
          <w:bCs/>
          <w:color w:val="auto"/>
          <w:sz w:val="24"/>
          <w:szCs w:val="24"/>
          <w:highlight w:val="none"/>
        </w:rPr>
      </w:pPr>
    </w:p>
    <w:p w14:paraId="6D9093C2">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6FDDBF4">
      <w:pPr>
        <w:snapToGrid w:val="0"/>
        <w:spacing w:before="120" w:beforeLines="50" w:after="50" w:line="360" w:lineRule="exact"/>
        <w:rPr>
          <w:b/>
          <w:bCs/>
          <w:color w:val="auto"/>
          <w:sz w:val="24"/>
          <w:highlight w:val="none"/>
        </w:rPr>
      </w:pPr>
      <w:r>
        <w:rPr>
          <w:color w:val="auto"/>
          <w:highlight w:val="none"/>
        </w:rPr>
        <w:br w:type="page"/>
      </w:r>
      <w:bookmarkEnd w:id="91"/>
      <w:bookmarkEnd w:id="92"/>
      <w:r>
        <w:rPr>
          <w:b/>
          <w:bCs/>
          <w:color w:val="auto"/>
          <w:sz w:val="24"/>
          <w:highlight w:val="none"/>
        </w:rPr>
        <w:t xml:space="preserve"> </w:t>
      </w:r>
    </w:p>
    <w:p w14:paraId="213FC9D4">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D0DC0F1">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00966C2D">
      <w:pPr>
        <w:snapToGrid w:val="0"/>
        <w:spacing w:before="50" w:after="50" w:line="440" w:lineRule="exact"/>
        <w:rPr>
          <w:b/>
          <w:color w:val="auto"/>
          <w:sz w:val="24"/>
          <w:highlight w:val="none"/>
        </w:rPr>
      </w:pPr>
      <w:r>
        <w:rPr>
          <w:b/>
          <w:color w:val="auto"/>
          <w:sz w:val="24"/>
          <w:highlight w:val="none"/>
        </w:rPr>
        <w:br w:type="page"/>
      </w:r>
      <w:r>
        <w:rPr>
          <w:b/>
          <w:color w:val="auto"/>
          <w:szCs w:val="21"/>
          <w:highlight w:val="none"/>
        </w:rPr>
        <w:t>1．</w:t>
      </w:r>
      <w:r>
        <w:rPr>
          <w:rFonts w:hint="eastAsia"/>
          <w:b/>
          <w:color w:val="auto"/>
          <w:szCs w:val="21"/>
          <w:highlight w:val="none"/>
        </w:rPr>
        <w:t>贺州市政府采购供应商信用承诺函</w:t>
      </w:r>
      <w:r>
        <w:rPr>
          <w:b/>
          <w:color w:val="auto"/>
          <w:szCs w:val="21"/>
          <w:highlight w:val="none"/>
        </w:rPr>
        <w:t>格式：</w:t>
      </w:r>
    </w:p>
    <w:p w14:paraId="5EE5CB7A">
      <w:pPr>
        <w:snapToGrid w:val="0"/>
        <w:spacing w:before="50" w:after="50" w:line="440" w:lineRule="exact"/>
        <w:ind w:firstLine="103" w:firstLineChars="49"/>
        <w:jc w:val="center"/>
        <w:rPr>
          <w:b/>
          <w:bCs/>
          <w:color w:val="auto"/>
          <w:sz w:val="32"/>
          <w:szCs w:val="32"/>
          <w:highlight w:val="none"/>
        </w:rPr>
      </w:pPr>
      <w:r>
        <w:rPr>
          <w:rFonts w:hint="eastAsia" w:ascii="Times New Roman" w:hAnsi="Times New Roman" w:eastAsia="宋体" w:cs="Times New Roman"/>
          <w:b/>
          <w:color w:val="auto"/>
          <w:szCs w:val="21"/>
          <w:highlight w:val="none"/>
        </w:rPr>
        <w:t>贺州市政府采购供应商信用承诺函</w:t>
      </w:r>
    </w:p>
    <w:p w14:paraId="78421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w:t>
      </w:r>
    </w:p>
    <w:p w14:paraId="34AC58F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12CFBF5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p w14:paraId="773182C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w:t>
      </w:r>
    </w:p>
    <w:p w14:paraId="6881B02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2DC4C9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1.我单位具有符合采购文件资格要求独立承担民事责任的能力。</w:t>
      </w:r>
    </w:p>
    <w:p w14:paraId="0CF99D5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2.我单位具有符合采购文件资格要求的财务状况报告。</w:t>
      </w:r>
    </w:p>
    <w:p w14:paraId="4CF7DD7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3.我单位具有符合采购文件资格要求的依法缴纳税收和社会保障记录的良好记录。</w:t>
      </w:r>
    </w:p>
    <w:p w14:paraId="6B34475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4.我单位具有符合采购文件资格要求履行合同所必需的设备和专业技术能力。</w:t>
      </w:r>
    </w:p>
    <w:p w14:paraId="0DFB03D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12942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若我单位承诺不实，自愿承担提供虚假材料谋取中标、成交的法律责任。</w:t>
      </w:r>
    </w:p>
    <w:p w14:paraId="0F3696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p>
    <w:p w14:paraId="3663D793">
      <w:pPr>
        <w:keepNext w:val="0"/>
        <w:keepLines w:val="0"/>
        <w:pageBreakBefore w:val="0"/>
        <w:widowControl w:val="0"/>
        <w:kinsoku/>
        <w:wordWrap w:val="0"/>
        <w:overflowPunct/>
        <w:topLinePunct w:val="0"/>
        <w:autoSpaceDE/>
        <w:autoSpaceDN/>
        <w:bidi w:val="0"/>
        <w:adjustRightInd/>
        <w:snapToGrid/>
        <w:spacing w:line="560" w:lineRule="exact"/>
        <w:ind w:firstLine="2415" w:firstLineChars="1150"/>
        <w:jc w:val="righ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lang w:val="en-US" w:eastAsia="zh-CN"/>
        </w:rPr>
        <w:t xml:space="preserve">     </w:t>
      </w:r>
    </w:p>
    <w:p w14:paraId="58F902F3">
      <w:pPr>
        <w:keepNext w:val="0"/>
        <w:keepLines w:val="0"/>
        <w:pageBreakBefore w:val="0"/>
        <w:widowControl w:val="0"/>
        <w:kinsoku/>
        <w:wordWrap w:val="0"/>
        <w:overflowPunct/>
        <w:topLinePunct w:val="0"/>
        <w:autoSpaceDE/>
        <w:autoSpaceDN/>
        <w:bidi w:val="0"/>
        <w:adjustRightInd/>
        <w:snapToGrid/>
        <w:spacing w:line="560" w:lineRule="exact"/>
        <w:ind w:firstLine="1470" w:firstLineChars="700"/>
        <w:jc w:val="righ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DEC5CB8">
      <w:pPr>
        <w:keepNext w:val="0"/>
        <w:keepLines w:val="0"/>
        <w:pageBreakBefore w:val="0"/>
        <w:widowControl w:val="0"/>
        <w:kinsoku/>
        <w:wordWrap/>
        <w:overflowPunct/>
        <w:topLinePunct w:val="0"/>
        <w:autoSpaceDE/>
        <w:autoSpaceDN/>
        <w:bidi w:val="0"/>
        <w:adjustRightInd/>
        <w:snapToGrid/>
        <w:spacing w:line="560" w:lineRule="exact"/>
        <w:ind w:firstLine="2940" w:firstLineChars="14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3B6ABF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注：1.供应商须在投标（响应）文件中按此模板提供承诺函，未提供视为未实质性响应招标（采购）文件要求，按无效投标（响应）处理。</w:t>
      </w:r>
    </w:p>
    <w:p w14:paraId="2E19433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345507C4">
      <w:pPr>
        <w:snapToGrid w:val="0"/>
        <w:spacing w:before="50" w:after="120" w:afterLines="50" w:line="440" w:lineRule="exact"/>
        <w:jc w:val="left"/>
        <w:rPr>
          <w:b/>
          <w:color w:val="auto"/>
          <w:szCs w:val="21"/>
          <w:highlight w:val="none"/>
        </w:rPr>
      </w:pPr>
      <w:r>
        <w:rPr>
          <w:color w:val="auto"/>
          <w:szCs w:val="21"/>
          <w:highlight w:val="none"/>
        </w:rPr>
        <w:br w:type="page"/>
      </w:r>
      <w:r>
        <w:rPr>
          <w:color w:val="auto"/>
          <w:szCs w:val="21"/>
          <w:highlight w:val="none"/>
        </w:rPr>
        <w:t>2．</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（如征集文件有要求时提供）</w:t>
      </w:r>
    </w:p>
    <w:p w14:paraId="7B7C5A3F">
      <w:pPr>
        <w:snapToGrid w:val="0"/>
        <w:spacing w:before="50" w:after="120" w:afterLines="50" w:line="360" w:lineRule="auto"/>
        <w:jc w:val="left"/>
        <w:rPr>
          <w:color w:val="auto"/>
          <w:szCs w:val="21"/>
          <w:highlight w:val="none"/>
        </w:rPr>
      </w:pPr>
      <w:r>
        <w:rPr>
          <w:color w:val="auto"/>
          <w:szCs w:val="21"/>
          <w:highlight w:val="none"/>
        </w:rPr>
        <w:br w:type="page"/>
      </w:r>
      <w:r>
        <w:rPr>
          <w:rFonts w:hint="eastAsia"/>
          <w:color w:val="auto"/>
          <w:szCs w:val="21"/>
          <w:highlight w:val="none"/>
          <w:lang w:val="en-US" w:eastAsia="zh-CN"/>
        </w:rPr>
        <w:t>2</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shd w:val="clear" w:color="auto" w:fill="FFFFFF"/>
        <w:tblLayout w:type="fixed"/>
        <w:tblCellMar>
          <w:top w:w="0" w:type="dxa"/>
          <w:left w:w="0" w:type="dxa"/>
          <w:bottom w:w="0" w:type="dxa"/>
          <w:right w:w="0" w:type="dxa"/>
        </w:tblCellMar>
      </w:tblPr>
      <w:tblGrid>
        <w:gridCol w:w="828"/>
        <w:gridCol w:w="2269"/>
        <w:gridCol w:w="1239"/>
        <w:gridCol w:w="3722"/>
        <w:gridCol w:w="1418"/>
      </w:tblGrid>
      <w:tr w14:paraId="362FE291">
        <w:tblPrEx>
          <w:shd w:val="clear" w:color="auto" w:fill="FFFFFF"/>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537D55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111099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67C2C2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A41693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33EEE7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备注</w:t>
            </w:r>
          </w:p>
        </w:tc>
      </w:tr>
      <w:tr w14:paraId="56D757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D75CDC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5F59A4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49D078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9B93CA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6236F2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03F0B711">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113B33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0A6AD2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CF8D3F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6B63F7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08E80E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100DC356">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AD302D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30FCD6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683DB4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81DDA3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3D4FBC0">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4E1304C2">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FA8458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F394DE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D5D49B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D41BEC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452D03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bl>
    <w:p w14:paraId="504BB142">
      <w:pPr>
        <w:snapToGrid w:val="0"/>
        <w:spacing w:line="360" w:lineRule="auto"/>
        <w:jc w:val="left"/>
        <w:rPr>
          <w:color w:val="auto"/>
          <w:szCs w:val="21"/>
          <w:highlight w:val="none"/>
        </w:rPr>
      </w:pPr>
      <w:r>
        <w:rPr>
          <w:rFonts w:hint="eastAsia"/>
          <w:color w:val="auto"/>
          <w:szCs w:val="21"/>
          <w:highlight w:val="none"/>
        </w:rPr>
        <w:t>注：</w:t>
      </w:r>
    </w:p>
    <w:p w14:paraId="02D2F665">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8BA6DB">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4AA0039B">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7136372D">
      <w:pPr>
        <w:snapToGrid w:val="0"/>
        <w:spacing w:line="360" w:lineRule="auto"/>
        <w:jc w:val="left"/>
        <w:rPr>
          <w:color w:val="auto"/>
          <w:szCs w:val="21"/>
          <w:highlight w:val="none"/>
        </w:rPr>
      </w:pPr>
    </w:p>
    <w:p w14:paraId="0B94A056">
      <w:pPr>
        <w:snapToGrid w:val="0"/>
        <w:spacing w:line="360" w:lineRule="auto"/>
        <w:jc w:val="left"/>
        <w:rPr>
          <w:color w:val="auto"/>
          <w:szCs w:val="21"/>
          <w:highlight w:val="none"/>
        </w:rPr>
      </w:pPr>
    </w:p>
    <w:p w14:paraId="707BE884">
      <w:pPr>
        <w:snapToGrid w:val="0"/>
        <w:spacing w:line="360" w:lineRule="auto"/>
        <w:jc w:val="left"/>
        <w:rPr>
          <w:color w:val="auto"/>
          <w:szCs w:val="21"/>
          <w:highlight w:val="none"/>
        </w:rPr>
      </w:pPr>
    </w:p>
    <w:p w14:paraId="3799A656">
      <w:pPr>
        <w:snapToGrid w:val="0"/>
        <w:spacing w:line="360" w:lineRule="auto"/>
        <w:jc w:val="left"/>
        <w:rPr>
          <w:color w:val="auto"/>
          <w:szCs w:val="21"/>
          <w:highlight w:val="none"/>
        </w:rPr>
      </w:pPr>
    </w:p>
    <w:p w14:paraId="2CCE8E12">
      <w:pPr>
        <w:snapToGrid w:val="0"/>
        <w:spacing w:line="360" w:lineRule="auto"/>
        <w:jc w:val="left"/>
        <w:rPr>
          <w:color w:val="auto"/>
          <w:szCs w:val="21"/>
          <w:highlight w:val="none"/>
        </w:rPr>
      </w:pPr>
    </w:p>
    <w:p w14:paraId="73A83334">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298E2024">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67664ED">
      <w:pPr>
        <w:snapToGrid w:val="0"/>
        <w:spacing w:line="360" w:lineRule="auto"/>
        <w:jc w:val="left"/>
        <w:rPr>
          <w:color w:val="auto"/>
          <w:szCs w:val="21"/>
          <w:highlight w:val="none"/>
        </w:rPr>
      </w:pPr>
      <w:r>
        <w:rPr>
          <w:color w:val="auto"/>
          <w:szCs w:val="21"/>
          <w:highlight w:val="none"/>
        </w:rPr>
        <w:br w:type="page"/>
      </w:r>
      <w:r>
        <w:rPr>
          <w:rFonts w:hint="eastAsia"/>
          <w:color w:val="auto"/>
          <w:szCs w:val="21"/>
          <w:highlight w:val="none"/>
          <w:lang w:val="en-US" w:eastAsia="zh-CN"/>
        </w:rPr>
        <w:t>2</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45C2BC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7E6EDF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EB66560">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801A1F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BBC71F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备注</w:t>
            </w:r>
          </w:p>
        </w:tc>
      </w:tr>
      <w:tr w14:paraId="68E0032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5EDBE2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D499314">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BBD86A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A10D7B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5F39DBA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A44408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90DB92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D2ADB8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36A8B7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5E9611F3">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131A7F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9899FF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2D7669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68C7C2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r w14:paraId="0FB7170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F79CD8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033686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56328B4">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494DB6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r>
    </w:tbl>
    <w:p w14:paraId="7B72B702">
      <w:pPr>
        <w:snapToGrid w:val="0"/>
        <w:spacing w:line="360" w:lineRule="auto"/>
        <w:jc w:val="left"/>
        <w:rPr>
          <w:color w:val="auto"/>
          <w:szCs w:val="21"/>
          <w:highlight w:val="none"/>
        </w:rPr>
      </w:pPr>
      <w:r>
        <w:rPr>
          <w:rFonts w:hint="eastAsia"/>
          <w:color w:val="auto"/>
          <w:szCs w:val="21"/>
          <w:highlight w:val="none"/>
        </w:rPr>
        <w:t>注：</w:t>
      </w:r>
    </w:p>
    <w:p w14:paraId="41349BC8">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40971E93">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6CE0A657">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68FE67FE">
      <w:pPr>
        <w:snapToGrid w:val="0"/>
        <w:spacing w:line="360" w:lineRule="auto"/>
        <w:jc w:val="left"/>
        <w:rPr>
          <w:color w:val="auto"/>
          <w:szCs w:val="21"/>
          <w:highlight w:val="none"/>
        </w:rPr>
      </w:pPr>
    </w:p>
    <w:p w14:paraId="45697BC3">
      <w:pPr>
        <w:snapToGrid w:val="0"/>
        <w:spacing w:line="360" w:lineRule="auto"/>
        <w:jc w:val="left"/>
        <w:rPr>
          <w:color w:val="auto"/>
          <w:szCs w:val="21"/>
          <w:highlight w:val="none"/>
        </w:rPr>
      </w:pPr>
    </w:p>
    <w:p w14:paraId="40535443">
      <w:pPr>
        <w:snapToGrid w:val="0"/>
        <w:spacing w:line="360" w:lineRule="auto"/>
        <w:jc w:val="left"/>
        <w:rPr>
          <w:color w:val="auto"/>
          <w:szCs w:val="21"/>
          <w:highlight w:val="none"/>
        </w:rPr>
      </w:pPr>
    </w:p>
    <w:p w14:paraId="448FD6AC">
      <w:pPr>
        <w:snapToGrid w:val="0"/>
        <w:spacing w:line="360" w:lineRule="auto"/>
        <w:jc w:val="left"/>
        <w:rPr>
          <w:color w:val="auto"/>
          <w:szCs w:val="21"/>
          <w:highlight w:val="none"/>
        </w:rPr>
      </w:pPr>
    </w:p>
    <w:p w14:paraId="2EB9800B">
      <w:pPr>
        <w:snapToGrid w:val="0"/>
        <w:spacing w:line="360" w:lineRule="auto"/>
        <w:jc w:val="left"/>
        <w:rPr>
          <w:color w:val="auto"/>
          <w:szCs w:val="21"/>
          <w:highlight w:val="none"/>
        </w:rPr>
      </w:pPr>
    </w:p>
    <w:p w14:paraId="788704C5">
      <w:pPr>
        <w:snapToGrid w:val="0"/>
        <w:spacing w:line="360" w:lineRule="auto"/>
        <w:jc w:val="left"/>
        <w:rPr>
          <w:color w:val="auto"/>
          <w:szCs w:val="21"/>
          <w:highlight w:val="none"/>
        </w:rPr>
      </w:pPr>
    </w:p>
    <w:p w14:paraId="65AAA389">
      <w:pPr>
        <w:snapToGrid w:val="0"/>
        <w:spacing w:line="360" w:lineRule="auto"/>
        <w:jc w:val="left"/>
        <w:rPr>
          <w:color w:val="auto"/>
          <w:szCs w:val="21"/>
          <w:highlight w:val="none"/>
        </w:rPr>
      </w:pPr>
    </w:p>
    <w:p w14:paraId="12EBD550">
      <w:pPr>
        <w:snapToGrid w:val="0"/>
        <w:spacing w:line="360" w:lineRule="auto"/>
        <w:jc w:val="left"/>
        <w:rPr>
          <w:color w:val="auto"/>
          <w:szCs w:val="21"/>
          <w:highlight w:val="none"/>
        </w:rPr>
      </w:pPr>
    </w:p>
    <w:p w14:paraId="7CA7FB7A">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19E1A66">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1E634362">
      <w:pPr>
        <w:snapToGrid w:val="0"/>
        <w:spacing w:before="50" w:after="120" w:afterLines="50" w:line="440" w:lineRule="exact"/>
        <w:jc w:val="left"/>
        <w:rPr>
          <w:rFonts w:hint="eastAsia"/>
          <w:b/>
          <w:color w:val="auto"/>
          <w:szCs w:val="21"/>
          <w:highlight w:val="none"/>
        </w:rPr>
      </w:pPr>
    </w:p>
    <w:p w14:paraId="140791C3">
      <w:pPr>
        <w:snapToGrid w:val="0"/>
        <w:spacing w:before="50" w:after="120" w:afterLines="50" w:line="440" w:lineRule="exact"/>
        <w:jc w:val="left"/>
        <w:rPr>
          <w:rFonts w:hint="eastAsia"/>
          <w:b/>
          <w:color w:val="auto"/>
          <w:szCs w:val="21"/>
          <w:highlight w:val="none"/>
        </w:rPr>
      </w:pPr>
      <w:r>
        <w:rPr>
          <w:b/>
          <w:color w:val="auto"/>
          <w:szCs w:val="21"/>
          <w:highlight w:val="none"/>
        </w:rPr>
        <w:br w:type="page"/>
      </w:r>
      <w:r>
        <w:rPr>
          <w:rFonts w:hint="eastAsia"/>
          <w:color w:val="auto"/>
          <w:szCs w:val="21"/>
          <w:highlight w:val="none"/>
          <w:lang w:val="en-US" w:eastAsia="zh-CN"/>
        </w:rPr>
        <w:t>3</w:t>
      </w:r>
      <w:r>
        <w:rPr>
          <w:color w:val="auto"/>
          <w:szCs w:val="21"/>
          <w:highlight w:val="none"/>
        </w:rPr>
        <w:t>．响应保证金缴纳证明</w:t>
      </w:r>
      <w:r>
        <w:rPr>
          <w:rFonts w:hint="eastAsia"/>
          <w:color w:val="auto"/>
          <w:szCs w:val="21"/>
          <w:highlight w:val="none"/>
        </w:rPr>
        <w:t>。</w:t>
      </w:r>
      <w:r>
        <w:rPr>
          <w:rFonts w:hint="eastAsia"/>
          <w:b/>
          <w:color w:val="auto"/>
          <w:szCs w:val="21"/>
          <w:highlight w:val="none"/>
        </w:rPr>
        <w:t>（如征集文件有要求时提供）</w:t>
      </w:r>
    </w:p>
    <w:p w14:paraId="72E25D3E">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rFonts w:hint="eastAsia"/>
          <w:color w:val="auto"/>
          <w:highlight w:val="none"/>
        </w:rPr>
        <w:t>供应商电子签章；</w:t>
      </w:r>
    </w:p>
    <w:p w14:paraId="1524C8E9">
      <w:pPr>
        <w:snapToGrid w:val="0"/>
        <w:spacing w:before="50" w:after="120" w:afterLines="50" w:line="440" w:lineRule="exact"/>
        <w:jc w:val="left"/>
        <w:rPr>
          <w:color w:val="auto"/>
          <w:highlight w:val="none"/>
        </w:rPr>
      </w:pPr>
      <w:r>
        <w:rPr>
          <w:rFonts w:hint="eastAsia"/>
          <w:color w:val="auto"/>
          <w:highlight w:val="none"/>
        </w:rPr>
        <w:t>（2）以支票、汇票、本票或金融机构、担保机构出具的保函等非现金形式缴纳的，提供原件扫描件或复印件并加盖供应商电子签章。响应保函参考如下格式开具：</w:t>
      </w:r>
    </w:p>
    <w:p w14:paraId="54C040C6">
      <w:pPr>
        <w:snapToGrid w:val="0"/>
        <w:spacing w:before="50" w:after="120" w:afterLines="50" w:line="440" w:lineRule="exact"/>
        <w:jc w:val="center"/>
        <w:rPr>
          <w:rFonts w:hint="eastAsia"/>
          <w:b/>
          <w:bCs/>
          <w:color w:val="auto"/>
          <w:sz w:val="24"/>
          <w:szCs w:val="32"/>
          <w:highlight w:val="none"/>
        </w:rPr>
      </w:pPr>
      <w:r>
        <w:rPr>
          <w:rFonts w:hint="eastAsia"/>
          <w:b/>
          <w:bCs/>
          <w:color w:val="auto"/>
          <w:sz w:val="24"/>
          <w:szCs w:val="32"/>
          <w:highlight w:val="none"/>
        </w:rPr>
        <w:t>响应保函格式</w:t>
      </w:r>
    </w:p>
    <w:p w14:paraId="08E41C60">
      <w:pPr>
        <w:snapToGrid w:val="0"/>
        <w:spacing w:before="50" w:after="120" w:afterLines="50" w:line="276" w:lineRule="auto"/>
        <w:jc w:val="left"/>
        <w:rPr>
          <w:color w:val="auto"/>
          <w:highlight w:val="none"/>
        </w:rPr>
      </w:pPr>
      <w:r>
        <w:rPr>
          <w:rFonts w:hint="eastAsia"/>
          <w:color w:val="auto"/>
          <w:highlight w:val="none"/>
        </w:rPr>
        <w:t>编号：</w:t>
      </w:r>
      <w:r>
        <w:rPr>
          <w:color w:val="auto"/>
          <w:highlight w:val="none"/>
        </w:rPr>
        <w:t xml:space="preserve">           </w:t>
      </w:r>
    </w:p>
    <w:p w14:paraId="48C49337">
      <w:pPr>
        <w:snapToGrid w:val="0"/>
        <w:spacing w:before="50" w:after="120" w:afterLines="50" w:line="276" w:lineRule="auto"/>
        <w:jc w:val="left"/>
        <w:rPr>
          <w:color w:val="auto"/>
          <w:highlight w:val="none"/>
        </w:rPr>
      </w:pPr>
      <w:r>
        <w:rPr>
          <w:rFonts w:hint="eastAsia"/>
          <w:color w:val="auto"/>
          <w:highlight w:val="none"/>
        </w:rPr>
        <w:t>申请人：</w:t>
      </w:r>
    </w:p>
    <w:p w14:paraId="1825DF51">
      <w:pPr>
        <w:snapToGrid w:val="0"/>
        <w:spacing w:before="50" w:after="120" w:afterLines="50" w:line="276" w:lineRule="auto"/>
        <w:jc w:val="left"/>
        <w:rPr>
          <w:color w:val="auto"/>
          <w:highlight w:val="none"/>
        </w:rPr>
      </w:pPr>
      <w:r>
        <w:rPr>
          <w:rFonts w:hint="eastAsia"/>
          <w:color w:val="auto"/>
          <w:highlight w:val="none"/>
        </w:rPr>
        <w:t>地址：</w:t>
      </w:r>
    </w:p>
    <w:p w14:paraId="1DD877BB">
      <w:pPr>
        <w:snapToGrid w:val="0"/>
        <w:spacing w:before="50" w:after="120" w:afterLines="50" w:line="276" w:lineRule="auto"/>
        <w:jc w:val="left"/>
        <w:rPr>
          <w:color w:val="auto"/>
          <w:highlight w:val="none"/>
        </w:rPr>
      </w:pPr>
      <w:r>
        <w:rPr>
          <w:rFonts w:hint="eastAsia"/>
          <w:color w:val="auto"/>
          <w:highlight w:val="none"/>
        </w:rPr>
        <w:t>受益人：广西机电设备招标有限公司</w:t>
      </w:r>
      <w:r>
        <w:rPr>
          <w:color w:val="auto"/>
          <w:highlight w:val="none"/>
        </w:rPr>
        <w:t xml:space="preserve"> </w:t>
      </w:r>
    </w:p>
    <w:p w14:paraId="596CE865">
      <w:pPr>
        <w:snapToGrid w:val="0"/>
        <w:spacing w:before="50" w:after="120" w:afterLines="50" w:line="276" w:lineRule="auto"/>
        <w:jc w:val="left"/>
        <w:rPr>
          <w:color w:val="auto"/>
          <w:highlight w:val="none"/>
        </w:rPr>
      </w:pPr>
      <w:r>
        <w:rPr>
          <w:rFonts w:hint="eastAsia"/>
          <w:color w:val="auto"/>
          <w:highlight w:val="none"/>
        </w:rPr>
        <w:t>地址：</w:t>
      </w:r>
    </w:p>
    <w:p w14:paraId="08CE1DC3">
      <w:pPr>
        <w:snapToGrid w:val="0"/>
        <w:spacing w:before="50" w:after="120" w:afterLines="50" w:line="276" w:lineRule="auto"/>
        <w:jc w:val="left"/>
        <w:rPr>
          <w:color w:val="auto"/>
          <w:highlight w:val="none"/>
        </w:rPr>
      </w:pPr>
      <w:r>
        <w:rPr>
          <w:rFonts w:hint="eastAsia"/>
          <w:color w:val="auto"/>
          <w:highlight w:val="none"/>
        </w:rPr>
        <w:t>开立人：</w:t>
      </w:r>
    </w:p>
    <w:p w14:paraId="44B32F1F">
      <w:pPr>
        <w:snapToGrid w:val="0"/>
        <w:spacing w:before="50" w:after="120" w:afterLines="50" w:line="276" w:lineRule="auto"/>
        <w:jc w:val="left"/>
        <w:rPr>
          <w:color w:val="auto"/>
          <w:highlight w:val="none"/>
        </w:rPr>
      </w:pPr>
      <w:r>
        <w:rPr>
          <w:rFonts w:hint="eastAsia"/>
          <w:color w:val="auto"/>
          <w:highlight w:val="none"/>
        </w:rPr>
        <w:t>地址：</w:t>
      </w:r>
    </w:p>
    <w:p w14:paraId="1D3B4A6C">
      <w:pPr>
        <w:snapToGrid w:val="0"/>
        <w:spacing w:before="50" w:after="120" w:afterLines="50" w:line="276" w:lineRule="auto"/>
        <w:jc w:val="left"/>
        <w:rPr>
          <w:color w:val="auto"/>
          <w:highlight w:val="none"/>
        </w:rPr>
      </w:pPr>
    </w:p>
    <w:p w14:paraId="7FBE98CA">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1ED733F3">
      <w:pPr>
        <w:snapToGrid w:val="0"/>
        <w:spacing w:before="50" w:after="120" w:afterLines="50" w:line="276" w:lineRule="auto"/>
        <w:jc w:val="left"/>
        <w:rPr>
          <w:color w:val="auto"/>
          <w:highlight w:val="none"/>
        </w:rPr>
      </w:pPr>
      <w:r>
        <w:rPr>
          <w:rFonts w:hint="eastAsia"/>
          <w:color w:val="auto"/>
          <w:highlight w:val="none"/>
        </w:rPr>
        <w:t>我方（即“开立人”）已获得通知，本保函申请人（即“供应商”）已响应贵方于</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color w:val="auto"/>
          <w:highlight w:val="none"/>
        </w:rPr>
        <w:t xml:space="preserve"> </w:t>
      </w:r>
      <w:r>
        <w:rPr>
          <w:rFonts w:hint="eastAsia"/>
          <w:color w:val="auto"/>
          <w:highlight w:val="none"/>
        </w:rPr>
        <w:t>日就</w:t>
      </w:r>
      <w:r>
        <w:rPr>
          <w:color w:val="auto"/>
          <w:highlight w:val="none"/>
        </w:rPr>
        <w:t xml:space="preserve"> </w:t>
      </w:r>
      <w:r>
        <w:rPr>
          <w:color w:val="auto"/>
          <w:highlight w:val="none"/>
          <w:u w:val="single"/>
        </w:rPr>
        <w:t xml:space="preserve">                                          </w:t>
      </w:r>
      <w:r>
        <w:rPr>
          <w:rFonts w:hint="eastAsia"/>
          <w:color w:val="auto"/>
          <w:highlight w:val="none"/>
        </w:rPr>
        <w:t>（以下简称“本项目”）发出的征集文件，并已向采购代理机构（即“受益人”）提交了响应文件。</w:t>
      </w:r>
    </w:p>
    <w:p w14:paraId="4FAE7CAA">
      <w:pPr>
        <w:snapToGrid w:val="0"/>
        <w:spacing w:before="50" w:after="120" w:afterLines="50" w:line="276" w:lineRule="auto"/>
        <w:jc w:val="left"/>
        <w:rPr>
          <w:color w:val="auto"/>
          <w:highlight w:val="none"/>
        </w:rPr>
      </w:pPr>
      <w:r>
        <w:rPr>
          <w:rFonts w:hint="eastAsia"/>
          <w:color w:val="auto"/>
          <w:highlight w:val="none"/>
        </w:rPr>
        <w:t>一、我方理解根据征集条件，供应商必须提交一份响应保函（以下简称“本保函”），以担保供应商诚信履行其在采购活动中承担的义务。鉴此，应申请人要求，我方在此同意向贵方出具此响应保函，本保函担保金额为人民币（大写）</w:t>
      </w:r>
      <w:r>
        <w:rPr>
          <w:color w:val="auto"/>
          <w:highlight w:val="none"/>
          <w:u w:val="single"/>
        </w:rPr>
        <w:t xml:space="preserve">                            </w:t>
      </w:r>
      <w:r>
        <w:rPr>
          <w:rFonts w:hint="eastAsia"/>
          <w:color w:val="auto"/>
          <w:highlight w:val="none"/>
        </w:rPr>
        <w:t>元（</w:t>
      </w:r>
      <w:r>
        <w:rPr>
          <w:color w:val="auto"/>
          <w:highlight w:val="none"/>
        </w:rPr>
        <w:t>¥</w:t>
      </w:r>
      <w:r>
        <w:rPr>
          <w:color w:val="auto"/>
          <w:highlight w:val="none"/>
          <w:u w:val="single"/>
        </w:rPr>
        <w:t xml:space="preserve">                         </w:t>
      </w:r>
      <w:r>
        <w:rPr>
          <w:rFonts w:hint="eastAsia"/>
          <w:color w:val="auto"/>
          <w:highlight w:val="none"/>
        </w:rPr>
        <w:t>）。</w:t>
      </w:r>
    </w:p>
    <w:p w14:paraId="76F6B711">
      <w:pPr>
        <w:snapToGrid w:val="0"/>
        <w:spacing w:before="50" w:after="120" w:afterLines="50" w:line="276" w:lineRule="auto"/>
        <w:jc w:val="left"/>
        <w:rPr>
          <w:color w:val="auto"/>
          <w:highlight w:val="none"/>
        </w:rPr>
      </w:pPr>
      <w:r>
        <w:rPr>
          <w:rFonts w:hint="eastAsia"/>
          <w:color w:val="auto"/>
          <w:highlight w:val="none"/>
        </w:rPr>
        <w:t>二、我方在供应商发生以下情形时承担保证担保责任：</w:t>
      </w:r>
      <w:r>
        <w:rPr>
          <w:color w:val="auto"/>
          <w:highlight w:val="none"/>
        </w:rPr>
        <w:t xml:space="preserve"> </w:t>
      </w:r>
    </w:p>
    <w:p w14:paraId="64B4AB0D">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1</w:t>
      </w:r>
      <w:r>
        <w:rPr>
          <w:rFonts w:hint="eastAsia"/>
          <w:color w:val="auto"/>
          <w:highlight w:val="none"/>
        </w:rPr>
        <w:t>）供应商在截标后和响应有效期满之前撤销响应文件的；</w:t>
      </w:r>
      <w:r>
        <w:rPr>
          <w:color w:val="auto"/>
          <w:highlight w:val="none"/>
        </w:rPr>
        <w:t xml:space="preserve"> </w:t>
      </w:r>
    </w:p>
    <w:p w14:paraId="6DEDC7A3">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2</w:t>
      </w:r>
      <w:r>
        <w:rPr>
          <w:rFonts w:hint="eastAsia"/>
          <w:color w:val="auto"/>
          <w:highlight w:val="none"/>
        </w:rPr>
        <w:t>）供应商在入围通知书发出之日起</w:t>
      </w:r>
      <w:r>
        <w:rPr>
          <w:color w:val="auto"/>
          <w:highlight w:val="none"/>
        </w:rPr>
        <w:t>5</w:t>
      </w:r>
      <w:r>
        <w:rPr>
          <w:rFonts w:hint="eastAsia"/>
          <w:color w:val="auto"/>
          <w:highlight w:val="none"/>
        </w:rPr>
        <w:t>个工作日内，未缴纳本项目代理服务费的；</w:t>
      </w:r>
    </w:p>
    <w:p w14:paraId="489BF93D">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5</w:t>
      </w:r>
      <w:r>
        <w:rPr>
          <w:rFonts w:hint="eastAsia"/>
          <w:color w:val="auto"/>
          <w:highlight w:val="none"/>
        </w:rPr>
        <w:t>）供应商违反征集文件规定的其他情形。</w:t>
      </w:r>
    </w:p>
    <w:p w14:paraId="6FFD561C">
      <w:pPr>
        <w:snapToGrid w:val="0"/>
        <w:spacing w:before="50" w:after="120" w:afterLines="50" w:line="276" w:lineRule="auto"/>
        <w:jc w:val="left"/>
        <w:rPr>
          <w:color w:val="auto"/>
          <w:highlight w:val="none"/>
        </w:rPr>
      </w:pPr>
      <w:r>
        <w:rPr>
          <w:color w:val="auto"/>
          <w:highlight w:val="none"/>
        </w:rPr>
        <w:t xml:space="preserve">    </w:t>
      </w:r>
      <w:r>
        <w:rPr>
          <w:rFonts w:hint="eastAsia"/>
          <w:color w:val="auto"/>
          <w:highlight w:val="none"/>
        </w:rPr>
        <w:t>三、本保函为不可撤销、不可转让的见索即付独立保函。本保函有效期自开立之日起至响应有效期届满之日后的</w:t>
      </w:r>
      <w:r>
        <w:rPr>
          <w:color w:val="auto"/>
          <w:highlight w:val="none"/>
          <w:u w:val="single"/>
        </w:rPr>
        <w:t xml:space="preserve">  28  </w:t>
      </w:r>
      <w:r>
        <w:rPr>
          <w:rFonts w:hint="eastAsia"/>
          <w:color w:val="auto"/>
          <w:highlight w:val="none"/>
        </w:rPr>
        <w:t>日。响应有效期延长的，本保函有效期相应顺延。</w:t>
      </w:r>
    </w:p>
    <w:p w14:paraId="402487C5">
      <w:pPr>
        <w:snapToGrid w:val="0"/>
        <w:spacing w:before="50" w:after="120" w:afterLines="50" w:line="276" w:lineRule="auto"/>
        <w:jc w:val="left"/>
        <w:rPr>
          <w:color w:val="auto"/>
          <w:highlight w:val="none"/>
        </w:rPr>
      </w:pPr>
      <w:r>
        <w:rPr>
          <w:rFonts w:hint="eastAsia"/>
          <w:color w:val="auto"/>
          <w:highlight w:val="none"/>
        </w:rPr>
        <w:t>四、我方承诺，在收到受益人发来的书面付款通知后的</w:t>
      </w:r>
      <w:r>
        <w:rPr>
          <w:color w:val="auto"/>
          <w:highlight w:val="none"/>
          <w:u w:val="single"/>
        </w:rPr>
        <w:t xml:space="preserve">   5    </w:t>
      </w:r>
      <w:r>
        <w:rPr>
          <w:rFonts w:hint="eastAsia"/>
          <w:color w:val="auto"/>
          <w:highlight w:val="none"/>
        </w:rPr>
        <w:t>日内无条件支付，前述书面付款通知即为付款要求之单据，且应满足以下要求：</w:t>
      </w:r>
    </w:p>
    <w:p w14:paraId="6F0402DE">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1</w:t>
      </w:r>
      <w:r>
        <w:rPr>
          <w:rFonts w:hint="eastAsia"/>
          <w:color w:val="auto"/>
          <w:highlight w:val="none"/>
        </w:rPr>
        <w:t>）付款通知到达的日期在本保函的有效期内；</w:t>
      </w:r>
    </w:p>
    <w:p w14:paraId="5B8915E3">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2</w:t>
      </w:r>
      <w:r>
        <w:rPr>
          <w:rFonts w:hint="eastAsia"/>
          <w:color w:val="auto"/>
          <w:highlight w:val="none"/>
        </w:rPr>
        <w:t>）载明要求支付的金额；</w:t>
      </w:r>
    </w:p>
    <w:p w14:paraId="42F2F6A1">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3</w:t>
      </w:r>
      <w:r>
        <w:rPr>
          <w:rFonts w:hint="eastAsia"/>
          <w:color w:val="auto"/>
          <w:highlight w:val="none"/>
        </w:rPr>
        <w:t>）载明申请人违反征集文件规定的义务内容和具体条款；</w:t>
      </w:r>
    </w:p>
    <w:p w14:paraId="125D4E79">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4</w:t>
      </w:r>
      <w:r>
        <w:rPr>
          <w:rFonts w:hint="eastAsia"/>
          <w:color w:val="auto"/>
          <w:highlight w:val="none"/>
        </w:rPr>
        <w:t>）声明不存在征集文件规定或我国法律规定免除申请人或我方支付责任的情形；</w:t>
      </w:r>
    </w:p>
    <w:p w14:paraId="1798CD72">
      <w:pPr>
        <w:snapToGrid w:val="0"/>
        <w:spacing w:before="50" w:after="120" w:afterLines="50" w:line="276" w:lineRule="auto"/>
        <w:jc w:val="left"/>
        <w:rPr>
          <w:color w:val="auto"/>
          <w:highlight w:val="none"/>
        </w:rPr>
      </w:pPr>
      <w:r>
        <w:rPr>
          <w:rFonts w:hint="eastAsia"/>
          <w:color w:val="auto"/>
          <w:highlight w:val="none"/>
        </w:rPr>
        <w:t>（</w:t>
      </w:r>
      <w:r>
        <w:rPr>
          <w:color w:val="auto"/>
          <w:highlight w:val="none"/>
        </w:rPr>
        <w:t>5</w:t>
      </w:r>
      <w:r>
        <w:rPr>
          <w:rFonts w:hint="eastAsia"/>
          <w:color w:val="auto"/>
          <w:highlight w:val="none"/>
        </w:rPr>
        <w:t>）书面付款通知应在本保函有效期内到达的地址是：</w:t>
      </w:r>
      <w:r>
        <w:rPr>
          <w:color w:val="auto"/>
          <w:highlight w:val="none"/>
          <w:u w:val="single"/>
        </w:rPr>
        <w:t xml:space="preserve">                                     </w:t>
      </w:r>
      <w:r>
        <w:rPr>
          <w:rFonts w:hint="eastAsia"/>
          <w:color w:val="auto"/>
          <w:highlight w:val="none"/>
        </w:rPr>
        <w:t>。</w:t>
      </w:r>
    </w:p>
    <w:p w14:paraId="3EE20430">
      <w:pPr>
        <w:snapToGrid w:val="0"/>
        <w:spacing w:before="50" w:after="120" w:afterLines="50" w:line="276" w:lineRule="auto"/>
        <w:jc w:val="left"/>
        <w:rPr>
          <w:color w:val="auto"/>
          <w:highlight w:val="none"/>
        </w:rPr>
      </w:pPr>
      <w:r>
        <w:rPr>
          <w:color w:val="auto"/>
          <w:highlight w:val="none"/>
        </w:rPr>
        <w:t xml:space="preserve">        </w:t>
      </w:r>
      <w:r>
        <w:rPr>
          <w:rFonts w:hint="eastAsia"/>
          <w:color w:val="auto"/>
          <w:highlight w:val="none"/>
        </w:rPr>
        <w:t>受益人发出的书面付款通知应由其为鉴明受益人法定代表人（负责人）或授权代理人签字并加盖公章。</w:t>
      </w:r>
    </w:p>
    <w:p w14:paraId="734C6399">
      <w:pPr>
        <w:snapToGrid w:val="0"/>
        <w:spacing w:before="50" w:after="120" w:afterLines="50" w:line="276" w:lineRule="auto"/>
        <w:jc w:val="left"/>
        <w:rPr>
          <w:color w:val="auto"/>
          <w:highlight w:val="none"/>
        </w:rPr>
      </w:pPr>
      <w:r>
        <w:rPr>
          <w:rFonts w:hint="eastAsia"/>
          <w:color w:val="auto"/>
          <w:highlight w:val="none"/>
        </w:rPr>
        <w:t>五、本保函项下的权利不得转让，不得设定担保。贵方未经我方书面同意转让本保函或其项下任何权利，对我方不发生法律效力。</w:t>
      </w:r>
      <w:r>
        <w:rPr>
          <w:color w:val="auto"/>
          <w:highlight w:val="none"/>
        </w:rPr>
        <w:t xml:space="preserve"> </w:t>
      </w:r>
    </w:p>
    <w:p w14:paraId="1BB20B5E">
      <w:pPr>
        <w:snapToGrid w:val="0"/>
        <w:spacing w:before="50" w:after="120" w:afterLines="50" w:line="276" w:lineRule="auto"/>
        <w:jc w:val="left"/>
        <w:rPr>
          <w:color w:val="auto"/>
          <w:highlight w:val="none"/>
        </w:rPr>
      </w:pPr>
      <w:r>
        <w:rPr>
          <w:rFonts w:hint="eastAsia"/>
          <w:color w:val="auto"/>
          <w:highlight w:val="none"/>
        </w:rPr>
        <w:t>六、本保函项下的基础交易不成立、不生效、无效、被撤销、被解除，不影响本保函的独立有效。</w:t>
      </w:r>
      <w:r>
        <w:rPr>
          <w:color w:val="auto"/>
          <w:highlight w:val="none"/>
        </w:rPr>
        <w:t xml:space="preserve"> </w:t>
      </w:r>
    </w:p>
    <w:p w14:paraId="7BF9DB2A">
      <w:pPr>
        <w:snapToGrid w:val="0"/>
        <w:spacing w:before="50" w:after="120" w:afterLines="50" w:line="276" w:lineRule="auto"/>
        <w:jc w:val="left"/>
        <w:rPr>
          <w:color w:val="auto"/>
          <w:highlight w:val="none"/>
        </w:rPr>
      </w:pPr>
      <w:r>
        <w:rPr>
          <w:rFonts w:hint="eastAsia"/>
          <w:color w:val="auto"/>
          <w:highlight w:val="none"/>
        </w:rPr>
        <w:t>七、受益人应在本保函到期后的七日内将本保函正本退回我方注销，但是不论受益人是否按此要求将本保函正本退回我方，我方在本保函项下的义务和责任均在保函有效期到期后自动消灭。</w:t>
      </w:r>
      <w:r>
        <w:rPr>
          <w:color w:val="auto"/>
          <w:highlight w:val="none"/>
        </w:rPr>
        <w:t xml:space="preserve"> </w:t>
      </w:r>
    </w:p>
    <w:p w14:paraId="35BD8844">
      <w:pPr>
        <w:snapToGrid w:val="0"/>
        <w:spacing w:before="50" w:after="120" w:afterLines="50" w:line="276" w:lineRule="auto"/>
        <w:jc w:val="left"/>
        <w:rPr>
          <w:color w:val="auto"/>
          <w:highlight w:val="none"/>
        </w:rPr>
      </w:pPr>
      <w:r>
        <w:rPr>
          <w:rFonts w:hint="eastAsia"/>
          <w:color w:val="auto"/>
          <w:highlight w:val="none"/>
        </w:rPr>
        <w:t>八、本保函适用的法律为中华人民共和国法律，争议裁判管辖地为中华人民共和国。</w:t>
      </w:r>
      <w:r>
        <w:rPr>
          <w:color w:val="auto"/>
          <w:highlight w:val="none"/>
        </w:rPr>
        <w:t xml:space="preserve"> </w:t>
      </w:r>
    </w:p>
    <w:p w14:paraId="4BA83CC2">
      <w:pPr>
        <w:snapToGrid w:val="0"/>
        <w:spacing w:before="50" w:after="120" w:afterLines="50" w:line="276" w:lineRule="auto"/>
        <w:jc w:val="left"/>
        <w:rPr>
          <w:color w:val="auto"/>
          <w:highlight w:val="none"/>
        </w:rPr>
      </w:pPr>
      <w:r>
        <w:rPr>
          <w:rFonts w:hint="eastAsia"/>
          <w:color w:val="auto"/>
          <w:highlight w:val="none"/>
        </w:rPr>
        <w:t>九、本保函自我方法定代表人或授权代表签字并加盖公章之日起生效。</w:t>
      </w:r>
      <w:r>
        <w:rPr>
          <w:color w:val="auto"/>
          <w:highlight w:val="none"/>
        </w:rPr>
        <w:t xml:space="preserve"> </w:t>
      </w:r>
    </w:p>
    <w:p w14:paraId="5329C5BC">
      <w:pPr>
        <w:snapToGrid w:val="0"/>
        <w:spacing w:before="50" w:after="120" w:afterLines="50" w:line="276" w:lineRule="auto"/>
        <w:jc w:val="left"/>
        <w:rPr>
          <w:color w:val="auto"/>
          <w:highlight w:val="none"/>
        </w:rPr>
      </w:pPr>
    </w:p>
    <w:p w14:paraId="459097E2">
      <w:pPr>
        <w:snapToGrid w:val="0"/>
        <w:spacing w:before="50" w:after="120" w:afterLines="50" w:line="276" w:lineRule="auto"/>
        <w:jc w:val="left"/>
        <w:rPr>
          <w:color w:val="auto"/>
          <w:highlight w:val="none"/>
        </w:rPr>
      </w:pPr>
      <w:r>
        <w:rPr>
          <w:rFonts w:hint="eastAsia"/>
          <w:color w:val="auto"/>
          <w:highlight w:val="none"/>
        </w:rPr>
        <w:t>开</w:t>
      </w:r>
      <w:r>
        <w:rPr>
          <w:color w:val="auto"/>
          <w:highlight w:val="none"/>
        </w:rPr>
        <w:t xml:space="preserve"> </w:t>
      </w:r>
      <w:r>
        <w:rPr>
          <w:rFonts w:hint="eastAsia"/>
          <w:color w:val="auto"/>
          <w:highlight w:val="none"/>
        </w:rPr>
        <w:t>立</w:t>
      </w:r>
      <w:r>
        <w:rPr>
          <w:color w:val="auto"/>
          <w:highlight w:val="none"/>
        </w:rPr>
        <w:t xml:space="preserve"> </w:t>
      </w:r>
      <w:r>
        <w:rPr>
          <w:rFonts w:hint="eastAsia"/>
          <w:color w:val="auto"/>
          <w:highlight w:val="none"/>
        </w:rPr>
        <w:t>人：</w:t>
      </w:r>
      <w:r>
        <w:rPr>
          <w:color w:val="auto"/>
          <w:highlight w:val="none"/>
        </w:rPr>
        <w:t xml:space="preserve">                                                  </w:t>
      </w:r>
      <w:r>
        <w:rPr>
          <w:rFonts w:hint="eastAsia"/>
          <w:color w:val="auto"/>
          <w:highlight w:val="none"/>
        </w:rPr>
        <w:t>（公章）</w:t>
      </w:r>
      <w:r>
        <w:rPr>
          <w:color w:val="auto"/>
          <w:highlight w:val="none"/>
        </w:rPr>
        <w:t xml:space="preserve"> </w:t>
      </w:r>
    </w:p>
    <w:p w14:paraId="5FA1AD97">
      <w:pPr>
        <w:snapToGrid w:val="0"/>
        <w:spacing w:before="50" w:after="120" w:afterLines="50" w:line="276" w:lineRule="auto"/>
        <w:jc w:val="left"/>
        <w:rPr>
          <w:color w:val="auto"/>
          <w:highlight w:val="none"/>
        </w:rPr>
      </w:pPr>
      <w:r>
        <w:rPr>
          <w:rFonts w:hint="eastAsia"/>
          <w:color w:val="auto"/>
          <w:highlight w:val="none"/>
        </w:rPr>
        <w:t>法定代表人（或授权代表）</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（签字）</w:t>
      </w:r>
      <w:r>
        <w:rPr>
          <w:color w:val="auto"/>
          <w:highlight w:val="none"/>
        </w:rPr>
        <w:t xml:space="preserve"> </w:t>
      </w:r>
    </w:p>
    <w:p w14:paraId="4D97BE8A">
      <w:pPr>
        <w:snapToGrid w:val="0"/>
        <w:spacing w:before="50" w:after="120" w:afterLines="50" w:line="276" w:lineRule="auto"/>
        <w:jc w:val="left"/>
        <w:rPr>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p w14:paraId="0D3F2946">
      <w:pPr>
        <w:snapToGrid w:val="0"/>
        <w:spacing w:before="50" w:after="120" w:afterLines="50" w:line="276" w:lineRule="auto"/>
        <w:jc w:val="left"/>
        <w:rPr>
          <w:color w:val="auto"/>
          <w:highlight w:val="none"/>
        </w:rPr>
      </w:pPr>
      <w:r>
        <w:rPr>
          <w:rFonts w:hint="eastAsia"/>
          <w:color w:val="auto"/>
          <w:highlight w:val="none"/>
        </w:rPr>
        <w:t>邮政编码：</w:t>
      </w:r>
      <w:r>
        <w:rPr>
          <w:color w:val="auto"/>
          <w:highlight w:val="none"/>
        </w:rPr>
        <w:t xml:space="preserve">                 </w:t>
      </w:r>
    </w:p>
    <w:p w14:paraId="6C07D499">
      <w:pPr>
        <w:snapToGrid w:val="0"/>
        <w:spacing w:before="50" w:after="120" w:afterLines="50" w:line="276" w:lineRule="auto"/>
        <w:jc w:val="left"/>
        <w:rPr>
          <w:color w:val="auto"/>
          <w:highlight w:val="none"/>
        </w:rPr>
      </w:pP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p w14:paraId="73B6291B">
      <w:pPr>
        <w:snapToGrid w:val="0"/>
        <w:spacing w:before="50" w:after="120" w:afterLines="50" w:line="276" w:lineRule="auto"/>
        <w:jc w:val="left"/>
        <w:rPr>
          <w:color w:val="auto"/>
          <w:highlight w:val="none"/>
        </w:rPr>
      </w:pPr>
      <w:r>
        <w:rPr>
          <w:rFonts w:hint="eastAsia"/>
          <w:color w:val="auto"/>
          <w:highlight w:val="none"/>
        </w:rPr>
        <w:t>传</w:t>
      </w:r>
      <w:r>
        <w:rPr>
          <w:color w:val="auto"/>
          <w:highlight w:val="none"/>
        </w:rPr>
        <w:t xml:space="preserve">    </w:t>
      </w:r>
      <w:r>
        <w:rPr>
          <w:rFonts w:hint="eastAsia"/>
          <w:color w:val="auto"/>
          <w:highlight w:val="none"/>
        </w:rPr>
        <w:t>真：</w:t>
      </w:r>
      <w:r>
        <w:rPr>
          <w:color w:val="auto"/>
          <w:highlight w:val="none"/>
        </w:rPr>
        <w:t xml:space="preserve">                 </w:t>
      </w:r>
    </w:p>
    <w:p w14:paraId="1AEB902B">
      <w:pPr>
        <w:snapToGrid w:val="0"/>
        <w:spacing w:before="50" w:after="120" w:afterLines="50" w:line="276" w:lineRule="auto"/>
        <w:jc w:val="left"/>
        <w:rPr>
          <w:color w:val="auto"/>
          <w:highlight w:val="none"/>
        </w:rPr>
      </w:pPr>
      <w:r>
        <w:rPr>
          <w:rFonts w:hint="eastAsia"/>
          <w:color w:val="auto"/>
          <w:highlight w:val="none"/>
        </w:rPr>
        <w:t>开立时间：</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379D45BC">
      <w:pPr>
        <w:snapToGrid w:val="0"/>
        <w:spacing w:before="50" w:after="120" w:afterLines="50" w:line="440" w:lineRule="exact"/>
        <w:jc w:val="left"/>
        <w:rPr>
          <w:color w:val="auto"/>
          <w:highlight w:val="none"/>
        </w:rPr>
      </w:pPr>
      <w:r>
        <w:rPr>
          <w:color w:val="auto"/>
          <w:highlight w:val="none"/>
        </w:rPr>
        <w:br w:type="page"/>
      </w:r>
      <w:r>
        <w:rPr>
          <w:rFonts w:hint="eastAsia"/>
          <w:color w:val="auto"/>
          <w:szCs w:val="21"/>
          <w:highlight w:val="none"/>
          <w:lang w:val="en-US" w:eastAsia="zh-CN"/>
        </w:rPr>
        <w:t>4</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219DD287">
      <w:pPr>
        <w:spacing w:line="276" w:lineRule="auto"/>
        <w:rPr>
          <w:bCs/>
          <w:color w:val="auto"/>
          <w:sz w:val="24"/>
          <w:highlight w:val="none"/>
        </w:rPr>
      </w:pPr>
    </w:p>
    <w:p w14:paraId="559B7D13">
      <w:pPr>
        <w:pStyle w:val="7"/>
        <w:overflowPunct w:val="0"/>
        <w:ind w:firstLine="0"/>
        <w:rPr>
          <w:color w:val="auto"/>
          <w:szCs w:val="21"/>
          <w:highlight w:val="none"/>
        </w:rPr>
      </w:pPr>
      <w:bookmarkStart w:id="93" w:name="_Hlk65854557"/>
      <w:bookmarkStart w:id="94" w:name="_Hlk65852070"/>
      <w:r>
        <w:rPr>
          <w:color w:val="auto"/>
          <w:szCs w:val="21"/>
          <w:highlight w:val="none"/>
        </w:rPr>
        <w:t xml:space="preserve"> </w:t>
      </w:r>
    </w:p>
    <w:bookmarkEnd w:id="93"/>
    <w:bookmarkEnd w:id="94"/>
    <w:p w14:paraId="29EBB0E7">
      <w:pPr>
        <w:widowControl/>
        <w:jc w:val="left"/>
        <w:rPr>
          <w:rFonts w:hint="eastAsia"/>
          <w:color w:val="auto"/>
          <w:szCs w:val="21"/>
          <w:highlight w:val="none"/>
        </w:rPr>
      </w:pPr>
    </w:p>
    <w:p w14:paraId="1354469A">
      <w:pPr>
        <w:snapToGrid w:val="0"/>
        <w:spacing w:before="120" w:beforeLines="50" w:after="50" w:line="440" w:lineRule="exact"/>
        <w:jc w:val="left"/>
        <w:outlineLvl w:val="1"/>
        <w:rPr>
          <w:bCs/>
          <w:color w:val="auto"/>
          <w:sz w:val="24"/>
          <w:highlight w:val="none"/>
        </w:rPr>
      </w:pPr>
      <w:r>
        <w:rPr>
          <w:bCs/>
          <w:color w:val="auto"/>
          <w:sz w:val="24"/>
          <w:highlight w:val="none"/>
        </w:rPr>
        <w:br w:type="page"/>
      </w:r>
      <w:r>
        <w:rPr>
          <w:rFonts w:hint="eastAsia"/>
          <w:bCs/>
          <w:color w:val="auto"/>
          <w:sz w:val="24"/>
          <w:highlight w:val="none"/>
        </w:rPr>
        <w:t>2</w:t>
      </w:r>
      <w:r>
        <w:rPr>
          <w:bCs/>
          <w:color w:val="auto"/>
          <w:sz w:val="24"/>
          <w:highlight w:val="none"/>
        </w:rPr>
        <w:t>．响应文件封面参考格式</w:t>
      </w:r>
      <w:r>
        <w:rPr>
          <w:rFonts w:hint="eastAsia"/>
          <w:bCs/>
          <w:color w:val="auto"/>
          <w:sz w:val="24"/>
          <w:highlight w:val="none"/>
        </w:rPr>
        <w:t>（商务技术文件）</w:t>
      </w:r>
      <w:r>
        <w:rPr>
          <w:bCs/>
          <w:color w:val="auto"/>
          <w:sz w:val="24"/>
          <w:highlight w:val="none"/>
        </w:rPr>
        <w:t>：</w:t>
      </w:r>
    </w:p>
    <w:p w14:paraId="0F335D31">
      <w:pPr>
        <w:snapToGrid w:val="0"/>
        <w:spacing w:before="120" w:beforeLines="50" w:after="50" w:line="360" w:lineRule="exact"/>
        <w:rPr>
          <w:color w:val="auto"/>
          <w:sz w:val="24"/>
          <w:highlight w:val="none"/>
        </w:rPr>
      </w:pPr>
    </w:p>
    <w:p w14:paraId="28791476">
      <w:pPr>
        <w:snapToGrid w:val="0"/>
        <w:spacing w:before="120" w:beforeLines="50" w:after="50" w:line="360" w:lineRule="exact"/>
        <w:jc w:val="center"/>
        <w:rPr>
          <w:bCs/>
          <w:color w:val="auto"/>
          <w:sz w:val="24"/>
          <w:highlight w:val="none"/>
        </w:rPr>
      </w:pPr>
    </w:p>
    <w:p w14:paraId="15622633">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1A1280DF">
      <w:pPr>
        <w:snapToGrid w:val="0"/>
        <w:spacing w:before="120" w:beforeLines="50" w:after="50" w:line="360" w:lineRule="exact"/>
        <w:jc w:val="center"/>
        <w:rPr>
          <w:b/>
          <w:bCs/>
          <w:color w:val="auto"/>
          <w:sz w:val="44"/>
          <w:szCs w:val="44"/>
          <w:highlight w:val="none"/>
        </w:rPr>
      </w:pPr>
    </w:p>
    <w:p w14:paraId="021500A3">
      <w:pPr>
        <w:snapToGrid w:val="0"/>
        <w:spacing w:before="120" w:beforeLines="50" w:after="50" w:line="360" w:lineRule="exact"/>
        <w:jc w:val="center"/>
        <w:rPr>
          <w:b/>
          <w:bCs/>
          <w:color w:val="auto"/>
          <w:sz w:val="44"/>
          <w:szCs w:val="44"/>
          <w:highlight w:val="none"/>
        </w:rPr>
      </w:pPr>
    </w:p>
    <w:p w14:paraId="13F41433">
      <w:pPr>
        <w:snapToGrid w:val="0"/>
        <w:spacing w:before="120" w:beforeLines="50" w:after="50" w:line="360" w:lineRule="exact"/>
        <w:jc w:val="center"/>
        <w:rPr>
          <w:b/>
          <w:bCs/>
          <w:color w:val="auto"/>
          <w:sz w:val="44"/>
          <w:szCs w:val="44"/>
          <w:highlight w:val="none"/>
        </w:rPr>
      </w:pPr>
      <w:r>
        <w:rPr>
          <w:b/>
          <w:bCs/>
          <w:color w:val="auto"/>
          <w:sz w:val="44"/>
          <w:szCs w:val="44"/>
          <w:highlight w:val="none"/>
        </w:rPr>
        <w:t>商务技术文件</w:t>
      </w:r>
    </w:p>
    <w:p w14:paraId="1B47379C">
      <w:pPr>
        <w:snapToGrid w:val="0"/>
        <w:spacing w:before="120" w:beforeLines="50" w:after="50" w:line="360" w:lineRule="exact"/>
        <w:rPr>
          <w:bCs/>
          <w:color w:val="auto"/>
          <w:sz w:val="24"/>
          <w:highlight w:val="none"/>
        </w:rPr>
      </w:pPr>
    </w:p>
    <w:p w14:paraId="735A084D">
      <w:pPr>
        <w:snapToGrid w:val="0"/>
        <w:spacing w:before="120" w:beforeLines="50" w:after="50" w:line="360" w:lineRule="exact"/>
        <w:rPr>
          <w:bCs/>
          <w:color w:val="auto"/>
          <w:sz w:val="24"/>
          <w:highlight w:val="none"/>
        </w:rPr>
      </w:pPr>
    </w:p>
    <w:p w14:paraId="118846F0">
      <w:pPr>
        <w:snapToGrid w:val="0"/>
        <w:spacing w:before="120" w:beforeLines="50" w:after="50" w:line="360" w:lineRule="exact"/>
        <w:rPr>
          <w:bCs/>
          <w:color w:val="auto"/>
          <w:sz w:val="24"/>
          <w:highlight w:val="none"/>
        </w:rPr>
      </w:pPr>
    </w:p>
    <w:p w14:paraId="2DAC9EF5">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53E9C5B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7901C1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4517EC9">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81CEB6D">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39BDF2C">
      <w:pPr>
        <w:pStyle w:val="7"/>
        <w:snapToGrid w:val="0"/>
        <w:spacing w:before="50" w:after="50" w:line="360" w:lineRule="exact"/>
        <w:ind w:firstLine="960" w:firstLineChars="400"/>
        <w:rPr>
          <w:bCs/>
          <w:color w:val="auto"/>
          <w:sz w:val="24"/>
          <w:szCs w:val="24"/>
          <w:highlight w:val="none"/>
        </w:rPr>
      </w:pPr>
    </w:p>
    <w:p w14:paraId="4772EEC4">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630A7A11">
      <w:pPr>
        <w:snapToGrid w:val="0"/>
        <w:spacing w:before="50" w:after="50" w:line="440" w:lineRule="exact"/>
        <w:ind w:firstLine="102" w:firstLineChars="49"/>
        <w:jc w:val="center"/>
        <w:rPr>
          <w:color w:val="auto"/>
          <w:highlight w:val="none"/>
        </w:rPr>
      </w:pPr>
      <w:r>
        <w:rPr>
          <w:color w:val="auto"/>
          <w:highlight w:val="none"/>
        </w:rPr>
        <w:br w:type="page"/>
      </w:r>
      <w:r>
        <w:rPr>
          <w:rFonts w:hint="eastAsia"/>
          <w:b/>
          <w:color w:val="auto"/>
          <w:sz w:val="28"/>
          <w:szCs w:val="28"/>
          <w:highlight w:val="none"/>
        </w:rPr>
        <w:t>评审索引表</w:t>
      </w:r>
    </w:p>
    <w:tbl>
      <w:tblPr>
        <w:tblStyle w:val="51"/>
        <w:tblpPr w:leftFromText="180" w:rightFromText="180" w:vertAnchor="text" w:horzAnchor="page" w:tblpX="1810" w:tblpY="2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2523"/>
        <w:gridCol w:w="1843"/>
        <w:gridCol w:w="2977"/>
      </w:tblGrid>
      <w:tr w14:paraId="690D0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29" w:type="dxa"/>
            <w:tcBorders>
              <w:top w:val="single" w:color="auto" w:sz="4" w:space="0"/>
              <w:left w:val="single" w:color="auto" w:sz="4" w:space="0"/>
              <w:bottom w:val="single" w:color="auto" w:sz="4" w:space="0"/>
              <w:right w:val="single" w:color="auto" w:sz="4" w:space="0"/>
            </w:tcBorders>
            <w:noWrap w:val="0"/>
            <w:vAlign w:val="center"/>
          </w:tcPr>
          <w:p w14:paraId="7DCE697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eastAsia" w:ascii="Arial" w:hAnsi="Arial" w:cs="Arial"/>
                <w:color w:val="auto"/>
                <w:szCs w:val="21"/>
                <w:highlight w:val="none"/>
              </w:rPr>
              <w:t>评审要求</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6088FC8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eastAsia" w:ascii="Arial" w:hAnsi="Arial" w:cs="Arial"/>
                <w:color w:val="auto"/>
                <w:szCs w:val="21"/>
                <w:highlight w:val="none"/>
              </w:rPr>
              <w:t>评分标准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6A09B3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eastAsia" w:ascii="Arial" w:hAnsi="Arial" w:cs="Arial"/>
                <w:color w:val="auto"/>
                <w:szCs w:val="21"/>
                <w:highlight w:val="none"/>
              </w:rPr>
              <w:t>响应情况及</w:t>
            </w:r>
          </w:p>
          <w:p w14:paraId="3103C1D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default" w:ascii="Arial" w:hAnsi="Arial" w:cs="Arial"/>
                <w:color w:val="auto"/>
                <w:szCs w:val="21"/>
                <w:highlight w:val="none"/>
              </w:rPr>
              <w:t>对应页码</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19AE5381">
            <w:pPr>
              <w:keepNext w:val="0"/>
              <w:keepLines w:val="0"/>
              <w:suppressLineNumbers w:val="0"/>
              <w:spacing w:before="0" w:beforeAutospacing="0" w:after="0" w:afterAutospacing="0"/>
              <w:ind w:left="0" w:right="0"/>
              <w:jc w:val="center"/>
              <w:rPr>
                <w:rFonts w:hint="eastAsia" w:ascii="Arial" w:hAnsi="Arial" w:cs="Arial"/>
                <w:color w:val="auto"/>
                <w:szCs w:val="21"/>
                <w:highlight w:val="none"/>
              </w:rPr>
            </w:pPr>
            <w:r>
              <w:rPr>
                <w:rFonts w:hint="eastAsia" w:ascii="Arial" w:hAnsi="Arial" w:cs="Arial"/>
                <w:color w:val="auto"/>
                <w:szCs w:val="21"/>
                <w:highlight w:val="none"/>
              </w:rPr>
              <w:t>得分（投标人自行打分）</w:t>
            </w:r>
          </w:p>
        </w:tc>
      </w:tr>
      <w:tr w14:paraId="0C31A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restart"/>
            <w:tcBorders>
              <w:top w:val="single" w:color="auto" w:sz="4" w:space="0"/>
              <w:left w:val="single" w:color="auto" w:sz="4" w:space="0"/>
              <w:right w:val="single" w:color="auto" w:sz="4" w:space="0"/>
            </w:tcBorders>
            <w:noWrap w:val="0"/>
            <w:vAlign w:val="center"/>
          </w:tcPr>
          <w:p w14:paraId="15258B17">
            <w:pPr>
              <w:keepNext w:val="0"/>
              <w:keepLines w:val="0"/>
              <w:suppressLineNumbers w:val="0"/>
              <w:spacing w:before="0" w:beforeAutospacing="0" w:after="0" w:afterAutospacing="0"/>
              <w:ind w:left="0" w:right="0"/>
              <w:jc w:val="center"/>
              <w:rPr>
                <w:rFonts w:hint="eastAsia" w:ascii="Arial" w:hAnsi="Arial" w:cs="Arial"/>
                <w:color w:val="auto"/>
                <w:szCs w:val="21"/>
                <w:highlight w:val="none"/>
              </w:rPr>
            </w:pPr>
            <w:r>
              <w:rPr>
                <w:rFonts w:hint="eastAsia" w:ascii="Arial" w:hAnsi="Arial" w:cs="Arial"/>
                <w:color w:val="auto"/>
                <w:szCs w:val="21"/>
                <w:highlight w:val="none"/>
              </w:rPr>
              <w:t>商务资信分</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2D7822C2">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51CB6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95F73A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1E30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top w:val="single" w:color="auto" w:sz="4" w:space="0"/>
              <w:left w:val="single" w:color="auto" w:sz="4" w:space="0"/>
              <w:right w:val="single" w:color="auto" w:sz="4" w:space="0"/>
            </w:tcBorders>
            <w:noWrap w:val="0"/>
            <w:vAlign w:val="center"/>
          </w:tcPr>
          <w:p w14:paraId="69C6CB7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8A8BC5C">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E1478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118FF70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7D740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top w:val="single" w:color="auto" w:sz="4" w:space="0"/>
              <w:left w:val="single" w:color="auto" w:sz="4" w:space="0"/>
              <w:right w:val="single" w:color="auto" w:sz="4" w:space="0"/>
            </w:tcBorders>
            <w:noWrap w:val="0"/>
            <w:vAlign w:val="center"/>
          </w:tcPr>
          <w:p w14:paraId="1CFB3CA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0A1E336">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A87426">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9DC9BA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3BB60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top w:val="single" w:color="auto" w:sz="4" w:space="0"/>
              <w:left w:val="single" w:color="auto" w:sz="4" w:space="0"/>
              <w:right w:val="single" w:color="auto" w:sz="4" w:space="0"/>
            </w:tcBorders>
            <w:noWrap w:val="0"/>
            <w:vAlign w:val="center"/>
          </w:tcPr>
          <w:p w14:paraId="49FDDADA">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4BDDEBD">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B1D0C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968934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29610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top w:val="single" w:color="auto" w:sz="4" w:space="0"/>
              <w:left w:val="single" w:color="auto" w:sz="4" w:space="0"/>
              <w:right w:val="single" w:color="auto" w:sz="4" w:space="0"/>
            </w:tcBorders>
            <w:noWrap w:val="0"/>
            <w:vAlign w:val="center"/>
          </w:tcPr>
          <w:p w14:paraId="6F4C049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2C05B536">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CB93BF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346632B2">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55E0A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top w:val="single" w:color="auto" w:sz="4" w:space="0"/>
              <w:left w:val="single" w:color="auto" w:sz="4" w:space="0"/>
              <w:right w:val="single" w:color="auto" w:sz="4" w:space="0"/>
            </w:tcBorders>
            <w:noWrap w:val="0"/>
            <w:vAlign w:val="center"/>
          </w:tcPr>
          <w:p w14:paraId="1845DF9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4103EAB">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A1E17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D703CA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1D25E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restart"/>
            <w:tcBorders>
              <w:top w:val="single" w:color="auto" w:sz="4" w:space="0"/>
              <w:left w:val="single" w:color="auto" w:sz="4" w:space="0"/>
              <w:right w:val="single" w:color="auto" w:sz="4" w:space="0"/>
            </w:tcBorders>
            <w:noWrap w:val="0"/>
            <w:vAlign w:val="center"/>
          </w:tcPr>
          <w:p w14:paraId="1AB3738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r>
              <w:rPr>
                <w:rFonts w:hint="eastAsia" w:ascii="Arial" w:hAnsi="Arial" w:cs="Arial"/>
                <w:color w:val="auto"/>
                <w:szCs w:val="21"/>
                <w:highlight w:val="none"/>
              </w:rPr>
              <w:t>技术分</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FDB6ECF">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F53DB8">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C38FE45">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3B016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left w:val="single" w:color="auto" w:sz="4" w:space="0"/>
              <w:right w:val="single" w:color="auto" w:sz="4" w:space="0"/>
            </w:tcBorders>
            <w:noWrap w:val="0"/>
            <w:vAlign w:val="center"/>
          </w:tcPr>
          <w:p w14:paraId="7EEF6F04">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D21D4BD">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062FB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19E2A99">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4A6F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left w:val="single" w:color="auto" w:sz="4" w:space="0"/>
              <w:right w:val="single" w:color="auto" w:sz="4" w:space="0"/>
            </w:tcBorders>
            <w:noWrap w:val="0"/>
            <w:vAlign w:val="center"/>
          </w:tcPr>
          <w:p w14:paraId="4A875AE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EDC9836">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5FD1F1">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37C3623">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1D4B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left w:val="single" w:color="auto" w:sz="4" w:space="0"/>
              <w:right w:val="single" w:color="auto" w:sz="4" w:space="0"/>
            </w:tcBorders>
            <w:noWrap w:val="0"/>
            <w:vAlign w:val="center"/>
          </w:tcPr>
          <w:p w14:paraId="499EB38C">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896C29B">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84B067">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B9F1CA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r w14:paraId="589E9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29" w:type="dxa"/>
            <w:vMerge w:val="continue"/>
            <w:tcBorders>
              <w:left w:val="single" w:color="auto" w:sz="4" w:space="0"/>
              <w:right w:val="single" w:color="auto" w:sz="4" w:space="0"/>
            </w:tcBorders>
            <w:noWrap w:val="0"/>
            <w:vAlign w:val="center"/>
          </w:tcPr>
          <w:p w14:paraId="690460EF">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5A41353D">
            <w:pPr>
              <w:keepNext w:val="0"/>
              <w:keepLines w:val="0"/>
              <w:suppressLineNumbers w:val="0"/>
              <w:spacing w:before="0" w:beforeAutospacing="0" w:after="0" w:afterAutospacing="0"/>
              <w:ind w:left="0" w:right="0"/>
              <w:rPr>
                <w:rFonts w:hint="default" w:ascii="Arial" w:hAnsi="Arial" w:cs="Arial"/>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5FE180">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8E28F4B">
            <w:pPr>
              <w:keepNext w:val="0"/>
              <w:keepLines w:val="0"/>
              <w:suppressLineNumbers w:val="0"/>
              <w:spacing w:before="0" w:beforeAutospacing="0" w:after="0" w:afterAutospacing="0"/>
              <w:ind w:left="0" w:right="0"/>
              <w:jc w:val="center"/>
              <w:rPr>
                <w:rFonts w:hint="default" w:ascii="Arial" w:hAnsi="Arial" w:cs="Arial"/>
                <w:color w:val="auto"/>
                <w:szCs w:val="21"/>
                <w:highlight w:val="none"/>
              </w:rPr>
            </w:pPr>
          </w:p>
        </w:tc>
      </w:tr>
    </w:tbl>
    <w:p w14:paraId="16B8616C">
      <w:pPr>
        <w:snapToGrid w:val="0"/>
        <w:spacing w:before="50" w:after="50" w:line="440" w:lineRule="exact"/>
        <w:ind w:firstLine="102" w:firstLineChars="49"/>
        <w:jc w:val="center"/>
        <w:rPr>
          <w:b/>
          <w:color w:val="auto"/>
          <w:sz w:val="28"/>
          <w:szCs w:val="28"/>
          <w:highlight w:val="none"/>
        </w:rPr>
      </w:pPr>
      <w:r>
        <w:rPr>
          <w:color w:val="auto"/>
          <w:highlight w:val="none"/>
        </w:rPr>
        <w:br w:type="page"/>
      </w:r>
      <w:r>
        <w:rPr>
          <w:b/>
          <w:color w:val="auto"/>
          <w:sz w:val="28"/>
          <w:szCs w:val="28"/>
          <w:highlight w:val="none"/>
        </w:rPr>
        <w:t>目录</w:t>
      </w:r>
    </w:p>
    <w:p w14:paraId="1926166B">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61A18B53">
      <w:pPr>
        <w:jc w:val="center"/>
        <w:rPr>
          <w:color w:val="auto"/>
          <w:highlight w:val="none"/>
        </w:rPr>
      </w:pPr>
      <w:r>
        <w:rPr>
          <w:color w:val="auto"/>
          <w:highlight w:val="none"/>
        </w:rPr>
        <w:br w:type="page"/>
      </w:r>
    </w:p>
    <w:p w14:paraId="57F9D8CD">
      <w:pPr>
        <w:rPr>
          <w:b/>
          <w:color w:val="auto"/>
          <w:szCs w:val="21"/>
          <w:highlight w:val="none"/>
        </w:rPr>
      </w:pPr>
      <w:bookmarkStart w:id="95" w:name="_Toc462223472"/>
      <w:bookmarkStart w:id="96" w:name="_Toc455309222"/>
      <w:bookmarkStart w:id="97" w:name="_Toc462320613"/>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01027A71">
      <w:pPr>
        <w:jc w:val="center"/>
        <w:rPr>
          <w:color w:val="auto"/>
          <w:highlight w:val="none"/>
        </w:rPr>
      </w:pPr>
    </w:p>
    <w:bookmarkEnd w:id="95"/>
    <w:bookmarkEnd w:id="96"/>
    <w:bookmarkEnd w:id="97"/>
    <w:p w14:paraId="0F2DF64F">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2D57DFDE">
      <w:pPr>
        <w:spacing w:line="360" w:lineRule="auto"/>
        <w:rPr>
          <w:color w:val="auto"/>
          <w:highlight w:val="none"/>
        </w:rPr>
      </w:pPr>
    </w:p>
    <w:p w14:paraId="201F2A09">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2843C38F">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7160C2D9">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2BFA68CF">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35B93D13">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01A67485">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DBF0DF4">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6E6AF270">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64383A1">
      <w:pPr>
        <w:spacing w:line="540" w:lineRule="exact"/>
        <w:rPr>
          <w:color w:val="auto"/>
          <w:szCs w:val="21"/>
          <w:highlight w:val="none"/>
        </w:rPr>
      </w:pPr>
    </w:p>
    <w:p w14:paraId="7E636553">
      <w:pPr>
        <w:spacing w:line="540" w:lineRule="exact"/>
        <w:ind w:firstLine="420" w:firstLineChars="200"/>
        <w:rPr>
          <w:color w:val="auto"/>
          <w:szCs w:val="21"/>
          <w:highlight w:val="none"/>
        </w:rPr>
      </w:pPr>
      <w:r>
        <w:rPr>
          <w:color w:val="auto"/>
          <w:szCs w:val="21"/>
          <w:highlight w:val="none"/>
        </w:rPr>
        <w:t>特此证明。</w:t>
      </w:r>
    </w:p>
    <w:p w14:paraId="1B9790AE">
      <w:pPr>
        <w:spacing w:line="360" w:lineRule="auto"/>
        <w:ind w:firstLine="4830" w:firstLineChars="2300"/>
        <w:rPr>
          <w:color w:val="auto"/>
          <w:szCs w:val="21"/>
          <w:highlight w:val="none"/>
        </w:rPr>
      </w:pPr>
    </w:p>
    <w:p w14:paraId="536A0974">
      <w:pPr>
        <w:spacing w:line="360" w:lineRule="auto"/>
        <w:ind w:firstLine="4830" w:firstLineChars="2300"/>
        <w:rPr>
          <w:color w:val="auto"/>
          <w:szCs w:val="21"/>
          <w:highlight w:val="none"/>
        </w:rPr>
      </w:pPr>
    </w:p>
    <w:p w14:paraId="0332C19C">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C577E15">
      <w:pPr>
        <w:spacing w:line="360" w:lineRule="auto"/>
        <w:jc w:val="right"/>
        <w:rPr>
          <w:color w:val="auto"/>
          <w:szCs w:val="21"/>
          <w:highlight w:val="none"/>
        </w:rPr>
      </w:pPr>
      <w:r>
        <w:rPr>
          <w:color w:val="auto"/>
          <w:szCs w:val="21"/>
          <w:highlight w:val="none"/>
        </w:rPr>
        <w:t xml:space="preserve">                                                                                              年       月       日 </w:t>
      </w:r>
    </w:p>
    <w:p w14:paraId="71494D18">
      <w:pPr>
        <w:spacing w:line="360" w:lineRule="auto"/>
        <w:ind w:firstLine="420" w:firstLineChars="200"/>
        <w:rPr>
          <w:color w:val="auto"/>
          <w:szCs w:val="21"/>
          <w:highlight w:val="none"/>
        </w:rPr>
      </w:pPr>
    </w:p>
    <w:p w14:paraId="6F3E2936">
      <w:pPr>
        <w:spacing w:line="360" w:lineRule="auto"/>
        <w:rPr>
          <w:color w:val="auto"/>
          <w:szCs w:val="21"/>
          <w:highlight w:val="none"/>
        </w:rPr>
      </w:pPr>
      <w:r>
        <w:rPr>
          <w:color w:val="auto"/>
          <w:szCs w:val="21"/>
          <w:highlight w:val="none"/>
        </w:rPr>
        <w:t>附件：法定代表人身份证复印件</w:t>
      </w:r>
    </w:p>
    <w:p w14:paraId="6E79B888">
      <w:pPr>
        <w:spacing w:line="360" w:lineRule="auto"/>
        <w:rPr>
          <w:color w:val="auto"/>
          <w:szCs w:val="21"/>
          <w:highlight w:val="none"/>
        </w:rPr>
      </w:pPr>
    </w:p>
    <w:p w14:paraId="6EEA8298">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2AC83F24">
      <w:pPr>
        <w:snapToGrid w:val="0"/>
        <w:spacing w:before="120" w:beforeLines="50" w:after="50" w:line="360" w:lineRule="exact"/>
        <w:rPr>
          <w:b/>
          <w:color w:val="auto"/>
          <w:szCs w:val="21"/>
          <w:highlight w:val="none"/>
        </w:rPr>
      </w:pPr>
    </w:p>
    <w:p w14:paraId="24BAC98B">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33B834B0">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（征集人名称）</w:t>
      </w:r>
      <w:r>
        <w:rPr>
          <w:color w:val="auto"/>
          <w:szCs w:val="21"/>
          <w:highlight w:val="none"/>
        </w:rPr>
        <w:t>：</w:t>
      </w:r>
    </w:p>
    <w:p w14:paraId="0B0E0F84">
      <w:pPr>
        <w:snapToGrid w:val="0"/>
        <w:spacing w:before="120" w:beforeLines="50" w:after="50" w:line="440" w:lineRule="exact"/>
        <w:ind w:firstLine="420" w:firstLineChars="200"/>
        <w:rPr>
          <w:color w:val="auto"/>
          <w:szCs w:val="21"/>
          <w:highlight w:val="none"/>
        </w:rPr>
      </w:pPr>
      <w:r>
        <w:rPr>
          <w:color w:val="auto"/>
          <w:szCs w:val="21"/>
          <w:highlight w:val="none"/>
        </w:rPr>
        <w:t>我__</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_系_</w:t>
      </w:r>
      <w:r>
        <w:rPr>
          <w:i/>
          <w:iCs/>
          <w:color w:val="auto"/>
          <w:szCs w:val="21"/>
          <w:highlight w:val="none"/>
          <w:u w:val="single"/>
        </w:rPr>
        <w:t>（供应商名称）</w:t>
      </w:r>
      <w:r>
        <w:rPr>
          <w:color w:val="auto"/>
          <w:szCs w:val="21"/>
          <w:highlight w:val="none"/>
        </w:rPr>
        <w:t xml:space="preserve">_的法定代表人，现授权委托本单位在职职工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项目的响应活动，并代表我方全权办理针对上述项目的响应、截标、评审、签约等具体事务和签署相关文件。</w:t>
      </w:r>
    </w:p>
    <w:p w14:paraId="116C4002">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048367E2">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789FFF0">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641D9974">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7A63F5EF">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5B9B09A9">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244F6B80">
      <w:pPr>
        <w:snapToGrid w:val="0"/>
        <w:spacing w:before="120" w:beforeLines="50" w:after="50" w:line="440" w:lineRule="exact"/>
        <w:rPr>
          <w:rFonts w:hint="eastAsia"/>
          <w:color w:val="auto"/>
          <w:szCs w:val="21"/>
          <w:highlight w:val="none"/>
        </w:rPr>
      </w:pPr>
      <w:r>
        <w:rPr>
          <w:rFonts w:hint="eastAsia"/>
          <w:color w:val="auto"/>
          <w:szCs w:val="21"/>
          <w:highlight w:val="none"/>
        </w:rPr>
        <w:t>被授权人手机号码及邮箱：</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3ECFCC7B">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3A43745">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5AC58FAB">
      <w:pPr>
        <w:spacing w:line="360" w:lineRule="auto"/>
        <w:rPr>
          <w:color w:val="auto"/>
          <w:szCs w:val="21"/>
          <w:highlight w:val="none"/>
        </w:rPr>
      </w:pPr>
    </w:p>
    <w:p w14:paraId="6970CBFD">
      <w:pPr>
        <w:spacing w:line="360" w:lineRule="auto"/>
        <w:rPr>
          <w:color w:val="auto"/>
          <w:szCs w:val="21"/>
          <w:highlight w:val="none"/>
        </w:rPr>
      </w:pPr>
    </w:p>
    <w:p w14:paraId="66BA165E">
      <w:pPr>
        <w:spacing w:line="360" w:lineRule="auto"/>
        <w:rPr>
          <w:color w:val="auto"/>
          <w:szCs w:val="21"/>
          <w:highlight w:val="none"/>
        </w:rPr>
      </w:pPr>
      <w:r>
        <w:rPr>
          <w:color w:val="auto"/>
          <w:szCs w:val="21"/>
          <w:highlight w:val="none"/>
        </w:rPr>
        <w:t>附件：法定代表人身份证复印件及授权代表身份证复印件</w:t>
      </w:r>
    </w:p>
    <w:p w14:paraId="4970C591">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第一部分 商务文件</w:t>
      </w:r>
    </w:p>
    <w:p w14:paraId="64FDD979">
      <w:pPr>
        <w:jc w:val="center"/>
        <w:rPr>
          <w:bCs/>
          <w:color w:val="auto"/>
          <w:sz w:val="24"/>
          <w:highlight w:val="none"/>
        </w:rPr>
      </w:pPr>
      <w:r>
        <w:rPr>
          <w:color w:val="auto"/>
          <w:highlight w:val="none"/>
        </w:rPr>
        <w:t>（本商务文件供应商可自行编写，也可参照下述提纲编写）</w:t>
      </w:r>
    </w:p>
    <w:p w14:paraId="61BD944A">
      <w:pPr>
        <w:snapToGrid w:val="0"/>
        <w:spacing w:before="50" w:after="120" w:afterLines="50" w:line="440" w:lineRule="exact"/>
        <w:jc w:val="left"/>
        <w:rPr>
          <w:rFonts w:hint="eastAsia"/>
          <w:color w:val="auto"/>
          <w:szCs w:val="21"/>
          <w:highlight w:val="none"/>
        </w:rPr>
      </w:pPr>
    </w:p>
    <w:p w14:paraId="7FFB14F4">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1AF6E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3F75A88">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1A2E198">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征集文件的商务要求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29A21CD">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FE64C65">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偏离</w:t>
            </w:r>
            <w:r>
              <w:rPr>
                <w:rFonts w:hint="default" w:ascii="Times New Roman" w:hAnsi="Times New Roman" w:cs="Times New Roman"/>
                <w:color w:val="auto"/>
                <w:szCs w:val="21"/>
                <w:highlight w:val="none"/>
              </w:rPr>
              <w:t>说明</w:t>
            </w:r>
          </w:p>
        </w:tc>
      </w:tr>
      <w:tr w14:paraId="64583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468EF41">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A95DC9B">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09B65E41">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D0861FC">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r w14:paraId="6AC2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8FE4231">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52FEACD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047EBCD8">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BD2E44C">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r w14:paraId="64B71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1180288">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37FED5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39CCFAB2">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94B9465">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bl>
    <w:p w14:paraId="463C4F29">
      <w:pPr>
        <w:pStyle w:val="26"/>
        <w:tabs>
          <w:tab w:val="left" w:pos="2127"/>
        </w:tabs>
        <w:spacing w:line="340" w:lineRule="exact"/>
        <w:ind w:firstLine="420" w:firstLineChars="200"/>
        <w:jc w:val="left"/>
        <w:rPr>
          <w:rFonts w:hint="eastAsia" w:ascii="Times New Roman" w:hAnsi="Times New Roman" w:cs="Times New Roman"/>
          <w:color w:val="auto"/>
          <w:highlight w:val="none"/>
        </w:rPr>
      </w:pPr>
      <w:bookmarkStart w:id="98" w:name="_Hlk48144603"/>
      <w:bookmarkStart w:id="99" w:name="_Hlk88990584"/>
      <w:r>
        <w:rPr>
          <w:rFonts w:ascii="Times New Roman" w:hAnsi="Times New Roman" w:cs="Times New Roman"/>
          <w:color w:val="auto"/>
          <w:highlight w:val="none"/>
        </w:rPr>
        <w:t>注：</w:t>
      </w:r>
      <w:bookmarkStart w:id="100" w:name="_Hlk19049081"/>
      <w:r>
        <w:rPr>
          <w:rFonts w:ascii="Times New Roman" w:hAnsi="Times New Roman" w:cs="Times New Roman"/>
          <w:color w:val="auto"/>
          <w:highlight w:val="none"/>
        </w:rPr>
        <w:t>（1）本表应对征集文件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w:t>
      </w:r>
      <w:r>
        <w:rPr>
          <w:rFonts w:hint="eastAsia" w:ascii="Times New Roman" w:hAnsi="Times New Roman" w:cs="Times New Roman"/>
          <w:color w:val="auto"/>
          <w:highlight w:val="none"/>
        </w:rPr>
        <w:t>逐条</w:t>
      </w:r>
      <w:r>
        <w:rPr>
          <w:rFonts w:ascii="Times New Roman" w:hAnsi="Times New Roman" w:cs="Times New Roman"/>
          <w:color w:val="auto"/>
          <w:highlight w:val="none"/>
        </w:rPr>
        <w:t>响应，并根据响应情况在“偏离说明”</w:t>
      </w:r>
      <w:r>
        <w:rPr>
          <w:rFonts w:hint="eastAsia" w:ascii="Times New Roman" w:hAnsi="Times New Roman" w:cs="Times New Roman"/>
          <w:color w:val="auto"/>
          <w:highlight w:val="none"/>
        </w:rPr>
        <w:t>填写无偏离或正偏离</w:t>
      </w:r>
      <w:r>
        <w:rPr>
          <w:rFonts w:ascii="Times New Roman" w:hAnsi="Times New Roman" w:cs="Times New Roman"/>
          <w:color w:val="auto"/>
          <w:highlight w:val="none"/>
        </w:rPr>
        <w:t>。</w:t>
      </w:r>
      <w:r>
        <w:rPr>
          <w:rFonts w:hint="eastAsia" w:ascii="Times New Roman" w:hAnsi="Times New Roman" w:cs="Times New Roman"/>
          <w:color w:val="auto"/>
          <w:highlight w:val="none"/>
        </w:rPr>
        <w:t>负偏离将导致响应被否决。</w:t>
      </w:r>
    </w:p>
    <w:p w14:paraId="7F424D70">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226F404">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0"/>
    <w:p w14:paraId="132F2313">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98"/>
    <w:p w14:paraId="7DA504EC">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99"/>
    <w:p w14:paraId="30562442">
      <w:pPr>
        <w:snapToGrid w:val="0"/>
        <w:spacing w:before="50" w:after="120" w:afterLines="50" w:line="440" w:lineRule="exact"/>
        <w:jc w:val="left"/>
        <w:rPr>
          <w:rFonts w:hint="eastAsia"/>
          <w:strike/>
          <w:color w:val="auto"/>
          <w:szCs w:val="21"/>
          <w:highlight w:val="none"/>
        </w:rPr>
      </w:pPr>
    </w:p>
    <w:p w14:paraId="156EE2AF">
      <w:pPr>
        <w:snapToGrid w:val="0"/>
        <w:spacing w:before="50" w:after="120" w:afterLines="50"/>
        <w:jc w:val="left"/>
        <w:rPr>
          <w:b/>
          <w:color w:val="auto"/>
          <w:szCs w:val="21"/>
          <w:highlight w:val="none"/>
        </w:rPr>
      </w:pPr>
      <w:r>
        <w:rPr>
          <w:color w:val="auto"/>
          <w:szCs w:val="21"/>
          <w:highlight w:val="none"/>
        </w:rPr>
        <w:t>2．近年供应商类似成功案例的业绩证明。</w:t>
      </w:r>
    </w:p>
    <w:p w14:paraId="276DEF0F">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0"/>
        <w:gridCol w:w="797"/>
        <w:gridCol w:w="1112"/>
        <w:gridCol w:w="945"/>
        <w:gridCol w:w="944"/>
        <w:gridCol w:w="910"/>
        <w:gridCol w:w="827"/>
        <w:gridCol w:w="1286"/>
        <w:gridCol w:w="1103"/>
        <w:gridCol w:w="1103"/>
      </w:tblGrid>
      <w:tr w14:paraId="0D332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trPr>
        <w:tc>
          <w:tcPr>
            <w:tcW w:w="450" w:type="dxa"/>
            <w:tcBorders>
              <w:top w:val="single" w:color="auto" w:sz="4" w:space="0"/>
              <w:left w:val="single" w:color="auto" w:sz="4" w:space="0"/>
              <w:right w:val="single" w:color="auto" w:sz="4" w:space="0"/>
            </w:tcBorders>
            <w:noWrap w:val="0"/>
            <w:vAlign w:val="center"/>
          </w:tcPr>
          <w:p w14:paraId="123EAB48">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797" w:type="dxa"/>
            <w:tcBorders>
              <w:top w:val="single" w:color="auto" w:sz="4" w:space="0"/>
              <w:left w:val="single" w:color="auto" w:sz="4" w:space="0"/>
              <w:right w:val="single" w:color="auto" w:sz="4" w:space="0"/>
            </w:tcBorders>
            <w:noWrap w:val="0"/>
            <w:vAlign w:val="center"/>
          </w:tcPr>
          <w:p w14:paraId="32816623">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委托单位（</w:t>
            </w:r>
            <w:r>
              <w:rPr>
                <w:rFonts w:hint="default" w:ascii="Times New Roman" w:hAnsi="Times New Roman" w:eastAsia="宋体" w:cs="Times New Roman"/>
                <w:bCs/>
                <w:color w:val="auto"/>
                <w:highlight w:val="none"/>
              </w:rPr>
              <w:t>财政、审计</w:t>
            </w:r>
            <w:r>
              <w:rPr>
                <w:rFonts w:hint="eastAsia" w:ascii="Times New Roman" w:hAnsi="Times New Roman" w:eastAsia="宋体" w:cs="Times New Roman"/>
                <w:bCs/>
                <w:color w:val="auto"/>
                <w:highlight w:val="none"/>
              </w:rPr>
              <w:t>部门</w:t>
            </w:r>
            <w:r>
              <w:rPr>
                <w:rFonts w:hint="eastAsia" w:ascii="Times New Roman" w:hAnsi="Times New Roman" w:eastAsia="宋体" w:cs="Times New Roman"/>
                <w:color w:val="auto"/>
                <w:szCs w:val="21"/>
                <w:highlight w:val="none"/>
              </w:rPr>
              <w:t>）</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FC7A012">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工程类型</w:t>
            </w:r>
          </w:p>
          <w:p w14:paraId="0DBEEA2A">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bCs/>
                <w:color w:val="auto"/>
                <w:highlight w:val="none"/>
              </w:rPr>
              <w:t>土建、水利、交通、市政</w:t>
            </w:r>
            <w:r>
              <w:rPr>
                <w:rFonts w:hint="eastAsia" w:ascii="Times New Roman" w:hAnsi="Times New Roman" w:eastAsia="宋体" w:cs="Times New Roman"/>
                <w:color w:val="auto"/>
                <w:szCs w:val="21"/>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91808E8">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项目建设</w:t>
            </w:r>
            <w:r>
              <w:rPr>
                <w:rFonts w:hint="default" w:ascii="Times New Roman" w:hAnsi="Times New Roman" w:eastAsia="宋体" w:cs="Times New Roman"/>
                <w:color w:val="auto"/>
                <w:szCs w:val="21"/>
                <w:highlight w:val="none"/>
              </w:rPr>
              <w:t>单位名称</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711BA72">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1A204395">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w:t>
            </w:r>
            <w:r>
              <w:rPr>
                <w:rFonts w:hint="default" w:ascii="Times New Roman" w:hAnsi="Times New Roman" w:eastAsia="宋体" w:cs="Times New Roman"/>
                <w:color w:val="auto"/>
                <w:szCs w:val="21"/>
                <w:highlight w:val="none"/>
              </w:rPr>
              <w:t>时间</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583E2B02">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评审结论书或审定表/单时间</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8CBE144">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本次拟派评审人员</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23244FD">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项目审定总价（元）</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56B342E">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评审定案净减值（元）</w:t>
            </w:r>
          </w:p>
        </w:tc>
      </w:tr>
      <w:tr w14:paraId="2E6DB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50" w:type="dxa"/>
            <w:tcBorders>
              <w:top w:val="single" w:color="auto" w:sz="4" w:space="0"/>
              <w:left w:val="single" w:color="auto" w:sz="4" w:space="0"/>
              <w:bottom w:val="single" w:color="auto" w:sz="4" w:space="0"/>
              <w:right w:val="single" w:color="auto" w:sz="4" w:space="0"/>
            </w:tcBorders>
            <w:noWrap w:val="0"/>
            <w:vAlign w:val="top"/>
          </w:tcPr>
          <w:p w14:paraId="516E1E0A">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2EC81062">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5D6EF6A4">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D368024">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17FFE2A3">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14:paraId="5AFB1764">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09D35080">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01ED7F05">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0AFEF610">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22C2EC60">
            <w:pPr>
              <w:keepNext w:val="0"/>
              <w:keepLines w:val="0"/>
              <w:suppressLineNumbers w:val="0"/>
              <w:snapToGrid w:val="0"/>
              <w:spacing w:before="0" w:beforeAutospacing="0" w:after="0" w:afterAutospacing="0" w:line="240" w:lineRule="exact"/>
              <w:ind w:left="0" w:right="0"/>
              <w:jc w:val="left"/>
              <w:rPr>
                <w:rFonts w:hint="default" w:ascii="Times New Roman" w:hAnsi="Times New Roman" w:eastAsia="宋体" w:cs="Times New Roman"/>
                <w:color w:val="auto"/>
                <w:szCs w:val="21"/>
                <w:highlight w:val="none"/>
              </w:rPr>
            </w:pPr>
          </w:p>
        </w:tc>
      </w:tr>
      <w:tr w14:paraId="6F43F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50" w:type="dxa"/>
            <w:tcBorders>
              <w:top w:val="single" w:color="auto" w:sz="4" w:space="0"/>
              <w:left w:val="single" w:color="auto" w:sz="4" w:space="0"/>
              <w:bottom w:val="single" w:color="auto" w:sz="4" w:space="0"/>
              <w:right w:val="single" w:color="auto" w:sz="4" w:space="0"/>
            </w:tcBorders>
            <w:noWrap w:val="0"/>
            <w:vAlign w:val="top"/>
          </w:tcPr>
          <w:p w14:paraId="6BC868B7">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60301A9A">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39822A95">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3EF4A70">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2D5A14F7">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14:paraId="119AD27A">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04D2BC56">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3C951B5F">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111964DE">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5433DD23">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r>
      <w:tr w14:paraId="5CC20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50" w:type="dxa"/>
            <w:tcBorders>
              <w:top w:val="single" w:color="auto" w:sz="4" w:space="0"/>
              <w:left w:val="single" w:color="auto" w:sz="4" w:space="0"/>
              <w:bottom w:val="single" w:color="auto" w:sz="4" w:space="0"/>
              <w:right w:val="single" w:color="auto" w:sz="4" w:space="0"/>
            </w:tcBorders>
            <w:noWrap w:val="0"/>
            <w:vAlign w:val="top"/>
          </w:tcPr>
          <w:p w14:paraId="6907332B">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31FD023C">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4543736B">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7CC701E">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78A1EA8B">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14:paraId="05922524">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0C005689">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1A04E62A">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4F607C98">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1B9EA1B4">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r>
      <w:tr w14:paraId="4130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50" w:type="dxa"/>
            <w:tcBorders>
              <w:top w:val="single" w:color="auto" w:sz="4" w:space="0"/>
              <w:left w:val="single" w:color="auto" w:sz="4" w:space="0"/>
              <w:bottom w:val="single" w:color="auto" w:sz="4" w:space="0"/>
              <w:right w:val="single" w:color="auto" w:sz="4" w:space="0"/>
            </w:tcBorders>
            <w:noWrap w:val="0"/>
            <w:vAlign w:val="top"/>
          </w:tcPr>
          <w:p w14:paraId="401CBE8D">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26E4CD7E">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3D304D1E">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9142E1">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1CD9FA7B">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14:paraId="74F24416">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737FA57F">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651A3798">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7A6B7095">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1D248F58">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r>
      <w:tr w14:paraId="3895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50" w:type="dxa"/>
            <w:tcBorders>
              <w:top w:val="single" w:color="auto" w:sz="4" w:space="0"/>
              <w:left w:val="single" w:color="auto" w:sz="4" w:space="0"/>
              <w:bottom w:val="single" w:color="auto" w:sz="4" w:space="0"/>
              <w:right w:val="single" w:color="auto" w:sz="4" w:space="0"/>
            </w:tcBorders>
            <w:noWrap w:val="0"/>
            <w:vAlign w:val="top"/>
          </w:tcPr>
          <w:p w14:paraId="277A5D65">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15B7B27E">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7094A305">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E0FC7CF">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67C353DD">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14:paraId="33C3FE48">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583C3990">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0FD512FF">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348ACA95">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top"/>
          </w:tcPr>
          <w:p w14:paraId="135B303B">
            <w:pPr>
              <w:keepNext w:val="0"/>
              <w:keepLines w:val="0"/>
              <w:suppressLineNumbers w:val="0"/>
              <w:snapToGrid w:val="0"/>
              <w:spacing w:before="50" w:beforeAutospacing="0" w:after="120" w:afterLines="50" w:afterAutospacing="0" w:line="400" w:lineRule="exact"/>
              <w:ind w:left="0" w:right="0"/>
              <w:jc w:val="left"/>
              <w:rPr>
                <w:rFonts w:hint="default" w:ascii="Times New Roman" w:hAnsi="Times New Roman" w:eastAsia="宋体" w:cs="Times New Roman"/>
                <w:color w:val="auto"/>
                <w:szCs w:val="21"/>
                <w:highlight w:val="none"/>
              </w:rPr>
            </w:pPr>
          </w:p>
        </w:tc>
      </w:tr>
    </w:tbl>
    <w:p w14:paraId="51C85D97">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2E93E024">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57BCB17A">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2DEFED70">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01" w:name="_Hlk19049505"/>
      <w:r>
        <w:rPr>
          <w:color w:val="auto"/>
          <w:highlight w:val="none"/>
        </w:rPr>
        <w:t>本表可拓展。</w:t>
      </w:r>
      <w:bookmarkEnd w:id="101"/>
    </w:p>
    <w:p w14:paraId="4C95A33C">
      <w:pPr>
        <w:snapToGrid w:val="0"/>
        <w:spacing w:before="50"/>
        <w:jc w:val="left"/>
        <w:rPr>
          <w:color w:val="auto"/>
          <w:szCs w:val="21"/>
          <w:highlight w:val="none"/>
        </w:rPr>
      </w:pPr>
      <w:bookmarkStart w:id="102" w:name="_Hlk88990617"/>
    </w:p>
    <w:p w14:paraId="4D16BC29">
      <w:pPr>
        <w:snapToGrid w:val="0"/>
        <w:spacing w:before="50"/>
        <w:jc w:val="lef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02"/>
      <w:r>
        <w:rPr>
          <w:color w:val="auto"/>
          <w:szCs w:val="21"/>
          <w:highlight w:val="none"/>
          <w:u w:val="single"/>
        </w:rPr>
        <w:t xml:space="preserve">                 </w:t>
      </w:r>
      <w:r>
        <w:rPr>
          <w:color w:val="auto"/>
          <w:szCs w:val="21"/>
          <w:highlight w:val="none"/>
        </w:rPr>
        <w:t xml:space="preserve">                                            年    月   日</w:t>
      </w:r>
    </w:p>
    <w:p w14:paraId="70D29475">
      <w:pPr>
        <w:snapToGrid w:val="0"/>
        <w:spacing w:before="50"/>
        <w:jc w:val="left"/>
        <w:rPr>
          <w:color w:val="auto"/>
          <w:szCs w:val="21"/>
          <w:highlight w:val="none"/>
        </w:rPr>
      </w:pPr>
    </w:p>
    <w:p w14:paraId="09B88718">
      <w:pPr>
        <w:snapToGrid w:val="0"/>
        <w:spacing w:before="50" w:after="120" w:afterLines="50"/>
        <w:jc w:val="left"/>
        <w:rPr>
          <w:rFonts w:hint="eastAsia"/>
          <w:color w:val="auto"/>
          <w:szCs w:val="21"/>
          <w:highlight w:val="none"/>
        </w:rPr>
        <w:sectPr>
          <w:headerReference r:id="rId16" w:type="default"/>
          <w:pgSz w:w="11906" w:h="16838"/>
          <w:pgMar w:top="1304" w:right="1418" w:bottom="1304" w:left="1418" w:header="851" w:footer="992" w:gutter="0"/>
          <w:cols w:space="720" w:num="1"/>
          <w:docGrid w:linePitch="312" w:charSpace="0"/>
        </w:sectPr>
      </w:pPr>
    </w:p>
    <w:p w14:paraId="17553AB9">
      <w:pPr>
        <w:snapToGrid w:val="0"/>
        <w:spacing w:before="50"/>
        <w:jc w:val="left"/>
        <w:rPr>
          <w:color w:val="auto"/>
          <w:szCs w:val="21"/>
          <w:highlight w:val="none"/>
        </w:rPr>
      </w:pPr>
      <w:bookmarkStart w:id="103" w:name="_Hlk19050322"/>
      <w:r>
        <w:rPr>
          <w:rFonts w:hint="eastAsia"/>
          <w:color w:val="auto"/>
          <w:szCs w:val="21"/>
          <w:highlight w:val="none"/>
          <w:lang w:val="en-US" w:eastAsia="zh-CN"/>
        </w:rPr>
        <w:t>3</w:t>
      </w:r>
      <w:r>
        <w:rPr>
          <w:color w:val="auto"/>
          <w:szCs w:val="21"/>
          <w:highlight w:val="none"/>
        </w:rPr>
        <w:t>．供应商认为需提供的其他材料（根据征集文件编写）</w:t>
      </w:r>
    </w:p>
    <w:p w14:paraId="09325274">
      <w:pPr>
        <w:snapToGrid w:val="0"/>
        <w:spacing w:before="50"/>
        <w:jc w:val="left"/>
        <w:rPr>
          <w:color w:val="auto"/>
          <w:szCs w:val="21"/>
          <w:highlight w:val="none"/>
        </w:rPr>
      </w:pPr>
      <w:r>
        <w:rPr>
          <w:color w:val="auto"/>
          <w:szCs w:val="21"/>
          <w:highlight w:val="none"/>
        </w:rPr>
        <w:br w:type="page"/>
      </w:r>
      <w:r>
        <w:rPr>
          <w:rFonts w:hint="eastAsia"/>
          <w:color w:val="auto"/>
          <w:szCs w:val="21"/>
          <w:highlight w:val="none"/>
          <w:lang w:val="en-US" w:eastAsia="zh-CN"/>
        </w:rPr>
        <w:t>4</w:t>
      </w:r>
      <w:r>
        <w:rPr>
          <w:color w:val="auto"/>
          <w:szCs w:val="21"/>
          <w:highlight w:val="none"/>
        </w:rPr>
        <w:t>.</w:t>
      </w:r>
      <w:r>
        <w:rPr>
          <w:rFonts w:hint="eastAsia"/>
          <w:color w:val="auto"/>
          <w:highlight w:val="none"/>
        </w:rPr>
        <w:t xml:space="preserve"> </w:t>
      </w:r>
      <w:r>
        <w:rPr>
          <w:rFonts w:hint="eastAsia"/>
          <w:color w:val="auto"/>
          <w:szCs w:val="21"/>
          <w:highlight w:val="none"/>
        </w:rPr>
        <w:t>无串标行为承诺函</w:t>
      </w:r>
    </w:p>
    <w:p w14:paraId="39635469">
      <w:pPr>
        <w:snapToGrid w:val="0"/>
        <w:spacing w:before="50" w:after="120" w:afterLines="50"/>
        <w:jc w:val="center"/>
        <w:rPr>
          <w:color w:val="auto"/>
          <w:szCs w:val="21"/>
          <w:highlight w:val="none"/>
        </w:rPr>
      </w:pPr>
    </w:p>
    <w:p w14:paraId="005EF2E5">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431D679A">
      <w:pPr>
        <w:snapToGrid w:val="0"/>
        <w:spacing w:before="50" w:after="120" w:afterLines="50"/>
        <w:jc w:val="left"/>
        <w:rPr>
          <w:color w:val="auto"/>
          <w:szCs w:val="21"/>
          <w:highlight w:val="none"/>
        </w:rPr>
      </w:pPr>
    </w:p>
    <w:p w14:paraId="4DF71ED1">
      <w:pPr>
        <w:snapToGrid w:val="0"/>
        <w:spacing w:before="50" w:after="120" w:afterLines="50"/>
        <w:jc w:val="left"/>
        <w:rPr>
          <w:color w:val="auto"/>
          <w:szCs w:val="21"/>
          <w:highlight w:val="none"/>
        </w:rPr>
      </w:pPr>
      <w:r>
        <w:rPr>
          <w:rFonts w:hint="eastAsia"/>
          <w:color w:val="auto"/>
          <w:szCs w:val="21"/>
          <w:highlight w:val="none"/>
        </w:rPr>
        <w:t>一、我方承诺无下列相互串通响应的情形：</w:t>
      </w:r>
    </w:p>
    <w:p w14:paraId="6F2BA3DA">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76C88B88">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2.不同供应商委托同一单位或者个人办理响应事宜；</w:t>
      </w:r>
    </w:p>
    <w:p w14:paraId="795B4341">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0F574C3B">
      <w:pPr>
        <w:snapToGrid w:val="0"/>
        <w:spacing w:before="50" w:after="120" w:afterLines="50"/>
        <w:jc w:val="left"/>
        <w:rPr>
          <w:color w:val="auto"/>
          <w:szCs w:val="21"/>
          <w:highlight w:val="none"/>
        </w:rPr>
      </w:pPr>
      <w:r>
        <w:rPr>
          <w:rFonts w:hint="eastAsia"/>
          <w:color w:val="auto"/>
          <w:szCs w:val="21"/>
          <w:highlight w:val="none"/>
        </w:rPr>
        <w:t>4.不同供应商的响应文件异常一致或者响应报价呈规律性差异；</w:t>
      </w:r>
    </w:p>
    <w:p w14:paraId="1FC265DE">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2104D370">
      <w:pPr>
        <w:snapToGrid w:val="0"/>
        <w:spacing w:before="50" w:after="120" w:afterLines="50"/>
        <w:jc w:val="left"/>
        <w:rPr>
          <w:color w:val="auto"/>
          <w:szCs w:val="21"/>
          <w:highlight w:val="none"/>
        </w:rPr>
      </w:pPr>
      <w:r>
        <w:rPr>
          <w:rFonts w:hint="eastAsia"/>
          <w:color w:val="auto"/>
          <w:szCs w:val="21"/>
          <w:highlight w:val="none"/>
        </w:rPr>
        <w:t>6.不同供应商的响应保证金从同一单位或者个人账户转出。</w:t>
      </w:r>
    </w:p>
    <w:p w14:paraId="1998DB20">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57CAB84B">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3EF81627">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4ACB318D">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5DDDE3DF">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6B076EF7">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5.供应商之间事先约定一致抬高或者压低响应报价，或者在采购项目中事先约定轮流以高价位或者低价位中标，或者事先约定由某一特定供应商中标，然后再参加响应；</w:t>
      </w:r>
    </w:p>
    <w:p w14:paraId="33446002">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24F61B5E">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56EFAE0B">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513D1B18">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ED5A728">
      <w:pPr>
        <w:snapToGrid w:val="0"/>
        <w:spacing w:before="50" w:after="120" w:afterLines="50"/>
        <w:jc w:val="center"/>
        <w:rPr>
          <w:color w:val="auto"/>
          <w:szCs w:val="21"/>
          <w:highlight w:val="none"/>
        </w:rPr>
      </w:pPr>
    </w:p>
    <w:p w14:paraId="79F689FF">
      <w:pPr>
        <w:snapToGrid w:val="0"/>
        <w:spacing w:before="50" w:after="120" w:afterLines="50"/>
        <w:jc w:val="center"/>
        <w:rPr>
          <w:color w:val="auto"/>
          <w:szCs w:val="21"/>
          <w:highlight w:val="none"/>
        </w:rPr>
      </w:pPr>
    </w:p>
    <w:p w14:paraId="5E7B05CC">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5344FD13">
      <w:pPr>
        <w:snapToGrid w:val="0"/>
        <w:spacing w:before="50" w:after="120" w:afterLines="50"/>
        <w:jc w:val="center"/>
        <w:rPr>
          <w:color w:val="auto"/>
          <w:szCs w:val="21"/>
          <w:highlight w:val="none"/>
        </w:rPr>
      </w:pPr>
      <w:r>
        <w:rPr>
          <w:rFonts w:hint="eastAsia"/>
          <w:color w:val="auto"/>
          <w:szCs w:val="21"/>
          <w:highlight w:val="none"/>
        </w:rPr>
        <w:t>日期：  年  月   日</w:t>
      </w:r>
    </w:p>
    <w:p w14:paraId="48DEE842">
      <w:pPr>
        <w:ind w:firstLine="420" w:firstLineChars="200"/>
        <w:rPr>
          <w:rFonts w:hint="eastAsia"/>
          <w:color w:val="auto"/>
          <w:szCs w:val="21"/>
          <w:highlight w:val="none"/>
        </w:rPr>
        <w:sectPr>
          <w:pgSz w:w="11906" w:h="16838"/>
          <w:pgMar w:top="1304" w:right="1418" w:bottom="1304" w:left="1418" w:header="851" w:footer="992" w:gutter="0"/>
          <w:cols w:space="720" w:num="1"/>
          <w:docGrid w:linePitch="312" w:charSpace="0"/>
        </w:sectPr>
      </w:pPr>
    </w:p>
    <w:bookmarkEnd w:id="103"/>
    <w:p w14:paraId="07278957">
      <w:pPr>
        <w:snapToGrid w:val="0"/>
        <w:spacing w:before="50" w:after="120" w:afterLines="50"/>
        <w:jc w:val="left"/>
        <w:rPr>
          <w:rFonts w:hint="eastAsia"/>
          <w:color w:val="auto"/>
          <w:szCs w:val="21"/>
          <w:highlight w:val="none"/>
        </w:rPr>
      </w:pPr>
      <w:r>
        <w:rPr>
          <w:rFonts w:hint="eastAsia"/>
          <w:color w:val="auto"/>
          <w:szCs w:val="21"/>
          <w:highlight w:val="none"/>
          <w:lang w:val="en-US" w:eastAsia="zh-CN"/>
        </w:rPr>
        <w:t>5</w:t>
      </w:r>
      <w:r>
        <w:rPr>
          <w:color w:val="auto"/>
          <w:szCs w:val="21"/>
          <w:highlight w:val="none"/>
        </w:rPr>
        <w:t>.代理服务费承诺书</w:t>
      </w:r>
    </w:p>
    <w:p w14:paraId="496ECA5F">
      <w:pPr>
        <w:spacing w:line="360" w:lineRule="exact"/>
        <w:rPr>
          <w:color w:val="auto"/>
          <w:szCs w:val="21"/>
          <w:highlight w:val="none"/>
        </w:rPr>
      </w:pPr>
      <w:r>
        <w:rPr>
          <w:color w:val="auto"/>
          <w:szCs w:val="21"/>
          <w:highlight w:val="none"/>
        </w:rPr>
        <w:t>致：广西机电设备招标有限公司</w:t>
      </w:r>
    </w:p>
    <w:p w14:paraId="7A6D8664">
      <w:pPr>
        <w:spacing w:line="360" w:lineRule="exact"/>
        <w:ind w:firstLine="420" w:firstLineChars="200"/>
        <w:rPr>
          <w:color w:val="auto"/>
          <w:szCs w:val="21"/>
          <w:highlight w:val="none"/>
        </w:rPr>
      </w:pPr>
      <w:bookmarkStart w:id="104" w:name="_Hlk19050395"/>
      <w:r>
        <w:rPr>
          <w:color w:val="auto"/>
          <w:szCs w:val="21"/>
          <w:highlight w:val="none"/>
        </w:rPr>
        <w:t>我单位参加了贵方组织的采购项目编号为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的响应，并递交了响应保证金</w:t>
      </w:r>
      <w:bookmarkStart w:id="105" w:name="_Hlk19050352"/>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w:t>
      </w:r>
      <w:bookmarkEnd w:id="105"/>
      <w:r>
        <w:rPr>
          <w:color w:val="auto"/>
          <w:szCs w:val="21"/>
          <w:highlight w:val="none"/>
        </w:rPr>
        <w:t>，在此我方说明如下：</w:t>
      </w:r>
    </w:p>
    <w:bookmarkEnd w:id="104"/>
    <w:p w14:paraId="27E036D7">
      <w:pPr>
        <w:spacing w:line="360" w:lineRule="exact"/>
        <w:ind w:firstLine="420" w:firstLineChars="200"/>
        <w:rPr>
          <w:color w:val="auto"/>
          <w:szCs w:val="21"/>
          <w:highlight w:val="none"/>
        </w:rPr>
      </w:pPr>
      <w:r>
        <w:rPr>
          <w:color w:val="auto"/>
          <w:szCs w:val="21"/>
          <w:highlight w:val="none"/>
        </w:rPr>
        <w:t>1．我方承诺，若我单位中标，保证在领取入围通知书之前，按本项目征集文件的规定标准向贵单位支付代理服务费。如我单位未按规定缴纳代理服务费，贵方可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我单位提交的响应保证金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p w14:paraId="7BB329DC">
      <w:pPr>
        <w:spacing w:line="360" w:lineRule="exact"/>
        <w:ind w:firstLine="420" w:firstLineChars="200"/>
        <w:rPr>
          <w:color w:val="auto"/>
          <w:szCs w:val="21"/>
          <w:highlight w:val="none"/>
        </w:rPr>
      </w:pPr>
      <w:bookmarkStart w:id="106" w:name="_Hlk19050518"/>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63CCF4FB">
      <w:pPr>
        <w:spacing w:line="360" w:lineRule="exact"/>
        <w:ind w:firstLine="420" w:firstLineChars="200"/>
        <w:rPr>
          <w:color w:val="auto"/>
          <w:szCs w:val="21"/>
          <w:highlight w:val="none"/>
        </w:rPr>
      </w:pPr>
      <w:r>
        <w:rPr>
          <w:color w:val="auto"/>
          <w:szCs w:val="21"/>
          <w:highlight w:val="none"/>
        </w:rPr>
        <w:t>第一种方式：一次性足额缴纳代理服务费。</w:t>
      </w:r>
    </w:p>
    <w:p w14:paraId="36CAE24D">
      <w:pPr>
        <w:spacing w:line="360" w:lineRule="exact"/>
        <w:ind w:firstLine="420" w:firstLineChars="200"/>
        <w:rPr>
          <w:color w:val="auto"/>
          <w:szCs w:val="21"/>
          <w:highlight w:val="none"/>
        </w:rPr>
      </w:pPr>
      <w:r>
        <w:rPr>
          <w:color w:val="auto"/>
          <w:szCs w:val="21"/>
          <w:highlight w:val="none"/>
        </w:rPr>
        <w:t>第二种方式：从响应保证金中抵扣代理服务费，不足部分补交。</w:t>
      </w:r>
    </w:p>
    <w:bookmarkEnd w:id="106"/>
    <w:p w14:paraId="372563C1">
      <w:pPr>
        <w:spacing w:line="360" w:lineRule="exact"/>
        <w:ind w:firstLine="420" w:firstLineChars="200"/>
        <w:rPr>
          <w:color w:val="auto"/>
          <w:szCs w:val="21"/>
          <w:highlight w:val="none"/>
        </w:rPr>
      </w:pPr>
      <w:r>
        <w:rPr>
          <w:color w:val="auto"/>
          <w:szCs w:val="21"/>
          <w:highlight w:val="none"/>
        </w:rPr>
        <w:t>2．如我单位响应保证金无法原路返回，请按下表账户信息无息退还。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7AA7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488D918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收款户名</w:t>
            </w:r>
          </w:p>
        </w:tc>
        <w:tc>
          <w:tcPr>
            <w:tcW w:w="5431" w:type="dxa"/>
            <w:noWrap w:val="0"/>
            <w:vAlign w:val="center"/>
          </w:tcPr>
          <w:p w14:paraId="56A8457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p>
        </w:tc>
      </w:tr>
      <w:tr w14:paraId="3CD5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04A82FA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账    号</w:t>
            </w:r>
          </w:p>
        </w:tc>
        <w:tc>
          <w:tcPr>
            <w:tcW w:w="5431" w:type="dxa"/>
            <w:noWrap w:val="0"/>
            <w:vAlign w:val="center"/>
          </w:tcPr>
          <w:p w14:paraId="17F5D38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p>
        </w:tc>
      </w:tr>
      <w:tr w14:paraId="27C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560C5AF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w:t>
            </w:r>
          </w:p>
        </w:tc>
        <w:tc>
          <w:tcPr>
            <w:tcW w:w="5431" w:type="dxa"/>
            <w:noWrap w:val="0"/>
            <w:vAlign w:val="center"/>
          </w:tcPr>
          <w:p w14:paraId="0826ECD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p>
        </w:tc>
      </w:tr>
      <w:tr w14:paraId="5584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689DD2F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银行行号</w:t>
            </w:r>
          </w:p>
        </w:tc>
        <w:tc>
          <w:tcPr>
            <w:tcW w:w="5431" w:type="dxa"/>
            <w:noWrap w:val="0"/>
            <w:vAlign w:val="center"/>
          </w:tcPr>
          <w:p w14:paraId="27F009C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Cs w:val="21"/>
                <w:highlight w:val="none"/>
              </w:rPr>
            </w:pPr>
          </w:p>
        </w:tc>
      </w:tr>
    </w:tbl>
    <w:p w14:paraId="3FB8E232">
      <w:pPr>
        <w:spacing w:line="360" w:lineRule="exact"/>
        <w:ind w:firstLine="420" w:firstLineChars="200"/>
        <w:rPr>
          <w:color w:val="auto"/>
          <w:szCs w:val="21"/>
          <w:highlight w:val="none"/>
        </w:rPr>
      </w:pPr>
      <w:r>
        <w:rPr>
          <w:color w:val="auto"/>
          <w:szCs w:val="21"/>
          <w:highlight w:val="none"/>
        </w:rPr>
        <w:t>3．如果我单位未遵守有关征集文件关于响应保证金的规定，贵方可以没收我单位响应保证金。</w:t>
      </w:r>
    </w:p>
    <w:p w14:paraId="16D23D26">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76576F1A">
      <w:pPr>
        <w:spacing w:line="360" w:lineRule="exact"/>
        <w:ind w:firstLine="420" w:firstLineChars="200"/>
        <w:rPr>
          <w:color w:val="auto"/>
          <w:szCs w:val="21"/>
          <w:highlight w:val="none"/>
        </w:rPr>
      </w:pPr>
      <w:r>
        <w:rPr>
          <w:color w:val="auto"/>
          <w:szCs w:val="21"/>
          <w:highlight w:val="none"/>
        </w:rPr>
        <w:t>第一种方式：开具收据。</w:t>
      </w:r>
    </w:p>
    <w:p w14:paraId="146E97A8">
      <w:pPr>
        <w:spacing w:line="360" w:lineRule="exact"/>
        <w:ind w:firstLine="420" w:firstLineChars="200"/>
        <w:rPr>
          <w:color w:val="auto"/>
          <w:szCs w:val="21"/>
          <w:highlight w:val="none"/>
        </w:rPr>
      </w:pPr>
      <w:r>
        <w:rPr>
          <w:color w:val="auto"/>
          <w:szCs w:val="21"/>
          <w:highlight w:val="none"/>
        </w:rPr>
        <w:t>第二种方式：开具增值税普通发票。开票信息如下：1.公司名称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7000A744">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4DB1E70A">
      <w:pPr>
        <w:spacing w:before="120" w:beforeLines="50" w:line="360" w:lineRule="auto"/>
        <w:jc w:val="left"/>
        <w:rPr>
          <w:color w:val="auto"/>
          <w:szCs w:val="21"/>
          <w:highlight w:val="none"/>
        </w:rPr>
      </w:pPr>
    </w:p>
    <w:p w14:paraId="649D0618">
      <w:pPr>
        <w:spacing w:before="120" w:beforeLines="50" w:line="360" w:lineRule="auto"/>
        <w:jc w:val="left"/>
        <w:rPr>
          <w:color w:val="auto"/>
          <w:szCs w:val="21"/>
          <w:highlight w:val="none"/>
          <w:u w:val="single"/>
        </w:rPr>
      </w:pPr>
      <w:r>
        <w:rPr>
          <w:rFonts w:hint="eastAsia"/>
          <w:color w:val="auto"/>
          <w:szCs w:val="21"/>
          <w:highlight w:val="none"/>
        </w:rPr>
        <w:t>供应商名称(电子签章)：</w:t>
      </w:r>
      <w:r>
        <w:rPr>
          <w:color w:val="auto"/>
          <w:szCs w:val="21"/>
          <w:highlight w:val="none"/>
          <w:u w:val="single"/>
        </w:rPr>
        <w:t xml:space="preserve">                             </w:t>
      </w:r>
    </w:p>
    <w:p w14:paraId="74A2A895">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5422039F">
      <w:pPr>
        <w:spacing w:before="120" w:beforeLines="50" w:line="360" w:lineRule="auto"/>
        <w:jc w:val="left"/>
        <w:rPr>
          <w:color w:val="auto"/>
          <w:szCs w:val="21"/>
          <w:highlight w:val="none"/>
          <w:u w:val="single"/>
        </w:rPr>
      </w:pPr>
      <w:r>
        <w:rPr>
          <w:color w:val="auto"/>
          <w:szCs w:val="21"/>
          <w:highlight w:val="none"/>
        </w:rPr>
        <w:t>法定代表人或授权代表签字或盖章：</w:t>
      </w:r>
      <w:r>
        <w:rPr>
          <w:color w:val="auto"/>
          <w:szCs w:val="21"/>
          <w:highlight w:val="none"/>
          <w:u w:val="single"/>
        </w:rPr>
        <w:t xml:space="preserve">                          </w:t>
      </w:r>
    </w:p>
    <w:p w14:paraId="4695DFC6">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C771E8A">
      <w:pPr>
        <w:spacing w:before="120" w:beforeLines="50" w:line="360" w:lineRule="auto"/>
        <w:jc w:val="left"/>
        <w:rPr>
          <w:color w:val="auto"/>
          <w:szCs w:val="21"/>
          <w:highlight w:val="none"/>
        </w:rPr>
      </w:pPr>
      <w:r>
        <w:rPr>
          <w:color w:val="auto"/>
          <w:szCs w:val="21"/>
          <w:highlight w:val="none"/>
        </w:rPr>
        <w:t>说明：</w:t>
      </w:r>
    </w:p>
    <w:p w14:paraId="0D2C4A25">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302AF884">
      <w:pPr>
        <w:spacing w:line="340" w:lineRule="exact"/>
        <w:ind w:firstLine="420" w:firstLineChars="200"/>
        <w:rPr>
          <w:color w:val="auto"/>
          <w:szCs w:val="21"/>
          <w:highlight w:val="none"/>
        </w:rPr>
      </w:pPr>
      <w:r>
        <w:rPr>
          <w:color w:val="auto"/>
          <w:szCs w:val="21"/>
          <w:highlight w:val="none"/>
        </w:rPr>
        <w:t>（2）如因未按要求缴纳响应保证金，导致响应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4E342C71">
      <w:pPr>
        <w:jc w:val="center"/>
        <w:rPr>
          <w:rFonts w:hint="eastAsia"/>
          <w:color w:val="auto"/>
          <w:highlight w:val="none"/>
        </w:rPr>
      </w:pPr>
      <w:r>
        <w:rPr>
          <w:color w:val="auto"/>
          <w:highlight w:val="none"/>
        </w:rPr>
        <w:t>（3）如供应商未及时收到退回款项，请与广西机电设备招标有限公司财务部联系。广西机电设备招标有限公司财务部联系方式：联系人：吴茜；电话：0771-2821398；传真：0771-2843545。</w:t>
      </w:r>
    </w:p>
    <w:p w14:paraId="34AC0327">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第二部分 技术文件</w:t>
      </w:r>
    </w:p>
    <w:p w14:paraId="087D4613">
      <w:pPr>
        <w:jc w:val="center"/>
        <w:rPr>
          <w:rFonts w:hint="eastAsia"/>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56289FEC">
      <w:pPr>
        <w:snapToGrid w:val="0"/>
        <w:spacing w:before="50" w:after="120" w:afterLines="50"/>
        <w:jc w:val="left"/>
        <w:rPr>
          <w:rFonts w:hint="eastAsia"/>
          <w:color w:val="auto"/>
          <w:szCs w:val="21"/>
          <w:highlight w:val="none"/>
        </w:rPr>
      </w:pPr>
    </w:p>
    <w:p w14:paraId="35142636">
      <w:pPr>
        <w:rPr>
          <w:rFonts w:hint="eastAsia"/>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3540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B676CE2">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CB2ED4B">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征集文件要求（注明章节及条款号）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71239E0">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3C53D24">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偏离</w:t>
            </w:r>
            <w:r>
              <w:rPr>
                <w:rFonts w:hint="default" w:ascii="Times New Roman" w:hAnsi="Times New Roman" w:cs="Times New Roman"/>
                <w:color w:val="auto"/>
                <w:szCs w:val="21"/>
                <w:highlight w:val="none"/>
              </w:rPr>
              <w:t>说明</w:t>
            </w:r>
          </w:p>
        </w:tc>
      </w:tr>
      <w:tr w14:paraId="7F9E7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4B587DB">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2634201">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32D8CC3">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72A894E">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r w14:paraId="17F20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C244CA3">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132262C">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34BAC52">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21A0E94">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r w14:paraId="5D32B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EDC8202">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2574C90">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6D70F6C">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D50A86A">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r w14:paraId="22AAE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C236B7F">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7250107">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52A549A">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35EE647">
            <w:pPr>
              <w:keepNext w:val="0"/>
              <w:keepLines w:val="0"/>
              <w:suppressLineNumbers w:val="0"/>
              <w:snapToGrid w:val="0"/>
              <w:spacing w:before="120" w:beforeLines="50" w:beforeAutospacing="0" w:after="0" w:afterAutospacing="0"/>
              <w:ind w:left="0" w:right="0"/>
              <w:jc w:val="center"/>
              <w:rPr>
                <w:rFonts w:hint="default" w:ascii="Times New Roman" w:hAnsi="Times New Roman" w:cs="Times New Roman"/>
                <w:color w:val="auto"/>
                <w:szCs w:val="21"/>
                <w:highlight w:val="none"/>
              </w:rPr>
            </w:pPr>
          </w:p>
        </w:tc>
      </w:tr>
    </w:tbl>
    <w:p w14:paraId="337208B4">
      <w:pPr>
        <w:rPr>
          <w:color w:val="auto"/>
          <w:szCs w:val="21"/>
          <w:highlight w:val="none"/>
        </w:rPr>
      </w:pPr>
    </w:p>
    <w:p w14:paraId="58C8AD7C">
      <w:pPr>
        <w:pStyle w:val="26"/>
        <w:tabs>
          <w:tab w:val="left" w:pos="2127"/>
        </w:tabs>
        <w:spacing w:line="340" w:lineRule="exact"/>
        <w:jc w:val="left"/>
        <w:rPr>
          <w:rFonts w:ascii="Times New Roman" w:hAnsi="Times New Roman" w:cs="Times New Roman"/>
          <w:color w:val="auto"/>
          <w:highlight w:val="none"/>
        </w:rPr>
      </w:pPr>
      <w:bookmarkStart w:id="107" w:name="_Hlk88990482"/>
      <w:r>
        <w:rPr>
          <w:color w:val="auto"/>
          <w:highlight w:val="none"/>
        </w:rPr>
        <w:t>注：</w:t>
      </w:r>
      <w:r>
        <w:rPr>
          <w:rFonts w:ascii="Times New Roman" w:hAnsi="Times New Roman" w:cs="Times New Roman"/>
          <w:color w:val="auto"/>
          <w:highlight w:val="none"/>
        </w:rPr>
        <w:t>（1）本表应对征集文件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w:t>
      </w:r>
      <w:r>
        <w:rPr>
          <w:rFonts w:hint="eastAsia" w:ascii="Times New Roman" w:hAnsi="Times New Roman" w:cs="Times New Roman"/>
          <w:color w:val="auto"/>
          <w:highlight w:val="none"/>
        </w:rPr>
        <w:t>逐条</w:t>
      </w:r>
      <w:r>
        <w:rPr>
          <w:rFonts w:ascii="Times New Roman" w:hAnsi="Times New Roman" w:cs="Times New Roman"/>
          <w:color w:val="auto"/>
          <w:highlight w:val="none"/>
        </w:rPr>
        <w:t>响应，并根据响应情况在“偏离说明”</w:t>
      </w:r>
      <w:r>
        <w:rPr>
          <w:rFonts w:hint="eastAsia" w:ascii="Times New Roman" w:hAnsi="Times New Roman" w:cs="Times New Roman"/>
          <w:color w:val="auto"/>
          <w:highlight w:val="none"/>
        </w:rPr>
        <w:t>填写无偏离或正偏离</w:t>
      </w:r>
      <w:r>
        <w:rPr>
          <w:rFonts w:ascii="Times New Roman" w:hAnsi="Times New Roman" w:cs="Times New Roman"/>
          <w:color w:val="auto"/>
          <w:highlight w:val="none"/>
        </w:rPr>
        <w:t>。</w:t>
      </w:r>
      <w:r>
        <w:rPr>
          <w:rFonts w:hint="eastAsia" w:ascii="Times New Roman" w:hAnsi="Times New Roman" w:cs="Times New Roman"/>
          <w:color w:val="auto"/>
          <w:highlight w:val="none"/>
        </w:rPr>
        <w:t>负偏离将导致响应被否决。</w:t>
      </w:r>
    </w:p>
    <w:p w14:paraId="1679EE01">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0CFE2ACD">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78ACA7D7">
      <w:pPr>
        <w:rPr>
          <w:color w:val="auto"/>
          <w:highlight w:val="none"/>
        </w:rPr>
      </w:pPr>
      <w:r>
        <w:rPr>
          <w:color w:val="auto"/>
          <w:highlight w:val="none"/>
        </w:rPr>
        <w:t>（4）本表可扩展。</w:t>
      </w:r>
    </w:p>
    <w:bookmarkEnd w:id="107"/>
    <w:p w14:paraId="67557ACE">
      <w:pPr>
        <w:rPr>
          <w:color w:val="auto"/>
          <w:szCs w:val="21"/>
          <w:highlight w:val="none"/>
        </w:rPr>
      </w:pPr>
    </w:p>
    <w:p w14:paraId="6FD31111">
      <w:pPr>
        <w:rPr>
          <w:color w:val="auto"/>
          <w:spacing w:val="20"/>
          <w:szCs w:val="21"/>
          <w:highlight w:val="none"/>
          <w:u w:val="single"/>
        </w:rPr>
      </w:pPr>
      <w:bookmarkStart w:id="108" w:name="_Hlk88990507"/>
    </w:p>
    <w:p w14:paraId="4F19733A">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08"/>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7A57C0E">
      <w:pPr>
        <w:snapToGrid w:val="0"/>
        <w:spacing w:before="50" w:after="120" w:afterLines="50"/>
        <w:jc w:val="left"/>
        <w:rPr>
          <w:rFonts w:hint="eastAsia"/>
          <w:color w:val="auto"/>
          <w:szCs w:val="21"/>
          <w:highlight w:val="none"/>
        </w:rPr>
      </w:pPr>
    </w:p>
    <w:p w14:paraId="623D0B83">
      <w:pPr>
        <w:snapToGrid w:val="0"/>
        <w:spacing w:before="50" w:after="120" w:afterLines="50"/>
        <w:jc w:val="left"/>
        <w:rPr>
          <w:rFonts w:hint="eastAsia"/>
          <w:color w:val="auto"/>
          <w:szCs w:val="21"/>
          <w:highlight w:val="none"/>
        </w:rPr>
      </w:pPr>
    </w:p>
    <w:p w14:paraId="6839F66C">
      <w:pPr>
        <w:snapToGrid w:val="0"/>
        <w:spacing w:before="50" w:after="120" w:afterLines="50"/>
        <w:jc w:val="left"/>
        <w:rPr>
          <w:rFonts w:hint="eastAsia"/>
          <w:color w:val="auto"/>
          <w:szCs w:val="21"/>
          <w:highlight w:val="none"/>
        </w:rPr>
      </w:pPr>
    </w:p>
    <w:p w14:paraId="42EF9B76">
      <w:pPr>
        <w:snapToGrid w:val="0"/>
        <w:spacing w:before="50" w:after="120" w:afterLines="50"/>
        <w:jc w:val="left"/>
        <w:rPr>
          <w:color w:val="auto"/>
          <w:szCs w:val="21"/>
          <w:highlight w:val="none"/>
        </w:rPr>
      </w:pPr>
      <w:r>
        <w:rPr>
          <w:color w:val="auto"/>
          <w:szCs w:val="21"/>
          <w:highlight w:val="none"/>
        </w:rPr>
        <w:br w:type="page"/>
      </w:r>
      <w:r>
        <w:rPr>
          <w:rFonts w:hint="eastAsia"/>
          <w:color w:val="auto"/>
          <w:szCs w:val="21"/>
          <w:highlight w:val="none"/>
          <w:lang w:val="en-US" w:eastAsia="zh-CN"/>
        </w:rPr>
        <w:t>2</w:t>
      </w:r>
      <w:r>
        <w:rPr>
          <w:color w:val="auto"/>
          <w:szCs w:val="21"/>
          <w:highlight w:val="none"/>
        </w:rPr>
        <w:t>．方案</w:t>
      </w:r>
    </w:p>
    <w:p w14:paraId="3512655C">
      <w:pPr>
        <w:spacing w:line="360" w:lineRule="auto"/>
        <w:rPr>
          <w:color w:val="auto"/>
          <w:szCs w:val="21"/>
          <w:highlight w:val="none"/>
        </w:rPr>
      </w:pPr>
      <w:r>
        <w:rPr>
          <w:rFonts w:hint="eastAsia"/>
          <w:color w:val="auto"/>
          <w:szCs w:val="21"/>
          <w:highlight w:val="none"/>
        </w:rPr>
        <w:t>详见采购需求</w:t>
      </w:r>
      <w:r>
        <w:rPr>
          <w:rFonts w:hint="eastAsia"/>
          <w:color w:val="auto"/>
          <w:szCs w:val="21"/>
          <w:highlight w:val="none"/>
          <w:lang w:val="en-US" w:eastAsia="zh-CN"/>
        </w:rPr>
        <w:t>及评分标准</w:t>
      </w:r>
      <w:r>
        <w:rPr>
          <w:rFonts w:hint="eastAsia"/>
          <w:color w:val="auto"/>
          <w:szCs w:val="21"/>
          <w:highlight w:val="none"/>
        </w:rPr>
        <w:t>。</w:t>
      </w:r>
    </w:p>
    <w:p w14:paraId="03F8DA2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响应真实性承诺</w:t>
      </w:r>
    </w:p>
    <w:p w14:paraId="090C029C">
      <w:pPr>
        <w:snapToGrid w:val="0"/>
        <w:spacing w:before="50" w:after="120" w:afterLines="50"/>
        <w:jc w:val="center"/>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响应真实性承诺函</w:t>
      </w:r>
    </w:p>
    <w:p w14:paraId="160C4188">
      <w:pPr>
        <w:widowControl/>
        <w:spacing w:line="560" w:lineRule="exact"/>
        <w:ind w:firstLine="440"/>
        <w:jc w:val="center"/>
        <w:rPr>
          <w:rFonts w:hint="eastAsia" w:ascii="仿宋_GB2312" w:hAnsi="方正小标宋简体" w:eastAsia="仿宋_GB2312" w:cs="Times New Roman"/>
          <w:bCs/>
          <w:color w:val="auto"/>
          <w:sz w:val="32"/>
          <w:szCs w:val="32"/>
          <w:highlight w:val="none"/>
        </w:rPr>
      </w:pPr>
    </w:p>
    <w:p w14:paraId="193D797E">
      <w:pPr>
        <w:widowControl/>
        <w:spacing w:line="560" w:lineRule="exact"/>
        <w:ind w:firstLine="645"/>
        <w:jc w:val="left"/>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本公司（单位）参与</w:t>
      </w:r>
      <w:r>
        <w:rPr>
          <w:rFonts w:ascii="Times New Roman" w:hAnsi="Times New Roman" w:eastAsia="宋体" w:cs="Times New Roman"/>
          <w:bCs/>
          <w:color w:val="auto"/>
          <w:szCs w:val="21"/>
          <w:highlight w:val="none"/>
        </w:rPr>
        <w:t>__________________________________</w:t>
      </w:r>
      <w:r>
        <w:rPr>
          <w:rFonts w:hint="eastAsia" w:ascii="Times New Roman" w:hAnsi="Times New Roman" w:eastAsia="宋体" w:cs="Times New Roman"/>
          <w:bCs/>
          <w:color w:val="auto"/>
          <w:szCs w:val="21"/>
          <w:highlight w:val="none"/>
        </w:rPr>
        <w:t>项目公开征集活动，对征集文件的要求充分知悉，现郑重承诺如下：</w:t>
      </w:r>
    </w:p>
    <w:p w14:paraId="64CFE27E">
      <w:pPr>
        <w:widowControl/>
        <w:spacing w:line="560" w:lineRule="exact"/>
        <w:ind w:firstLine="645"/>
        <w:jc w:val="left"/>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本公司（单位）严格按照征集文件要求编制响应文件，承诺提供的响应文件中所有内容、资料均真实、有效，并承担相应的法律责任。</w:t>
      </w:r>
    </w:p>
    <w:p w14:paraId="5B573006">
      <w:pPr>
        <w:widowControl/>
        <w:spacing w:line="560" w:lineRule="exact"/>
        <w:ind w:firstLine="645"/>
        <w:jc w:val="left"/>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本公司（单位）本次提供的所有业绩均有本次拟派协审人员参与过，如有提供虚假材料谋取入围或者合同成交的情形，愿意接受征集人取消本公司（单位）入围资格，解除或终止与本公司（单位）签订的框架协议及合同，并依照政府采购法等有关法律、行政法规追究本公司（单位）法律责任。</w:t>
      </w:r>
    </w:p>
    <w:p w14:paraId="6A4DE028">
      <w:pPr>
        <w:widowControl/>
        <w:spacing w:line="560" w:lineRule="exact"/>
        <w:ind w:firstLine="645"/>
        <w:jc w:val="left"/>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本公司（单位）若违反《政府采购框架协议采购方式管理暂行办法》规定，给他人造成损失的，相关当事人可依法提起诉讼，由本公司（单位）承担赔偿责任。</w:t>
      </w:r>
    </w:p>
    <w:p w14:paraId="034B5D5F">
      <w:pPr>
        <w:widowControl/>
        <w:spacing w:line="560" w:lineRule="exact"/>
        <w:ind w:firstLine="645"/>
        <w:jc w:val="left"/>
        <w:rPr>
          <w:rFonts w:hint="eastAsia" w:ascii="Times New Roman" w:hAnsi="Times New Roman" w:eastAsia="宋体" w:cs="Times New Roman"/>
          <w:bCs/>
          <w:color w:val="auto"/>
          <w:szCs w:val="21"/>
          <w:highlight w:val="none"/>
        </w:rPr>
      </w:pPr>
    </w:p>
    <w:p w14:paraId="4F89403C">
      <w:pPr>
        <w:widowControl/>
        <w:spacing w:line="560" w:lineRule="exact"/>
        <w:ind w:right="640" w:firstLine="4952" w:firstLineChars="2349"/>
        <w:jc w:val="left"/>
        <w:rPr>
          <w:rFonts w:ascii="Times New Roman" w:hAnsi="Times New Roman" w:eastAsia="宋体" w:cs="Times New Roman"/>
          <w:b/>
          <w:color w:val="auto"/>
          <w:szCs w:val="21"/>
          <w:highlight w:val="none"/>
        </w:rPr>
      </w:pPr>
    </w:p>
    <w:p w14:paraId="1EBFF283">
      <w:pPr>
        <w:widowControl/>
        <w:spacing w:line="560" w:lineRule="exact"/>
        <w:ind w:right="640" w:firstLine="4952" w:firstLineChars="2349"/>
        <w:jc w:val="left"/>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供应商名称(电子签章)：</w:t>
      </w:r>
    </w:p>
    <w:p w14:paraId="6F82C644">
      <w:pPr>
        <w:widowControl/>
        <w:spacing w:line="560" w:lineRule="exact"/>
        <w:ind w:right="640" w:firstLine="4952" w:firstLineChars="2349"/>
        <w:jc w:val="left"/>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法定代表人（签字）：</w:t>
      </w:r>
    </w:p>
    <w:p w14:paraId="231993F6">
      <w:pPr>
        <w:widowControl/>
        <w:spacing w:line="560" w:lineRule="exact"/>
        <w:ind w:right="640" w:firstLine="4952" w:firstLineChars="2349"/>
        <w:jc w:val="left"/>
        <w:rPr>
          <w:color w:val="auto"/>
          <w:szCs w:val="21"/>
          <w:highlight w:val="none"/>
        </w:rPr>
      </w:pPr>
      <w:r>
        <w:rPr>
          <w:rFonts w:hint="eastAsia" w:ascii="Times New Roman" w:hAnsi="Times New Roman" w:eastAsia="宋体" w:cs="Times New Roman"/>
          <w:b/>
          <w:color w:val="auto"/>
          <w:szCs w:val="21"/>
          <w:highlight w:val="none"/>
        </w:rPr>
        <w:t>日</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期：</w:t>
      </w:r>
    </w:p>
    <w:p w14:paraId="3B128EF1">
      <w:pPr>
        <w:snapToGrid w:val="0"/>
        <w:spacing w:before="50" w:after="120" w:afterLines="50"/>
        <w:jc w:val="center"/>
        <w:rPr>
          <w:color w:val="auto"/>
          <w:szCs w:val="21"/>
          <w:highlight w:val="none"/>
        </w:rPr>
      </w:pPr>
    </w:p>
    <w:p w14:paraId="5C157E3B">
      <w:pPr>
        <w:snapToGrid w:val="0"/>
        <w:spacing w:before="50" w:after="120" w:afterLines="50"/>
        <w:jc w:val="left"/>
        <w:rPr>
          <w:color w:val="auto"/>
          <w:szCs w:val="21"/>
          <w:highlight w:val="none"/>
        </w:rPr>
      </w:pPr>
      <w:r>
        <w:rPr>
          <w:color w:val="auto"/>
          <w:szCs w:val="21"/>
          <w:highlight w:val="none"/>
        </w:rPr>
        <w:br w:type="page"/>
      </w:r>
      <w:r>
        <w:rPr>
          <w:color w:val="auto"/>
          <w:szCs w:val="21"/>
          <w:highlight w:val="none"/>
        </w:rPr>
        <w:t>4．项目拟投入服务团队人员结构表</w:t>
      </w:r>
    </w:p>
    <w:p w14:paraId="5ACB8308">
      <w:pPr>
        <w:snapToGrid w:val="0"/>
        <w:spacing w:before="120" w:beforeLines="50" w:after="50" w:line="400" w:lineRule="exact"/>
        <w:jc w:val="center"/>
        <w:rPr>
          <w:color w:val="auto"/>
          <w:szCs w:val="21"/>
          <w:highlight w:val="none"/>
        </w:rPr>
      </w:pPr>
      <w:r>
        <w:rPr>
          <w:rFonts w:hint="eastAsia"/>
          <w:color w:val="auto"/>
          <w:szCs w:val="21"/>
          <w:highlight w:val="none"/>
        </w:rPr>
        <w:t>拟投入评审项目人员</w:t>
      </w:r>
      <w:r>
        <w:rPr>
          <w:color w:val="auto"/>
          <w:szCs w:val="21"/>
          <w:highlight w:val="none"/>
        </w:rPr>
        <w:t>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023"/>
        <w:gridCol w:w="1485"/>
        <w:gridCol w:w="2174"/>
        <w:gridCol w:w="1148"/>
        <w:gridCol w:w="1620"/>
        <w:gridCol w:w="1307"/>
        <w:gridCol w:w="880"/>
      </w:tblGrid>
      <w:tr w14:paraId="4F575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72B4C11E">
            <w:pPr>
              <w:keepNext w:val="0"/>
              <w:keepLines w:val="0"/>
              <w:suppressLineNumbers w:val="0"/>
              <w:snapToGrid w:val="0"/>
              <w:spacing w:before="120" w:beforeLines="50" w:beforeAutospacing="0" w:after="5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229A8D0">
            <w:pPr>
              <w:keepNext w:val="0"/>
              <w:keepLines w:val="0"/>
              <w:suppressLineNumbers w:val="0"/>
              <w:snapToGrid w:val="0"/>
              <w:spacing w:before="120" w:beforeLines="50" w:beforeAutospacing="0" w:after="5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75F9420">
            <w:pPr>
              <w:keepNext w:val="0"/>
              <w:keepLines w:val="0"/>
              <w:suppressLineNumbers w:val="0"/>
              <w:tabs>
                <w:tab w:val="left" w:pos="260"/>
              </w:tabs>
              <w:snapToGrid w:val="0"/>
              <w:spacing w:before="120" w:beforeLines="50" w:beforeAutospacing="0" w:after="5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Cs/>
                <w:color w:val="auto"/>
                <w:highlight w:val="none"/>
              </w:rPr>
              <w:t>造价工程师</w:t>
            </w:r>
            <w:r>
              <w:rPr>
                <w:rFonts w:hint="default" w:ascii="Times New Roman" w:hAnsi="Times New Roman" w:eastAsia="宋体" w:cs="Times New Roman"/>
                <w:bCs/>
                <w:color w:val="auto"/>
                <w:highlight w:val="none"/>
              </w:rPr>
              <w:t>资格</w:t>
            </w:r>
            <w:r>
              <w:rPr>
                <w:rFonts w:hint="eastAsia" w:ascii="Times New Roman" w:hAnsi="Times New Roman" w:eastAsia="宋体" w:cs="Times New Roman"/>
                <w:bCs/>
                <w:color w:val="auto"/>
                <w:highlight w:val="none"/>
              </w:rPr>
              <w:t>（一级、二级）</w:t>
            </w:r>
            <w:r>
              <w:rPr>
                <w:rFonts w:hint="eastAsia" w:ascii="Times New Roman" w:hAnsi="Times New Roman" w:eastAsia="宋体" w:cs="Times New Roman"/>
                <w:bCs/>
                <w:color w:val="auto"/>
                <w:highlight w:val="none"/>
                <w:lang w:val="en-US" w:eastAsia="zh-CN"/>
              </w:rPr>
              <w:t>/注册会计师</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720097F">
            <w:pPr>
              <w:keepNext w:val="0"/>
              <w:keepLines w:val="0"/>
              <w:suppressLineNumbers w:val="0"/>
              <w:tabs>
                <w:tab w:val="left" w:pos="260"/>
              </w:tabs>
              <w:snapToGrid w:val="0"/>
              <w:spacing w:before="0" w:beforeAutospacing="0" w:after="0" w:afterAutospacing="0"/>
              <w:ind w:left="0" w:right="0"/>
              <w:jc w:val="center"/>
              <w:rPr>
                <w:rFonts w:hint="default"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造价工程师专业</w:t>
            </w:r>
          </w:p>
          <w:p w14:paraId="682E808E">
            <w:pPr>
              <w:keepNext w:val="0"/>
              <w:keepLines w:val="0"/>
              <w:suppressLineNumbers w:val="0"/>
              <w:tabs>
                <w:tab w:val="left" w:pos="260"/>
              </w:tabs>
              <w:snapToGrid w:val="0"/>
              <w:spacing w:before="0" w:beforeAutospacing="0" w:after="0" w:afterAutospacing="0"/>
              <w:ind w:left="0" w:right="0"/>
              <w:jc w:val="center"/>
              <w:rPr>
                <w:rFonts w:hint="default"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（土建、安装、公路、水利）</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06B6E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职称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D478B0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岗位</w:t>
            </w:r>
          </w:p>
          <w:p w14:paraId="4DF236E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（主审、协审</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复审</w:t>
            </w:r>
            <w:r>
              <w:rPr>
                <w:rFonts w:hint="eastAsia" w:ascii="Times New Roman" w:hAnsi="Times New Roman" w:eastAsia="宋体" w:cs="Times New Roman"/>
                <w:color w:val="auto"/>
                <w:szCs w:val="21"/>
                <w:highlight w:val="none"/>
              </w:rPr>
              <w:t>）</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4CBFAFA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在本单位社保缴纳起始年份</w:t>
            </w:r>
          </w:p>
        </w:tc>
        <w:tc>
          <w:tcPr>
            <w:tcW w:w="880" w:type="dxa"/>
            <w:tcBorders>
              <w:top w:val="single" w:color="auto" w:sz="4" w:space="0"/>
              <w:left w:val="single" w:color="auto" w:sz="4" w:space="0"/>
              <w:bottom w:val="single" w:color="auto" w:sz="4" w:space="0"/>
              <w:right w:val="single" w:color="auto" w:sz="4" w:space="0"/>
            </w:tcBorders>
            <w:noWrap w:val="0"/>
            <w:vAlign w:val="top"/>
          </w:tcPr>
          <w:p w14:paraId="2C8382E7">
            <w:pPr>
              <w:keepNext w:val="0"/>
              <w:keepLines w:val="0"/>
              <w:suppressLineNumbers w:val="0"/>
              <w:tabs>
                <w:tab w:val="left" w:pos="260"/>
              </w:tabs>
              <w:snapToGrid w:val="0"/>
              <w:spacing w:before="120" w:beforeLines="50" w:beforeAutospacing="0" w:after="5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bCs/>
                <w:color w:val="auto"/>
                <w:highlight w:val="none"/>
              </w:rPr>
              <w:t>证件页码</w:t>
            </w:r>
          </w:p>
        </w:tc>
      </w:tr>
      <w:tr w14:paraId="78A20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top"/>
          </w:tcPr>
          <w:p w14:paraId="13C94D30">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616DDDB0">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394387A4">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0372B939">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AC099D8">
            <w:pPr>
              <w:keepNext w:val="0"/>
              <w:keepLines w:val="0"/>
              <w:suppressLineNumbers w:val="0"/>
              <w:snapToGrid w:val="0"/>
              <w:spacing w:before="120" w:beforeLines="50" w:beforeAutospacing="0" w:after="50" w:afterAutospacing="0"/>
              <w:ind w:left="0" w:right="0"/>
              <w:rPr>
                <w:rFonts w:hint="eastAsia" w:ascii="Times New Roman" w:hAnsi="Times New Roman" w:eastAsia="宋体" w:cs="Times New Roman"/>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0B376C">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31929861">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23DDE057">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r>
      <w:tr w14:paraId="29EB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top"/>
          </w:tcPr>
          <w:p w14:paraId="4DCC5025">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3BE291AE">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5D81D26">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1C35FA5C">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1FE8608">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9D11510">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32759C89">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A1244D6">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r>
      <w:tr w14:paraId="77AA8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top"/>
          </w:tcPr>
          <w:p w14:paraId="03CF87A0">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5DA66F6C">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0E393DB">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3B7D7D3D">
            <w:pPr>
              <w:keepNext w:val="0"/>
              <w:keepLines w:val="0"/>
              <w:suppressLineNumbers w:val="0"/>
              <w:snapToGrid w:val="0"/>
              <w:spacing w:before="120" w:beforeLines="50" w:beforeAutospacing="0" w:after="50" w:afterAutospacing="0"/>
              <w:ind w:left="5250" w:leftChars="2500" w:right="0"/>
              <w:rPr>
                <w:rFonts w:hint="default" w:ascii="Times New Roman" w:hAnsi="Times New Roman" w:eastAsia="宋体" w:cs="Times New Roman"/>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CC6FD32">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F453CA3">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10C78064">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9B50097">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r>
      <w:tr w14:paraId="1947F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top"/>
          </w:tcPr>
          <w:p w14:paraId="125F8074">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068E38A5">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86DC8A1">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64E37B2A">
            <w:pPr>
              <w:keepNext w:val="0"/>
              <w:keepLines w:val="0"/>
              <w:suppressLineNumbers w:val="0"/>
              <w:snapToGrid w:val="0"/>
              <w:spacing w:before="120" w:beforeLines="50" w:beforeAutospacing="0" w:after="50" w:afterAutospacing="0"/>
              <w:ind w:left="5250" w:leftChars="2500" w:right="0"/>
              <w:rPr>
                <w:rFonts w:hint="default" w:ascii="Times New Roman" w:hAnsi="Times New Roman" w:eastAsia="宋体" w:cs="Times New Roman"/>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BD888AC">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0296BDD">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18A64D57">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3DB45BB">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r>
      <w:tr w14:paraId="6B7ED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top"/>
          </w:tcPr>
          <w:p w14:paraId="2BEAABE6">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42FF3401">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3BA9A3D5">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7D564016">
            <w:pPr>
              <w:keepNext w:val="0"/>
              <w:keepLines w:val="0"/>
              <w:suppressLineNumbers w:val="0"/>
              <w:snapToGrid w:val="0"/>
              <w:spacing w:before="120" w:beforeLines="50" w:beforeAutospacing="0" w:after="50" w:afterAutospacing="0"/>
              <w:ind w:left="5250" w:leftChars="2500" w:right="0"/>
              <w:rPr>
                <w:rFonts w:hint="default" w:ascii="Times New Roman" w:hAnsi="Times New Roman" w:eastAsia="宋体" w:cs="Times New Roman"/>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53E97E6">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E18621">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2CE116B0">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7A20B3C6">
            <w:pPr>
              <w:keepNext w:val="0"/>
              <w:keepLines w:val="0"/>
              <w:suppressLineNumbers w:val="0"/>
              <w:snapToGrid w:val="0"/>
              <w:spacing w:before="120" w:beforeLines="50" w:beforeAutospacing="0" w:after="50" w:afterAutospacing="0"/>
              <w:ind w:left="0" w:right="0"/>
              <w:rPr>
                <w:rFonts w:hint="default" w:ascii="Times New Roman" w:hAnsi="Times New Roman" w:eastAsia="宋体" w:cs="Times New Roman"/>
                <w:color w:val="auto"/>
                <w:szCs w:val="21"/>
                <w:highlight w:val="none"/>
              </w:rPr>
            </w:pPr>
          </w:p>
        </w:tc>
      </w:tr>
    </w:tbl>
    <w:p w14:paraId="4F1CBBB1">
      <w:pPr>
        <w:snapToGrid w:val="0"/>
        <w:spacing w:before="50" w:after="120" w:afterLines="50" w:line="440" w:lineRule="exact"/>
        <w:jc w:val="left"/>
        <w:rPr>
          <w:color w:val="auto"/>
          <w:szCs w:val="21"/>
          <w:highlight w:val="none"/>
        </w:rPr>
      </w:pPr>
    </w:p>
    <w:p w14:paraId="31084AD7">
      <w:pPr>
        <w:snapToGrid w:val="0"/>
        <w:spacing w:before="50" w:after="120" w:afterLines="50" w:line="440" w:lineRule="exact"/>
        <w:jc w:val="left"/>
        <w:rPr>
          <w:rFonts w:hint="eastAsia"/>
          <w:color w:val="auto"/>
          <w:szCs w:val="21"/>
          <w:highlight w:val="none"/>
        </w:rPr>
      </w:pPr>
      <w:r>
        <w:rPr>
          <w:color w:val="auto"/>
          <w:szCs w:val="21"/>
          <w:highlight w:val="none"/>
        </w:rPr>
        <w:t>注：在填写时，如本表格不适合响应单位的实际情况，可根据本表格式自行划表填写。</w:t>
      </w:r>
    </w:p>
    <w:p w14:paraId="62C60491">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C2AA648">
      <w:pPr>
        <w:rPr>
          <w:rFonts w:hint="eastAsia"/>
          <w:color w:val="auto"/>
          <w:spacing w:val="20"/>
          <w:szCs w:val="21"/>
          <w:highlight w:val="none"/>
          <w:u w:val="single"/>
        </w:rPr>
      </w:pPr>
    </w:p>
    <w:p w14:paraId="626506C8">
      <w:pPr>
        <w:rPr>
          <w:color w:val="auto"/>
          <w:szCs w:val="21"/>
          <w:highlight w:val="none"/>
        </w:rPr>
      </w:pPr>
    </w:p>
    <w:p w14:paraId="05EAEE8E">
      <w:pPr>
        <w:snapToGrid w:val="0"/>
        <w:spacing w:before="50" w:after="120" w:afterLines="50"/>
        <w:jc w:val="left"/>
        <w:rPr>
          <w:rFonts w:hint="eastAsia"/>
          <w:color w:val="auto"/>
          <w:szCs w:val="21"/>
          <w:highlight w:val="none"/>
        </w:rPr>
      </w:pPr>
      <w:r>
        <w:rPr>
          <w:color w:val="auto"/>
          <w:szCs w:val="21"/>
          <w:highlight w:val="none"/>
        </w:rPr>
        <w:t>5．企业管理体系认证或资质证明材料。</w:t>
      </w:r>
    </w:p>
    <w:p w14:paraId="2CB11D9D">
      <w:pPr>
        <w:snapToGrid w:val="0"/>
        <w:spacing w:before="50" w:after="120" w:afterLines="50"/>
        <w:jc w:val="left"/>
        <w:rPr>
          <w:rFonts w:hint="eastAsia"/>
          <w:color w:val="auto"/>
          <w:szCs w:val="21"/>
          <w:highlight w:val="none"/>
        </w:rPr>
      </w:pPr>
    </w:p>
    <w:p w14:paraId="7F20770D">
      <w:pPr>
        <w:snapToGrid w:val="0"/>
        <w:spacing w:before="50" w:after="120" w:afterLines="50"/>
        <w:jc w:val="left"/>
        <w:rPr>
          <w:rFonts w:hint="eastAsia"/>
          <w:color w:val="auto"/>
          <w:szCs w:val="21"/>
          <w:highlight w:val="none"/>
        </w:rPr>
      </w:pPr>
    </w:p>
    <w:p w14:paraId="0D3EA27D">
      <w:pPr>
        <w:snapToGrid w:val="0"/>
        <w:spacing w:before="50" w:after="120" w:afterLines="50"/>
        <w:jc w:val="left"/>
        <w:rPr>
          <w:color w:val="auto"/>
          <w:szCs w:val="21"/>
          <w:highlight w:val="none"/>
        </w:rPr>
      </w:pPr>
      <w:r>
        <w:rPr>
          <w:color w:val="auto"/>
          <w:szCs w:val="21"/>
          <w:highlight w:val="none"/>
        </w:rPr>
        <w:t>6．供应商需要说明的其他文件和说明。</w:t>
      </w:r>
    </w:p>
    <w:p w14:paraId="1467770E">
      <w:pPr>
        <w:snapToGrid w:val="0"/>
        <w:spacing w:before="50" w:after="120" w:afterLines="50"/>
        <w:jc w:val="left"/>
        <w:rPr>
          <w:color w:val="auto"/>
          <w:szCs w:val="21"/>
          <w:highlight w:val="none"/>
        </w:rPr>
      </w:pPr>
    </w:p>
    <w:p w14:paraId="0195EB00">
      <w:pPr>
        <w:snapToGrid w:val="0"/>
        <w:spacing w:before="50" w:after="120" w:afterLines="50"/>
        <w:jc w:val="left"/>
        <w:rPr>
          <w:rFonts w:hint="eastAsia"/>
          <w:color w:val="auto"/>
          <w:szCs w:val="21"/>
          <w:highlight w:val="none"/>
        </w:rPr>
      </w:pPr>
      <w:r>
        <w:rPr>
          <w:rFonts w:hint="eastAsia"/>
          <w:color w:val="auto"/>
          <w:szCs w:val="21"/>
          <w:highlight w:val="none"/>
        </w:rPr>
        <w:t>7．评审报告</w:t>
      </w:r>
    </w:p>
    <w:p w14:paraId="61527A5B">
      <w:pPr>
        <w:snapToGrid w:val="0"/>
        <w:spacing w:before="50" w:after="120" w:afterLines="50"/>
        <w:jc w:val="left"/>
        <w:rPr>
          <w:rFonts w:hint="eastAsia"/>
          <w:color w:val="auto"/>
          <w:szCs w:val="21"/>
          <w:highlight w:val="none"/>
        </w:rPr>
      </w:pPr>
      <w:r>
        <w:rPr>
          <w:rFonts w:hint="eastAsia"/>
          <w:color w:val="auto"/>
          <w:szCs w:val="21"/>
          <w:highlight w:val="none"/>
        </w:rPr>
        <w:t>20</w:t>
      </w:r>
      <w:r>
        <w:rPr>
          <w:rFonts w:hint="eastAsia"/>
          <w:color w:val="auto"/>
          <w:szCs w:val="21"/>
          <w:highlight w:val="none"/>
          <w:lang w:val="en-US" w:eastAsia="zh-CN"/>
        </w:rPr>
        <w:t>22</w:t>
      </w:r>
      <w:r>
        <w:rPr>
          <w:rFonts w:hint="eastAsia"/>
          <w:color w:val="auto"/>
          <w:szCs w:val="21"/>
          <w:highlight w:val="none"/>
        </w:rPr>
        <w:t>年至今，供应商承接的财政或审计部门与本标项服务内容一致的评审业务的一份工程类项目评审报告（只提供正文部分，不需要提供附件）为评分依据，如附多份评审报告，仅以第一份为评分依据。</w:t>
      </w:r>
    </w:p>
    <w:p w14:paraId="51D5779C">
      <w:pPr>
        <w:snapToGrid w:val="0"/>
        <w:spacing w:before="120" w:beforeLines="50" w:after="50" w:line="440" w:lineRule="exact"/>
        <w:jc w:val="left"/>
        <w:outlineLvl w:val="1"/>
        <w:rPr>
          <w:bCs/>
          <w:color w:val="auto"/>
          <w:sz w:val="24"/>
          <w:highlight w:val="none"/>
        </w:rPr>
      </w:pPr>
      <w:r>
        <w:rPr>
          <w:color w:val="auto"/>
          <w:szCs w:val="21"/>
          <w:highlight w:val="none"/>
        </w:rPr>
        <w:br w:type="page"/>
      </w:r>
      <w:r>
        <w:rPr>
          <w:bCs/>
          <w:color w:val="auto"/>
          <w:sz w:val="24"/>
          <w:highlight w:val="none"/>
        </w:rPr>
        <w:t>3．响应文件封面参考格式</w:t>
      </w:r>
      <w:r>
        <w:rPr>
          <w:rFonts w:hint="eastAsia"/>
          <w:bCs/>
          <w:color w:val="auto"/>
          <w:sz w:val="24"/>
          <w:highlight w:val="none"/>
        </w:rPr>
        <w:t>（报价文件）</w:t>
      </w:r>
      <w:r>
        <w:rPr>
          <w:bCs/>
          <w:color w:val="auto"/>
          <w:sz w:val="24"/>
          <w:highlight w:val="none"/>
        </w:rPr>
        <w:t xml:space="preserve">： </w:t>
      </w:r>
    </w:p>
    <w:p w14:paraId="2F01FC13">
      <w:pPr>
        <w:snapToGrid w:val="0"/>
        <w:spacing w:before="50" w:after="120" w:afterLines="50" w:line="400" w:lineRule="exact"/>
        <w:jc w:val="left"/>
        <w:rPr>
          <w:bCs/>
          <w:color w:val="auto"/>
          <w:sz w:val="24"/>
          <w:highlight w:val="none"/>
        </w:rPr>
      </w:pPr>
    </w:p>
    <w:p w14:paraId="17A922BA">
      <w:pPr>
        <w:snapToGrid w:val="0"/>
        <w:spacing w:before="120" w:beforeLines="50" w:after="50" w:line="360" w:lineRule="exact"/>
        <w:rPr>
          <w:color w:val="auto"/>
          <w:sz w:val="24"/>
          <w:highlight w:val="none"/>
        </w:rPr>
      </w:pPr>
    </w:p>
    <w:p w14:paraId="1D6C1898">
      <w:pPr>
        <w:snapToGrid w:val="0"/>
        <w:spacing w:before="120" w:beforeLines="50" w:after="50" w:line="360" w:lineRule="exact"/>
        <w:jc w:val="center"/>
        <w:rPr>
          <w:bCs/>
          <w:color w:val="auto"/>
          <w:sz w:val="24"/>
          <w:highlight w:val="none"/>
        </w:rPr>
      </w:pPr>
    </w:p>
    <w:p w14:paraId="01F56FF8">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208C00C0">
      <w:pPr>
        <w:snapToGrid w:val="0"/>
        <w:spacing w:before="120" w:beforeLines="50" w:after="50" w:line="360" w:lineRule="exact"/>
        <w:jc w:val="center"/>
        <w:rPr>
          <w:b/>
          <w:bCs/>
          <w:color w:val="auto"/>
          <w:sz w:val="44"/>
          <w:szCs w:val="44"/>
          <w:highlight w:val="none"/>
        </w:rPr>
      </w:pPr>
    </w:p>
    <w:p w14:paraId="1F51A9DC">
      <w:pPr>
        <w:snapToGrid w:val="0"/>
        <w:spacing w:before="120" w:beforeLines="50" w:after="50" w:line="360" w:lineRule="exact"/>
        <w:jc w:val="center"/>
        <w:rPr>
          <w:b/>
          <w:bCs/>
          <w:color w:val="auto"/>
          <w:sz w:val="44"/>
          <w:szCs w:val="44"/>
          <w:highlight w:val="none"/>
        </w:rPr>
      </w:pPr>
    </w:p>
    <w:p w14:paraId="3DEA2D33">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1F6FD051">
      <w:pPr>
        <w:snapToGrid w:val="0"/>
        <w:spacing w:before="120" w:beforeLines="50" w:after="50" w:line="360" w:lineRule="exact"/>
        <w:rPr>
          <w:bCs/>
          <w:color w:val="auto"/>
          <w:sz w:val="24"/>
          <w:highlight w:val="none"/>
        </w:rPr>
      </w:pPr>
    </w:p>
    <w:p w14:paraId="48B48883">
      <w:pPr>
        <w:snapToGrid w:val="0"/>
        <w:spacing w:before="120" w:beforeLines="50" w:after="50" w:line="360" w:lineRule="exact"/>
        <w:rPr>
          <w:bCs/>
          <w:color w:val="auto"/>
          <w:sz w:val="24"/>
          <w:highlight w:val="none"/>
        </w:rPr>
      </w:pPr>
    </w:p>
    <w:p w14:paraId="638FE833">
      <w:pPr>
        <w:snapToGrid w:val="0"/>
        <w:spacing w:before="120" w:beforeLines="50" w:after="50" w:line="360" w:lineRule="exact"/>
        <w:rPr>
          <w:bCs/>
          <w:color w:val="auto"/>
          <w:sz w:val="24"/>
          <w:highlight w:val="none"/>
        </w:rPr>
      </w:pPr>
    </w:p>
    <w:p w14:paraId="2D4A308F">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B6F4F16">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F24837C">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00D0F1FB">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6F7C31AE">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FB2E0A4">
      <w:pPr>
        <w:snapToGrid w:val="0"/>
        <w:spacing w:before="120" w:beforeLines="50" w:after="50" w:line="360" w:lineRule="exact"/>
        <w:ind w:firstLine="720" w:firstLineChars="300"/>
        <w:rPr>
          <w:bCs/>
          <w:color w:val="auto"/>
          <w:sz w:val="24"/>
          <w:highlight w:val="none"/>
        </w:rPr>
      </w:pPr>
    </w:p>
    <w:p w14:paraId="60524904">
      <w:pPr>
        <w:pStyle w:val="7"/>
        <w:snapToGrid w:val="0"/>
        <w:spacing w:before="50" w:after="50" w:line="360" w:lineRule="exact"/>
        <w:ind w:firstLine="960" w:firstLineChars="400"/>
        <w:rPr>
          <w:bCs/>
          <w:color w:val="auto"/>
          <w:sz w:val="24"/>
          <w:szCs w:val="24"/>
          <w:highlight w:val="none"/>
        </w:rPr>
      </w:pPr>
    </w:p>
    <w:p w14:paraId="1A898BA6">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2E624E85">
      <w:pPr>
        <w:rPr>
          <w:rFonts w:hint="eastAsia"/>
          <w:color w:val="auto"/>
          <w:highlight w:val="none"/>
        </w:rPr>
      </w:pPr>
    </w:p>
    <w:p w14:paraId="240AAF49">
      <w:pPr>
        <w:jc w:val="center"/>
        <w:rPr>
          <w:b/>
          <w:bCs/>
          <w:color w:val="auto"/>
          <w:szCs w:val="21"/>
          <w:highlight w:val="none"/>
        </w:rPr>
      </w:pPr>
      <w:r>
        <w:rPr>
          <w:b/>
          <w:color w:val="auto"/>
          <w:szCs w:val="21"/>
          <w:highlight w:val="none"/>
        </w:rPr>
        <w:br w:type="page"/>
      </w:r>
      <w:r>
        <w:rPr>
          <w:b/>
          <w:bCs/>
          <w:color w:val="auto"/>
          <w:szCs w:val="21"/>
          <w:highlight w:val="none"/>
        </w:rPr>
        <w:t xml:space="preserve"> </w:t>
      </w:r>
    </w:p>
    <w:p w14:paraId="160F269D">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0746E3FE">
      <w:pPr>
        <w:jc w:val="center"/>
        <w:rPr>
          <w:b/>
          <w:bCs/>
          <w:color w:val="auto"/>
          <w:szCs w:val="21"/>
          <w:highlight w:val="none"/>
        </w:rPr>
      </w:pPr>
    </w:p>
    <w:p w14:paraId="0DF5EB3D">
      <w:pPr>
        <w:rPr>
          <w:rFonts w:hint="eastAsia"/>
          <w:color w:val="auto"/>
          <w:highlight w:val="none"/>
        </w:rPr>
      </w:pPr>
      <w:r>
        <w:rPr>
          <w:color w:val="auto"/>
          <w:highlight w:val="none"/>
        </w:rPr>
        <w:t>1．响应函格式：</w:t>
      </w:r>
    </w:p>
    <w:p w14:paraId="21AC3BA7">
      <w:pPr>
        <w:rPr>
          <w:color w:val="auto"/>
          <w:highlight w:val="none"/>
        </w:rPr>
      </w:pPr>
    </w:p>
    <w:p w14:paraId="0C0501E5">
      <w:pPr>
        <w:jc w:val="center"/>
        <w:rPr>
          <w:b/>
          <w:color w:val="auto"/>
          <w:szCs w:val="21"/>
          <w:highlight w:val="none"/>
        </w:rPr>
      </w:pPr>
      <w:r>
        <w:rPr>
          <w:b/>
          <w:color w:val="auto"/>
          <w:szCs w:val="21"/>
          <w:highlight w:val="none"/>
        </w:rPr>
        <w:t>投 标 函</w:t>
      </w:r>
    </w:p>
    <w:p w14:paraId="6AF7CE2A">
      <w:pPr>
        <w:rPr>
          <w:b/>
          <w:color w:val="auto"/>
          <w:szCs w:val="21"/>
          <w:highlight w:val="none"/>
        </w:rPr>
      </w:pPr>
    </w:p>
    <w:p w14:paraId="6D91C387">
      <w:pPr>
        <w:spacing w:line="360" w:lineRule="auto"/>
        <w:rPr>
          <w:color w:val="auto"/>
          <w:szCs w:val="21"/>
          <w:highlight w:val="none"/>
        </w:rPr>
      </w:pPr>
      <w:r>
        <w:rPr>
          <w:color w:val="auto"/>
          <w:szCs w:val="21"/>
          <w:highlight w:val="none"/>
        </w:rPr>
        <w:t>致：</w:t>
      </w:r>
      <w:bookmarkStart w:id="109" w:name="_Hlk19051378"/>
      <w:r>
        <w:rPr>
          <w:color w:val="auto"/>
          <w:szCs w:val="21"/>
          <w:highlight w:val="none"/>
        </w:rPr>
        <w:t>_</w:t>
      </w:r>
      <w:r>
        <w:rPr>
          <w:i/>
          <w:iCs/>
          <w:color w:val="auto"/>
          <w:szCs w:val="21"/>
          <w:highlight w:val="none"/>
          <w:u w:val="single"/>
        </w:rPr>
        <w:t>（征集人名称）</w:t>
      </w:r>
      <w:r>
        <w:rPr>
          <w:i/>
          <w:iCs/>
          <w:color w:val="auto"/>
          <w:szCs w:val="21"/>
          <w:highlight w:val="none"/>
        </w:rPr>
        <w:t>_</w:t>
      </w:r>
      <w:bookmarkEnd w:id="109"/>
      <w:r>
        <w:rPr>
          <w:color w:val="auto"/>
          <w:szCs w:val="21"/>
          <w:highlight w:val="none"/>
        </w:rPr>
        <w:t>：</w:t>
      </w:r>
    </w:p>
    <w:p w14:paraId="0C82CB64">
      <w:pPr>
        <w:spacing w:line="360" w:lineRule="auto"/>
        <w:ind w:firstLine="420" w:firstLineChars="200"/>
        <w:rPr>
          <w:color w:val="auto"/>
          <w:szCs w:val="21"/>
          <w:highlight w:val="none"/>
        </w:rPr>
      </w:pPr>
      <w:r>
        <w:rPr>
          <w:color w:val="auto"/>
          <w:szCs w:val="21"/>
          <w:highlight w:val="none"/>
        </w:rPr>
        <w:t>我方已仔细研究了</w:t>
      </w:r>
      <w:bookmarkStart w:id="110" w:name="_Hlk19051388"/>
      <w:r>
        <w:rPr>
          <w:rFonts w:hint="eastAsia"/>
          <w:i/>
          <w:iCs/>
          <w:color w:val="auto"/>
          <w:szCs w:val="21"/>
          <w:highlight w:val="none"/>
          <w:u w:val="single"/>
        </w:rPr>
        <w:t>（项目名称）</w:t>
      </w:r>
      <w:bookmarkEnd w:id="110"/>
      <w:r>
        <w:rPr>
          <w:color w:val="auto"/>
          <w:szCs w:val="21"/>
          <w:highlight w:val="none"/>
        </w:rPr>
        <w:t>的征集文件的全部内容。签字代表</w:t>
      </w:r>
      <w:bookmarkStart w:id="111" w:name="_Hlk19051393"/>
      <w:r>
        <w:rPr>
          <w:rFonts w:hint="eastAsia"/>
          <w:i/>
          <w:iCs/>
          <w:color w:val="auto"/>
          <w:szCs w:val="21"/>
          <w:highlight w:val="none"/>
          <w:u w:val="single"/>
        </w:rPr>
        <w:t>（授权代表姓名）</w:t>
      </w:r>
      <w:bookmarkEnd w:id="111"/>
      <w:r>
        <w:rPr>
          <w:color w:val="auto"/>
          <w:szCs w:val="21"/>
          <w:highlight w:val="none"/>
        </w:rPr>
        <w:t>经正式授权并代表供应商_</w:t>
      </w:r>
      <w:bookmarkStart w:id="112" w:name="_Hlk19051402"/>
      <w:r>
        <w:rPr>
          <w:i/>
          <w:iCs/>
          <w:color w:val="auto"/>
          <w:szCs w:val="21"/>
          <w:highlight w:val="none"/>
          <w:u w:val="single"/>
        </w:rPr>
        <w:t>（供应商名称）</w:t>
      </w:r>
      <w:bookmarkEnd w:id="112"/>
      <w:r>
        <w:rPr>
          <w:color w:val="auto"/>
          <w:szCs w:val="21"/>
          <w:highlight w:val="none"/>
        </w:rPr>
        <w:t>提交响应文件</w:t>
      </w:r>
      <w:r>
        <w:rPr>
          <w:rFonts w:hint="eastAsia"/>
          <w:color w:val="auto"/>
          <w:szCs w:val="21"/>
          <w:highlight w:val="none"/>
        </w:rPr>
        <w:t>。</w:t>
      </w:r>
    </w:p>
    <w:p w14:paraId="08D489F9">
      <w:pPr>
        <w:spacing w:line="360" w:lineRule="auto"/>
        <w:rPr>
          <w:color w:val="auto"/>
          <w:szCs w:val="21"/>
          <w:highlight w:val="none"/>
        </w:rPr>
      </w:pPr>
      <w:r>
        <w:rPr>
          <w:color w:val="auto"/>
          <w:szCs w:val="21"/>
          <w:highlight w:val="none"/>
        </w:rPr>
        <w:t>据此函，签字代表宣布同意如下：</w:t>
      </w:r>
    </w:p>
    <w:p w14:paraId="4ECF6322">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已详细审查全部“征集文件”，包括修改文件（如有的话）以及全部参考资料和有关附件，已经了解我方对于征集文件、采购过程、采购结果有依法进行询问、质疑、投诉的权利及相关渠道和要求。</w:t>
      </w:r>
    </w:p>
    <w:p w14:paraId="4AFFDE0C">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在响应之前已经与贵方进行了充分的沟通，完全理解并接受征集文件的各项规定和要求，对征集文件的合理性、合法性不再有异议。</w:t>
      </w:r>
    </w:p>
    <w:p w14:paraId="2D7752E1">
      <w:pPr>
        <w:spacing w:line="360" w:lineRule="auto"/>
        <w:rPr>
          <w:color w:val="auto"/>
          <w:szCs w:val="21"/>
          <w:highlight w:val="none"/>
        </w:rPr>
      </w:pPr>
      <w:r>
        <w:rPr>
          <w:color w:val="auto"/>
          <w:szCs w:val="21"/>
          <w:highlight w:val="none"/>
        </w:rPr>
        <w:t>（3）本响应有效期自响应截止之日起</w:t>
      </w:r>
      <w:r>
        <w:rPr>
          <w:color w:val="auto"/>
          <w:szCs w:val="21"/>
          <w:highlight w:val="none"/>
          <w:u w:val="single"/>
        </w:rPr>
        <w:t xml:space="preserve">     </w:t>
      </w:r>
      <w:r>
        <w:rPr>
          <w:color w:val="auto"/>
          <w:szCs w:val="21"/>
          <w:highlight w:val="none"/>
        </w:rPr>
        <w:t>天。</w:t>
      </w:r>
    </w:p>
    <w:p w14:paraId="4F0CAB9A">
      <w:pPr>
        <w:spacing w:line="360" w:lineRule="auto"/>
        <w:rPr>
          <w:color w:val="auto"/>
          <w:szCs w:val="21"/>
          <w:highlight w:val="none"/>
        </w:rPr>
      </w:pPr>
      <w:r>
        <w:rPr>
          <w:color w:val="auto"/>
          <w:szCs w:val="21"/>
          <w:highlight w:val="none"/>
        </w:rPr>
        <w:t>（4）如入围，本响应文件至本项目合同履行完毕止均保持有效，</w:t>
      </w:r>
      <w:r>
        <w:rPr>
          <w:rFonts w:hint="eastAsia"/>
          <w:color w:val="auto"/>
          <w:szCs w:val="21"/>
          <w:highlight w:val="none"/>
        </w:rPr>
        <w:t>我方</w:t>
      </w:r>
      <w:r>
        <w:rPr>
          <w:color w:val="auto"/>
          <w:szCs w:val="21"/>
          <w:highlight w:val="none"/>
        </w:rPr>
        <w:t>将按“征集文件”及政府采购法律、法规的规定履行合同责任和义务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4297F9DF">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同意按照贵方要求提供与响应有关的一切数据或资料。</w:t>
      </w:r>
    </w:p>
    <w:p w14:paraId="4B377A6A">
      <w:pPr>
        <w:spacing w:line="360" w:lineRule="auto"/>
        <w:rPr>
          <w:color w:val="auto"/>
          <w:szCs w:val="21"/>
          <w:highlight w:val="none"/>
        </w:rPr>
      </w:pPr>
      <w:r>
        <w:rPr>
          <w:color w:val="auto"/>
          <w:szCs w:val="21"/>
          <w:highlight w:val="none"/>
        </w:rPr>
        <w:t>（6）与本项目有关的一切正式往来信函请寄：</w:t>
      </w:r>
    </w:p>
    <w:p w14:paraId="3444C0EB">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682643FB">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61F82FA1">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14EF77DE">
      <w:pPr>
        <w:spacing w:line="360" w:lineRule="auto"/>
        <w:rPr>
          <w:color w:val="auto"/>
          <w:szCs w:val="21"/>
          <w:highlight w:val="none"/>
        </w:rPr>
      </w:pPr>
    </w:p>
    <w:p w14:paraId="3F1DCD77">
      <w:pPr>
        <w:spacing w:line="360" w:lineRule="auto"/>
        <w:rPr>
          <w:rFonts w:hint="eastAsia"/>
          <w:color w:val="auto"/>
          <w:szCs w:val="21"/>
          <w:highlight w:val="none"/>
        </w:rPr>
      </w:pPr>
    </w:p>
    <w:p w14:paraId="70AC056D">
      <w:pPr>
        <w:spacing w:line="360" w:lineRule="auto"/>
        <w:rPr>
          <w:rFonts w:hint="eastAsia"/>
          <w:color w:val="auto"/>
          <w:szCs w:val="21"/>
          <w:highlight w:val="none"/>
        </w:rPr>
      </w:pPr>
    </w:p>
    <w:p w14:paraId="41CAB3A4">
      <w:pPr>
        <w:spacing w:line="360" w:lineRule="auto"/>
        <w:rPr>
          <w:rFonts w:hint="eastAsia"/>
          <w:color w:val="auto"/>
          <w:szCs w:val="21"/>
          <w:highlight w:val="none"/>
        </w:rPr>
      </w:pPr>
      <w:r>
        <w:rPr>
          <w:rFonts w:hint="eastAsia"/>
          <w:color w:val="auto"/>
          <w:szCs w:val="21"/>
          <w:highlight w:val="none"/>
        </w:rPr>
        <w:t>供应商名称(电子签章)：</w:t>
      </w:r>
    </w:p>
    <w:p w14:paraId="31040E5F">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0D34A52">
      <w:pPr>
        <w:rPr>
          <w:color w:val="auto"/>
          <w:highlight w:val="none"/>
        </w:rPr>
      </w:pPr>
      <w:r>
        <w:rPr>
          <w:b/>
          <w:color w:val="auto"/>
          <w:szCs w:val="21"/>
          <w:highlight w:val="none"/>
        </w:rPr>
        <w:br w:type="page"/>
      </w:r>
      <w:r>
        <w:rPr>
          <w:color w:val="auto"/>
          <w:highlight w:val="none"/>
        </w:rPr>
        <w:t>2．响应报价明细表格式：</w:t>
      </w:r>
    </w:p>
    <w:bookmarkEnd w:id="0"/>
    <w:bookmarkEnd w:id="1"/>
    <w:p w14:paraId="5C894E74">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响应报价明细表</w:t>
      </w:r>
    </w:p>
    <w:p w14:paraId="432C2918">
      <w:pPr>
        <w:rPr>
          <w:rFonts w:ascii="Times New Roman" w:hAnsi="Times New Roman" w:eastAsia="宋体" w:cs="Times New Roman"/>
          <w:color w:val="auto"/>
          <w:spacing w:val="20"/>
          <w:szCs w:val="21"/>
          <w:highlight w:val="none"/>
          <w:u w:val="single"/>
        </w:rPr>
      </w:pPr>
      <w:r>
        <w:rPr>
          <w:rFonts w:hint="eastAsia" w:ascii="Times New Roman" w:hAnsi="Times New Roman" w:eastAsia="宋体" w:cs="Times New Roman"/>
          <w:color w:val="auto"/>
          <w:szCs w:val="21"/>
          <w:highlight w:val="none"/>
        </w:rPr>
        <w:t>标项</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5"/>
        <w:gridCol w:w="1437"/>
        <w:gridCol w:w="1599"/>
        <w:gridCol w:w="1413"/>
        <w:gridCol w:w="1381"/>
      </w:tblGrid>
      <w:tr w14:paraId="5CC9F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exac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6E4692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服务内容</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77450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最高限制单价(万元)</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3FD5E2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框架协议技术负责人</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A7ADCC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服务标准</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5543BE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20"/>
                <w:szCs w:val="21"/>
                <w:highlight w:val="none"/>
              </w:rPr>
            </w:pPr>
            <w:r>
              <w:rPr>
                <w:rFonts w:hint="eastAsia" w:ascii="Times New Roman" w:hAnsi="Times New Roman" w:eastAsia="宋体" w:cs="Times New Roman"/>
                <w:color w:val="auto"/>
                <w:spacing w:val="20"/>
                <w:szCs w:val="21"/>
                <w:highlight w:val="none"/>
              </w:rPr>
              <w:t>备注</w:t>
            </w:r>
          </w:p>
        </w:tc>
      </w:tr>
      <w:tr w14:paraId="66F4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9" w:hRule="exac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57DC983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0"/>
                <w:szCs w:val="21"/>
                <w:highlight w:val="none"/>
                <w:lang w:eastAsia="zh-CN"/>
              </w:rPr>
            </w:pPr>
            <w:r>
              <w:rPr>
                <w:rFonts w:hint="eastAsia" w:ascii="Times New Roman" w:hAnsi="Times New Roman" w:eastAsia="宋体" w:cs="Times New Roman"/>
                <w:color w:val="auto"/>
                <w:spacing w:val="20"/>
                <w:szCs w:val="21"/>
                <w:highlight w:val="none"/>
                <w:lang w:eastAsia="zh-CN"/>
              </w:rPr>
              <w:t>富川瑶族自治县2025～2027年度政府投资项目评审服务</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7F00C8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20"/>
                <w:szCs w:val="21"/>
                <w:highlight w:val="none"/>
              </w:rPr>
            </w:pPr>
            <w:r>
              <w:rPr>
                <w:rFonts w:hint="eastAsia" w:ascii="Times New Roman" w:hAnsi="Times New Roman" w:eastAsia="宋体" w:cs="Times New Roman"/>
                <w:color w:val="auto"/>
                <w:spacing w:val="20"/>
                <w:szCs w:val="21"/>
                <w:highlight w:val="none"/>
              </w:rPr>
              <w:t>与本项目最高限制单价一致</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3091A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20"/>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235ED4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20"/>
                <w:szCs w:val="21"/>
                <w:highlight w:val="none"/>
              </w:rPr>
            </w:pPr>
            <w:r>
              <w:rPr>
                <w:rFonts w:hint="eastAsia" w:ascii="Times New Roman" w:hAnsi="Times New Roman" w:eastAsia="宋体" w:cs="Times New Roman"/>
                <w:color w:val="auto"/>
                <w:spacing w:val="20"/>
                <w:szCs w:val="21"/>
                <w:highlight w:val="none"/>
              </w:rPr>
              <w:t>严格遵守国家的法律、法规、规章制度和行业准则，满足采购人需求。</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3A758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20"/>
                <w:szCs w:val="21"/>
                <w:highlight w:val="none"/>
              </w:rPr>
            </w:pPr>
            <w:r>
              <w:rPr>
                <w:rFonts w:hint="eastAsia" w:ascii="Times New Roman" w:hAnsi="Times New Roman" w:eastAsia="宋体" w:cs="Times New Roman"/>
                <w:color w:val="auto"/>
                <w:spacing w:val="20"/>
                <w:szCs w:val="21"/>
                <w:highlight w:val="none"/>
              </w:rPr>
              <w:t>本公司承诺同意按本项目征集文件规定的服务费计取和支付方式收费。</w:t>
            </w:r>
          </w:p>
        </w:tc>
      </w:tr>
    </w:tbl>
    <w:p w14:paraId="27DFF1F3">
      <w:pPr>
        <w:rPr>
          <w:rFonts w:ascii="Times New Roman" w:hAnsi="Times New Roman" w:eastAsia="宋体" w:cs="Times New Roman"/>
          <w:color w:val="auto"/>
          <w:spacing w:val="20"/>
          <w:szCs w:val="21"/>
          <w:highlight w:val="none"/>
          <w:u w:val="single"/>
        </w:rPr>
      </w:pPr>
    </w:p>
    <w:p w14:paraId="5192F709">
      <w:pPr>
        <w:rPr>
          <w:rFonts w:ascii="Times New Roman" w:hAnsi="Times New Roman" w:eastAsia="宋体" w:cs="Times New Roman"/>
          <w:color w:val="auto"/>
          <w:spacing w:val="20"/>
          <w:szCs w:val="21"/>
          <w:highlight w:val="none"/>
          <w:u w:val="single"/>
        </w:rPr>
      </w:pPr>
    </w:p>
    <w:p w14:paraId="493601FC">
      <w:pPr>
        <w:spacing w:line="360" w:lineRule="auto"/>
        <w:rPr>
          <w:rFonts w:ascii="Times New Roman" w:hAnsi="Times New Roman" w:eastAsia="宋体" w:cs="Times New Roman"/>
          <w:color w:val="auto"/>
          <w:spacing w:val="20"/>
          <w:szCs w:val="21"/>
          <w:highlight w:val="none"/>
        </w:rPr>
      </w:pPr>
    </w:p>
    <w:p w14:paraId="7DC3D241">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注：本表如与广西政府采购云平台不一致的，以广西政府采购云平台为准。</w:t>
      </w:r>
    </w:p>
    <w:p w14:paraId="47071720">
      <w:pPr>
        <w:snapToGrid w:val="0"/>
        <w:spacing w:before="50" w:after="120" w:afterLines="50"/>
        <w:jc w:val="left"/>
        <w:rPr>
          <w:rFonts w:ascii="Times New Roman" w:hAnsi="Times New Roman" w:eastAsia="宋体" w:cs="Times New Roman"/>
          <w:color w:val="auto"/>
          <w:szCs w:val="21"/>
          <w:highlight w:val="none"/>
        </w:rPr>
      </w:pPr>
    </w:p>
    <w:p w14:paraId="26EA0E10">
      <w:pPr>
        <w:snapToGrid w:val="0"/>
        <w:spacing w:before="50" w:after="120" w:afterLines="50"/>
        <w:jc w:val="left"/>
        <w:rPr>
          <w:rFonts w:ascii="Times New Roman" w:hAnsi="Times New Roman" w:eastAsia="宋体" w:cs="Times New Roman"/>
          <w:color w:val="auto"/>
          <w:szCs w:val="21"/>
          <w:highlight w:val="none"/>
        </w:rPr>
      </w:pPr>
    </w:p>
    <w:p w14:paraId="5C23EE3B">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供应商名称（电子签章）：                          </w:t>
      </w:r>
    </w:p>
    <w:p w14:paraId="5BEBE422">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日  期：         年   月   日 </w:t>
      </w:r>
    </w:p>
    <w:p w14:paraId="2EEE262C">
      <w:pPr>
        <w:snapToGrid w:val="0"/>
        <w:spacing w:before="50" w:after="120" w:afterLines="50"/>
        <w:jc w:val="left"/>
        <w:rPr>
          <w:rFonts w:hint="eastAsia" w:ascii="Times New Roman" w:hAnsi="Times New Roman" w:eastAsia="宋体" w:cs="Times New Roman"/>
          <w:color w:val="auto"/>
          <w:szCs w:val="21"/>
          <w:highlight w:val="none"/>
        </w:rPr>
      </w:pPr>
    </w:p>
    <w:p w14:paraId="410FFDFC">
      <w:pPr>
        <w:snapToGrid w:val="0"/>
        <w:spacing w:before="50" w:after="120" w:afterLines="50"/>
        <w:jc w:val="left"/>
        <w:rPr>
          <w:rFonts w:hint="eastAsia" w:ascii="Times New Roman" w:hAnsi="Times New Roman" w:eastAsia="宋体" w:cs="Times New Roman"/>
          <w:color w:val="auto"/>
          <w:szCs w:val="21"/>
          <w:highlight w:val="none"/>
        </w:rPr>
      </w:pPr>
    </w:p>
    <w:p w14:paraId="6F53CDED">
      <w:pPr>
        <w:snapToGrid w:val="0"/>
        <w:spacing w:before="50" w:after="120" w:afterLines="5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3．截标一览表</w:t>
      </w:r>
    </w:p>
    <w:p w14:paraId="2093F55D">
      <w:pPr>
        <w:widowControl/>
        <w:jc w:val="left"/>
        <w:rPr>
          <w:rFonts w:ascii="Times New Roman" w:hAnsi="Times New Roman" w:eastAsia="宋体" w:cs="Times New Roman"/>
          <w:color w:val="auto"/>
          <w:szCs w:val="21"/>
          <w:highlight w:val="none"/>
        </w:rPr>
      </w:pPr>
    </w:p>
    <w:p w14:paraId="3ED7180D">
      <w:pPr>
        <w:widowControl/>
        <w:jc w:val="left"/>
        <w:rPr>
          <w:rFonts w:ascii="Times New Roman" w:hAnsi="Times New Roman" w:eastAsia="宋体" w:cs="Times New Roman"/>
          <w:color w:val="auto"/>
          <w:szCs w:val="21"/>
          <w:highlight w:val="none"/>
        </w:rPr>
      </w:pPr>
    </w:p>
    <w:p w14:paraId="7010A56A">
      <w:pPr>
        <w:widowControl/>
        <w:jc w:val="left"/>
        <w:rPr>
          <w:rFonts w:ascii="Times New Roman" w:hAnsi="Times New Roman" w:eastAsia="宋体" w:cs="Times New Roman"/>
          <w:color w:val="auto"/>
          <w:szCs w:val="21"/>
          <w:highlight w:val="none"/>
        </w:rPr>
      </w:pPr>
    </w:p>
    <w:p w14:paraId="2BF50762">
      <w:pPr>
        <w:rPr>
          <w:rFonts w:ascii="Times New Roman" w:hAnsi="Times New Roman" w:eastAsia="宋体" w:cs="Times New Roman"/>
          <w:b/>
          <w:color w:val="auto"/>
          <w:szCs w:val="21"/>
          <w:highlight w:val="none"/>
        </w:rPr>
      </w:pPr>
    </w:p>
    <w:p w14:paraId="265DB30F">
      <w:pPr>
        <w:rPr>
          <w:rFonts w:ascii="Times New Roman" w:hAnsi="Times New Roman" w:eastAsia="宋体" w:cs="Times New Roman"/>
          <w:b/>
          <w:color w:val="auto"/>
          <w:szCs w:val="21"/>
          <w:highlight w:val="none"/>
        </w:rPr>
      </w:pPr>
    </w:p>
    <w:p w14:paraId="7CD56E9E">
      <w:pPr>
        <w:jc w:val="center"/>
        <w:rPr>
          <w:rFonts w:hint="eastAsia"/>
          <w:b/>
          <w:color w:val="auto"/>
          <w:szCs w:val="21"/>
          <w:highlight w:val="none"/>
        </w:rPr>
      </w:pPr>
      <w:r>
        <w:rPr>
          <w:rFonts w:hint="eastAsia" w:ascii="Times New Roman" w:hAnsi="Times New Roman" w:eastAsia="宋体" w:cs="Times New Roman"/>
          <w:b/>
          <w:color w:val="auto"/>
          <w:szCs w:val="21"/>
          <w:highlight w:val="none"/>
        </w:rPr>
        <w:t>格式详见广西政府采购云平台，且仅在广西政府采购云平台填写即可。</w:t>
      </w:r>
    </w:p>
    <w:sectPr>
      <w:headerReference r:id="rId17" w:type="default"/>
      <w:pgSz w:w="11906" w:h="16838"/>
      <w:pgMar w:top="1418" w:right="144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7A4B">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2BC5296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C0E8">
    <w:pPr>
      <w:pStyle w:val="31"/>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D745">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10</w:t>
    </w:r>
    <w:r>
      <w:fldChar w:fldCharType="end"/>
    </w:r>
  </w:p>
  <w:p w14:paraId="134FA819">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DE00">
    <w:pPr>
      <w:pStyle w:val="31"/>
      <w:jc w:val="center"/>
      <w:rPr>
        <w:rFonts w:hint="eastAsia"/>
      </w:rPr>
    </w:pPr>
    <w:r>
      <w:fldChar w:fldCharType="begin"/>
    </w:r>
    <w:r>
      <w:instrText xml:space="preserve">PAGE   \* MERGEFORMAT</w:instrText>
    </w:r>
    <w:r>
      <w:fldChar w:fldCharType="separate"/>
    </w:r>
    <w:r>
      <w:rPr>
        <w:lang w:val="zh-CN"/>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B2C1">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29</w:t>
    </w:r>
    <w:r>
      <w:fldChar w:fldCharType="end"/>
    </w:r>
  </w:p>
  <w:p w14:paraId="681D70AB">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3C09">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22CED">
    <w:pPr>
      <w:rPr>
        <w:sz w:val="18"/>
        <w:szCs w:val="18"/>
        <w:u w:val="single"/>
      </w:rPr>
    </w:pPr>
    <w:r>
      <w:rPr>
        <w:rFonts w:hint="eastAsia"/>
        <w:sz w:val="18"/>
        <w:szCs w:val="18"/>
        <w:u w:val="single"/>
      </w:rPr>
      <w:t xml:space="preserve">广西机电设备招标有限公司征集文件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30D8">
    <w:pPr>
      <w:pStyle w:val="32"/>
      <w:jc w:val="left"/>
    </w:pPr>
    <w:r>
      <w:rPr>
        <w:rFonts w:hint="eastAsia"/>
      </w:rPr>
      <w:t xml:space="preserve">广西机电设备招标有限公司征集文件                                                               </w:t>
    </w:r>
  </w:p>
  <w:p w14:paraId="16D340A5">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1ED6">
    <w:pPr>
      <w:pStyle w:val="32"/>
      <w:jc w:val="left"/>
    </w:pPr>
    <w:r>
      <w:rPr>
        <w:rFonts w:hint="eastAsia"/>
      </w:rPr>
      <w:t xml:space="preserve">广西机电设备招标有限公司征集文件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E4CC">
    <w:pPr>
      <w:pStyle w:val="32"/>
      <w:jc w:val="left"/>
    </w:pPr>
    <w:r>
      <w:rPr>
        <w:rFonts w:hint="eastAsia"/>
      </w:rPr>
      <w:t>广西机电设备招标有限公司征集文件                                                              征集公告</w:t>
    </w:r>
  </w:p>
  <w:p w14:paraId="09B9DE31">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3F98">
    <w:pPr>
      <w:pStyle w:val="32"/>
      <w:jc w:val="left"/>
    </w:pPr>
    <w:r>
      <w:rPr>
        <w:rFonts w:hint="eastAsia"/>
      </w:rPr>
      <w:t xml:space="preserve">广西机电设备招标有限公司征集文件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C83A">
    <w:pPr>
      <w:pStyle w:val="32"/>
      <w:jc w:val="left"/>
    </w:pPr>
    <w:r>
      <w:rPr>
        <w:rFonts w:hint="eastAsia"/>
      </w:rPr>
      <w:t xml:space="preserve">广西机电设备招标有限公司征集文件                                                            </w:t>
    </w:r>
  </w:p>
  <w:p w14:paraId="36DE545F">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D91C">
    <w:pPr>
      <w:pStyle w:val="32"/>
      <w:jc w:val="left"/>
    </w:pPr>
    <w:r>
      <w:rPr>
        <w:rFonts w:hint="eastAsia"/>
      </w:rPr>
      <w:t xml:space="preserve">广西机电设备招标有限公司征集文件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CE38">
    <w:pPr>
      <w:pStyle w:val="32"/>
      <w:jc w:val="left"/>
    </w:pPr>
    <w:r>
      <w:rPr>
        <w:rFonts w:hint="eastAsia"/>
      </w:rPr>
      <w:t>广西机电设备招标有限公司征集文件                                                     评审方法及标准</w:t>
    </w:r>
  </w:p>
  <w:p w14:paraId="3438B790">
    <w:pPr>
      <w:pStyle w:val="32"/>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E869">
    <w:pPr>
      <w:pStyle w:val="32"/>
      <w:ind w:left="2790" w:hanging="2790" w:hangingChars="1550"/>
      <w:jc w:val="left"/>
    </w:pPr>
    <w:r>
      <w:rPr>
        <w:rFonts w:hint="eastAsia"/>
      </w:rPr>
      <w:t xml:space="preserve">广西机电设备招标有限公司征集文件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84219"/>
    <w:multiLevelType w:val="multilevel"/>
    <w:tmpl w:val="E1884219"/>
    <w:lvl w:ilvl="0" w:tentative="0">
      <w:start w:val="1"/>
      <w:numFmt w:val="decimal"/>
      <w:lvlText w:val="%1."/>
      <w:lvlJc w:val="left"/>
      <w:pPr>
        <w:ind w:left="1890" w:hanging="420"/>
      </w:pPr>
    </w:lvl>
    <w:lvl w:ilvl="1" w:tentative="0">
      <w:start w:val="1"/>
      <w:numFmt w:val="lowerLetter"/>
      <w:lvlText w:val="%2)"/>
      <w:lvlJc w:val="left"/>
      <w:pPr>
        <w:ind w:left="2310" w:hanging="420"/>
      </w:pPr>
    </w:lvl>
    <w:lvl w:ilvl="2" w:tentative="0">
      <w:start w:val="1"/>
      <w:numFmt w:val="lowerRoman"/>
      <w:lvlText w:val="%3."/>
      <w:lvlJc w:val="right"/>
      <w:pPr>
        <w:ind w:left="2730" w:hanging="420"/>
      </w:pPr>
    </w:lvl>
    <w:lvl w:ilvl="3" w:tentative="0">
      <w:start w:val="1"/>
      <w:numFmt w:val="decimal"/>
      <w:lvlText w:val="%4."/>
      <w:lvlJc w:val="left"/>
      <w:pPr>
        <w:ind w:left="3150" w:hanging="420"/>
      </w:pPr>
    </w:lvl>
    <w:lvl w:ilvl="4" w:tentative="0">
      <w:start w:val="1"/>
      <w:numFmt w:val="lowerLetter"/>
      <w:lvlText w:val="%5)"/>
      <w:lvlJc w:val="left"/>
      <w:pPr>
        <w:ind w:left="3570" w:hanging="420"/>
      </w:pPr>
    </w:lvl>
    <w:lvl w:ilvl="5" w:tentative="0">
      <w:start w:val="1"/>
      <w:numFmt w:val="lowerRoman"/>
      <w:lvlText w:val="%6."/>
      <w:lvlJc w:val="right"/>
      <w:pPr>
        <w:ind w:left="3990" w:hanging="420"/>
      </w:pPr>
    </w:lvl>
    <w:lvl w:ilvl="6" w:tentative="0">
      <w:start w:val="1"/>
      <w:numFmt w:val="decimal"/>
      <w:lvlText w:val="%7."/>
      <w:lvlJc w:val="left"/>
      <w:pPr>
        <w:ind w:left="4410" w:hanging="420"/>
      </w:pPr>
    </w:lvl>
    <w:lvl w:ilvl="7" w:tentative="0">
      <w:start w:val="1"/>
      <w:numFmt w:val="lowerLetter"/>
      <w:lvlText w:val="%8)"/>
      <w:lvlJc w:val="left"/>
      <w:pPr>
        <w:ind w:left="4830" w:hanging="420"/>
      </w:pPr>
    </w:lvl>
    <w:lvl w:ilvl="8" w:tentative="0">
      <w:start w:val="1"/>
      <w:numFmt w:val="lowerRoman"/>
      <w:lvlText w:val="%9."/>
      <w:lvlJc w:val="right"/>
      <w:pPr>
        <w:ind w:left="5250" w:hanging="420"/>
      </w:p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ZmJkM2VmYzAzMzUxNmViMjJkYzg5YmJkYmY0YjEifQ=="/>
  </w:docVars>
  <w:rsids>
    <w:rsidRoot w:val="00172A27"/>
    <w:rsid w:val="000001BC"/>
    <w:rsid w:val="000003EF"/>
    <w:rsid w:val="000006C7"/>
    <w:rsid w:val="0000091B"/>
    <w:rsid w:val="00000D0A"/>
    <w:rsid w:val="00000D19"/>
    <w:rsid w:val="00000E1A"/>
    <w:rsid w:val="000016EB"/>
    <w:rsid w:val="000018F2"/>
    <w:rsid w:val="00001B3E"/>
    <w:rsid w:val="00001CD6"/>
    <w:rsid w:val="00001CFB"/>
    <w:rsid w:val="00002018"/>
    <w:rsid w:val="00002425"/>
    <w:rsid w:val="00002DDA"/>
    <w:rsid w:val="0000302B"/>
    <w:rsid w:val="000035FC"/>
    <w:rsid w:val="00003ACC"/>
    <w:rsid w:val="00003DAE"/>
    <w:rsid w:val="000049EF"/>
    <w:rsid w:val="000054AD"/>
    <w:rsid w:val="00005628"/>
    <w:rsid w:val="000058D7"/>
    <w:rsid w:val="00005E55"/>
    <w:rsid w:val="00005E85"/>
    <w:rsid w:val="00006E2C"/>
    <w:rsid w:val="000074B7"/>
    <w:rsid w:val="000079FF"/>
    <w:rsid w:val="00007B0D"/>
    <w:rsid w:val="00010021"/>
    <w:rsid w:val="000102A9"/>
    <w:rsid w:val="00010802"/>
    <w:rsid w:val="00010A03"/>
    <w:rsid w:val="00010ED5"/>
    <w:rsid w:val="00010F49"/>
    <w:rsid w:val="00011076"/>
    <w:rsid w:val="00011D32"/>
    <w:rsid w:val="00011D72"/>
    <w:rsid w:val="00012078"/>
    <w:rsid w:val="000125A6"/>
    <w:rsid w:val="00012CA1"/>
    <w:rsid w:val="00012E3C"/>
    <w:rsid w:val="00013322"/>
    <w:rsid w:val="00013748"/>
    <w:rsid w:val="00013D41"/>
    <w:rsid w:val="00013E4C"/>
    <w:rsid w:val="000143A3"/>
    <w:rsid w:val="00014DD6"/>
    <w:rsid w:val="00015578"/>
    <w:rsid w:val="0001598C"/>
    <w:rsid w:val="00016C31"/>
    <w:rsid w:val="00020A87"/>
    <w:rsid w:val="00020BB1"/>
    <w:rsid w:val="00020BF0"/>
    <w:rsid w:val="000215B7"/>
    <w:rsid w:val="000217BF"/>
    <w:rsid w:val="00021C98"/>
    <w:rsid w:val="00021CCD"/>
    <w:rsid w:val="00021EE3"/>
    <w:rsid w:val="0002231A"/>
    <w:rsid w:val="0002246E"/>
    <w:rsid w:val="000228AB"/>
    <w:rsid w:val="000233CA"/>
    <w:rsid w:val="00023512"/>
    <w:rsid w:val="00023652"/>
    <w:rsid w:val="00024633"/>
    <w:rsid w:val="0002491A"/>
    <w:rsid w:val="000252C0"/>
    <w:rsid w:val="0002560A"/>
    <w:rsid w:val="00025DA0"/>
    <w:rsid w:val="0002696D"/>
    <w:rsid w:val="00026C85"/>
    <w:rsid w:val="00026F96"/>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C48"/>
    <w:rsid w:val="00031D96"/>
    <w:rsid w:val="00032686"/>
    <w:rsid w:val="000326DA"/>
    <w:rsid w:val="0003274B"/>
    <w:rsid w:val="00032AD8"/>
    <w:rsid w:val="000330D8"/>
    <w:rsid w:val="000331CC"/>
    <w:rsid w:val="0003322E"/>
    <w:rsid w:val="00033422"/>
    <w:rsid w:val="00033927"/>
    <w:rsid w:val="00034C65"/>
    <w:rsid w:val="00035152"/>
    <w:rsid w:val="00035507"/>
    <w:rsid w:val="00035840"/>
    <w:rsid w:val="00035844"/>
    <w:rsid w:val="00036BAA"/>
    <w:rsid w:val="0003779D"/>
    <w:rsid w:val="00037B8B"/>
    <w:rsid w:val="00037C63"/>
    <w:rsid w:val="00037CE4"/>
    <w:rsid w:val="00037D6E"/>
    <w:rsid w:val="00040187"/>
    <w:rsid w:val="00040AC1"/>
    <w:rsid w:val="0004107E"/>
    <w:rsid w:val="00041093"/>
    <w:rsid w:val="00041731"/>
    <w:rsid w:val="000418B1"/>
    <w:rsid w:val="00042BF9"/>
    <w:rsid w:val="00042C7E"/>
    <w:rsid w:val="00043295"/>
    <w:rsid w:val="000433F1"/>
    <w:rsid w:val="00044236"/>
    <w:rsid w:val="0004461F"/>
    <w:rsid w:val="00044DE6"/>
    <w:rsid w:val="00044ED2"/>
    <w:rsid w:val="00045069"/>
    <w:rsid w:val="00045265"/>
    <w:rsid w:val="000457FE"/>
    <w:rsid w:val="00045947"/>
    <w:rsid w:val="000462A8"/>
    <w:rsid w:val="00046360"/>
    <w:rsid w:val="0004653D"/>
    <w:rsid w:val="000465AB"/>
    <w:rsid w:val="00046E59"/>
    <w:rsid w:val="00046FF5"/>
    <w:rsid w:val="000472E6"/>
    <w:rsid w:val="000479CD"/>
    <w:rsid w:val="00047E44"/>
    <w:rsid w:val="000500E6"/>
    <w:rsid w:val="000503E6"/>
    <w:rsid w:val="000504B1"/>
    <w:rsid w:val="000504FE"/>
    <w:rsid w:val="000505B5"/>
    <w:rsid w:val="00050B52"/>
    <w:rsid w:val="00050DAB"/>
    <w:rsid w:val="00051BF6"/>
    <w:rsid w:val="00052803"/>
    <w:rsid w:val="00052893"/>
    <w:rsid w:val="00053AAC"/>
    <w:rsid w:val="00053BFC"/>
    <w:rsid w:val="0005428F"/>
    <w:rsid w:val="00054701"/>
    <w:rsid w:val="00054870"/>
    <w:rsid w:val="00054ABD"/>
    <w:rsid w:val="00054F7D"/>
    <w:rsid w:val="00055230"/>
    <w:rsid w:val="00055557"/>
    <w:rsid w:val="00055A8A"/>
    <w:rsid w:val="00055BBB"/>
    <w:rsid w:val="00055E6D"/>
    <w:rsid w:val="0005625F"/>
    <w:rsid w:val="0005649E"/>
    <w:rsid w:val="0005700C"/>
    <w:rsid w:val="00057386"/>
    <w:rsid w:val="00057393"/>
    <w:rsid w:val="00057A5B"/>
    <w:rsid w:val="00057E45"/>
    <w:rsid w:val="000606B6"/>
    <w:rsid w:val="00060C02"/>
    <w:rsid w:val="00060CE9"/>
    <w:rsid w:val="00061041"/>
    <w:rsid w:val="00061299"/>
    <w:rsid w:val="00061A2C"/>
    <w:rsid w:val="00062637"/>
    <w:rsid w:val="00063143"/>
    <w:rsid w:val="000631AC"/>
    <w:rsid w:val="000631B7"/>
    <w:rsid w:val="00063365"/>
    <w:rsid w:val="0006385C"/>
    <w:rsid w:val="000639D4"/>
    <w:rsid w:val="00063E74"/>
    <w:rsid w:val="00064A48"/>
    <w:rsid w:val="00064C80"/>
    <w:rsid w:val="00065749"/>
    <w:rsid w:val="00065AB7"/>
    <w:rsid w:val="00065AF3"/>
    <w:rsid w:val="00065B00"/>
    <w:rsid w:val="00065D71"/>
    <w:rsid w:val="0006676F"/>
    <w:rsid w:val="000673D8"/>
    <w:rsid w:val="00067DE7"/>
    <w:rsid w:val="000704C0"/>
    <w:rsid w:val="000706AC"/>
    <w:rsid w:val="00070775"/>
    <w:rsid w:val="00070950"/>
    <w:rsid w:val="0007096B"/>
    <w:rsid w:val="000709D3"/>
    <w:rsid w:val="00071213"/>
    <w:rsid w:val="000712F8"/>
    <w:rsid w:val="00071A6A"/>
    <w:rsid w:val="00071A79"/>
    <w:rsid w:val="00071C95"/>
    <w:rsid w:val="00072009"/>
    <w:rsid w:val="00072600"/>
    <w:rsid w:val="000729C9"/>
    <w:rsid w:val="00072A95"/>
    <w:rsid w:val="00072B83"/>
    <w:rsid w:val="00072FB9"/>
    <w:rsid w:val="000736DF"/>
    <w:rsid w:val="00073C2B"/>
    <w:rsid w:val="0007455A"/>
    <w:rsid w:val="00074923"/>
    <w:rsid w:val="00074FCB"/>
    <w:rsid w:val="000750EA"/>
    <w:rsid w:val="00075D8E"/>
    <w:rsid w:val="00075F9E"/>
    <w:rsid w:val="0007724C"/>
    <w:rsid w:val="00077698"/>
    <w:rsid w:val="00077891"/>
    <w:rsid w:val="0007797E"/>
    <w:rsid w:val="00077B01"/>
    <w:rsid w:val="0008006F"/>
    <w:rsid w:val="0008017C"/>
    <w:rsid w:val="00080462"/>
    <w:rsid w:val="000807A9"/>
    <w:rsid w:val="00080AA6"/>
    <w:rsid w:val="00081C1C"/>
    <w:rsid w:val="00081D6D"/>
    <w:rsid w:val="000822F0"/>
    <w:rsid w:val="00082611"/>
    <w:rsid w:val="0008264F"/>
    <w:rsid w:val="00082745"/>
    <w:rsid w:val="00082AC4"/>
    <w:rsid w:val="00082BDC"/>
    <w:rsid w:val="00082DF3"/>
    <w:rsid w:val="00082E71"/>
    <w:rsid w:val="00083194"/>
    <w:rsid w:val="00083365"/>
    <w:rsid w:val="000833DC"/>
    <w:rsid w:val="0008372E"/>
    <w:rsid w:val="00083A64"/>
    <w:rsid w:val="00083B97"/>
    <w:rsid w:val="00084AFE"/>
    <w:rsid w:val="00085459"/>
    <w:rsid w:val="000854DB"/>
    <w:rsid w:val="00085CBE"/>
    <w:rsid w:val="00085F23"/>
    <w:rsid w:val="0008619C"/>
    <w:rsid w:val="000866A9"/>
    <w:rsid w:val="000867B2"/>
    <w:rsid w:val="00086EC2"/>
    <w:rsid w:val="00087218"/>
    <w:rsid w:val="00087358"/>
    <w:rsid w:val="000873F5"/>
    <w:rsid w:val="000877E2"/>
    <w:rsid w:val="00087EA5"/>
    <w:rsid w:val="000900DF"/>
    <w:rsid w:val="00090193"/>
    <w:rsid w:val="0009021F"/>
    <w:rsid w:val="000902C2"/>
    <w:rsid w:val="00091D8D"/>
    <w:rsid w:val="000920E8"/>
    <w:rsid w:val="00093126"/>
    <w:rsid w:val="00093170"/>
    <w:rsid w:val="00093836"/>
    <w:rsid w:val="00093A6C"/>
    <w:rsid w:val="00093DF8"/>
    <w:rsid w:val="00093E76"/>
    <w:rsid w:val="000941F6"/>
    <w:rsid w:val="00094460"/>
    <w:rsid w:val="00094505"/>
    <w:rsid w:val="000945C5"/>
    <w:rsid w:val="00094A83"/>
    <w:rsid w:val="00094ECF"/>
    <w:rsid w:val="00094F29"/>
    <w:rsid w:val="0009592E"/>
    <w:rsid w:val="00095B61"/>
    <w:rsid w:val="00095F4B"/>
    <w:rsid w:val="0009606A"/>
    <w:rsid w:val="000968CD"/>
    <w:rsid w:val="00096B1C"/>
    <w:rsid w:val="0009715C"/>
    <w:rsid w:val="000973D7"/>
    <w:rsid w:val="000A0434"/>
    <w:rsid w:val="000A0EBE"/>
    <w:rsid w:val="000A10DB"/>
    <w:rsid w:val="000A10DE"/>
    <w:rsid w:val="000A1245"/>
    <w:rsid w:val="000A1A21"/>
    <w:rsid w:val="000A1ECD"/>
    <w:rsid w:val="000A20D6"/>
    <w:rsid w:val="000A2968"/>
    <w:rsid w:val="000A3515"/>
    <w:rsid w:val="000A3518"/>
    <w:rsid w:val="000A44CB"/>
    <w:rsid w:val="000A4E45"/>
    <w:rsid w:val="000A563F"/>
    <w:rsid w:val="000A5ED2"/>
    <w:rsid w:val="000A6204"/>
    <w:rsid w:val="000A6BF2"/>
    <w:rsid w:val="000A6F1D"/>
    <w:rsid w:val="000A70C7"/>
    <w:rsid w:val="000A7238"/>
    <w:rsid w:val="000A791D"/>
    <w:rsid w:val="000B0504"/>
    <w:rsid w:val="000B09FE"/>
    <w:rsid w:val="000B0EA5"/>
    <w:rsid w:val="000B15EF"/>
    <w:rsid w:val="000B19F9"/>
    <w:rsid w:val="000B1B5B"/>
    <w:rsid w:val="000B214A"/>
    <w:rsid w:val="000B26D6"/>
    <w:rsid w:val="000B316D"/>
    <w:rsid w:val="000B3194"/>
    <w:rsid w:val="000B3CFE"/>
    <w:rsid w:val="000B474A"/>
    <w:rsid w:val="000B4EF3"/>
    <w:rsid w:val="000B554C"/>
    <w:rsid w:val="000B5A2B"/>
    <w:rsid w:val="000B5B3A"/>
    <w:rsid w:val="000B5D87"/>
    <w:rsid w:val="000B693E"/>
    <w:rsid w:val="000B6F18"/>
    <w:rsid w:val="000B7258"/>
    <w:rsid w:val="000B7267"/>
    <w:rsid w:val="000B7882"/>
    <w:rsid w:val="000B7ABB"/>
    <w:rsid w:val="000B7C1E"/>
    <w:rsid w:val="000B7E6D"/>
    <w:rsid w:val="000C0000"/>
    <w:rsid w:val="000C0DAB"/>
    <w:rsid w:val="000C0F92"/>
    <w:rsid w:val="000C12C9"/>
    <w:rsid w:val="000C214A"/>
    <w:rsid w:val="000C23B5"/>
    <w:rsid w:val="000C24B3"/>
    <w:rsid w:val="000C2D57"/>
    <w:rsid w:val="000C2E3D"/>
    <w:rsid w:val="000C350A"/>
    <w:rsid w:val="000C4048"/>
    <w:rsid w:val="000C42B5"/>
    <w:rsid w:val="000C4988"/>
    <w:rsid w:val="000C5331"/>
    <w:rsid w:val="000C59D1"/>
    <w:rsid w:val="000C5BD2"/>
    <w:rsid w:val="000C5F10"/>
    <w:rsid w:val="000C5F41"/>
    <w:rsid w:val="000C5F88"/>
    <w:rsid w:val="000C6F27"/>
    <w:rsid w:val="000C7045"/>
    <w:rsid w:val="000C7311"/>
    <w:rsid w:val="000C757A"/>
    <w:rsid w:val="000C7654"/>
    <w:rsid w:val="000C7D9F"/>
    <w:rsid w:val="000C7E89"/>
    <w:rsid w:val="000C7FB2"/>
    <w:rsid w:val="000D0E1E"/>
    <w:rsid w:val="000D2381"/>
    <w:rsid w:val="000D2859"/>
    <w:rsid w:val="000D3131"/>
    <w:rsid w:val="000D3C5A"/>
    <w:rsid w:val="000D3E1B"/>
    <w:rsid w:val="000D4061"/>
    <w:rsid w:val="000D421F"/>
    <w:rsid w:val="000D481F"/>
    <w:rsid w:val="000D4860"/>
    <w:rsid w:val="000D48FB"/>
    <w:rsid w:val="000D4AB8"/>
    <w:rsid w:val="000D4B4F"/>
    <w:rsid w:val="000D4C1A"/>
    <w:rsid w:val="000D4EC1"/>
    <w:rsid w:val="000D55FD"/>
    <w:rsid w:val="000D5C14"/>
    <w:rsid w:val="000D662A"/>
    <w:rsid w:val="000D6EC7"/>
    <w:rsid w:val="000D71A3"/>
    <w:rsid w:val="000D75B1"/>
    <w:rsid w:val="000E01DF"/>
    <w:rsid w:val="000E063C"/>
    <w:rsid w:val="000E0A1A"/>
    <w:rsid w:val="000E1A80"/>
    <w:rsid w:val="000E1C04"/>
    <w:rsid w:val="000E2AD1"/>
    <w:rsid w:val="000E2B0D"/>
    <w:rsid w:val="000E3215"/>
    <w:rsid w:val="000E3226"/>
    <w:rsid w:val="000E3AB0"/>
    <w:rsid w:val="000E3D2F"/>
    <w:rsid w:val="000E3FAA"/>
    <w:rsid w:val="000E4712"/>
    <w:rsid w:val="000E4E88"/>
    <w:rsid w:val="000E528E"/>
    <w:rsid w:val="000E6022"/>
    <w:rsid w:val="000E612C"/>
    <w:rsid w:val="000E6D38"/>
    <w:rsid w:val="000E7280"/>
    <w:rsid w:val="000E72E7"/>
    <w:rsid w:val="000E72F6"/>
    <w:rsid w:val="000E742B"/>
    <w:rsid w:val="000E75B3"/>
    <w:rsid w:val="000E78C4"/>
    <w:rsid w:val="000E7CC8"/>
    <w:rsid w:val="000F0575"/>
    <w:rsid w:val="000F0992"/>
    <w:rsid w:val="000F107F"/>
    <w:rsid w:val="000F1277"/>
    <w:rsid w:val="000F1B78"/>
    <w:rsid w:val="000F1F51"/>
    <w:rsid w:val="000F1FB0"/>
    <w:rsid w:val="000F2181"/>
    <w:rsid w:val="000F21CE"/>
    <w:rsid w:val="000F24AC"/>
    <w:rsid w:val="000F24D5"/>
    <w:rsid w:val="000F24E0"/>
    <w:rsid w:val="000F292F"/>
    <w:rsid w:val="000F2F60"/>
    <w:rsid w:val="000F449C"/>
    <w:rsid w:val="000F47D9"/>
    <w:rsid w:val="000F4B3A"/>
    <w:rsid w:val="000F4F71"/>
    <w:rsid w:val="000F5331"/>
    <w:rsid w:val="000F5356"/>
    <w:rsid w:val="000F55C9"/>
    <w:rsid w:val="000F59D6"/>
    <w:rsid w:val="000F5F63"/>
    <w:rsid w:val="000F6242"/>
    <w:rsid w:val="000F6F32"/>
    <w:rsid w:val="000F7276"/>
    <w:rsid w:val="000F75A8"/>
    <w:rsid w:val="000F76E0"/>
    <w:rsid w:val="000F7D76"/>
    <w:rsid w:val="0010016B"/>
    <w:rsid w:val="00100331"/>
    <w:rsid w:val="00100405"/>
    <w:rsid w:val="00101255"/>
    <w:rsid w:val="001016BB"/>
    <w:rsid w:val="00101879"/>
    <w:rsid w:val="0010251A"/>
    <w:rsid w:val="00102768"/>
    <w:rsid w:val="0010280E"/>
    <w:rsid w:val="00102BC3"/>
    <w:rsid w:val="00103193"/>
    <w:rsid w:val="00103458"/>
    <w:rsid w:val="00103F6B"/>
    <w:rsid w:val="0010425A"/>
    <w:rsid w:val="00104346"/>
    <w:rsid w:val="00104AFF"/>
    <w:rsid w:val="00104FCC"/>
    <w:rsid w:val="00105067"/>
    <w:rsid w:val="0010584D"/>
    <w:rsid w:val="00105991"/>
    <w:rsid w:val="00105A06"/>
    <w:rsid w:val="00105B1C"/>
    <w:rsid w:val="00105E0D"/>
    <w:rsid w:val="0010604F"/>
    <w:rsid w:val="00106D60"/>
    <w:rsid w:val="00106DC9"/>
    <w:rsid w:val="001073F7"/>
    <w:rsid w:val="001078F4"/>
    <w:rsid w:val="00107ED3"/>
    <w:rsid w:val="001106A7"/>
    <w:rsid w:val="00110797"/>
    <w:rsid w:val="0011096F"/>
    <w:rsid w:val="00110F60"/>
    <w:rsid w:val="00111C5D"/>
    <w:rsid w:val="00111ECD"/>
    <w:rsid w:val="001120FF"/>
    <w:rsid w:val="001121DD"/>
    <w:rsid w:val="00112DBF"/>
    <w:rsid w:val="00113123"/>
    <w:rsid w:val="00113646"/>
    <w:rsid w:val="0011384C"/>
    <w:rsid w:val="0011487E"/>
    <w:rsid w:val="00115632"/>
    <w:rsid w:val="00115ABE"/>
    <w:rsid w:val="00116258"/>
    <w:rsid w:val="0011783B"/>
    <w:rsid w:val="00120541"/>
    <w:rsid w:val="00120771"/>
    <w:rsid w:val="0012077F"/>
    <w:rsid w:val="00120813"/>
    <w:rsid w:val="0012099E"/>
    <w:rsid w:val="00120A8D"/>
    <w:rsid w:val="00120BF2"/>
    <w:rsid w:val="00120E60"/>
    <w:rsid w:val="00120FA2"/>
    <w:rsid w:val="001211D6"/>
    <w:rsid w:val="0012130E"/>
    <w:rsid w:val="001213B0"/>
    <w:rsid w:val="00121741"/>
    <w:rsid w:val="00121832"/>
    <w:rsid w:val="00121EEE"/>
    <w:rsid w:val="001221FC"/>
    <w:rsid w:val="001222CD"/>
    <w:rsid w:val="0012235C"/>
    <w:rsid w:val="00122A75"/>
    <w:rsid w:val="001241D1"/>
    <w:rsid w:val="0012455A"/>
    <w:rsid w:val="00124985"/>
    <w:rsid w:val="00124FF9"/>
    <w:rsid w:val="00125237"/>
    <w:rsid w:val="00125609"/>
    <w:rsid w:val="00125EC8"/>
    <w:rsid w:val="001262F2"/>
    <w:rsid w:val="00126655"/>
    <w:rsid w:val="00126707"/>
    <w:rsid w:val="001267D3"/>
    <w:rsid w:val="001269E0"/>
    <w:rsid w:val="00126C9D"/>
    <w:rsid w:val="00126E33"/>
    <w:rsid w:val="001271AC"/>
    <w:rsid w:val="00130F92"/>
    <w:rsid w:val="001313CE"/>
    <w:rsid w:val="0013190A"/>
    <w:rsid w:val="00131C94"/>
    <w:rsid w:val="00131DE6"/>
    <w:rsid w:val="00131E5D"/>
    <w:rsid w:val="001326DF"/>
    <w:rsid w:val="001326F3"/>
    <w:rsid w:val="00132AD8"/>
    <w:rsid w:val="00132CCE"/>
    <w:rsid w:val="00132F7B"/>
    <w:rsid w:val="00133D01"/>
    <w:rsid w:val="00134305"/>
    <w:rsid w:val="001343D3"/>
    <w:rsid w:val="00134510"/>
    <w:rsid w:val="0013484E"/>
    <w:rsid w:val="001348DB"/>
    <w:rsid w:val="00134932"/>
    <w:rsid w:val="00134EF1"/>
    <w:rsid w:val="00134F03"/>
    <w:rsid w:val="001355CB"/>
    <w:rsid w:val="00135644"/>
    <w:rsid w:val="00136073"/>
    <w:rsid w:val="001361F7"/>
    <w:rsid w:val="0013656A"/>
    <w:rsid w:val="00136606"/>
    <w:rsid w:val="00136806"/>
    <w:rsid w:val="001369A6"/>
    <w:rsid w:val="00136A8F"/>
    <w:rsid w:val="00136BD6"/>
    <w:rsid w:val="00136DBC"/>
    <w:rsid w:val="00136DDA"/>
    <w:rsid w:val="00136F77"/>
    <w:rsid w:val="00137856"/>
    <w:rsid w:val="00137BD8"/>
    <w:rsid w:val="00140291"/>
    <w:rsid w:val="00141966"/>
    <w:rsid w:val="00141A13"/>
    <w:rsid w:val="001422D4"/>
    <w:rsid w:val="001425F6"/>
    <w:rsid w:val="00142ED9"/>
    <w:rsid w:val="00143AE7"/>
    <w:rsid w:val="00143F8A"/>
    <w:rsid w:val="001442C2"/>
    <w:rsid w:val="001449E1"/>
    <w:rsid w:val="00144BC9"/>
    <w:rsid w:val="00144D5F"/>
    <w:rsid w:val="00145ABB"/>
    <w:rsid w:val="00145F5C"/>
    <w:rsid w:val="0014647C"/>
    <w:rsid w:val="00146749"/>
    <w:rsid w:val="0014694C"/>
    <w:rsid w:val="00146A95"/>
    <w:rsid w:val="00146ED7"/>
    <w:rsid w:val="00146EF9"/>
    <w:rsid w:val="001475BF"/>
    <w:rsid w:val="0014764D"/>
    <w:rsid w:val="00147916"/>
    <w:rsid w:val="0014795D"/>
    <w:rsid w:val="001479AA"/>
    <w:rsid w:val="00147F00"/>
    <w:rsid w:val="00147F94"/>
    <w:rsid w:val="00150564"/>
    <w:rsid w:val="001506A7"/>
    <w:rsid w:val="00150882"/>
    <w:rsid w:val="001509F0"/>
    <w:rsid w:val="00150A4A"/>
    <w:rsid w:val="00150C58"/>
    <w:rsid w:val="001510E2"/>
    <w:rsid w:val="001517CB"/>
    <w:rsid w:val="001518B5"/>
    <w:rsid w:val="00151BBA"/>
    <w:rsid w:val="00151C04"/>
    <w:rsid w:val="0015252D"/>
    <w:rsid w:val="00152656"/>
    <w:rsid w:val="00152C00"/>
    <w:rsid w:val="00152C2B"/>
    <w:rsid w:val="00152E98"/>
    <w:rsid w:val="00153084"/>
    <w:rsid w:val="00153DEB"/>
    <w:rsid w:val="00154304"/>
    <w:rsid w:val="0015477A"/>
    <w:rsid w:val="00154F0A"/>
    <w:rsid w:val="00155510"/>
    <w:rsid w:val="00156891"/>
    <w:rsid w:val="001568BC"/>
    <w:rsid w:val="00156BA3"/>
    <w:rsid w:val="00156FE6"/>
    <w:rsid w:val="00157060"/>
    <w:rsid w:val="001570A2"/>
    <w:rsid w:val="00157320"/>
    <w:rsid w:val="001574F5"/>
    <w:rsid w:val="001577F0"/>
    <w:rsid w:val="001579B9"/>
    <w:rsid w:val="00157C46"/>
    <w:rsid w:val="001602EB"/>
    <w:rsid w:val="00160B5E"/>
    <w:rsid w:val="00160DEA"/>
    <w:rsid w:val="00160E9E"/>
    <w:rsid w:val="001610EB"/>
    <w:rsid w:val="001614A9"/>
    <w:rsid w:val="001618B3"/>
    <w:rsid w:val="00161C1F"/>
    <w:rsid w:val="00161C2F"/>
    <w:rsid w:val="001620B6"/>
    <w:rsid w:val="0016236B"/>
    <w:rsid w:val="00162664"/>
    <w:rsid w:val="00163194"/>
    <w:rsid w:val="00163C38"/>
    <w:rsid w:val="00163DB9"/>
    <w:rsid w:val="00163DBD"/>
    <w:rsid w:val="0016463F"/>
    <w:rsid w:val="00164F8F"/>
    <w:rsid w:val="0016529F"/>
    <w:rsid w:val="001658F5"/>
    <w:rsid w:val="00165D95"/>
    <w:rsid w:val="00165E39"/>
    <w:rsid w:val="00165F38"/>
    <w:rsid w:val="001661B8"/>
    <w:rsid w:val="00166237"/>
    <w:rsid w:val="0016644D"/>
    <w:rsid w:val="00166EE6"/>
    <w:rsid w:val="001672AF"/>
    <w:rsid w:val="001677C1"/>
    <w:rsid w:val="00167F6F"/>
    <w:rsid w:val="00170045"/>
    <w:rsid w:val="0017061E"/>
    <w:rsid w:val="00170A14"/>
    <w:rsid w:val="00170B6C"/>
    <w:rsid w:val="00170B81"/>
    <w:rsid w:val="001710CE"/>
    <w:rsid w:val="0017112B"/>
    <w:rsid w:val="0017113E"/>
    <w:rsid w:val="001713A7"/>
    <w:rsid w:val="00172676"/>
    <w:rsid w:val="001726CF"/>
    <w:rsid w:val="0017293C"/>
    <w:rsid w:val="00172B93"/>
    <w:rsid w:val="00172BAF"/>
    <w:rsid w:val="00172EC0"/>
    <w:rsid w:val="00173191"/>
    <w:rsid w:val="001737FE"/>
    <w:rsid w:val="0017426E"/>
    <w:rsid w:val="0017503E"/>
    <w:rsid w:val="00175053"/>
    <w:rsid w:val="00175CAF"/>
    <w:rsid w:val="001760DB"/>
    <w:rsid w:val="00176E50"/>
    <w:rsid w:val="00177106"/>
    <w:rsid w:val="0017723E"/>
    <w:rsid w:val="001772D8"/>
    <w:rsid w:val="001775DA"/>
    <w:rsid w:val="0017787E"/>
    <w:rsid w:val="00177AD0"/>
    <w:rsid w:val="00180DA3"/>
    <w:rsid w:val="00180FAA"/>
    <w:rsid w:val="00181135"/>
    <w:rsid w:val="0018181F"/>
    <w:rsid w:val="00181C0B"/>
    <w:rsid w:val="00182096"/>
    <w:rsid w:val="00182382"/>
    <w:rsid w:val="00182919"/>
    <w:rsid w:val="00182DF8"/>
    <w:rsid w:val="00183C9F"/>
    <w:rsid w:val="00184512"/>
    <w:rsid w:val="00184E21"/>
    <w:rsid w:val="00185CC7"/>
    <w:rsid w:val="00185D6F"/>
    <w:rsid w:val="00185E0C"/>
    <w:rsid w:val="0018688A"/>
    <w:rsid w:val="00186CEF"/>
    <w:rsid w:val="0018754D"/>
    <w:rsid w:val="00187892"/>
    <w:rsid w:val="00187DFB"/>
    <w:rsid w:val="00190463"/>
    <w:rsid w:val="001904CF"/>
    <w:rsid w:val="00191435"/>
    <w:rsid w:val="00192213"/>
    <w:rsid w:val="001927A2"/>
    <w:rsid w:val="00192A9D"/>
    <w:rsid w:val="001932B2"/>
    <w:rsid w:val="0019335B"/>
    <w:rsid w:val="0019423A"/>
    <w:rsid w:val="00194FA4"/>
    <w:rsid w:val="00195648"/>
    <w:rsid w:val="001959DC"/>
    <w:rsid w:val="00195F44"/>
    <w:rsid w:val="00196019"/>
    <w:rsid w:val="0019630F"/>
    <w:rsid w:val="00196772"/>
    <w:rsid w:val="00196C83"/>
    <w:rsid w:val="00196DA4"/>
    <w:rsid w:val="00196E92"/>
    <w:rsid w:val="001979A9"/>
    <w:rsid w:val="001A0112"/>
    <w:rsid w:val="001A0896"/>
    <w:rsid w:val="001A0EF1"/>
    <w:rsid w:val="001A16F6"/>
    <w:rsid w:val="001A224B"/>
    <w:rsid w:val="001A25A2"/>
    <w:rsid w:val="001A29AC"/>
    <w:rsid w:val="001A315B"/>
    <w:rsid w:val="001A35FF"/>
    <w:rsid w:val="001A3856"/>
    <w:rsid w:val="001A3F6D"/>
    <w:rsid w:val="001A4664"/>
    <w:rsid w:val="001A4953"/>
    <w:rsid w:val="001A4C94"/>
    <w:rsid w:val="001A5DA1"/>
    <w:rsid w:val="001A6848"/>
    <w:rsid w:val="001A68CE"/>
    <w:rsid w:val="001A7255"/>
    <w:rsid w:val="001A775C"/>
    <w:rsid w:val="001A7CBA"/>
    <w:rsid w:val="001A7E72"/>
    <w:rsid w:val="001B0280"/>
    <w:rsid w:val="001B069F"/>
    <w:rsid w:val="001B0ADB"/>
    <w:rsid w:val="001B1736"/>
    <w:rsid w:val="001B1AE6"/>
    <w:rsid w:val="001B1F92"/>
    <w:rsid w:val="001B21AC"/>
    <w:rsid w:val="001B2A56"/>
    <w:rsid w:val="001B2FCF"/>
    <w:rsid w:val="001B32D3"/>
    <w:rsid w:val="001B32E4"/>
    <w:rsid w:val="001B3778"/>
    <w:rsid w:val="001B3E30"/>
    <w:rsid w:val="001B4ED3"/>
    <w:rsid w:val="001B50CC"/>
    <w:rsid w:val="001B51E8"/>
    <w:rsid w:val="001B5221"/>
    <w:rsid w:val="001B5355"/>
    <w:rsid w:val="001B6049"/>
    <w:rsid w:val="001B60D4"/>
    <w:rsid w:val="001B6482"/>
    <w:rsid w:val="001B7014"/>
    <w:rsid w:val="001B7C32"/>
    <w:rsid w:val="001B7CBF"/>
    <w:rsid w:val="001C0619"/>
    <w:rsid w:val="001C0E29"/>
    <w:rsid w:val="001C1344"/>
    <w:rsid w:val="001C13D0"/>
    <w:rsid w:val="001C148A"/>
    <w:rsid w:val="001C15DB"/>
    <w:rsid w:val="001C1805"/>
    <w:rsid w:val="001C1814"/>
    <w:rsid w:val="001C1968"/>
    <w:rsid w:val="001C1DD6"/>
    <w:rsid w:val="001C2082"/>
    <w:rsid w:val="001C23DD"/>
    <w:rsid w:val="001C3A02"/>
    <w:rsid w:val="001C3B0C"/>
    <w:rsid w:val="001C3B70"/>
    <w:rsid w:val="001C3D80"/>
    <w:rsid w:val="001C4361"/>
    <w:rsid w:val="001C44FD"/>
    <w:rsid w:val="001C4DB6"/>
    <w:rsid w:val="001C5005"/>
    <w:rsid w:val="001C505B"/>
    <w:rsid w:val="001C51A3"/>
    <w:rsid w:val="001C5358"/>
    <w:rsid w:val="001C56D1"/>
    <w:rsid w:val="001C5AD3"/>
    <w:rsid w:val="001C6924"/>
    <w:rsid w:val="001C7A8C"/>
    <w:rsid w:val="001D0AA9"/>
    <w:rsid w:val="001D15D9"/>
    <w:rsid w:val="001D200C"/>
    <w:rsid w:val="001D23EF"/>
    <w:rsid w:val="001D260D"/>
    <w:rsid w:val="001D3262"/>
    <w:rsid w:val="001D3534"/>
    <w:rsid w:val="001D3E6D"/>
    <w:rsid w:val="001D537F"/>
    <w:rsid w:val="001D555B"/>
    <w:rsid w:val="001D55CA"/>
    <w:rsid w:val="001D55D2"/>
    <w:rsid w:val="001D55F2"/>
    <w:rsid w:val="001D629D"/>
    <w:rsid w:val="001D723E"/>
    <w:rsid w:val="001D75EA"/>
    <w:rsid w:val="001D7681"/>
    <w:rsid w:val="001D7892"/>
    <w:rsid w:val="001D7C7C"/>
    <w:rsid w:val="001D7DB2"/>
    <w:rsid w:val="001E09E6"/>
    <w:rsid w:val="001E0C47"/>
    <w:rsid w:val="001E131D"/>
    <w:rsid w:val="001E15A7"/>
    <w:rsid w:val="001E1AE0"/>
    <w:rsid w:val="001E1FA3"/>
    <w:rsid w:val="001E21AC"/>
    <w:rsid w:val="001E24A4"/>
    <w:rsid w:val="001E28CC"/>
    <w:rsid w:val="001E2901"/>
    <w:rsid w:val="001E2FDD"/>
    <w:rsid w:val="001E321D"/>
    <w:rsid w:val="001E3639"/>
    <w:rsid w:val="001E38B1"/>
    <w:rsid w:val="001E3AC5"/>
    <w:rsid w:val="001E478C"/>
    <w:rsid w:val="001E48FE"/>
    <w:rsid w:val="001E4C00"/>
    <w:rsid w:val="001E4D12"/>
    <w:rsid w:val="001E4D56"/>
    <w:rsid w:val="001E502C"/>
    <w:rsid w:val="001E5984"/>
    <w:rsid w:val="001E631E"/>
    <w:rsid w:val="001E6CE0"/>
    <w:rsid w:val="001E6E30"/>
    <w:rsid w:val="001E6EC8"/>
    <w:rsid w:val="001E72E0"/>
    <w:rsid w:val="001F0064"/>
    <w:rsid w:val="001F05D5"/>
    <w:rsid w:val="001F16DF"/>
    <w:rsid w:val="001F1960"/>
    <w:rsid w:val="001F220A"/>
    <w:rsid w:val="001F3264"/>
    <w:rsid w:val="001F33C7"/>
    <w:rsid w:val="001F3603"/>
    <w:rsid w:val="001F3DAE"/>
    <w:rsid w:val="001F4A98"/>
    <w:rsid w:val="001F5294"/>
    <w:rsid w:val="001F6078"/>
    <w:rsid w:val="001F613E"/>
    <w:rsid w:val="001F6159"/>
    <w:rsid w:val="001F6587"/>
    <w:rsid w:val="001F6680"/>
    <w:rsid w:val="001F6A92"/>
    <w:rsid w:val="001F6BD0"/>
    <w:rsid w:val="001F6E82"/>
    <w:rsid w:val="001F6FB6"/>
    <w:rsid w:val="001F740D"/>
    <w:rsid w:val="001F77EE"/>
    <w:rsid w:val="001F792F"/>
    <w:rsid w:val="001F7AC9"/>
    <w:rsid w:val="001F7B13"/>
    <w:rsid w:val="001F7B9E"/>
    <w:rsid w:val="001F7BE1"/>
    <w:rsid w:val="001F7C97"/>
    <w:rsid w:val="0020066E"/>
    <w:rsid w:val="00200838"/>
    <w:rsid w:val="00200A84"/>
    <w:rsid w:val="00200BED"/>
    <w:rsid w:val="00200EEC"/>
    <w:rsid w:val="002014F7"/>
    <w:rsid w:val="00201B0B"/>
    <w:rsid w:val="00201B48"/>
    <w:rsid w:val="00202576"/>
    <w:rsid w:val="00202B50"/>
    <w:rsid w:val="00202EF9"/>
    <w:rsid w:val="00202F93"/>
    <w:rsid w:val="00203204"/>
    <w:rsid w:val="00203236"/>
    <w:rsid w:val="0020361E"/>
    <w:rsid w:val="002036E8"/>
    <w:rsid w:val="00203752"/>
    <w:rsid w:val="00203B3F"/>
    <w:rsid w:val="002048AD"/>
    <w:rsid w:val="00204B5C"/>
    <w:rsid w:val="002051F7"/>
    <w:rsid w:val="0020531C"/>
    <w:rsid w:val="002067D2"/>
    <w:rsid w:val="002068BD"/>
    <w:rsid w:val="00206F81"/>
    <w:rsid w:val="0020708A"/>
    <w:rsid w:val="0020738E"/>
    <w:rsid w:val="00207642"/>
    <w:rsid w:val="0020778B"/>
    <w:rsid w:val="00207838"/>
    <w:rsid w:val="00207A4E"/>
    <w:rsid w:val="00207F6A"/>
    <w:rsid w:val="00210256"/>
    <w:rsid w:val="00210332"/>
    <w:rsid w:val="00210394"/>
    <w:rsid w:val="0021076E"/>
    <w:rsid w:val="00211180"/>
    <w:rsid w:val="00211EC3"/>
    <w:rsid w:val="00212B08"/>
    <w:rsid w:val="00213289"/>
    <w:rsid w:val="00213825"/>
    <w:rsid w:val="00214189"/>
    <w:rsid w:val="0021420E"/>
    <w:rsid w:val="002143FF"/>
    <w:rsid w:val="00214ADD"/>
    <w:rsid w:val="00214DBB"/>
    <w:rsid w:val="00214DF9"/>
    <w:rsid w:val="0021525B"/>
    <w:rsid w:val="00215D73"/>
    <w:rsid w:val="00216B19"/>
    <w:rsid w:val="00216CCC"/>
    <w:rsid w:val="00216E16"/>
    <w:rsid w:val="0021738B"/>
    <w:rsid w:val="002174F8"/>
    <w:rsid w:val="00220082"/>
    <w:rsid w:val="002203BD"/>
    <w:rsid w:val="0022059F"/>
    <w:rsid w:val="00220776"/>
    <w:rsid w:val="002207D0"/>
    <w:rsid w:val="002221C3"/>
    <w:rsid w:val="0022274B"/>
    <w:rsid w:val="0022299A"/>
    <w:rsid w:val="00222B91"/>
    <w:rsid w:val="00222D17"/>
    <w:rsid w:val="002230FD"/>
    <w:rsid w:val="002232B3"/>
    <w:rsid w:val="00224524"/>
    <w:rsid w:val="00224665"/>
    <w:rsid w:val="00224756"/>
    <w:rsid w:val="00224878"/>
    <w:rsid w:val="0022514D"/>
    <w:rsid w:val="00225CEE"/>
    <w:rsid w:val="002260F3"/>
    <w:rsid w:val="00226447"/>
    <w:rsid w:val="002266DB"/>
    <w:rsid w:val="00226894"/>
    <w:rsid w:val="002268B0"/>
    <w:rsid w:val="0022701D"/>
    <w:rsid w:val="002274D4"/>
    <w:rsid w:val="00227577"/>
    <w:rsid w:val="002277E9"/>
    <w:rsid w:val="00227D14"/>
    <w:rsid w:val="002303A6"/>
    <w:rsid w:val="00230894"/>
    <w:rsid w:val="002308E9"/>
    <w:rsid w:val="00230C61"/>
    <w:rsid w:val="00230F2A"/>
    <w:rsid w:val="00231584"/>
    <w:rsid w:val="00231A76"/>
    <w:rsid w:val="00231B36"/>
    <w:rsid w:val="00231CFD"/>
    <w:rsid w:val="00231F9E"/>
    <w:rsid w:val="0023205A"/>
    <w:rsid w:val="00232498"/>
    <w:rsid w:val="0023254E"/>
    <w:rsid w:val="00232918"/>
    <w:rsid w:val="00232B2D"/>
    <w:rsid w:val="0023350C"/>
    <w:rsid w:val="00233E70"/>
    <w:rsid w:val="00234281"/>
    <w:rsid w:val="00234695"/>
    <w:rsid w:val="00234EBC"/>
    <w:rsid w:val="00234FD3"/>
    <w:rsid w:val="00235341"/>
    <w:rsid w:val="00235B1B"/>
    <w:rsid w:val="00235BF5"/>
    <w:rsid w:val="00235D41"/>
    <w:rsid w:val="00236288"/>
    <w:rsid w:val="00236B90"/>
    <w:rsid w:val="00236C6F"/>
    <w:rsid w:val="002371BF"/>
    <w:rsid w:val="00237A87"/>
    <w:rsid w:val="00237BB9"/>
    <w:rsid w:val="00240310"/>
    <w:rsid w:val="002404C3"/>
    <w:rsid w:val="00240988"/>
    <w:rsid w:val="002409B5"/>
    <w:rsid w:val="00240EFC"/>
    <w:rsid w:val="00241129"/>
    <w:rsid w:val="00241840"/>
    <w:rsid w:val="00241C36"/>
    <w:rsid w:val="00241F9B"/>
    <w:rsid w:val="00242608"/>
    <w:rsid w:val="002426B3"/>
    <w:rsid w:val="002427A3"/>
    <w:rsid w:val="002427EB"/>
    <w:rsid w:val="002427F0"/>
    <w:rsid w:val="002428BD"/>
    <w:rsid w:val="00242BC1"/>
    <w:rsid w:val="00242E09"/>
    <w:rsid w:val="002432B7"/>
    <w:rsid w:val="002433CE"/>
    <w:rsid w:val="00243C06"/>
    <w:rsid w:val="002440B2"/>
    <w:rsid w:val="00244F66"/>
    <w:rsid w:val="0024551D"/>
    <w:rsid w:val="00245853"/>
    <w:rsid w:val="002458CE"/>
    <w:rsid w:val="00246513"/>
    <w:rsid w:val="00246B1D"/>
    <w:rsid w:val="00247BDE"/>
    <w:rsid w:val="00247EE8"/>
    <w:rsid w:val="00247F22"/>
    <w:rsid w:val="002501BD"/>
    <w:rsid w:val="00250455"/>
    <w:rsid w:val="00250B11"/>
    <w:rsid w:val="002513D4"/>
    <w:rsid w:val="00251879"/>
    <w:rsid w:val="00251C98"/>
    <w:rsid w:val="00251EB3"/>
    <w:rsid w:val="0025329B"/>
    <w:rsid w:val="00253375"/>
    <w:rsid w:val="002538BA"/>
    <w:rsid w:val="00253EC4"/>
    <w:rsid w:val="00253FBD"/>
    <w:rsid w:val="0025418A"/>
    <w:rsid w:val="00254240"/>
    <w:rsid w:val="00255327"/>
    <w:rsid w:val="002557AE"/>
    <w:rsid w:val="00255BC2"/>
    <w:rsid w:val="00256539"/>
    <w:rsid w:val="00256DEA"/>
    <w:rsid w:val="002572BD"/>
    <w:rsid w:val="002579EC"/>
    <w:rsid w:val="00257C49"/>
    <w:rsid w:val="0026072F"/>
    <w:rsid w:val="00260952"/>
    <w:rsid w:val="00261192"/>
    <w:rsid w:val="00261A11"/>
    <w:rsid w:val="00261CB5"/>
    <w:rsid w:val="00261F7A"/>
    <w:rsid w:val="002625F2"/>
    <w:rsid w:val="00262890"/>
    <w:rsid w:val="00262AAB"/>
    <w:rsid w:val="00263413"/>
    <w:rsid w:val="0026431A"/>
    <w:rsid w:val="002644A4"/>
    <w:rsid w:val="00264C76"/>
    <w:rsid w:val="00264FA8"/>
    <w:rsid w:val="00265066"/>
    <w:rsid w:val="0026529A"/>
    <w:rsid w:val="00265599"/>
    <w:rsid w:val="0026585B"/>
    <w:rsid w:val="00265C93"/>
    <w:rsid w:val="00266300"/>
    <w:rsid w:val="00266C88"/>
    <w:rsid w:val="00266CE5"/>
    <w:rsid w:val="0027098E"/>
    <w:rsid w:val="00271150"/>
    <w:rsid w:val="00271328"/>
    <w:rsid w:val="00271977"/>
    <w:rsid w:val="00272F76"/>
    <w:rsid w:val="00274075"/>
    <w:rsid w:val="002746DB"/>
    <w:rsid w:val="002747CC"/>
    <w:rsid w:val="00274830"/>
    <w:rsid w:val="00274DF9"/>
    <w:rsid w:val="00275170"/>
    <w:rsid w:val="002751CA"/>
    <w:rsid w:val="00275580"/>
    <w:rsid w:val="00275B36"/>
    <w:rsid w:val="00275D77"/>
    <w:rsid w:val="00275F0A"/>
    <w:rsid w:val="00276AA0"/>
    <w:rsid w:val="002778F2"/>
    <w:rsid w:val="00277AC9"/>
    <w:rsid w:val="00277E4E"/>
    <w:rsid w:val="00277EA0"/>
    <w:rsid w:val="00277F0D"/>
    <w:rsid w:val="00277F52"/>
    <w:rsid w:val="002809A3"/>
    <w:rsid w:val="00280BF2"/>
    <w:rsid w:val="00281780"/>
    <w:rsid w:val="00281979"/>
    <w:rsid w:val="00281E85"/>
    <w:rsid w:val="0028333E"/>
    <w:rsid w:val="002837F8"/>
    <w:rsid w:val="00283844"/>
    <w:rsid w:val="002838FA"/>
    <w:rsid w:val="002839DE"/>
    <w:rsid w:val="00283ACF"/>
    <w:rsid w:val="00283C99"/>
    <w:rsid w:val="00283EE6"/>
    <w:rsid w:val="0028473D"/>
    <w:rsid w:val="00284788"/>
    <w:rsid w:val="00284824"/>
    <w:rsid w:val="00284850"/>
    <w:rsid w:val="00284D22"/>
    <w:rsid w:val="00285326"/>
    <w:rsid w:val="002854BE"/>
    <w:rsid w:val="00285DE8"/>
    <w:rsid w:val="00285F07"/>
    <w:rsid w:val="002863F2"/>
    <w:rsid w:val="00286608"/>
    <w:rsid w:val="00286A00"/>
    <w:rsid w:val="00286F15"/>
    <w:rsid w:val="0028735F"/>
    <w:rsid w:val="00287B87"/>
    <w:rsid w:val="00290283"/>
    <w:rsid w:val="002902BD"/>
    <w:rsid w:val="0029038C"/>
    <w:rsid w:val="00290891"/>
    <w:rsid w:val="00291326"/>
    <w:rsid w:val="0029166A"/>
    <w:rsid w:val="00291DA9"/>
    <w:rsid w:val="00292582"/>
    <w:rsid w:val="00292773"/>
    <w:rsid w:val="002927AC"/>
    <w:rsid w:val="002927F9"/>
    <w:rsid w:val="002935E8"/>
    <w:rsid w:val="0029469F"/>
    <w:rsid w:val="002946E9"/>
    <w:rsid w:val="00294A07"/>
    <w:rsid w:val="0029523D"/>
    <w:rsid w:val="002952DE"/>
    <w:rsid w:val="00295405"/>
    <w:rsid w:val="002954FB"/>
    <w:rsid w:val="002955AC"/>
    <w:rsid w:val="002955F0"/>
    <w:rsid w:val="0029618D"/>
    <w:rsid w:val="002962DC"/>
    <w:rsid w:val="002963FB"/>
    <w:rsid w:val="002965BA"/>
    <w:rsid w:val="00296814"/>
    <w:rsid w:val="002969CD"/>
    <w:rsid w:val="0029716C"/>
    <w:rsid w:val="00297CC2"/>
    <w:rsid w:val="002A00F4"/>
    <w:rsid w:val="002A08D0"/>
    <w:rsid w:val="002A0DD4"/>
    <w:rsid w:val="002A1D02"/>
    <w:rsid w:val="002A1E21"/>
    <w:rsid w:val="002A20B3"/>
    <w:rsid w:val="002A2537"/>
    <w:rsid w:val="002A2610"/>
    <w:rsid w:val="002A2AB8"/>
    <w:rsid w:val="002A2B8E"/>
    <w:rsid w:val="002A2E08"/>
    <w:rsid w:val="002A335A"/>
    <w:rsid w:val="002A3DAC"/>
    <w:rsid w:val="002A43F4"/>
    <w:rsid w:val="002A5126"/>
    <w:rsid w:val="002A53C9"/>
    <w:rsid w:val="002A5948"/>
    <w:rsid w:val="002A64F2"/>
    <w:rsid w:val="002A6590"/>
    <w:rsid w:val="002A6AEB"/>
    <w:rsid w:val="002A7136"/>
    <w:rsid w:val="002A7478"/>
    <w:rsid w:val="002A7AEB"/>
    <w:rsid w:val="002A7B26"/>
    <w:rsid w:val="002B01AD"/>
    <w:rsid w:val="002B0254"/>
    <w:rsid w:val="002B047F"/>
    <w:rsid w:val="002B07F2"/>
    <w:rsid w:val="002B1248"/>
    <w:rsid w:val="002B24B7"/>
    <w:rsid w:val="002B2849"/>
    <w:rsid w:val="002B28C2"/>
    <w:rsid w:val="002B2D78"/>
    <w:rsid w:val="002B32B5"/>
    <w:rsid w:val="002B32C9"/>
    <w:rsid w:val="002B3736"/>
    <w:rsid w:val="002B38F8"/>
    <w:rsid w:val="002B3C0E"/>
    <w:rsid w:val="002B4054"/>
    <w:rsid w:val="002B41B4"/>
    <w:rsid w:val="002B45A5"/>
    <w:rsid w:val="002B46FF"/>
    <w:rsid w:val="002B497D"/>
    <w:rsid w:val="002B4D0E"/>
    <w:rsid w:val="002B51E2"/>
    <w:rsid w:val="002B542A"/>
    <w:rsid w:val="002B5495"/>
    <w:rsid w:val="002B54C5"/>
    <w:rsid w:val="002B5567"/>
    <w:rsid w:val="002B55E5"/>
    <w:rsid w:val="002B5AB7"/>
    <w:rsid w:val="002B653E"/>
    <w:rsid w:val="002B6703"/>
    <w:rsid w:val="002B6A46"/>
    <w:rsid w:val="002B6D69"/>
    <w:rsid w:val="002B6F67"/>
    <w:rsid w:val="002B7411"/>
    <w:rsid w:val="002B7C01"/>
    <w:rsid w:val="002B7F1B"/>
    <w:rsid w:val="002C0083"/>
    <w:rsid w:val="002C032E"/>
    <w:rsid w:val="002C081A"/>
    <w:rsid w:val="002C0EDF"/>
    <w:rsid w:val="002C108A"/>
    <w:rsid w:val="002C1446"/>
    <w:rsid w:val="002C1553"/>
    <w:rsid w:val="002C2324"/>
    <w:rsid w:val="002C2B35"/>
    <w:rsid w:val="002C2CCD"/>
    <w:rsid w:val="002C2F7F"/>
    <w:rsid w:val="002C2FB4"/>
    <w:rsid w:val="002C2FD3"/>
    <w:rsid w:val="002C3683"/>
    <w:rsid w:val="002C4177"/>
    <w:rsid w:val="002C433A"/>
    <w:rsid w:val="002C517F"/>
    <w:rsid w:val="002C5526"/>
    <w:rsid w:val="002C5AF3"/>
    <w:rsid w:val="002C682C"/>
    <w:rsid w:val="002C6DC2"/>
    <w:rsid w:val="002C6DDA"/>
    <w:rsid w:val="002C713E"/>
    <w:rsid w:val="002D04C8"/>
    <w:rsid w:val="002D053D"/>
    <w:rsid w:val="002D0B99"/>
    <w:rsid w:val="002D0F9E"/>
    <w:rsid w:val="002D1936"/>
    <w:rsid w:val="002D1CE8"/>
    <w:rsid w:val="002D2129"/>
    <w:rsid w:val="002D2FB2"/>
    <w:rsid w:val="002D308F"/>
    <w:rsid w:val="002D30BC"/>
    <w:rsid w:val="002D3575"/>
    <w:rsid w:val="002D3782"/>
    <w:rsid w:val="002D4896"/>
    <w:rsid w:val="002D48E6"/>
    <w:rsid w:val="002D4BFC"/>
    <w:rsid w:val="002D50F6"/>
    <w:rsid w:val="002D53A7"/>
    <w:rsid w:val="002D5B16"/>
    <w:rsid w:val="002D6086"/>
    <w:rsid w:val="002D62AF"/>
    <w:rsid w:val="002D63F9"/>
    <w:rsid w:val="002D769A"/>
    <w:rsid w:val="002D7789"/>
    <w:rsid w:val="002D77B7"/>
    <w:rsid w:val="002D7CC4"/>
    <w:rsid w:val="002D7DBC"/>
    <w:rsid w:val="002E0241"/>
    <w:rsid w:val="002E02B6"/>
    <w:rsid w:val="002E09F5"/>
    <w:rsid w:val="002E0C21"/>
    <w:rsid w:val="002E1812"/>
    <w:rsid w:val="002E192A"/>
    <w:rsid w:val="002E2378"/>
    <w:rsid w:val="002E2471"/>
    <w:rsid w:val="002E2A80"/>
    <w:rsid w:val="002E2AF3"/>
    <w:rsid w:val="002E2B84"/>
    <w:rsid w:val="002E2BC6"/>
    <w:rsid w:val="002E2DC8"/>
    <w:rsid w:val="002E300A"/>
    <w:rsid w:val="002E3543"/>
    <w:rsid w:val="002E3B82"/>
    <w:rsid w:val="002E3C95"/>
    <w:rsid w:val="002E40D7"/>
    <w:rsid w:val="002E48E1"/>
    <w:rsid w:val="002E4CCE"/>
    <w:rsid w:val="002E4E64"/>
    <w:rsid w:val="002E5554"/>
    <w:rsid w:val="002E58D2"/>
    <w:rsid w:val="002E5E11"/>
    <w:rsid w:val="002E5F0D"/>
    <w:rsid w:val="002E6262"/>
    <w:rsid w:val="002E6EE7"/>
    <w:rsid w:val="002E6F83"/>
    <w:rsid w:val="002F0C24"/>
    <w:rsid w:val="002F0C6B"/>
    <w:rsid w:val="002F0F9E"/>
    <w:rsid w:val="002F1CD0"/>
    <w:rsid w:val="002F1D5C"/>
    <w:rsid w:val="002F207F"/>
    <w:rsid w:val="002F24AF"/>
    <w:rsid w:val="002F2902"/>
    <w:rsid w:val="002F2D3F"/>
    <w:rsid w:val="002F32ED"/>
    <w:rsid w:val="002F3799"/>
    <w:rsid w:val="002F3FF3"/>
    <w:rsid w:val="002F43B6"/>
    <w:rsid w:val="002F43B7"/>
    <w:rsid w:val="002F4531"/>
    <w:rsid w:val="002F45B2"/>
    <w:rsid w:val="002F4803"/>
    <w:rsid w:val="002F49F9"/>
    <w:rsid w:val="002F515D"/>
    <w:rsid w:val="002F537A"/>
    <w:rsid w:val="002F5C27"/>
    <w:rsid w:val="002F5C6A"/>
    <w:rsid w:val="002F5ED6"/>
    <w:rsid w:val="002F6058"/>
    <w:rsid w:val="002F6673"/>
    <w:rsid w:val="002F66DB"/>
    <w:rsid w:val="002F6CCF"/>
    <w:rsid w:val="002F760C"/>
    <w:rsid w:val="002F7EB8"/>
    <w:rsid w:val="0030086D"/>
    <w:rsid w:val="00300D86"/>
    <w:rsid w:val="003017E1"/>
    <w:rsid w:val="0030255F"/>
    <w:rsid w:val="00302891"/>
    <w:rsid w:val="00302F6A"/>
    <w:rsid w:val="00303A54"/>
    <w:rsid w:val="00303AEB"/>
    <w:rsid w:val="003040C0"/>
    <w:rsid w:val="003048B5"/>
    <w:rsid w:val="0030492C"/>
    <w:rsid w:val="0030497A"/>
    <w:rsid w:val="00304C53"/>
    <w:rsid w:val="00304DAF"/>
    <w:rsid w:val="00305989"/>
    <w:rsid w:val="00305A7A"/>
    <w:rsid w:val="00305CC7"/>
    <w:rsid w:val="00305F62"/>
    <w:rsid w:val="0030670E"/>
    <w:rsid w:val="0030688B"/>
    <w:rsid w:val="00306B1E"/>
    <w:rsid w:val="003074FD"/>
    <w:rsid w:val="00307807"/>
    <w:rsid w:val="00307A2D"/>
    <w:rsid w:val="00310204"/>
    <w:rsid w:val="00310272"/>
    <w:rsid w:val="0031041F"/>
    <w:rsid w:val="00310991"/>
    <w:rsid w:val="00310D86"/>
    <w:rsid w:val="00310F34"/>
    <w:rsid w:val="003111D7"/>
    <w:rsid w:val="00312912"/>
    <w:rsid w:val="00312AF6"/>
    <w:rsid w:val="00312CB7"/>
    <w:rsid w:val="00312E68"/>
    <w:rsid w:val="003132A7"/>
    <w:rsid w:val="0031351A"/>
    <w:rsid w:val="00313C43"/>
    <w:rsid w:val="0031432D"/>
    <w:rsid w:val="00314AFF"/>
    <w:rsid w:val="00315A7B"/>
    <w:rsid w:val="00315BD4"/>
    <w:rsid w:val="00315C2A"/>
    <w:rsid w:val="003161E5"/>
    <w:rsid w:val="00316A37"/>
    <w:rsid w:val="00316C18"/>
    <w:rsid w:val="00316EDC"/>
    <w:rsid w:val="00317071"/>
    <w:rsid w:val="003170F2"/>
    <w:rsid w:val="0031725E"/>
    <w:rsid w:val="00320168"/>
    <w:rsid w:val="003204DA"/>
    <w:rsid w:val="00320582"/>
    <w:rsid w:val="00321282"/>
    <w:rsid w:val="0032130E"/>
    <w:rsid w:val="00321449"/>
    <w:rsid w:val="0032187E"/>
    <w:rsid w:val="003218EA"/>
    <w:rsid w:val="00321F93"/>
    <w:rsid w:val="00322489"/>
    <w:rsid w:val="0032278A"/>
    <w:rsid w:val="0032279E"/>
    <w:rsid w:val="00322A25"/>
    <w:rsid w:val="00322C47"/>
    <w:rsid w:val="0032318E"/>
    <w:rsid w:val="00323A57"/>
    <w:rsid w:val="003241B8"/>
    <w:rsid w:val="00324289"/>
    <w:rsid w:val="00324A14"/>
    <w:rsid w:val="00324CDB"/>
    <w:rsid w:val="00325668"/>
    <w:rsid w:val="00325AC3"/>
    <w:rsid w:val="003262AB"/>
    <w:rsid w:val="0032659C"/>
    <w:rsid w:val="003271D5"/>
    <w:rsid w:val="00327292"/>
    <w:rsid w:val="003272FD"/>
    <w:rsid w:val="0032744E"/>
    <w:rsid w:val="00327480"/>
    <w:rsid w:val="003275C7"/>
    <w:rsid w:val="00327C92"/>
    <w:rsid w:val="003307FF"/>
    <w:rsid w:val="00330A37"/>
    <w:rsid w:val="00330B81"/>
    <w:rsid w:val="00331424"/>
    <w:rsid w:val="003318D1"/>
    <w:rsid w:val="00333471"/>
    <w:rsid w:val="00333483"/>
    <w:rsid w:val="003334DE"/>
    <w:rsid w:val="00333A15"/>
    <w:rsid w:val="00333A6D"/>
    <w:rsid w:val="00333F1D"/>
    <w:rsid w:val="00334C6A"/>
    <w:rsid w:val="0033545E"/>
    <w:rsid w:val="003355EA"/>
    <w:rsid w:val="00335687"/>
    <w:rsid w:val="00335776"/>
    <w:rsid w:val="00335E25"/>
    <w:rsid w:val="00336075"/>
    <w:rsid w:val="003361D9"/>
    <w:rsid w:val="00336520"/>
    <w:rsid w:val="003369C0"/>
    <w:rsid w:val="003374B9"/>
    <w:rsid w:val="003375AB"/>
    <w:rsid w:val="003378B1"/>
    <w:rsid w:val="003408E2"/>
    <w:rsid w:val="003415A2"/>
    <w:rsid w:val="00341999"/>
    <w:rsid w:val="00341C6F"/>
    <w:rsid w:val="0034203D"/>
    <w:rsid w:val="00342CB4"/>
    <w:rsid w:val="0034312D"/>
    <w:rsid w:val="0034330F"/>
    <w:rsid w:val="00343669"/>
    <w:rsid w:val="00343732"/>
    <w:rsid w:val="003438E5"/>
    <w:rsid w:val="00343972"/>
    <w:rsid w:val="00343C67"/>
    <w:rsid w:val="00343E03"/>
    <w:rsid w:val="0034410B"/>
    <w:rsid w:val="0034413A"/>
    <w:rsid w:val="00344465"/>
    <w:rsid w:val="00344BA3"/>
    <w:rsid w:val="00344BDC"/>
    <w:rsid w:val="00344D5E"/>
    <w:rsid w:val="003451C1"/>
    <w:rsid w:val="00345475"/>
    <w:rsid w:val="00345C8B"/>
    <w:rsid w:val="00346455"/>
    <w:rsid w:val="00346481"/>
    <w:rsid w:val="00346AE5"/>
    <w:rsid w:val="00346C56"/>
    <w:rsid w:val="00347782"/>
    <w:rsid w:val="00347D51"/>
    <w:rsid w:val="00347E11"/>
    <w:rsid w:val="00347F69"/>
    <w:rsid w:val="00350268"/>
    <w:rsid w:val="00350594"/>
    <w:rsid w:val="00350864"/>
    <w:rsid w:val="003514B4"/>
    <w:rsid w:val="003518DC"/>
    <w:rsid w:val="003518FE"/>
    <w:rsid w:val="00351A25"/>
    <w:rsid w:val="00352542"/>
    <w:rsid w:val="003527CE"/>
    <w:rsid w:val="0035326A"/>
    <w:rsid w:val="0035327A"/>
    <w:rsid w:val="003534CB"/>
    <w:rsid w:val="00353FC5"/>
    <w:rsid w:val="003542EB"/>
    <w:rsid w:val="00354407"/>
    <w:rsid w:val="00354730"/>
    <w:rsid w:val="00354B35"/>
    <w:rsid w:val="00354C00"/>
    <w:rsid w:val="00354CC2"/>
    <w:rsid w:val="00354E45"/>
    <w:rsid w:val="003555CF"/>
    <w:rsid w:val="0035570E"/>
    <w:rsid w:val="0035576F"/>
    <w:rsid w:val="00355B59"/>
    <w:rsid w:val="00356164"/>
    <w:rsid w:val="00356200"/>
    <w:rsid w:val="0035620E"/>
    <w:rsid w:val="00356219"/>
    <w:rsid w:val="003564B6"/>
    <w:rsid w:val="0035669E"/>
    <w:rsid w:val="0035672B"/>
    <w:rsid w:val="00356991"/>
    <w:rsid w:val="003571AF"/>
    <w:rsid w:val="003574FA"/>
    <w:rsid w:val="00357C05"/>
    <w:rsid w:val="00357DE5"/>
    <w:rsid w:val="0036071E"/>
    <w:rsid w:val="00360737"/>
    <w:rsid w:val="0036093B"/>
    <w:rsid w:val="00360BA3"/>
    <w:rsid w:val="00361038"/>
    <w:rsid w:val="00362445"/>
    <w:rsid w:val="0036258B"/>
    <w:rsid w:val="003638CF"/>
    <w:rsid w:val="00363B12"/>
    <w:rsid w:val="00363CA5"/>
    <w:rsid w:val="00363CCB"/>
    <w:rsid w:val="00363DA1"/>
    <w:rsid w:val="00363E38"/>
    <w:rsid w:val="00364206"/>
    <w:rsid w:val="0036423C"/>
    <w:rsid w:val="003644E3"/>
    <w:rsid w:val="003648BB"/>
    <w:rsid w:val="00364D59"/>
    <w:rsid w:val="00365244"/>
    <w:rsid w:val="003654BE"/>
    <w:rsid w:val="003654DD"/>
    <w:rsid w:val="00365572"/>
    <w:rsid w:val="00365D2E"/>
    <w:rsid w:val="00365DBB"/>
    <w:rsid w:val="0036631D"/>
    <w:rsid w:val="00366CA0"/>
    <w:rsid w:val="003672E3"/>
    <w:rsid w:val="003673E6"/>
    <w:rsid w:val="003675F0"/>
    <w:rsid w:val="003679F1"/>
    <w:rsid w:val="00367A90"/>
    <w:rsid w:val="00367E42"/>
    <w:rsid w:val="0037006D"/>
    <w:rsid w:val="00370115"/>
    <w:rsid w:val="003703EC"/>
    <w:rsid w:val="00370963"/>
    <w:rsid w:val="00371009"/>
    <w:rsid w:val="003714BA"/>
    <w:rsid w:val="00371BC4"/>
    <w:rsid w:val="003722E8"/>
    <w:rsid w:val="003723F1"/>
    <w:rsid w:val="003725FF"/>
    <w:rsid w:val="0037264D"/>
    <w:rsid w:val="00372733"/>
    <w:rsid w:val="0037280D"/>
    <w:rsid w:val="003728E1"/>
    <w:rsid w:val="00372C4C"/>
    <w:rsid w:val="00373B31"/>
    <w:rsid w:val="00373B8C"/>
    <w:rsid w:val="00373B9D"/>
    <w:rsid w:val="00373F9A"/>
    <w:rsid w:val="00374294"/>
    <w:rsid w:val="003745D0"/>
    <w:rsid w:val="00374A6C"/>
    <w:rsid w:val="0037521B"/>
    <w:rsid w:val="003759CE"/>
    <w:rsid w:val="00375B8A"/>
    <w:rsid w:val="00375D31"/>
    <w:rsid w:val="00375E04"/>
    <w:rsid w:val="003760E4"/>
    <w:rsid w:val="0037617A"/>
    <w:rsid w:val="0037642E"/>
    <w:rsid w:val="0037730A"/>
    <w:rsid w:val="003777F9"/>
    <w:rsid w:val="00377BF4"/>
    <w:rsid w:val="00377D45"/>
    <w:rsid w:val="00377DC3"/>
    <w:rsid w:val="003801DC"/>
    <w:rsid w:val="00380CF1"/>
    <w:rsid w:val="00380E15"/>
    <w:rsid w:val="00380F51"/>
    <w:rsid w:val="00381993"/>
    <w:rsid w:val="00381B3A"/>
    <w:rsid w:val="00381D4A"/>
    <w:rsid w:val="00381F38"/>
    <w:rsid w:val="00381F75"/>
    <w:rsid w:val="0038248C"/>
    <w:rsid w:val="003827F2"/>
    <w:rsid w:val="00383A0C"/>
    <w:rsid w:val="00383E24"/>
    <w:rsid w:val="0038445B"/>
    <w:rsid w:val="00384602"/>
    <w:rsid w:val="00384837"/>
    <w:rsid w:val="00384976"/>
    <w:rsid w:val="00384B03"/>
    <w:rsid w:val="00384B51"/>
    <w:rsid w:val="00385105"/>
    <w:rsid w:val="003856C6"/>
    <w:rsid w:val="003859B2"/>
    <w:rsid w:val="00385E50"/>
    <w:rsid w:val="003866CC"/>
    <w:rsid w:val="0038685F"/>
    <w:rsid w:val="00386B43"/>
    <w:rsid w:val="00386CBA"/>
    <w:rsid w:val="00386E1D"/>
    <w:rsid w:val="00386FC4"/>
    <w:rsid w:val="0038778A"/>
    <w:rsid w:val="00387B59"/>
    <w:rsid w:val="00387D0E"/>
    <w:rsid w:val="00390AA4"/>
    <w:rsid w:val="00390B45"/>
    <w:rsid w:val="003910D0"/>
    <w:rsid w:val="0039127E"/>
    <w:rsid w:val="003912E4"/>
    <w:rsid w:val="00391901"/>
    <w:rsid w:val="0039192C"/>
    <w:rsid w:val="0039195C"/>
    <w:rsid w:val="00391AC1"/>
    <w:rsid w:val="00391B2B"/>
    <w:rsid w:val="00391BBB"/>
    <w:rsid w:val="00391DF1"/>
    <w:rsid w:val="003922C6"/>
    <w:rsid w:val="00392361"/>
    <w:rsid w:val="003923E6"/>
    <w:rsid w:val="003925CB"/>
    <w:rsid w:val="00393129"/>
    <w:rsid w:val="00393813"/>
    <w:rsid w:val="00393FE9"/>
    <w:rsid w:val="003941B4"/>
    <w:rsid w:val="003943FE"/>
    <w:rsid w:val="0039476B"/>
    <w:rsid w:val="00394B5E"/>
    <w:rsid w:val="00394F4C"/>
    <w:rsid w:val="00395056"/>
    <w:rsid w:val="00395B79"/>
    <w:rsid w:val="00395BDA"/>
    <w:rsid w:val="00396113"/>
    <w:rsid w:val="00396744"/>
    <w:rsid w:val="0039686E"/>
    <w:rsid w:val="00396BF6"/>
    <w:rsid w:val="00396F26"/>
    <w:rsid w:val="003973FD"/>
    <w:rsid w:val="00397413"/>
    <w:rsid w:val="00397418"/>
    <w:rsid w:val="003976E4"/>
    <w:rsid w:val="00397E21"/>
    <w:rsid w:val="00397EDE"/>
    <w:rsid w:val="00397FDC"/>
    <w:rsid w:val="003A04AE"/>
    <w:rsid w:val="003A0667"/>
    <w:rsid w:val="003A0D2C"/>
    <w:rsid w:val="003A17BB"/>
    <w:rsid w:val="003A19D6"/>
    <w:rsid w:val="003A1CC3"/>
    <w:rsid w:val="003A2D4E"/>
    <w:rsid w:val="003A2E19"/>
    <w:rsid w:val="003A2E4A"/>
    <w:rsid w:val="003A2E89"/>
    <w:rsid w:val="003A33A7"/>
    <w:rsid w:val="003A3999"/>
    <w:rsid w:val="003A429F"/>
    <w:rsid w:val="003A441F"/>
    <w:rsid w:val="003A4462"/>
    <w:rsid w:val="003A4663"/>
    <w:rsid w:val="003A49AA"/>
    <w:rsid w:val="003A4BFF"/>
    <w:rsid w:val="003A4F4E"/>
    <w:rsid w:val="003A5A7C"/>
    <w:rsid w:val="003A5A8D"/>
    <w:rsid w:val="003A5D90"/>
    <w:rsid w:val="003A604C"/>
    <w:rsid w:val="003A62DA"/>
    <w:rsid w:val="003A6E26"/>
    <w:rsid w:val="003A6F24"/>
    <w:rsid w:val="003A7B14"/>
    <w:rsid w:val="003A7B7B"/>
    <w:rsid w:val="003A7B8C"/>
    <w:rsid w:val="003A7D2A"/>
    <w:rsid w:val="003A7D38"/>
    <w:rsid w:val="003B031E"/>
    <w:rsid w:val="003B05D3"/>
    <w:rsid w:val="003B08CD"/>
    <w:rsid w:val="003B0A4E"/>
    <w:rsid w:val="003B14FD"/>
    <w:rsid w:val="003B20FF"/>
    <w:rsid w:val="003B2427"/>
    <w:rsid w:val="003B2D7D"/>
    <w:rsid w:val="003B2EAE"/>
    <w:rsid w:val="003B352D"/>
    <w:rsid w:val="003B3E12"/>
    <w:rsid w:val="003B4279"/>
    <w:rsid w:val="003B4696"/>
    <w:rsid w:val="003B473D"/>
    <w:rsid w:val="003B489E"/>
    <w:rsid w:val="003B4E65"/>
    <w:rsid w:val="003B4EB6"/>
    <w:rsid w:val="003B51E6"/>
    <w:rsid w:val="003B5FAA"/>
    <w:rsid w:val="003B6031"/>
    <w:rsid w:val="003B6CDA"/>
    <w:rsid w:val="003B6E81"/>
    <w:rsid w:val="003B6FA1"/>
    <w:rsid w:val="003B707F"/>
    <w:rsid w:val="003B74B1"/>
    <w:rsid w:val="003B7821"/>
    <w:rsid w:val="003B7E05"/>
    <w:rsid w:val="003C052A"/>
    <w:rsid w:val="003C131E"/>
    <w:rsid w:val="003C19A5"/>
    <w:rsid w:val="003C19F3"/>
    <w:rsid w:val="003C1BE5"/>
    <w:rsid w:val="003C1C85"/>
    <w:rsid w:val="003C1D19"/>
    <w:rsid w:val="003C1F69"/>
    <w:rsid w:val="003C2736"/>
    <w:rsid w:val="003C2A17"/>
    <w:rsid w:val="003C2A5C"/>
    <w:rsid w:val="003C314B"/>
    <w:rsid w:val="003C321F"/>
    <w:rsid w:val="003C3419"/>
    <w:rsid w:val="003C344B"/>
    <w:rsid w:val="003C3A2A"/>
    <w:rsid w:val="003C3E7F"/>
    <w:rsid w:val="003C4482"/>
    <w:rsid w:val="003C4AB1"/>
    <w:rsid w:val="003C5260"/>
    <w:rsid w:val="003C53C5"/>
    <w:rsid w:val="003C5471"/>
    <w:rsid w:val="003C5CB8"/>
    <w:rsid w:val="003C5CC9"/>
    <w:rsid w:val="003C5EA1"/>
    <w:rsid w:val="003C612F"/>
    <w:rsid w:val="003C6468"/>
    <w:rsid w:val="003C67F4"/>
    <w:rsid w:val="003D0246"/>
    <w:rsid w:val="003D0AF6"/>
    <w:rsid w:val="003D0BFD"/>
    <w:rsid w:val="003D11D9"/>
    <w:rsid w:val="003D190F"/>
    <w:rsid w:val="003D1E5A"/>
    <w:rsid w:val="003D2D74"/>
    <w:rsid w:val="003D3990"/>
    <w:rsid w:val="003D39CC"/>
    <w:rsid w:val="003D42CB"/>
    <w:rsid w:val="003D43E2"/>
    <w:rsid w:val="003D4B62"/>
    <w:rsid w:val="003D4E9A"/>
    <w:rsid w:val="003D51F4"/>
    <w:rsid w:val="003D5811"/>
    <w:rsid w:val="003D58C5"/>
    <w:rsid w:val="003D5AD2"/>
    <w:rsid w:val="003D5D30"/>
    <w:rsid w:val="003D6638"/>
    <w:rsid w:val="003D66ED"/>
    <w:rsid w:val="003D67D4"/>
    <w:rsid w:val="003D7786"/>
    <w:rsid w:val="003D7FA3"/>
    <w:rsid w:val="003D7FC4"/>
    <w:rsid w:val="003E0354"/>
    <w:rsid w:val="003E079C"/>
    <w:rsid w:val="003E08DC"/>
    <w:rsid w:val="003E184A"/>
    <w:rsid w:val="003E1887"/>
    <w:rsid w:val="003E18C9"/>
    <w:rsid w:val="003E19E2"/>
    <w:rsid w:val="003E2014"/>
    <w:rsid w:val="003E23B9"/>
    <w:rsid w:val="003E2538"/>
    <w:rsid w:val="003E278F"/>
    <w:rsid w:val="003E2E55"/>
    <w:rsid w:val="003E3CB1"/>
    <w:rsid w:val="003E4296"/>
    <w:rsid w:val="003E43C8"/>
    <w:rsid w:val="003E4918"/>
    <w:rsid w:val="003E4A5E"/>
    <w:rsid w:val="003E4B5F"/>
    <w:rsid w:val="003E4EA9"/>
    <w:rsid w:val="003E530F"/>
    <w:rsid w:val="003E5568"/>
    <w:rsid w:val="003E5A33"/>
    <w:rsid w:val="003E5A92"/>
    <w:rsid w:val="003E5E89"/>
    <w:rsid w:val="003E6457"/>
    <w:rsid w:val="003E65FD"/>
    <w:rsid w:val="003E69CF"/>
    <w:rsid w:val="003E6BEE"/>
    <w:rsid w:val="003E6BEF"/>
    <w:rsid w:val="003E6D9A"/>
    <w:rsid w:val="003E6DA0"/>
    <w:rsid w:val="003E72DA"/>
    <w:rsid w:val="003F031C"/>
    <w:rsid w:val="003F0815"/>
    <w:rsid w:val="003F1622"/>
    <w:rsid w:val="003F1AA3"/>
    <w:rsid w:val="003F25EF"/>
    <w:rsid w:val="003F3000"/>
    <w:rsid w:val="003F3277"/>
    <w:rsid w:val="003F3A1A"/>
    <w:rsid w:val="003F3CEA"/>
    <w:rsid w:val="003F4387"/>
    <w:rsid w:val="003F43D1"/>
    <w:rsid w:val="003F4C79"/>
    <w:rsid w:val="003F4C9A"/>
    <w:rsid w:val="003F4E06"/>
    <w:rsid w:val="003F4FBD"/>
    <w:rsid w:val="003F52F0"/>
    <w:rsid w:val="003F5322"/>
    <w:rsid w:val="003F5590"/>
    <w:rsid w:val="003F58E4"/>
    <w:rsid w:val="003F5E3F"/>
    <w:rsid w:val="003F5EB7"/>
    <w:rsid w:val="003F6496"/>
    <w:rsid w:val="003F66DB"/>
    <w:rsid w:val="003F67CB"/>
    <w:rsid w:val="003F6C4E"/>
    <w:rsid w:val="003F6EE8"/>
    <w:rsid w:val="003F74C1"/>
    <w:rsid w:val="003F759C"/>
    <w:rsid w:val="003F7666"/>
    <w:rsid w:val="00400595"/>
    <w:rsid w:val="00401ABA"/>
    <w:rsid w:val="00401CD0"/>
    <w:rsid w:val="004023AF"/>
    <w:rsid w:val="00402608"/>
    <w:rsid w:val="00402E6B"/>
    <w:rsid w:val="00403542"/>
    <w:rsid w:val="00403A15"/>
    <w:rsid w:val="00403FA5"/>
    <w:rsid w:val="004053C3"/>
    <w:rsid w:val="00405408"/>
    <w:rsid w:val="0040544F"/>
    <w:rsid w:val="00405461"/>
    <w:rsid w:val="00405477"/>
    <w:rsid w:val="0040566B"/>
    <w:rsid w:val="004057B2"/>
    <w:rsid w:val="00405C18"/>
    <w:rsid w:val="0040662F"/>
    <w:rsid w:val="004067F1"/>
    <w:rsid w:val="00406945"/>
    <w:rsid w:val="00406A14"/>
    <w:rsid w:val="00406C6B"/>
    <w:rsid w:val="00406C91"/>
    <w:rsid w:val="00406ECC"/>
    <w:rsid w:val="00407A85"/>
    <w:rsid w:val="00407C11"/>
    <w:rsid w:val="00407F34"/>
    <w:rsid w:val="004103EB"/>
    <w:rsid w:val="00410441"/>
    <w:rsid w:val="0041078F"/>
    <w:rsid w:val="00410B02"/>
    <w:rsid w:val="00410B78"/>
    <w:rsid w:val="0041102C"/>
    <w:rsid w:val="00411154"/>
    <w:rsid w:val="00411468"/>
    <w:rsid w:val="00411711"/>
    <w:rsid w:val="00412A74"/>
    <w:rsid w:val="00412BDE"/>
    <w:rsid w:val="00413289"/>
    <w:rsid w:val="004143AE"/>
    <w:rsid w:val="004146E5"/>
    <w:rsid w:val="00414937"/>
    <w:rsid w:val="00414DE0"/>
    <w:rsid w:val="004150FE"/>
    <w:rsid w:val="004158A0"/>
    <w:rsid w:val="00415D69"/>
    <w:rsid w:val="00415FAD"/>
    <w:rsid w:val="0041619C"/>
    <w:rsid w:val="0041747C"/>
    <w:rsid w:val="004174AE"/>
    <w:rsid w:val="00417701"/>
    <w:rsid w:val="00417988"/>
    <w:rsid w:val="00417C68"/>
    <w:rsid w:val="00417D7A"/>
    <w:rsid w:val="004203AA"/>
    <w:rsid w:val="004208E2"/>
    <w:rsid w:val="00420BA6"/>
    <w:rsid w:val="00420F4B"/>
    <w:rsid w:val="0042121D"/>
    <w:rsid w:val="0042181C"/>
    <w:rsid w:val="00422030"/>
    <w:rsid w:val="00422388"/>
    <w:rsid w:val="00422508"/>
    <w:rsid w:val="0042267A"/>
    <w:rsid w:val="00422C59"/>
    <w:rsid w:val="00422CFC"/>
    <w:rsid w:val="0042412E"/>
    <w:rsid w:val="0042472D"/>
    <w:rsid w:val="00424ABD"/>
    <w:rsid w:val="00424F53"/>
    <w:rsid w:val="0042505E"/>
    <w:rsid w:val="004257A7"/>
    <w:rsid w:val="004258AB"/>
    <w:rsid w:val="00425EF9"/>
    <w:rsid w:val="00426254"/>
    <w:rsid w:val="0042680F"/>
    <w:rsid w:val="00427725"/>
    <w:rsid w:val="00427765"/>
    <w:rsid w:val="00427E18"/>
    <w:rsid w:val="00427FEE"/>
    <w:rsid w:val="0043011A"/>
    <w:rsid w:val="0043040E"/>
    <w:rsid w:val="004305C5"/>
    <w:rsid w:val="004307C0"/>
    <w:rsid w:val="00430892"/>
    <w:rsid w:val="00430A57"/>
    <w:rsid w:val="00430C70"/>
    <w:rsid w:val="004313DB"/>
    <w:rsid w:val="004318F9"/>
    <w:rsid w:val="00431E28"/>
    <w:rsid w:val="00431EF9"/>
    <w:rsid w:val="0043295B"/>
    <w:rsid w:val="00432A81"/>
    <w:rsid w:val="00432B9E"/>
    <w:rsid w:val="004338AC"/>
    <w:rsid w:val="00433A31"/>
    <w:rsid w:val="00434374"/>
    <w:rsid w:val="004345A9"/>
    <w:rsid w:val="00435012"/>
    <w:rsid w:val="00435197"/>
    <w:rsid w:val="0043678E"/>
    <w:rsid w:val="00437068"/>
    <w:rsid w:val="004377D6"/>
    <w:rsid w:val="00437B57"/>
    <w:rsid w:val="00440AFD"/>
    <w:rsid w:val="00440FD6"/>
    <w:rsid w:val="004410BC"/>
    <w:rsid w:val="00441164"/>
    <w:rsid w:val="004414D3"/>
    <w:rsid w:val="00441A6C"/>
    <w:rsid w:val="00442049"/>
    <w:rsid w:val="004420F9"/>
    <w:rsid w:val="00442CCD"/>
    <w:rsid w:val="00442DC9"/>
    <w:rsid w:val="004435D7"/>
    <w:rsid w:val="00443B9C"/>
    <w:rsid w:val="00443E2F"/>
    <w:rsid w:val="00444188"/>
    <w:rsid w:val="00444473"/>
    <w:rsid w:val="0044482D"/>
    <w:rsid w:val="00444927"/>
    <w:rsid w:val="00444FEA"/>
    <w:rsid w:val="004458AB"/>
    <w:rsid w:val="00445A3C"/>
    <w:rsid w:val="00445C66"/>
    <w:rsid w:val="00445C9F"/>
    <w:rsid w:val="00446D64"/>
    <w:rsid w:val="00446D8E"/>
    <w:rsid w:val="00446E05"/>
    <w:rsid w:val="004475D5"/>
    <w:rsid w:val="00450347"/>
    <w:rsid w:val="004503A1"/>
    <w:rsid w:val="00450674"/>
    <w:rsid w:val="00451846"/>
    <w:rsid w:val="00451E7F"/>
    <w:rsid w:val="0045201A"/>
    <w:rsid w:val="0045229F"/>
    <w:rsid w:val="00452A66"/>
    <w:rsid w:val="0045317A"/>
    <w:rsid w:val="004536EF"/>
    <w:rsid w:val="00453DB3"/>
    <w:rsid w:val="00453DCC"/>
    <w:rsid w:val="00453FFE"/>
    <w:rsid w:val="00454800"/>
    <w:rsid w:val="00454858"/>
    <w:rsid w:val="00454B8F"/>
    <w:rsid w:val="00454C20"/>
    <w:rsid w:val="00454CB4"/>
    <w:rsid w:val="00454F7D"/>
    <w:rsid w:val="004557BD"/>
    <w:rsid w:val="004558FA"/>
    <w:rsid w:val="00455CAE"/>
    <w:rsid w:val="00455E9B"/>
    <w:rsid w:val="00455EA7"/>
    <w:rsid w:val="004566DC"/>
    <w:rsid w:val="00456D15"/>
    <w:rsid w:val="00457005"/>
    <w:rsid w:val="004572EB"/>
    <w:rsid w:val="004573D0"/>
    <w:rsid w:val="004578E3"/>
    <w:rsid w:val="00457DFE"/>
    <w:rsid w:val="00460181"/>
    <w:rsid w:val="004602D4"/>
    <w:rsid w:val="00460321"/>
    <w:rsid w:val="004607F1"/>
    <w:rsid w:val="00460A4B"/>
    <w:rsid w:val="00461252"/>
    <w:rsid w:val="004613B8"/>
    <w:rsid w:val="0046159B"/>
    <w:rsid w:val="00461A84"/>
    <w:rsid w:val="00461A87"/>
    <w:rsid w:val="004620F4"/>
    <w:rsid w:val="0046215E"/>
    <w:rsid w:val="00462286"/>
    <w:rsid w:val="00462519"/>
    <w:rsid w:val="00462A92"/>
    <w:rsid w:val="00462F25"/>
    <w:rsid w:val="004631A1"/>
    <w:rsid w:val="0046330C"/>
    <w:rsid w:val="00463717"/>
    <w:rsid w:val="00463754"/>
    <w:rsid w:val="004637CD"/>
    <w:rsid w:val="0046405D"/>
    <w:rsid w:val="0046427F"/>
    <w:rsid w:val="00465381"/>
    <w:rsid w:val="004653AD"/>
    <w:rsid w:val="00465498"/>
    <w:rsid w:val="00465A3C"/>
    <w:rsid w:val="00465D94"/>
    <w:rsid w:val="00465F55"/>
    <w:rsid w:val="0046615C"/>
    <w:rsid w:val="004665C7"/>
    <w:rsid w:val="00466742"/>
    <w:rsid w:val="00466AE4"/>
    <w:rsid w:val="004673E5"/>
    <w:rsid w:val="0046756D"/>
    <w:rsid w:val="00467B68"/>
    <w:rsid w:val="004704B5"/>
    <w:rsid w:val="00470883"/>
    <w:rsid w:val="004708D2"/>
    <w:rsid w:val="00470A80"/>
    <w:rsid w:val="00470F9C"/>
    <w:rsid w:val="00471361"/>
    <w:rsid w:val="0047140D"/>
    <w:rsid w:val="00472834"/>
    <w:rsid w:val="00472ADA"/>
    <w:rsid w:val="00472AF9"/>
    <w:rsid w:val="00472E87"/>
    <w:rsid w:val="00472FD2"/>
    <w:rsid w:val="00473332"/>
    <w:rsid w:val="00473CDF"/>
    <w:rsid w:val="00473F72"/>
    <w:rsid w:val="00474322"/>
    <w:rsid w:val="0047451B"/>
    <w:rsid w:val="00474620"/>
    <w:rsid w:val="004746DF"/>
    <w:rsid w:val="00474827"/>
    <w:rsid w:val="004751F6"/>
    <w:rsid w:val="0047548C"/>
    <w:rsid w:val="00475DC2"/>
    <w:rsid w:val="00476446"/>
    <w:rsid w:val="0047691F"/>
    <w:rsid w:val="00476C19"/>
    <w:rsid w:val="004778F1"/>
    <w:rsid w:val="004779AB"/>
    <w:rsid w:val="004779B9"/>
    <w:rsid w:val="00477FA2"/>
    <w:rsid w:val="004801BA"/>
    <w:rsid w:val="0048028B"/>
    <w:rsid w:val="00480388"/>
    <w:rsid w:val="0048098C"/>
    <w:rsid w:val="00481C87"/>
    <w:rsid w:val="004828B4"/>
    <w:rsid w:val="00482B8F"/>
    <w:rsid w:val="00482F94"/>
    <w:rsid w:val="004836EF"/>
    <w:rsid w:val="004840B7"/>
    <w:rsid w:val="00484F5A"/>
    <w:rsid w:val="00485352"/>
    <w:rsid w:val="0048639E"/>
    <w:rsid w:val="004876C2"/>
    <w:rsid w:val="004878B6"/>
    <w:rsid w:val="00490151"/>
    <w:rsid w:val="00490831"/>
    <w:rsid w:val="00491095"/>
    <w:rsid w:val="00491142"/>
    <w:rsid w:val="00491231"/>
    <w:rsid w:val="004918B1"/>
    <w:rsid w:val="00491A2E"/>
    <w:rsid w:val="00491AA2"/>
    <w:rsid w:val="00492C56"/>
    <w:rsid w:val="00492E49"/>
    <w:rsid w:val="00492F1A"/>
    <w:rsid w:val="00493419"/>
    <w:rsid w:val="00493782"/>
    <w:rsid w:val="00493CF5"/>
    <w:rsid w:val="00493E2D"/>
    <w:rsid w:val="004948FD"/>
    <w:rsid w:val="00494AD0"/>
    <w:rsid w:val="00494B2E"/>
    <w:rsid w:val="00495178"/>
    <w:rsid w:val="004952A2"/>
    <w:rsid w:val="004953CF"/>
    <w:rsid w:val="0049590C"/>
    <w:rsid w:val="00495D9A"/>
    <w:rsid w:val="00496562"/>
    <w:rsid w:val="004966E0"/>
    <w:rsid w:val="00496B70"/>
    <w:rsid w:val="00496D4F"/>
    <w:rsid w:val="00497775"/>
    <w:rsid w:val="00497ED9"/>
    <w:rsid w:val="004A0ECC"/>
    <w:rsid w:val="004A103A"/>
    <w:rsid w:val="004A1246"/>
    <w:rsid w:val="004A17D3"/>
    <w:rsid w:val="004A17FA"/>
    <w:rsid w:val="004A25D9"/>
    <w:rsid w:val="004A295A"/>
    <w:rsid w:val="004A3761"/>
    <w:rsid w:val="004A37BC"/>
    <w:rsid w:val="004A3DFC"/>
    <w:rsid w:val="004A3F18"/>
    <w:rsid w:val="004A41A5"/>
    <w:rsid w:val="004A43C8"/>
    <w:rsid w:val="004A4C54"/>
    <w:rsid w:val="004A4D06"/>
    <w:rsid w:val="004A4FC8"/>
    <w:rsid w:val="004A5232"/>
    <w:rsid w:val="004A556C"/>
    <w:rsid w:val="004A5729"/>
    <w:rsid w:val="004A6D5E"/>
    <w:rsid w:val="004A76F0"/>
    <w:rsid w:val="004B000C"/>
    <w:rsid w:val="004B0A5F"/>
    <w:rsid w:val="004B11AD"/>
    <w:rsid w:val="004B11E3"/>
    <w:rsid w:val="004B157C"/>
    <w:rsid w:val="004B15CE"/>
    <w:rsid w:val="004B1791"/>
    <w:rsid w:val="004B214B"/>
    <w:rsid w:val="004B25FF"/>
    <w:rsid w:val="004B2630"/>
    <w:rsid w:val="004B342B"/>
    <w:rsid w:val="004B37DF"/>
    <w:rsid w:val="004B4986"/>
    <w:rsid w:val="004B4A7F"/>
    <w:rsid w:val="004B4C88"/>
    <w:rsid w:val="004B51A3"/>
    <w:rsid w:val="004B534E"/>
    <w:rsid w:val="004B59CB"/>
    <w:rsid w:val="004B5AA3"/>
    <w:rsid w:val="004B6621"/>
    <w:rsid w:val="004B6901"/>
    <w:rsid w:val="004B6F05"/>
    <w:rsid w:val="004C0712"/>
    <w:rsid w:val="004C0F0D"/>
    <w:rsid w:val="004C1062"/>
    <w:rsid w:val="004C1208"/>
    <w:rsid w:val="004C1838"/>
    <w:rsid w:val="004C1C11"/>
    <w:rsid w:val="004C1CE3"/>
    <w:rsid w:val="004C1E63"/>
    <w:rsid w:val="004C2626"/>
    <w:rsid w:val="004C26E3"/>
    <w:rsid w:val="004C2D28"/>
    <w:rsid w:val="004C3037"/>
    <w:rsid w:val="004C34C7"/>
    <w:rsid w:val="004C3FD7"/>
    <w:rsid w:val="004C49A0"/>
    <w:rsid w:val="004C4F85"/>
    <w:rsid w:val="004C5164"/>
    <w:rsid w:val="004C5AA1"/>
    <w:rsid w:val="004C5CC8"/>
    <w:rsid w:val="004C600D"/>
    <w:rsid w:val="004C6374"/>
    <w:rsid w:val="004C64D0"/>
    <w:rsid w:val="004C683A"/>
    <w:rsid w:val="004C6979"/>
    <w:rsid w:val="004C6B4F"/>
    <w:rsid w:val="004C6D63"/>
    <w:rsid w:val="004C6DF5"/>
    <w:rsid w:val="004C7209"/>
    <w:rsid w:val="004C79D9"/>
    <w:rsid w:val="004C7D11"/>
    <w:rsid w:val="004D00CF"/>
    <w:rsid w:val="004D1865"/>
    <w:rsid w:val="004D25E2"/>
    <w:rsid w:val="004D29DA"/>
    <w:rsid w:val="004D3217"/>
    <w:rsid w:val="004D3892"/>
    <w:rsid w:val="004D394A"/>
    <w:rsid w:val="004D3A17"/>
    <w:rsid w:val="004D3D10"/>
    <w:rsid w:val="004D4256"/>
    <w:rsid w:val="004D439A"/>
    <w:rsid w:val="004D4685"/>
    <w:rsid w:val="004D483A"/>
    <w:rsid w:val="004D4AC2"/>
    <w:rsid w:val="004D5038"/>
    <w:rsid w:val="004D566B"/>
    <w:rsid w:val="004D5C26"/>
    <w:rsid w:val="004D5D0B"/>
    <w:rsid w:val="004D5EBD"/>
    <w:rsid w:val="004D61E5"/>
    <w:rsid w:val="004D6314"/>
    <w:rsid w:val="004D676F"/>
    <w:rsid w:val="004D6A67"/>
    <w:rsid w:val="004D6D81"/>
    <w:rsid w:val="004D7312"/>
    <w:rsid w:val="004D7420"/>
    <w:rsid w:val="004D75A3"/>
    <w:rsid w:val="004D76A6"/>
    <w:rsid w:val="004E001F"/>
    <w:rsid w:val="004E054D"/>
    <w:rsid w:val="004E0655"/>
    <w:rsid w:val="004E07DA"/>
    <w:rsid w:val="004E1454"/>
    <w:rsid w:val="004E1D12"/>
    <w:rsid w:val="004E2921"/>
    <w:rsid w:val="004E2BC5"/>
    <w:rsid w:val="004E2D25"/>
    <w:rsid w:val="004E305F"/>
    <w:rsid w:val="004E325F"/>
    <w:rsid w:val="004E3860"/>
    <w:rsid w:val="004E3C85"/>
    <w:rsid w:val="004E3FB6"/>
    <w:rsid w:val="004E41AF"/>
    <w:rsid w:val="004E4277"/>
    <w:rsid w:val="004E4F95"/>
    <w:rsid w:val="004E52A0"/>
    <w:rsid w:val="004E53FC"/>
    <w:rsid w:val="004E578F"/>
    <w:rsid w:val="004E5CF5"/>
    <w:rsid w:val="004E5FB5"/>
    <w:rsid w:val="004E62BD"/>
    <w:rsid w:val="004E692A"/>
    <w:rsid w:val="004E7540"/>
    <w:rsid w:val="004E7A4B"/>
    <w:rsid w:val="004E7FC0"/>
    <w:rsid w:val="004F00FE"/>
    <w:rsid w:val="004F05B8"/>
    <w:rsid w:val="004F0657"/>
    <w:rsid w:val="004F0917"/>
    <w:rsid w:val="004F1A7E"/>
    <w:rsid w:val="004F23CA"/>
    <w:rsid w:val="004F25C8"/>
    <w:rsid w:val="004F25DD"/>
    <w:rsid w:val="004F2F35"/>
    <w:rsid w:val="004F3786"/>
    <w:rsid w:val="004F3943"/>
    <w:rsid w:val="004F3B81"/>
    <w:rsid w:val="004F3BE6"/>
    <w:rsid w:val="004F3C52"/>
    <w:rsid w:val="004F3D20"/>
    <w:rsid w:val="004F4864"/>
    <w:rsid w:val="004F4978"/>
    <w:rsid w:val="004F4C30"/>
    <w:rsid w:val="004F4CE3"/>
    <w:rsid w:val="004F4ED1"/>
    <w:rsid w:val="004F4F47"/>
    <w:rsid w:val="004F56ED"/>
    <w:rsid w:val="004F5D56"/>
    <w:rsid w:val="004F5FA0"/>
    <w:rsid w:val="004F6045"/>
    <w:rsid w:val="004F6147"/>
    <w:rsid w:val="004F614F"/>
    <w:rsid w:val="004F675B"/>
    <w:rsid w:val="004F6933"/>
    <w:rsid w:val="004F69FE"/>
    <w:rsid w:val="004F725B"/>
    <w:rsid w:val="004F752A"/>
    <w:rsid w:val="004F781C"/>
    <w:rsid w:val="004F7907"/>
    <w:rsid w:val="004F7918"/>
    <w:rsid w:val="004F7E4D"/>
    <w:rsid w:val="004F7FD0"/>
    <w:rsid w:val="0050098F"/>
    <w:rsid w:val="00500AE6"/>
    <w:rsid w:val="00500B30"/>
    <w:rsid w:val="00500CC6"/>
    <w:rsid w:val="00500F4D"/>
    <w:rsid w:val="005014B2"/>
    <w:rsid w:val="0050229E"/>
    <w:rsid w:val="005034B7"/>
    <w:rsid w:val="00503797"/>
    <w:rsid w:val="0050398F"/>
    <w:rsid w:val="00503F6D"/>
    <w:rsid w:val="00504A08"/>
    <w:rsid w:val="00505B35"/>
    <w:rsid w:val="005067EB"/>
    <w:rsid w:val="00506A6F"/>
    <w:rsid w:val="00506B64"/>
    <w:rsid w:val="005079A3"/>
    <w:rsid w:val="00510460"/>
    <w:rsid w:val="005107AD"/>
    <w:rsid w:val="00510AC7"/>
    <w:rsid w:val="005110DB"/>
    <w:rsid w:val="005111E1"/>
    <w:rsid w:val="00511308"/>
    <w:rsid w:val="0051135D"/>
    <w:rsid w:val="00511882"/>
    <w:rsid w:val="00511D96"/>
    <w:rsid w:val="0051227C"/>
    <w:rsid w:val="0051254F"/>
    <w:rsid w:val="00512990"/>
    <w:rsid w:val="005130A1"/>
    <w:rsid w:val="00513515"/>
    <w:rsid w:val="00513BE9"/>
    <w:rsid w:val="00513C1F"/>
    <w:rsid w:val="00513E25"/>
    <w:rsid w:val="0051430B"/>
    <w:rsid w:val="005144B5"/>
    <w:rsid w:val="00514710"/>
    <w:rsid w:val="00514D27"/>
    <w:rsid w:val="00514D9B"/>
    <w:rsid w:val="0051538D"/>
    <w:rsid w:val="005162F1"/>
    <w:rsid w:val="00516603"/>
    <w:rsid w:val="0051788F"/>
    <w:rsid w:val="005219BF"/>
    <w:rsid w:val="005219D0"/>
    <w:rsid w:val="00522B77"/>
    <w:rsid w:val="005234BC"/>
    <w:rsid w:val="00523A99"/>
    <w:rsid w:val="00523D53"/>
    <w:rsid w:val="00523EA5"/>
    <w:rsid w:val="00523F12"/>
    <w:rsid w:val="00523FCF"/>
    <w:rsid w:val="0052453B"/>
    <w:rsid w:val="00524DB0"/>
    <w:rsid w:val="00525285"/>
    <w:rsid w:val="0052553B"/>
    <w:rsid w:val="00525960"/>
    <w:rsid w:val="00525BBB"/>
    <w:rsid w:val="00525FD2"/>
    <w:rsid w:val="00526118"/>
    <w:rsid w:val="005263EB"/>
    <w:rsid w:val="005264E7"/>
    <w:rsid w:val="0052699C"/>
    <w:rsid w:val="00526EAF"/>
    <w:rsid w:val="00526F84"/>
    <w:rsid w:val="0052700A"/>
    <w:rsid w:val="00527282"/>
    <w:rsid w:val="00527A3A"/>
    <w:rsid w:val="00527A5E"/>
    <w:rsid w:val="00527BA9"/>
    <w:rsid w:val="00527E75"/>
    <w:rsid w:val="00527FDE"/>
    <w:rsid w:val="00530166"/>
    <w:rsid w:val="0053028F"/>
    <w:rsid w:val="00530771"/>
    <w:rsid w:val="00530783"/>
    <w:rsid w:val="00530833"/>
    <w:rsid w:val="00530DE9"/>
    <w:rsid w:val="00530F0B"/>
    <w:rsid w:val="00531A58"/>
    <w:rsid w:val="005320EA"/>
    <w:rsid w:val="005327DB"/>
    <w:rsid w:val="00533038"/>
    <w:rsid w:val="00534939"/>
    <w:rsid w:val="005349F7"/>
    <w:rsid w:val="0053516D"/>
    <w:rsid w:val="005359C4"/>
    <w:rsid w:val="0053625D"/>
    <w:rsid w:val="0053663A"/>
    <w:rsid w:val="005367E4"/>
    <w:rsid w:val="0053686A"/>
    <w:rsid w:val="00536895"/>
    <w:rsid w:val="005369A2"/>
    <w:rsid w:val="00536F59"/>
    <w:rsid w:val="00537507"/>
    <w:rsid w:val="00537A32"/>
    <w:rsid w:val="00537D1F"/>
    <w:rsid w:val="00537D7C"/>
    <w:rsid w:val="005406B0"/>
    <w:rsid w:val="00540749"/>
    <w:rsid w:val="0054077E"/>
    <w:rsid w:val="00540889"/>
    <w:rsid w:val="00540997"/>
    <w:rsid w:val="00540FAC"/>
    <w:rsid w:val="005412F3"/>
    <w:rsid w:val="00541413"/>
    <w:rsid w:val="00542264"/>
    <w:rsid w:val="00542BA4"/>
    <w:rsid w:val="00542EA1"/>
    <w:rsid w:val="005431F0"/>
    <w:rsid w:val="005431FC"/>
    <w:rsid w:val="005432D7"/>
    <w:rsid w:val="005434FF"/>
    <w:rsid w:val="00543C23"/>
    <w:rsid w:val="00543D2C"/>
    <w:rsid w:val="00544329"/>
    <w:rsid w:val="00544453"/>
    <w:rsid w:val="005446AA"/>
    <w:rsid w:val="00545125"/>
    <w:rsid w:val="005454D3"/>
    <w:rsid w:val="00545C3B"/>
    <w:rsid w:val="00545DC1"/>
    <w:rsid w:val="00546FA9"/>
    <w:rsid w:val="005472F5"/>
    <w:rsid w:val="0054766B"/>
    <w:rsid w:val="005477A8"/>
    <w:rsid w:val="00547AFA"/>
    <w:rsid w:val="00547D87"/>
    <w:rsid w:val="00547F4B"/>
    <w:rsid w:val="005503D4"/>
    <w:rsid w:val="00550AA6"/>
    <w:rsid w:val="005516BD"/>
    <w:rsid w:val="00552061"/>
    <w:rsid w:val="00552A9A"/>
    <w:rsid w:val="0055304F"/>
    <w:rsid w:val="005530E3"/>
    <w:rsid w:val="00553112"/>
    <w:rsid w:val="00553457"/>
    <w:rsid w:val="005539EC"/>
    <w:rsid w:val="00553A0B"/>
    <w:rsid w:val="00554607"/>
    <w:rsid w:val="00554627"/>
    <w:rsid w:val="005547FF"/>
    <w:rsid w:val="00554C99"/>
    <w:rsid w:val="005555CA"/>
    <w:rsid w:val="0055582F"/>
    <w:rsid w:val="00555E12"/>
    <w:rsid w:val="005560BF"/>
    <w:rsid w:val="005563C9"/>
    <w:rsid w:val="005571A6"/>
    <w:rsid w:val="005571BF"/>
    <w:rsid w:val="005574F9"/>
    <w:rsid w:val="0055764E"/>
    <w:rsid w:val="00557914"/>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1F93"/>
    <w:rsid w:val="0056276F"/>
    <w:rsid w:val="005629D3"/>
    <w:rsid w:val="00562E3D"/>
    <w:rsid w:val="00563ADB"/>
    <w:rsid w:val="00563F4C"/>
    <w:rsid w:val="00563F75"/>
    <w:rsid w:val="005640C6"/>
    <w:rsid w:val="005640EB"/>
    <w:rsid w:val="00564129"/>
    <w:rsid w:val="00564671"/>
    <w:rsid w:val="00564985"/>
    <w:rsid w:val="00565514"/>
    <w:rsid w:val="00566803"/>
    <w:rsid w:val="00566845"/>
    <w:rsid w:val="00566EF4"/>
    <w:rsid w:val="005679B2"/>
    <w:rsid w:val="00567EC7"/>
    <w:rsid w:val="00570499"/>
    <w:rsid w:val="00570584"/>
    <w:rsid w:val="00570B66"/>
    <w:rsid w:val="005712D6"/>
    <w:rsid w:val="00571812"/>
    <w:rsid w:val="00571DCD"/>
    <w:rsid w:val="0057218C"/>
    <w:rsid w:val="00572247"/>
    <w:rsid w:val="0057272D"/>
    <w:rsid w:val="005728B8"/>
    <w:rsid w:val="00572A64"/>
    <w:rsid w:val="00572C81"/>
    <w:rsid w:val="00572E70"/>
    <w:rsid w:val="00573369"/>
    <w:rsid w:val="00573814"/>
    <w:rsid w:val="00573C20"/>
    <w:rsid w:val="00573DD9"/>
    <w:rsid w:val="00574120"/>
    <w:rsid w:val="0057418A"/>
    <w:rsid w:val="00574208"/>
    <w:rsid w:val="00574923"/>
    <w:rsid w:val="00574D59"/>
    <w:rsid w:val="00575C24"/>
    <w:rsid w:val="00576226"/>
    <w:rsid w:val="00576249"/>
    <w:rsid w:val="005762EA"/>
    <w:rsid w:val="005767AE"/>
    <w:rsid w:val="00576B97"/>
    <w:rsid w:val="00576FDE"/>
    <w:rsid w:val="00577673"/>
    <w:rsid w:val="00577A7B"/>
    <w:rsid w:val="00580390"/>
    <w:rsid w:val="005817B2"/>
    <w:rsid w:val="005819F7"/>
    <w:rsid w:val="00581AC7"/>
    <w:rsid w:val="00581C35"/>
    <w:rsid w:val="00582004"/>
    <w:rsid w:val="005824C6"/>
    <w:rsid w:val="00582674"/>
    <w:rsid w:val="0058271E"/>
    <w:rsid w:val="0058283F"/>
    <w:rsid w:val="005829C1"/>
    <w:rsid w:val="00582CE5"/>
    <w:rsid w:val="00583930"/>
    <w:rsid w:val="00583BAF"/>
    <w:rsid w:val="00583BFE"/>
    <w:rsid w:val="00583CC8"/>
    <w:rsid w:val="00583D8A"/>
    <w:rsid w:val="00583EFD"/>
    <w:rsid w:val="005840EF"/>
    <w:rsid w:val="00584272"/>
    <w:rsid w:val="00584356"/>
    <w:rsid w:val="005845A3"/>
    <w:rsid w:val="005848F8"/>
    <w:rsid w:val="00584D14"/>
    <w:rsid w:val="00584E2F"/>
    <w:rsid w:val="00585151"/>
    <w:rsid w:val="0058525B"/>
    <w:rsid w:val="00585AF4"/>
    <w:rsid w:val="00585C03"/>
    <w:rsid w:val="00585D14"/>
    <w:rsid w:val="00586637"/>
    <w:rsid w:val="00586C2A"/>
    <w:rsid w:val="00587A2A"/>
    <w:rsid w:val="00587C46"/>
    <w:rsid w:val="00587E07"/>
    <w:rsid w:val="00587F56"/>
    <w:rsid w:val="00587FD9"/>
    <w:rsid w:val="005906A9"/>
    <w:rsid w:val="005908B9"/>
    <w:rsid w:val="00591265"/>
    <w:rsid w:val="00591283"/>
    <w:rsid w:val="005915A4"/>
    <w:rsid w:val="005922D3"/>
    <w:rsid w:val="005924D3"/>
    <w:rsid w:val="005924F1"/>
    <w:rsid w:val="005925E3"/>
    <w:rsid w:val="00592BEC"/>
    <w:rsid w:val="0059304D"/>
    <w:rsid w:val="005933AE"/>
    <w:rsid w:val="00593431"/>
    <w:rsid w:val="0059369F"/>
    <w:rsid w:val="00593D8F"/>
    <w:rsid w:val="00594318"/>
    <w:rsid w:val="00594710"/>
    <w:rsid w:val="00594CD1"/>
    <w:rsid w:val="00595156"/>
    <w:rsid w:val="0059541A"/>
    <w:rsid w:val="00595A58"/>
    <w:rsid w:val="00595CE4"/>
    <w:rsid w:val="00596832"/>
    <w:rsid w:val="00596CCB"/>
    <w:rsid w:val="00596DB6"/>
    <w:rsid w:val="00596FD6"/>
    <w:rsid w:val="00597753"/>
    <w:rsid w:val="00597817"/>
    <w:rsid w:val="00597858"/>
    <w:rsid w:val="00597E1A"/>
    <w:rsid w:val="00597E6F"/>
    <w:rsid w:val="005A01D5"/>
    <w:rsid w:val="005A0203"/>
    <w:rsid w:val="005A052F"/>
    <w:rsid w:val="005A0EFC"/>
    <w:rsid w:val="005A1018"/>
    <w:rsid w:val="005A1099"/>
    <w:rsid w:val="005A12EF"/>
    <w:rsid w:val="005A1980"/>
    <w:rsid w:val="005A1A26"/>
    <w:rsid w:val="005A1C37"/>
    <w:rsid w:val="005A1CEC"/>
    <w:rsid w:val="005A1F74"/>
    <w:rsid w:val="005A2130"/>
    <w:rsid w:val="005A2526"/>
    <w:rsid w:val="005A2593"/>
    <w:rsid w:val="005A27E6"/>
    <w:rsid w:val="005A3196"/>
    <w:rsid w:val="005A339E"/>
    <w:rsid w:val="005A3CA4"/>
    <w:rsid w:val="005A408B"/>
    <w:rsid w:val="005A4F9C"/>
    <w:rsid w:val="005A505E"/>
    <w:rsid w:val="005A5908"/>
    <w:rsid w:val="005A6A7C"/>
    <w:rsid w:val="005A6F80"/>
    <w:rsid w:val="005A71F2"/>
    <w:rsid w:val="005A7215"/>
    <w:rsid w:val="005A726F"/>
    <w:rsid w:val="005A782E"/>
    <w:rsid w:val="005A793B"/>
    <w:rsid w:val="005A79AE"/>
    <w:rsid w:val="005B0084"/>
    <w:rsid w:val="005B1394"/>
    <w:rsid w:val="005B1592"/>
    <w:rsid w:val="005B1644"/>
    <w:rsid w:val="005B18D6"/>
    <w:rsid w:val="005B2054"/>
    <w:rsid w:val="005B2607"/>
    <w:rsid w:val="005B26FD"/>
    <w:rsid w:val="005B274E"/>
    <w:rsid w:val="005B2CFA"/>
    <w:rsid w:val="005B2D07"/>
    <w:rsid w:val="005B2DE2"/>
    <w:rsid w:val="005B3109"/>
    <w:rsid w:val="005B31CD"/>
    <w:rsid w:val="005B34B3"/>
    <w:rsid w:val="005B429E"/>
    <w:rsid w:val="005B43EE"/>
    <w:rsid w:val="005B44D0"/>
    <w:rsid w:val="005B4B13"/>
    <w:rsid w:val="005B4CD8"/>
    <w:rsid w:val="005B5B11"/>
    <w:rsid w:val="005B60BD"/>
    <w:rsid w:val="005B6837"/>
    <w:rsid w:val="005B7448"/>
    <w:rsid w:val="005C0607"/>
    <w:rsid w:val="005C0A76"/>
    <w:rsid w:val="005C0F51"/>
    <w:rsid w:val="005C11E6"/>
    <w:rsid w:val="005C1228"/>
    <w:rsid w:val="005C13DF"/>
    <w:rsid w:val="005C13FB"/>
    <w:rsid w:val="005C1F3B"/>
    <w:rsid w:val="005C208C"/>
    <w:rsid w:val="005C2E67"/>
    <w:rsid w:val="005C35ED"/>
    <w:rsid w:val="005C35FA"/>
    <w:rsid w:val="005C3D66"/>
    <w:rsid w:val="005C47AB"/>
    <w:rsid w:val="005C4CB7"/>
    <w:rsid w:val="005C4D24"/>
    <w:rsid w:val="005C4DD7"/>
    <w:rsid w:val="005C539A"/>
    <w:rsid w:val="005C5D65"/>
    <w:rsid w:val="005C60BE"/>
    <w:rsid w:val="005C641A"/>
    <w:rsid w:val="005C778A"/>
    <w:rsid w:val="005C784B"/>
    <w:rsid w:val="005C794A"/>
    <w:rsid w:val="005C7990"/>
    <w:rsid w:val="005C7B1F"/>
    <w:rsid w:val="005C7CEE"/>
    <w:rsid w:val="005C7F78"/>
    <w:rsid w:val="005D12BF"/>
    <w:rsid w:val="005D130E"/>
    <w:rsid w:val="005D14E9"/>
    <w:rsid w:val="005D1947"/>
    <w:rsid w:val="005D1B75"/>
    <w:rsid w:val="005D1C71"/>
    <w:rsid w:val="005D1D4F"/>
    <w:rsid w:val="005D21A6"/>
    <w:rsid w:val="005D29D5"/>
    <w:rsid w:val="005D2E58"/>
    <w:rsid w:val="005D37A5"/>
    <w:rsid w:val="005D3CD9"/>
    <w:rsid w:val="005D3E97"/>
    <w:rsid w:val="005D3F76"/>
    <w:rsid w:val="005D4095"/>
    <w:rsid w:val="005D4641"/>
    <w:rsid w:val="005D49FF"/>
    <w:rsid w:val="005D4D0A"/>
    <w:rsid w:val="005D52E7"/>
    <w:rsid w:val="005D55E9"/>
    <w:rsid w:val="005D5695"/>
    <w:rsid w:val="005D63D6"/>
    <w:rsid w:val="005D76D8"/>
    <w:rsid w:val="005D7ED3"/>
    <w:rsid w:val="005E0862"/>
    <w:rsid w:val="005E0AE1"/>
    <w:rsid w:val="005E1375"/>
    <w:rsid w:val="005E147F"/>
    <w:rsid w:val="005E1CEB"/>
    <w:rsid w:val="005E1F21"/>
    <w:rsid w:val="005E2A30"/>
    <w:rsid w:val="005E2EAC"/>
    <w:rsid w:val="005E2FF1"/>
    <w:rsid w:val="005E31FA"/>
    <w:rsid w:val="005E357E"/>
    <w:rsid w:val="005E3850"/>
    <w:rsid w:val="005E3B2B"/>
    <w:rsid w:val="005E3DEF"/>
    <w:rsid w:val="005E4418"/>
    <w:rsid w:val="005E489E"/>
    <w:rsid w:val="005E4B98"/>
    <w:rsid w:val="005E4D30"/>
    <w:rsid w:val="005E4E97"/>
    <w:rsid w:val="005E5006"/>
    <w:rsid w:val="005E5156"/>
    <w:rsid w:val="005E5C65"/>
    <w:rsid w:val="005E5D8D"/>
    <w:rsid w:val="005E5DFA"/>
    <w:rsid w:val="005E6782"/>
    <w:rsid w:val="005E682E"/>
    <w:rsid w:val="005E6F86"/>
    <w:rsid w:val="005E7479"/>
    <w:rsid w:val="005E7892"/>
    <w:rsid w:val="005E7DE8"/>
    <w:rsid w:val="005F01CD"/>
    <w:rsid w:val="005F0245"/>
    <w:rsid w:val="005F0652"/>
    <w:rsid w:val="005F0719"/>
    <w:rsid w:val="005F07BE"/>
    <w:rsid w:val="005F0F5F"/>
    <w:rsid w:val="005F1146"/>
    <w:rsid w:val="005F1333"/>
    <w:rsid w:val="005F2E56"/>
    <w:rsid w:val="005F34FD"/>
    <w:rsid w:val="005F3534"/>
    <w:rsid w:val="005F37A6"/>
    <w:rsid w:val="005F3CEA"/>
    <w:rsid w:val="005F4065"/>
    <w:rsid w:val="005F43D6"/>
    <w:rsid w:val="005F448F"/>
    <w:rsid w:val="005F46E8"/>
    <w:rsid w:val="005F4A97"/>
    <w:rsid w:val="005F4E85"/>
    <w:rsid w:val="005F4F56"/>
    <w:rsid w:val="005F537C"/>
    <w:rsid w:val="005F53AD"/>
    <w:rsid w:val="005F546F"/>
    <w:rsid w:val="005F5479"/>
    <w:rsid w:val="005F586D"/>
    <w:rsid w:val="005F5B32"/>
    <w:rsid w:val="005F5DDB"/>
    <w:rsid w:val="005F5E0E"/>
    <w:rsid w:val="005F65D5"/>
    <w:rsid w:val="005F66DC"/>
    <w:rsid w:val="005F6754"/>
    <w:rsid w:val="005F6E00"/>
    <w:rsid w:val="005F711C"/>
    <w:rsid w:val="005F731B"/>
    <w:rsid w:val="005F790D"/>
    <w:rsid w:val="0060066C"/>
    <w:rsid w:val="00600A39"/>
    <w:rsid w:val="00601229"/>
    <w:rsid w:val="006012B7"/>
    <w:rsid w:val="006013FB"/>
    <w:rsid w:val="0060162F"/>
    <w:rsid w:val="00601C0A"/>
    <w:rsid w:val="00601CF8"/>
    <w:rsid w:val="00601EB8"/>
    <w:rsid w:val="00601F1A"/>
    <w:rsid w:val="00602191"/>
    <w:rsid w:val="00602746"/>
    <w:rsid w:val="0060294C"/>
    <w:rsid w:val="00603073"/>
    <w:rsid w:val="0060307F"/>
    <w:rsid w:val="00603128"/>
    <w:rsid w:val="006033B0"/>
    <w:rsid w:val="006036E2"/>
    <w:rsid w:val="006037C5"/>
    <w:rsid w:val="006043F7"/>
    <w:rsid w:val="00604BB9"/>
    <w:rsid w:val="00604F87"/>
    <w:rsid w:val="006052B9"/>
    <w:rsid w:val="00605607"/>
    <w:rsid w:val="00605E4D"/>
    <w:rsid w:val="00606458"/>
    <w:rsid w:val="00606B63"/>
    <w:rsid w:val="00606CC5"/>
    <w:rsid w:val="006070F5"/>
    <w:rsid w:val="00607141"/>
    <w:rsid w:val="00607232"/>
    <w:rsid w:val="00607B23"/>
    <w:rsid w:val="00607C47"/>
    <w:rsid w:val="00610448"/>
    <w:rsid w:val="006108D3"/>
    <w:rsid w:val="00610B97"/>
    <w:rsid w:val="006110A5"/>
    <w:rsid w:val="00611189"/>
    <w:rsid w:val="0061156C"/>
    <w:rsid w:val="006125C5"/>
    <w:rsid w:val="0061278B"/>
    <w:rsid w:val="006127C7"/>
    <w:rsid w:val="00612DF6"/>
    <w:rsid w:val="0061302F"/>
    <w:rsid w:val="0061371C"/>
    <w:rsid w:val="006139FC"/>
    <w:rsid w:val="006144BB"/>
    <w:rsid w:val="00615BB1"/>
    <w:rsid w:val="00615E03"/>
    <w:rsid w:val="00616900"/>
    <w:rsid w:val="00616ACC"/>
    <w:rsid w:val="00616B2A"/>
    <w:rsid w:val="00616C2F"/>
    <w:rsid w:val="00616EF3"/>
    <w:rsid w:val="006172C6"/>
    <w:rsid w:val="00617376"/>
    <w:rsid w:val="0061744E"/>
    <w:rsid w:val="006176AA"/>
    <w:rsid w:val="0061799E"/>
    <w:rsid w:val="00617CDA"/>
    <w:rsid w:val="00617D13"/>
    <w:rsid w:val="0062014C"/>
    <w:rsid w:val="006204D9"/>
    <w:rsid w:val="006205AD"/>
    <w:rsid w:val="00620B83"/>
    <w:rsid w:val="00620F8E"/>
    <w:rsid w:val="00621934"/>
    <w:rsid w:val="00622007"/>
    <w:rsid w:val="006220CD"/>
    <w:rsid w:val="0062222F"/>
    <w:rsid w:val="00623248"/>
    <w:rsid w:val="006237D2"/>
    <w:rsid w:val="00623A9C"/>
    <w:rsid w:val="00623D1E"/>
    <w:rsid w:val="00623D94"/>
    <w:rsid w:val="00623F1D"/>
    <w:rsid w:val="00624174"/>
    <w:rsid w:val="00624564"/>
    <w:rsid w:val="00624D93"/>
    <w:rsid w:val="00624E9E"/>
    <w:rsid w:val="00625248"/>
    <w:rsid w:val="006254B1"/>
    <w:rsid w:val="00625577"/>
    <w:rsid w:val="006270EC"/>
    <w:rsid w:val="00630007"/>
    <w:rsid w:val="006300AB"/>
    <w:rsid w:val="006305AE"/>
    <w:rsid w:val="0063063C"/>
    <w:rsid w:val="00630909"/>
    <w:rsid w:val="00630940"/>
    <w:rsid w:val="00630B6A"/>
    <w:rsid w:val="00630D27"/>
    <w:rsid w:val="0063111C"/>
    <w:rsid w:val="006312F7"/>
    <w:rsid w:val="00631B41"/>
    <w:rsid w:val="00631B51"/>
    <w:rsid w:val="006320CB"/>
    <w:rsid w:val="00632656"/>
    <w:rsid w:val="006326D0"/>
    <w:rsid w:val="00632996"/>
    <w:rsid w:val="00632F67"/>
    <w:rsid w:val="00634182"/>
    <w:rsid w:val="006345ED"/>
    <w:rsid w:val="006345EE"/>
    <w:rsid w:val="006346B6"/>
    <w:rsid w:val="00635744"/>
    <w:rsid w:val="00635BD2"/>
    <w:rsid w:val="00637329"/>
    <w:rsid w:val="00637998"/>
    <w:rsid w:val="00637F8D"/>
    <w:rsid w:val="00640005"/>
    <w:rsid w:val="0064043A"/>
    <w:rsid w:val="0064099A"/>
    <w:rsid w:val="00640D51"/>
    <w:rsid w:val="006415DF"/>
    <w:rsid w:val="00641758"/>
    <w:rsid w:val="0064199F"/>
    <w:rsid w:val="00641AFD"/>
    <w:rsid w:val="00641B2C"/>
    <w:rsid w:val="00641DF1"/>
    <w:rsid w:val="00642B83"/>
    <w:rsid w:val="0064341D"/>
    <w:rsid w:val="0064406E"/>
    <w:rsid w:val="00644143"/>
    <w:rsid w:val="00644462"/>
    <w:rsid w:val="00644C00"/>
    <w:rsid w:val="00645164"/>
    <w:rsid w:val="006456E3"/>
    <w:rsid w:val="00645969"/>
    <w:rsid w:val="00646006"/>
    <w:rsid w:val="00646600"/>
    <w:rsid w:val="0064695C"/>
    <w:rsid w:val="006469A2"/>
    <w:rsid w:val="00646AB8"/>
    <w:rsid w:val="00646D0D"/>
    <w:rsid w:val="006471F9"/>
    <w:rsid w:val="0064782E"/>
    <w:rsid w:val="00650606"/>
    <w:rsid w:val="006507E9"/>
    <w:rsid w:val="00650822"/>
    <w:rsid w:val="006509BC"/>
    <w:rsid w:val="00650A98"/>
    <w:rsid w:val="00650B5B"/>
    <w:rsid w:val="00651164"/>
    <w:rsid w:val="00652229"/>
    <w:rsid w:val="006522C3"/>
    <w:rsid w:val="006523EE"/>
    <w:rsid w:val="00652863"/>
    <w:rsid w:val="0065290E"/>
    <w:rsid w:val="00652921"/>
    <w:rsid w:val="00653631"/>
    <w:rsid w:val="006539BF"/>
    <w:rsid w:val="00653C4B"/>
    <w:rsid w:val="00653D6D"/>
    <w:rsid w:val="00654978"/>
    <w:rsid w:val="0065520B"/>
    <w:rsid w:val="00655EB2"/>
    <w:rsid w:val="006560A2"/>
    <w:rsid w:val="00656401"/>
    <w:rsid w:val="0065683B"/>
    <w:rsid w:val="00656989"/>
    <w:rsid w:val="006572C7"/>
    <w:rsid w:val="006578FA"/>
    <w:rsid w:val="00657AFD"/>
    <w:rsid w:val="00657C7D"/>
    <w:rsid w:val="00657D38"/>
    <w:rsid w:val="0066011E"/>
    <w:rsid w:val="0066025F"/>
    <w:rsid w:val="00660296"/>
    <w:rsid w:val="0066047B"/>
    <w:rsid w:val="00660CA0"/>
    <w:rsid w:val="00660E13"/>
    <w:rsid w:val="0066141F"/>
    <w:rsid w:val="00661B9D"/>
    <w:rsid w:val="00661EA7"/>
    <w:rsid w:val="00662356"/>
    <w:rsid w:val="0066240F"/>
    <w:rsid w:val="00662E8A"/>
    <w:rsid w:val="0066303D"/>
    <w:rsid w:val="00663040"/>
    <w:rsid w:val="00663136"/>
    <w:rsid w:val="00663BB8"/>
    <w:rsid w:val="00663CFC"/>
    <w:rsid w:val="0066419D"/>
    <w:rsid w:val="0066434A"/>
    <w:rsid w:val="0066495F"/>
    <w:rsid w:val="00664F27"/>
    <w:rsid w:val="006655C3"/>
    <w:rsid w:val="006658A7"/>
    <w:rsid w:val="00665AEC"/>
    <w:rsid w:val="006661AE"/>
    <w:rsid w:val="006661E7"/>
    <w:rsid w:val="00666ECC"/>
    <w:rsid w:val="0066711D"/>
    <w:rsid w:val="006674AF"/>
    <w:rsid w:val="00667861"/>
    <w:rsid w:val="00667EF3"/>
    <w:rsid w:val="00667FEE"/>
    <w:rsid w:val="006701A1"/>
    <w:rsid w:val="006707CC"/>
    <w:rsid w:val="00670A93"/>
    <w:rsid w:val="00670E7B"/>
    <w:rsid w:val="00670ECD"/>
    <w:rsid w:val="00671A8F"/>
    <w:rsid w:val="00671E17"/>
    <w:rsid w:val="00673173"/>
    <w:rsid w:val="006735DF"/>
    <w:rsid w:val="006738F4"/>
    <w:rsid w:val="00673BEE"/>
    <w:rsid w:val="006740EF"/>
    <w:rsid w:val="006741A4"/>
    <w:rsid w:val="00674669"/>
    <w:rsid w:val="006746D0"/>
    <w:rsid w:val="00674F04"/>
    <w:rsid w:val="00675115"/>
    <w:rsid w:val="006755CC"/>
    <w:rsid w:val="006756AB"/>
    <w:rsid w:val="006759B7"/>
    <w:rsid w:val="00675FA0"/>
    <w:rsid w:val="006773C2"/>
    <w:rsid w:val="00677B79"/>
    <w:rsid w:val="00677FAC"/>
    <w:rsid w:val="0068036D"/>
    <w:rsid w:val="00680B1F"/>
    <w:rsid w:val="00680E20"/>
    <w:rsid w:val="00680E60"/>
    <w:rsid w:val="00681D97"/>
    <w:rsid w:val="00681F24"/>
    <w:rsid w:val="006826D6"/>
    <w:rsid w:val="00682E7A"/>
    <w:rsid w:val="00682F49"/>
    <w:rsid w:val="006831B5"/>
    <w:rsid w:val="006838FF"/>
    <w:rsid w:val="00683C2E"/>
    <w:rsid w:val="00683FCA"/>
    <w:rsid w:val="006840C7"/>
    <w:rsid w:val="0068441B"/>
    <w:rsid w:val="0068476F"/>
    <w:rsid w:val="00684923"/>
    <w:rsid w:val="00684C89"/>
    <w:rsid w:val="00684FB5"/>
    <w:rsid w:val="0068553C"/>
    <w:rsid w:val="00685850"/>
    <w:rsid w:val="006865B6"/>
    <w:rsid w:val="00686A01"/>
    <w:rsid w:val="00686F5A"/>
    <w:rsid w:val="00686F72"/>
    <w:rsid w:val="0068744E"/>
    <w:rsid w:val="00687644"/>
    <w:rsid w:val="00687772"/>
    <w:rsid w:val="00687A58"/>
    <w:rsid w:val="00687CF6"/>
    <w:rsid w:val="00687D00"/>
    <w:rsid w:val="0069090F"/>
    <w:rsid w:val="0069098B"/>
    <w:rsid w:val="006909D5"/>
    <w:rsid w:val="00690AFF"/>
    <w:rsid w:val="006914F0"/>
    <w:rsid w:val="006914F5"/>
    <w:rsid w:val="00691C8C"/>
    <w:rsid w:val="00691D6A"/>
    <w:rsid w:val="00692264"/>
    <w:rsid w:val="00692725"/>
    <w:rsid w:val="00692A40"/>
    <w:rsid w:val="00692D39"/>
    <w:rsid w:val="006930F8"/>
    <w:rsid w:val="006937B2"/>
    <w:rsid w:val="00693912"/>
    <w:rsid w:val="00693BDB"/>
    <w:rsid w:val="00693E70"/>
    <w:rsid w:val="006940D3"/>
    <w:rsid w:val="006940F0"/>
    <w:rsid w:val="00694113"/>
    <w:rsid w:val="00694339"/>
    <w:rsid w:val="00694776"/>
    <w:rsid w:val="006949CD"/>
    <w:rsid w:val="00694A5E"/>
    <w:rsid w:val="00694EC2"/>
    <w:rsid w:val="006951E2"/>
    <w:rsid w:val="00695443"/>
    <w:rsid w:val="00695C9D"/>
    <w:rsid w:val="006966DF"/>
    <w:rsid w:val="00696EBA"/>
    <w:rsid w:val="00697663"/>
    <w:rsid w:val="006A04A4"/>
    <w:rsid w:val="006A0747"/>
    <w:rsid w:val="006A0978"/>
    <w:rsid w:val="006A0A42"/>
    <w:rsid w:val="006A0FF4"/>
    <w:rsid w:val="006A168E"/>
    <w:rsid w:val="006A16F0"/>
    <w:rsid w:val="006A18E6"/>
    <w:rsid w:val="006A1DBF"/>
    <w:rsid w:val="006A24C2"/>
    <w:rsid w:val="006A29F8"/>
    <w:rsid w:val="006A2C0D"/>
    <w:rsid w:val="006A2E50"/>
    <w:rsid w:val="006A4265"/>
    <w:rsid w:val="006A4C31"/>
    <w:rsid w:val="006A5495"/>
    <w:rsid w:val="006A55B0"/>
    <w:rsid w:val="006A5810"/>
    <w:rsid w:val="006A62E7"/>
    <w:rsid w:val="006A642B"/>
    <w:rsid w:val="006A6554"/>
    <w:rsid w:val="006A6C1F"/>
    <w:rsid w:val="006A7621"/>
    <w:rsid w:val="006A77AB"/>
    <w:rsid w:val="006A7C59"/>
    <w:rsid w:val="006A7D09"/>
    <w:rsid w:val="006B03E3"/>
    <w:rsid w:val="006B05BB"/>
    <w:rsid w:val="006B0723"/>
    <w:rsid w:val="006B0794"/>
    <w:rsid w:val="006B0890"/>
    <w:rsid w:val="006B1436"/>
    <w:rsid w:val="006B14B4"/>
    <w:rsid w:val="006B1692"/>
    <w:rsid w:val="006B18C1"/>
    <w:rsid w:val="006B1BDE"/>
    <w:rsid w:val="006B1E35"/>
    <w:rsid w:val="006B2071"/>
    <w:rsid w:val="006B25B8"/>
    <w:rsid w:val="006B279B"/>
    <w:rsid w:val="006B2F8C"/>
    <w:rsid w:val="006B316F"/>
    <w:rsid w:val="006B3598"/>
    <w:rsid w:val="006B37CB"/>
    <w:rsid w:val="006B38DF"/>
    <w:rsid w:val="006B3A35"/>
    <w:rsid w:val="006B3B20"/>
    <w:rsid w:val="006B3E1A"/>
    <w:rsid w:val="006B3F37"/>
    <w:rsid w:val="006B51B9"/>
    <w:rsid w:val="006B5584"/>
    <w:rsid w:val="006B5BA4"/>
    <w:rsid w:val="006B5F9A"/>
    <w:rsid w:val="006B75B6"/>
    <w:rsid w:val="006B7772"/>
    <w:rsid w:val="006C007B"/>
    <w:rsid w:val="006C0484"/>
    <w:rsid w:val="006C05A9"/>
    <w:rsid w:val="006C081C"/>
    <w:rsid w:val="006C09CC"/>
    <w:rsid w:val="006C148B"/>
    <w:rsid w:val="006C179E"/>
    <w:rsid w:val="006C1850"/>
    <w:rsid w:val="006C198A"/>
    <w:rsid w:val="006C2E1A"/>
    <w:rsid w:val="006C3991"/>
    <w:rsid w:val="006C3AB5"/>
    <w:rsid w:val="006C3AEA"/>
    <w:rsid w:val="006C562C"/>
    <w:rsid w:val="006C61A8"/>
    <w:rsid w:val="006C65A0"/>
    <w:rsid w:val="006C6E7A"/>
    <w:rsid w:val="006C76C7"/>
    <w:rsid w:val="006C7EC3"/>
    <w:rsid w:val="006D02CB"/>
    <w:rsid w:val="006D0793"/>
    <w:rsid w:val="006D0AAD"/>
    <w:rsid w:val="006D0F97"/>
    <w:rsid w:val="006D1AFD"/>
    <w:rsid w:val="006D1DBE"/>
    <w:rsid w:val="006D2352"/>
    <w:rsid w:val="006D2384"/>
    <w:rsid w:val="006D25D6"/>
    <w:rsid w:val="006D2889"/>
    <w:rsid w:val="006D2B84"/>
    <w:rsid w:val="006D348B"/>
    <w:rsid w:val="006D3522"/>
    <w:rsid w:val="006D3530"/>
    <w:rsid w:val="006D369B"/>
    <w:rsid w:val="006D3751"/>
    <w:rsid w:val="006D4415"/>
    <w:rsid w:val="006D47F4"/>
    <w:rsid w:val="006D4CB5"/>
    <w:rsid w:val="006D4E6C"/>
    <w:rsid w:val="006D50BB"/>
    <w:rsid w:val="006D5683"/>
    <w:rsid w:val="006D5BAA"/>
    <w:rsid w:val="006D5F98"/>
    <w:rsid w:val="006D5FA0"/>
    <w:rsid w:val="006D60C9"/>
    <w:rsid w:val="006D6203"/>
    <w:rsid w:val="006D7CC4"/>
    <w:rsid w:val="006D7EAC"/>
    <w:rsid w:val="006E01A1"/>
    <w:rsid w:val="006E17E8"/>
    <w:rsid w:val="006E1A47"/>
    <w:rsid w:val="006E2087"/>
    <w:rsid w:val="006E257E"/>
    <w:rsid w:val="006E35DB"/>
    <w:rsid w:val="006E3984"/>
    <w:rsid w:val="006E566E"/>
    <w:rsid w:val="006E5E9D"/>
    <w:rsid w:val="006E604D"/>
    <w:rsid w:val="006E6A54"/>
    <w:rsid w:val="006E737E"/>
    <w:rsid w:val="006E7A3D"/>
    <w:rsid w:val="006E7C9A"/>
    <w:rsid w:val="006E7CBD"/>
    <w:rsid w:val="006F003B"/>
    <w:rsid w:val="006F2128"/>
    <w:rsid w:val="006F215D"/>
    <w:rsid w:val="006F2633"/>
    <w:rsid w:val="006F267E"/>
    <w:rsid w:val="006F27E3"/>
    <w:rsid w:val="006F28FB"/>
    <w:rsid w:val="006F316D"/>
    <w:rsid w:val="006F39CD"/>
    <w:rsid w:val="006F3D06"/>
    <w:rsid w:val="006F3DAA"/>
    <w:rsid w:val="006F3E73"/>
    <w:rsid w:val="006F4017"/>
    <w:rsid w:val="006F45CA"/>
    <w:rsid w:val="006F4BCC"/>
    <w:rsid w:val="006F4C1E"/>
    <w:rsid w:val="006F4D03"/>
    <w:rsid w:val="006F597C"/>
    <w:rsid w:val="006F7C97"/>
    <w:rsid w:val="006F7DDF"/>
    <w:rsid w:val="006F7FA6"/>
    <w:rsid w:val="00700123"/>
    <w:rsid w:val="00700446"/>
    <w:rsid w:val="007004A0"/>
    <w:rsid w:val="007004BE"/>
    <w:rsid w:val="00700583"/>
    <w:rsid w:val="0070074E"/>
    <w:rsid w:val="00700C50"/>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1A9"/>
    <w:rsid w:val="00705495"/>
    <w:rsid w:val="007055DE"/>
    <w:rsid w:val="007056E8"/>
    <w:rsid w:val="007068B3"/>
    <w:rsid w:val="0070698D"/>
    <w:rsid w:val="00706F45"/>
    <w:rsid w:val="00706FCE"/>
    <w:rsid w:val="0070742B"/>
    <w:rsid w:val="00707892"/>
    <w:rsid w:val="00707BBD"/>
    <w:rsid w:val="007104DD"/>
    <w:rsid w:val="0071050D"/>
    <w:rsid w:val="0071089D"/>
    <w:rsid w:val="00710ED1"/>
    <w:rsid w:val="00711057"/>
    <w:rsid w:val="00711196"/>
    <w:rsid w:val="0071131E"/>
    <w:rsid w:val="00711B3F"/>
    <w:rsid w:val="007121B4"/>
    <w:rsid w:val="00712886"/>
    <w:rsid w:val="0071337F"/>
    <w:rsid w:val="00714306"/>
    <w:rsid w:val="00714553"/>
    <w:rsid w:val="007150D4"/>
    <w:rsid w:val="007161A2"/>
    <w:rsid w:val="00717942"/>
    <w:rsid w:val="00717B75"/>
    <w:rsid w:val="00717ECB"/>
    <w:rsid w:val="00717FE8"/>
    <w:rsid w:val="007203E3"/>
    <w:rsid w:val="00720812"/>
    <w:rsid w:val="00720BFB"/>
    <w:rsid w:val="00720C72"/>
    <w:rsid w:val="00720E07"/>
    <w:rsid w:val="00720E30"/>
    <w:rsid w:val="0072133A"/>
    <w:rsid w:val="007213E4"/>
    <w:rsid w:val="0072163E"/>
    <w:rsid w:val="00721FB2"/>
    <w:rsid w:val="0072200A"/>
    <w:rsid w:val="00722F33"/>
    <w:rsid w:val="00723F70"/>
    <w:rsid w:val="00723F99"/>
    <w:rsid w:val="0072578A"/>
    <w:rsid w:val="00725F43"/>
    <w:rsid w:val="00726117"/>
    <w:rsid w:val="0072662E"/>
    <w:rsid w:val="007270B2"/>
    <w:rsid w:val="007273C8"/>
    <w:rsid w:val="00727D35"/>
    <w:rsid w:val="00727DE6"/>
    <w:rsid w:val="00730355"/>
    <w:rsid w:val="00730A84"/>
    <w:rsid w:val="0073114A"/>
    <w:rsid w:val="0073158E"/>
    <w:rsid w:val="0073172A"/>
    <w:rsid w:val="0073213C"/>
    <w:rsid w:val="00732773"/>
    <w:rsid w:val="00732E04"/>
    <w:rsid w:val="00732EBC"/>
    <w:rsid w:val="00733555"/>
    <w:rsid w:val="007335D9"/>
    <w:rsid w:val="00733672"/>
    <w:rsid w:val="0073379C"/>
    <w:rsid w:val="00733892"/>
    <w:rsid w:val="00733FFC"/>
    <w:rsid w:val="0073414D"/>
    <w:rsid w:val="00734289"/>
    <w:rsid w:val="007345C7"/>
    <w:rsid w:val="00734FA0"/>
    <w:rsid w:val="007351CE"/>
    <w:rsid w:val="00735231"/>
    <w:rsid w:val="00735263"/>
    <w:rsid w:val="00735626"/>
    <w:rsid w:val="00735944"/>
    <w:rsid w:val="00735C2D"/>
    <w:rsid w:val="00735FD5"/>
    <w:rsid w:val="00736137"/>
    <w:rsid w:val="00736507"/>
    <w:rsid w:val="00736733"/>
    <w:rsid w:val="007369A5"/>
    <w:rsid w:val="00736BB2"/>
    <w:rsid w:val="00736E4A"/>
    <w:rsid w:val="007371A6"/>
    <w:rsid w:val="00737221"/>
    <w:rsid w:val="00737264"/>
    <w:rsid w:val="007375D8"/>
    <w:rsid w:val="0073782C"/>
    <w:rsid w:val="007378B7"/>
    <w:rsid w:val="00737BA6"/>
    <w:rsid w:val="00740265"/>
    <w:rsid w:val="0074044B"/>
    <w:rsid w:val="00740908"/>
    <w:rsid w:val="007409B2"/>
    <w:rsid w:val="00741510"/>
    <w:rsid w:val="0074279D"/>
    <w:rsid w:val="00742935"/>
    <w:rsid w:val="007431AD"/>
    <w:rsid w:val="00743871"/>
    <w:rsid w:val="00743A4F"/>
    <w:rsid w:val="00743ADC"/>
    <w:rsid w:val="00743EB0"/>
    <w:rsid w:val="00744265"/>
    <w:rsid w:val="007442D2"/>
    <w:rsid w:val="00744416"/>
    <w:rsid w:val="0074446F"/>
    <w:rsid w:val="00744493"/>
    <w:rsid w:val="00744C97"/>
    <w:rsid w:val="00745849"/>
    <w:rsid w:val="00745907"/>
    <w:rsid w:val="00745B70"/>
    <w:rsid w:val="007462EC"/>
    <w:rsid w:val="00746589"/>
    <w:rsid w:val="0074663B"/>
    <w:rsid w:val="007466C6"/>
    <w:rsid w:val="00746FCF"/>
    <w:rsid w:val="00747547"/>
    <w:rsid w:val="0075090A"/>
    <w:rsid w:val="00750B94"/>
    <w:rsid w:val="00751195"/>
    <w:rsid w:val="0075156B"/>
    <w:rsid w:val="00751770"/>
    <w:rsid w:val="007522AF"/>
    <w:rsid w:val="00752B81"/>
    <w:rsid w:val="00753177"/>
    <w:rsid w:val="0075320A"/>
    <w:rsid w:val="007533C9"/>
    <w:rsid w:val="007539CB"/>
    <w:rsid w:val="007544A9"/>
    <w:rsid w:val="0075484C"/>
    <w:rsid w:val="00754A8C"/>
    <w:rsid w:val="007550AB"/>
    <w:rsid w:val="007551C6"/>
    <w:rsid w:val="007554CA"/>
    <w:rsid w:val="0075578B"/>
    <w:rsid w:val="00755855"/>
    <w:rsid w:val="00755D9A"/>
    <w:rsid w:val="00756934"/>
    <w:rsid w:val="00756B31"/>
    <w:rsid w:val="00757425"/>
    <w:rsid w:val="00760417"/>
    <w:rsid w:val="007606FF"/>
    <w:rsid w:val="0076089E"/>
    <w:rsid w:val="00761147"/>
    <w:rsid w:val="007613A5"/>
    <w:rsid w:val="0076148D"/>
    <w:rsid w:val="007619B5"/>
    <w:rsid w:val="00761AC8"/>
    <w:rsid w:val="0076206F"/>
    <w:rsid w:val="00762546"/>
    <w:rsid w:val="00762CF0"/>
    <w:rsid w:val="007630AA"/>
    <w:rsid w:val="007632E0"/>
    <w:rsid w:val="00763587"/>
    <w:rsid w:val="00764453"/>
    <w:rsid w:val="00764801"/>
    <w:rsid w:val="00764926"/>
    <w:rsid w:val="00764C4A"/>
    <w:rsid w:val="00764DCD"/>
    <w:rsid w:val="00764FFA"/>
    <w:rsid w:val="0076515D"/>
    <w:rsid w:val="0076519D"/>
    <w:rsid w:val="007655FA"/>
    <w:rsid w:val="007658E5"/>
    <w:rsid w:val="00765AA7"/>
    <w:rsid w:val="007662F0"/>
    <w:rsid w:val="00766FC0"/>
    <w:rsid w:val="00767298"/>
    <w:rsid w:val="00767458"/>
    <w:rsid w:val="007679EB"/>
    <w:rsid w:val="0077029E"/>
    <w:rsid w:val="00770D94"/>
    <w:rsid w:val="00771631"/>
    <w:rsid w:val="00771D33"/>
    <w:rsid w:val="00771F9B"/>
    <w:rsid w:val="00772053"/>
    <w:rsid w:val="0077261D"/>
    <w:rsid w:val="0077271B"/>
    <w:rsid w:val="00772791"/>
    <w:rsid w:val="007728E9"/>
    <w:rsid w:val="00772ADE"/>
    <w:rsid w:val="007734B9"/>
    <w:rsid w:val="00773934"/>
    <w:rsid w:val="0077393E"/>
    <w:rsid w:val="00773E57"/>
    <w:rsid w:val="00774761"/>
    <w:rsid w:val="00774B06"/>
    <w:rsid w:val="00774C2B"/>
    <w:rsid w:val="00774D28"/>
    <w:rsid w:val="007757BD"/>
    <w:rsid w:val="00775DBF"/>
    <w:rsid w:val="0077604F"/>
    <w:rsid w:val="007762CD"/>
    <w:rsid w:val="0077645A"/>
    <w:rsid w:val="00777290"/>
    <w:rsid w:val="007774E8"/>
    <w:rsid w:val="007775B5"/>
    <w:rsid w:val="00777F8B"/>
    <w:rsid w:val="00780273"/>
    <w:rsid w:val="007802DF"/>
    <w:rsid w:val="00780482"/>
    <w:rsid w:val="007808C2"/>
    <w:rsid w:val="00780956"/>
    <w:rsid w:val="007809D2"/>
    <w:rsid w:val="00780A25"/>
    <w:rsid w:val="00780C46"/>
    <w:rsid w:val="00780D18"/>
    <w:rsid w:val="00781645"/>
    <w:rsid w:val="007820D4"/>
    <w:rsid w:val="0078233F"/>
    <w:rsid w:val="00782D8F"/>
    <w:rsid w:val="00782F00"/>
    <w:rsid w:val="00782F37"/>
    <w:rsid w:val="00782FC5"/>
    <w:rsid w:val="00783485"/>
    <w:rsid w:val="00783533"/>
    <w:rsid w:val="0078357E"/>
    <w:rsid w:val="0078385A"/>
    <w:rsid w:val="007839E7"/>
    <w:rsid w:val="00783A81"/>
    <w:rsid w:val="00783C90"/>
    <w:rsid w:val="00783C9A"/>
    <w:rsid w:val="007841FF"/>
    <w:rsid w:val="00785009"/>
    <w:rsid w:val="00785E26"/>
    <w:rsid w:val="00785EFF"/>
    <w:rsid w:val="00786302"/>
    <w:rsid w:val="00786824"/>
    <w:rsid w:val="0078724C"/>
    <w:rsid w:val="00787A3F"/>
    <w:rsid w:val="00787C9D"/>
    <w:rsid w:val="007906CA"/>
    <w:rsid w:val="00791503"/>
    <w:rsid w:val="0079172F"/>
    <w:rsid w:val="0079226C"/>
    <w:rsid w:val="0079255B"/>
    <w:rsid w:val="007934D4"/>
    <w:rsid w:val="007939BD"/>
    <w:rsid w:val="00793C16"/>
    <w:rsid w:val="00793FBD"/>
    <w:rsid w:val="0079482C"/>
    <w:rsid w:val="007948B9"/>
    <w:rsid w:val="00795610"/>
    <w:rsid w:val="00795792"/>
    <w:rsid w:val="00795B14"/>
    <w:rsid w:val="00796448"/>
    <w:rsid w:val="0079648F"/>
    <w:rsid w:val="00796619"/>
    <w:rsid w:val="00796985"/>
    <w:rsid w:val="00796AC3"/>
    <w:rsid w:val="00796C5E"/>
    <w:rsid w:val="0079775B"/>
    <w:rsid w:val="007978DA"/>
    <w:rsid w:val="00797960"/>
    <w:rsid w:val="007A0692"/>
    <w:rsid w:val="007A0B62"/>
    <w:rsid w:val="007A11B0"/>
    <w:rsid w:val="007A1236"/>
    <w:rsid w:val="007A1813"/>
    <w:rsid w:val="007A1A9E"/>
    <w:rsid w:val="007A1D32"/>
    <w:rsid w:val="007A1FF1"/>
    <w:rsid w:val="007A21A0"/>
    <w:rsid w:val="007A2445"/>
    <w:rsid w:val="007A2A69"/>
    <w:rsid w:val="007A2A6F"/>
    <w:rsid w:val="007A3827"/>
    <w:rsid w:val="007A39D3"/>
    <w:rsid w:val="007A3BDD"/>
    <w:rsid w:val="007A3E4D"/>
    <w:rsid w:val="007A40B0"/>
    <w:rsid w:val="007A42E0"/>
    <w:rsid w:val="007A4436"/>
    <w:rsid w:val="007A4506"/>
    <w:rsid w:val="007A4A78"/>
    <w:rsid w:val="007A4F19"/>
    <w:rsid w:val="007A57AE"/>
    <w:rsid w:val="007A66E6"/>
    <w:rsid w:val="007A6E20"/>
    <w:rsid w:val="007A73DA"/>
    <w:rsid w:val="007A74B2"/>
    <w:rsid w:val="007A7625"/>
    <w:rsid w:val="007A76FB"/>
    <w:rsid w:val="007A7777"/>
    <w:rsid w:val="007A7941"/>
    <w:rsid w:val="007A7E06"/>
    <w:rsid w:val="007B07C4"/>
    <w:rsid w:val="007B0B94"/>
    <w:rsid w:val="007B11EC"/>
    <w:rsid w:val="007B1F57"/>
    <w:rsid w:val="007B1FE7"/>
    <w:rsid w:val="007B2E8B"/>
    <w:rsid w:val="007B3766"/>
    <w:rsid w:val="007B3C3F"/>
    <w:rsid w:val="007B4597"/>
    <w:rsid w:val="007B4619"/>
    <w:rsid w:val="007B47A0"/>
    <w:rsid w:val="007B5174"/>
    <w:rsid w:val="007B52AC"/>
    <w:rsid w:val="007B5336"/>
    <w:rsid w:val="007B55C5"/>
    <w:rsid w:val="007B57D2"/>
    <w:rsid w:val="007B5854"/>
    <w:rsid w:val="007B5912"/>
    <w:rsid w:val="007B5E43"/>
    <w:rsid w:val="007B5FD9"/>
    <w:rsid w:val="007B61F9"/>
    <w:rsid w:val="007B6369"/>
    <w:rsid w:val="007B63DD"/>
    <w:rsid w:val="007B6F00"/>
    <w:rsid w:val="007B70FB"/>
    <w:rsid w:val="007B74DB"/>
    <w:rsid w:val="007B75D7"/>
    <w:rsid w:val="007B79F4"/>
    <w:rsid w:val="007B7E22"/>
    <w:rsid w:val="007C0482"/>
    <w:rsid w:val="007C04F3"/>
    <w:rsid w:val="007C06F6"/>
    <w:rsid w:val="007C123C"/>
    <w:rsid w:val="007C12F9"/>
    <w:rsid w:val="007C1DC9"/>
    <w:rsid w:val="007C20FE"/>
    <w:rsid w:val="007C2678"/>
    <w:rsid w:val="007C270B"/>
    <w:rsid w:val="007C2A9A"/>
    <w:rsid w:val="007C3052"/>
    <w:rsid w:val="007C30DE"/>
    <w:rsid w:val="007C3435"/>
    <w:rsid w:val="007C35BC"/>
    <w:rsid w:val="007C3654"/>
    <w:rsid w:val="007C376A"/>
    <w:rsid w:val="007C3C85"/>
    <w:rsid w:val="007C46AF"/>
    <w:rsid w:val="007C4A77"/>
    <w:rsid w:val="007C55BE"/>
    <w:rsid w:val="007C5AB5"/>
    <w:rsid w:val="007C5E9B"/>
    <w:rsid w:val="007C766F"/>
    <w:rsid w:val="007C7AD6"/>
    <w:rsid w:val="007C7C59"/>
    <w:rsid w:val="007C7DC7"/>
    <w:rsid w:val="007D0D0A"/>
    <w:rsid w:val="007D14F9"/>
    <w:rsid w:val="007D1667"/>
    <w:rsid w:val="007D1767"/>
    <w:rsid w:val="007D1AAA"/>
    <w:rsid w:val="007D1F9B"/>
    <w:rsid w:val="007D39AD"/>
    <w:rsid w:val="007D3F77"/>
    <w:rsid w:val="007D40F5"/>
    <w:rsid w:val="007D44D6"/>
    <w:rsid w:val="007D45BD"/>
    <w:rsid w:val="007D46D8"/>
    <w:rsid w:val="007D4892"/>
    <w:rsid w:val="007D48E9"/>
    <w:rsid w:val="007D4FFB"/>
    <w:rsid w:val="007D53CB"/>
    <w:rsid w:val="007D577D"/>
    <w:rsid w:val="007D5857"/>
    <w:rsid w:val="007D603C"/>
    <w:rsid w:val="007D6D95"/>
    <w:rsid w:val="007D6F86"/>
    <w:rsid w:val="007D72EB"/>
    <w:rsid w:val="007D75DD"/>
    <w:rsid w:val="007D7FC2"/>
    <w:rsid w:val="007E013C"/>
    <w:rsid w:val="007E03B3"/>
    <w:rsid w:val="007E0BDB"/>
    <w:rsid w:val="007E0F8F"/>
    <w:rsid w:val="007E192F"/>
    <w:rsid w:val="007E1DA4"/>
    <w:rsid w:val="007E24D0"/>
    <w:rsid w:val="007E25FC"/>
    <w:rsid w:val="007E2608"/>
    <w:rsid w:val="007E28D6"/>
    <w:rsid w:val="007E317C"/>
    <w:rsid w:val="007E340C"/>
    <w:rsid w:val="007E381B"/>
    <w:rsid w:val="007E3E82"/>
    <w:rsid w:val="007E4101"/>
    <w:rsid w:val="007E4435"/>
    <w:rsid w:val="007E44F9"/>
    <w:rsid w:val="007E4860"/>
    <w:rsid w:val="007E5BB4"/>
    <w:rsid w:val="007E5E71"/>
    <w:rsid w:val="007E5ED9"/>
    <w:rsid w:val="007E5EDC"/>
    <w:rsid w:val="007E642C"/>
    <w:rsid w:val="007E6646"/>
    <w:rsid w:val="007E6A26"/>
    <w:rsid w:val="007E6B40"/>
    <w:rsid w:val="007E6B67"/>
    <w:rsid w:val="007E6C51"/>
    <w:rsid w:val="007E7232"/>
    <w:rsid w:val="007E72AB"/>
    <w:rsid w:val="007E7A7D"/>
    <w:rsid w:val="007F0378"/>
    <w:rsid w:val="007F0684"/>
    <w:rsid w:val="007F06B6"/>
    <w:rsid w:val="007F06E8"/>
    <w:rsid w:val="007F0AF8"/>
    <w:rsid w:val="007F0F86"/>
    <w:rsid w:val="007F1C60"/>
    <w:rsid w:val="007F219A"/>
    <w:rsid w:val="007F235F"/>
    <w:rsid w:val="007F3015"/>
    <w:rsid w:val="007F31BC"/>
    <w:rsid w:val="007F3F16"/>
    <w:rsid w:val="007F4981"/>
    <w:rsid w:val="007F556F"/>
    <w:rsid w:val="007F5FE0"/>
    <w:rsid w:val="007F65DB"/>
    <w:rsid w:val="007F6761"/>
    <w:rsid w:val="007F6BC4"/>
    <w:rsid w:val="007F6D1D"/>
    <w:rsid w:val="007F7023"/>
    <w:rsid w:val="007F7095"/>
    <w:rsid w:val="007F70D4"/>
    <w:rsid w:val="007F7695"/>
    <w:rsid w:val="007F76B6"/>
    <w:rsid w:val="007F78F7"/>
    <w:rsid w:val="007F79F3"/>
    <w:rsid w:val="0080030C"/>
    <w:rsid w:val="00800686"/>
    <w:rsid w:val="0080073F"/>
    <w:rsid w:val="00801CB1"/>
    <w:rsid w:val="008025D9"/>
    <w:rsid w:val="00802AA7"/>
    <w:rsid w:val="00802B6F"/>
    <w:rsid w:val="00802C00"/>
    <w:rsid w:val="00802DDE"/>
    <w:rsid w:val="00802F94"/>
    <w:rsid w:val="008038FF"/>
    <w:rsid w:val="00803ACE"/>
    <w:rsid w:val="00803B37"/>
    <w:rsid w:val="00803B8E"/>
    <w:rsid w:val="00804185"/>
    <w:rsid w:val="008053A6"/>
    <w:rsid w:val="00805B99"/>
    <w:rsid w:val="008062B2"/>
    <w:rsid w:val="00806430"/>
    <w:rsid w:val="00806592"/>
    <w:rsid w:val="00806659"/>
    <w:rsid w:val="00806E16"/>
    <w:rsid w:val="00806E9B"/>
    <w:rsid w:val="00807090"/>
    <w:rsid w:val="00807926"/>
    <w:rsid w:val="00807A15"/>
    <w:rsid w:val="00807AB5"/>
    <w:rsid w:val="00807C32"/>
    <w:rsid w:val="008100A2"/>
    <w:rsid w:val="00810357"/>
    <w:rsid w:val="008107F5"/>
    <w:rsid w:val="00810A78"/>
    <w:rsid w:val="00810E30"/>
    <w:rsid w:val="00810ED7"/>
    <w:rsid w:val="00811973"/>
    <w:rsid w:val="008129D1"/>
    <w:rsid w:val="008136F7"/>
    <w:rsid w:val="00813A3D"/>
    <w:rsid w:val="00813AEB"/>
    <w:rsid w:val="00814CAD"/>
    <w:rsid w:val="00815467"/>
    <w:rsid w:val="0081580A"/>
    <w:rsid w:val="008166DC"/>
    <w:rsid w:val="00816B9F"/>
    <w:rsid w:val="00816FBA"/>
    <w:rsid w:val="0081756E"/>
    <w:rsid w:val="00817D96"/>
    <w:rsid w:val="00817F9A"/>
    <w:rsid w:val="00820524"/>
    <w:rsid w:val="008227FA"/>
    <w:rsid w:val="008229A2"/>
    <w:rsid w:val="00822B56"/>
    <w:rsid w:val="00823BBB"/>
    <w:rsid w:val="00824237"/>
    <w:rsid w:val="008243B8"/>
    <w:rsid w:val="0082443D"/>
    <w:rsid w:val="008247B0"/>
    <w:rsid w:val="00824A9E"/>
    <w:rsid w:val="00825A66"/>
    <w:rsid w:val="00825F58"/>
    <w:rsid w:val="008268CF"/>
    <w:rsid w:val="008270EE"/>
    <w:rsid w:val="008273E4"/>
    <w:rsid w:val="00827497"/>
    <w:rsid w:val="00827615"/>
    <w:rsid w:val="0083026B"/>
    <w:rsid w:val="00830387"/>
    <w:rsid w:val="00830C1A"/>
    <w:rsid w:val="00831472"/>
    <w:rsid w:val="008329FF"/>
    <w:rsid w:val="00832ECB"/>
    <w:rsid w:val="0083351E"/>
    <w:rsid w:val="00833526"/>
    <w:rsid w:val="00833AA3"/>
    <w:rsid w:val="00833D24"/>
    <w:rsid w:val="00833E29"/>
    <w:rsid w:val="008340EC"/>
    <w:rsid w:val="008343FF"/>
    <w:rsid w:val="00834A85"/>
    <w:rsid w:val="00834B47"/>
    <w:rsid w:val="00835364"/>
    <w:rsid w:val="008353FA"/>
    <w:rsid w:val="00835459"/>
    <w:rsid w:val="0083553C"/>
    <w:rsid w:val="00836A63"/>
    <w:rsid w:val="00836C86"/>
    <w:rsid w:val="008374E1"/>
    <w:rsid w:val="0083781A"/>
    <w:rsid w:val="00837BE1"/>
    <w:rsid w:val="00837C92"/>
    <w:rsid w:val="00837F0F"/>
    <w:rsid w:val="00837FA4"/>
    <w:rsid w:val="008414CC"/>
    <w:rsid w:val="008415D8"/>
    <w:rsid w:val="0084160C"/>
    <w:rsid w:val="008416E5"/>
    <w:rsid w:val="0084188C"/>
    <w:rsid w:val="0084210C"/>
    <w:rsid w:val="00842300"/>
    <w:rsid w:val="008423BD"/>
    <w:rsid w:val="00842BBA"/>
    <w:rsid w:val="00842D41"/>
    <w:rsid w:val="00843029"/>
    <w:rsid w:val="00843420"/>
    <w:rsid w:val="00843B5D"/>
    <w:rsid w:val="008447D4"/>
    <w:rsid w:val="0084506C"/>
    <w:rsid w:val="008454BD"/>
    <w:rsid w:val="00845A22"/>
    <w:rsid w:val="00845A8C"/>
    <w:rsid w:val="00845A8E"/>
    <w:rsid w:val="00845ED3"/>
    <w:rsid w:val="008463F3"/>
    <w:rsid w:val="008469FE"/>
    <w:rsid w:val="00846D76"/>
    <w:rsid w:val="008473E8"/>
    <w:rsid w:val="0085005F"/>
    <w:rsid w:val="0085062F"/>
    <w:rsid w:val="008506E9"/>
    <w:rsid w:val="0085112A"/>
    <w:rsid w:val="00851307"/>
    <w:rsid w:val="008515B1"/>
    <w:rsid w:val="008519D0"/>
    <w:rsid w:val="0085201C"/>
    <w:rsid w:val="00852508"/>
    <w:rsid w:val="00852E5B"/>
    <w:rsid w:val="00853010"/>
    <w:rsid w:val="00853677"/>
    <w:rsid w:val="00853ACD"/>
    <w:rsid w:val="00853ACF"/>
    <w:rsid w:val="00853F1F"/>
    <w:rsid w:val="008544D3"/>
    <w:rsid w:val="0085457E"/>
    <w:rsid w:val="008551C1"/>
    <w:rsid w:val="00855295"/>
    <w:rsid w:val="00855461"/>
    <w:rsid w:val="008558A1"/>
    <w:rsid w:val="00855F90"/>
    <w:rsid w:val="00855FCF"/>
    <w:rsid w:val="0085642F"/>
    <w:rsid w:val="00856CE4"/>
    <w:rsid w:val="00857076"/>
    <w:rsid w:val="00857199"/>
    <w:rsid w:val="008573AF"/>
    <w:rsid w:val="00857645"/>
    <w:rsid w:val="00857D80"/>
    <w:rsid w:val="008602FC"/>
    <w:rsid w:val="008605B9"/>
    <w:rsid w:val="00860989"/>
    <w:rsid w:val="00860C69"/>
    <w:rsid w:val="00860CF9"/>
    <w:rsid w:val="00860D3D"/>
    <w:rsid w:val="00860DF0"/>
    <w:rsid w:val="00860E53"/>
    <w:rsid w:val="00862156"/>
    <w:rsid w:val="008622D3"/>
    <w:rsid w:val="0086268A"/>
    <w:rsid w:val="0086375F"/>
    <w:rsid w:val="008639A2"/>
    <w:rsid w:val="00863BBB"/>
    <w:rsid w:val="008640FD"/>
    <w:rsid w:val="0086426C"/>
    <w:rsid w:val="008652E9"/>
    <w:rsid w:val="008653D4"/>
    <w:rsid w:val="0086564F"/>
    <w:rsid w:val="00865681"/>
    <w:rsid w:val="00866618"/>
    <w:rsid w:val="0086709E"/>
    <w:rsid w:val="008672AC"/>
    <w:rsid w:val="008675FF"/>
    <w:rsid w:val="00867B6B"/>
    <w:rsid w:val="00867CDA"/>
    <w:rsid w:val="00870A79"/>
    <w:rsid w:val="00870AFC"/>
    <w:rsid w:val="008712D2"/>
    <w:rsid w:val="008715CC"/>
    <w:rsid w:val="00872589"/>
    <w:rsid w:val="00872770"/>
    <w:rsid w:val="00872813"/>
    <w:rsid w:val="00873410"/>
    <w:rsid w:val="008736AF"/>
    <w:rsid w:val="00873754"/>
    <w:rsid w:val="00874394"/>
    <w:rsid w:val="0087446F"/>
    <w:rsid w:val="008752FC"/>
    <w:rsid w:val="00875FA4"/>
    <w:rsid w:val="008763B9"/>
    <w:rsid w:val="008763C8"/>
    <w:rsid w:val="0087669F"/>
    <w:rsid w:val="008766C0"/>
    <w:rsid w:val="00876AEA"/>
    <w:rsid w:val="00877492"/>
    <w:rsid w:val="00877512"/>
    <w:rsid w:val="00877774"/>
    <w:rsid w:val="00877D6E"/>
    <w:rsid w:val="00877E35"/>
    <w:rsid w:val="0088014E"/>
    <w:rsid w:val="00880344"/>
    <w:rsid w:val="00880BAB"/>
    <w:rsid w:val="0088143E"/>
    <w:rsid w:val="00881769"/>
    <w:rsid w:val="008817FF"/>
    <w:rsid w:val="00881C39"/>
    <w:rsid w:val="00881D9C"/>
    <w:rsid w:val="0088239C"/>
    <w:rsid w:val="00882745"/>
    <w:rsid w:val="008828F7"/>
    <w:rsid w:val="00882A65"/>
    <w:rsid w:val="00882E58"/>
    <w:rsid w:val="00882F8E"/>
    <w:rsid w:val="0088323D"/>
    <w:rsid w:val="008835B1"/>
    <w:rsid w:val="00883B3F"/>
    <w:rsid w:val="00884158"/>
    <w:rsid w:val="00884491"/>
    <w:rsid w:val="00884939"/>
    <w:rsid w:val="00884DE2"/>
    <w:rsid w:val="008851BE"/>
    <w:rsid w:val="00885538"/>
    <w:rsid w:val="008856F6"/>
    <w:rsid w:val="00885D3C"/>
    <w:rsid w:val="00885D91"/>
    <w:rsid w:val="00886188"/>
    <w:rsid w:val="00886C33"/>
    <w:rsid w:val="00886F6F"/>
    <w:rsid w:val="00887063"/>
    <w:rsid w:val="00887E89"/>
    <w:rsid w:val="00887F1B"/>
    <w:rsid w:val="00887FAA"/>
    <w:rsid w:val="008900CF"/>
    <w:rsid w:val="00890764"/>
    <w:rsid w:val="00890E19"/>
    <w:rsid w:val="00890FA6"/>
    <w:rsid w:val="00891229"/>
    <w:rsid w:val="008912F3"/>
    <w:rsid w:val="00891A88"/>
    <w:rsid w:val="00891C0B"/>
    <w:rsid w:val="00892153"/>
    <w:rsid w:val="008922CF"/>
    <w:rsid w:val="008922E1"/>
    <w:rsid w:val="008923D1"/>
    <w:rsid w:val="008925B9"/>
    <w:rsid w:val="00892AC4"/>
    <w:rsid w:val="00892C63"/>
    <w:rsid w:val="008937CB"/>
    <w:rsid w:val="00893E2E"/>
    <w:rsid w:val="0089427B"/>
    <w:rsid w:val="00894386"/>
    <w:rsid w:val="00894669"/>
    <w:rsid w:val="0089483C"/>
    <w:rsid w:val="00894A6B"/>
    <w:rsid w:val="00894A7F"/>
    <w:rsid w:val="00894EEF"/>
    <w:rsid w:val="008954B1"/>
    <w:rsid w:val="00895573"/>
    <w:rsid w:val="00895E5A"/>
    <w:rsid w:val="00896FBF"/>
    <w:rsid w:val="00897013"/>
    <w:rsid w:val="00897344"/>
    <w:rsid w:val="00897502"/>
    <w:rsid w:val="00897855"/>
    <w:rsid w:val="008A0E63"/>
    <w:rsid w:val="008A1088"/>
    <w:rsid w:val="008A1438"/>
    <w:rsid w:val="008A173F"/>
    <w:rsid w:val="008A1EED"/>
    <w:rsid w:val="008A1EFD"/>
    <w:rsid w:val="008A2087"/>
    <w:rsid w:val="008A25C3"/>
    <w:rsid w:val="008A26FC"/>
    <w:rsid w:val="008A2790"/>
    <w:rsid w:val="008A2C5D"/>
    <w:rsid w:val="008A3C32"/>
    <w:rsid w:val="008A4F57"/>
    <w:rsid w:val="008A52CE"/>
    <w:rsid w:val="008A574C"/>
    <w:rsid w:val="008A5B73"/>
    <w:rsid w:val="008A68A0"/>
    <w:rsid w:val="008A6A25"/>
    <w:rsid w:val="008A6C26"/>
    <w:rsid w:val="008A6CE6"/>
    <w:rsid w:val="008A6D28"/>
    <w:rsid w:val="008A6F57"/>
    <w:rsid w:val="008A6FA7"/>
    <w:rsid w:val="008B0663"/>
    <w:rsid w:val="008B069A"/>
    <w:rsid w:val="008B0707"/>
    <w:rsid w:val="008B07AF"/>
    <w:rsid w:val="008B091D"/>
    <w:rsid w:val="008B0AED"/>
    <w:rsid w:val="008B0BA7"/>
    <w:rsid w:val="008B0D52"/>
    <w:rsid w:val="008B0EAB"/>
    <w:rsid w:val="008B1459"/>
    <w:rsid w:val="008B1DF8"/>
    <w:rsid w:val="008B1E06"/>
    <w:rsid w:val="008B20A4"/>
    <w:rsid w:val="008B2BD9"/>
    <w:rsid w:val="008B2DE5"/>
    <w:rsid w:val="008B2F1A"/>
    <w:rsid w:val="008B31AD"/>
    <w:rsid w:val="008B32E4"/>
    <w:rsid w:val="008B331F"/>
    <w:rsid w:val="008B3A87"/>
    <w:rsid w:val="008B3C1F"/>
    <w:rsid w:val="008B3D67"/>
    <w:rsid w:val="008B4238"/>
    <w:rsid w:val="008B4243"/>
    <w:rsid w:val="008B4953"/>
    <w:rsid w:val="008B4E19"/>
    <w:rsid w:val="008B4F72"/>
    <w:rsid w:val="008B50DC"/>
    <w:rsid w:val="008B5F58"/>
    <w:rsid w:val="008B6367"/>
    <w:rsid w:val="008B63AD"/>
    <w:rsid w:val="008B6BC4"/>
    <w:rsid w:val="008B6E1E"/>
    <w:rsid w:val="008B7546"/>
    <w:rsid w:val="008C0557"/>
    <w:rsid w:val="008C0771"/>
    <w:rsid w:val="008C0845"/>
    <w:rsid w:val="008C111C"/>
    <w:rsid w:val="008C1779"/>
    <w:rsid w:val="008C1DC1"/>
    <w:rsid w:val="008C1F65"/>
    <w:rsid w:val="008C28B3"/>
    <w:rsid w:val="008C3591"/>
    <w:rsid w:val="008C35DB"/>
    <w:rsid w:val="008C3A88"/>
    <w:rsid w:val="008C3AC1"/>
    <w:rsid w:val="008C4964"/>
    <w:rsid w:val="008C4A17"/>
    <w:rsid w:val="008C4B69"/>
    <w:rsid w:val="008C4EB8"/>
    <w:rsid w:val="008C5A05"/>
    <w:rsid w:val="008C60E1"/>
    <w:rsid w:val="008C61B0"/>
    <w:rsid w:val="008C6BB1"/>
    <w:rsid w:val="008C6D54"/>
    <w:rsid w:val="008C6FD3"/>
    <w:rsid w:val="008C70EB"/>
    <w:rsid w:val="008C755A"/>
    <w:rsid w:val="008C7757"/>
    <w:rsid w:val="008C77AC"/>
    <w:rsid w:val="008C7BEB"/>
    <w:rsid w:val="008C7EFC"/>
    <w:rsid w:val="008C7FA7"/>
    <w:rsid w:val="008D04B6"/>
    <w:rsid w:val="008D057C"/>
    <w:rsid w:val="008D13F7"/>
    <w:rsid w:val="008D1545"/>
    <w:rsid w:val="008D155D"/>
    <w:rsid w:val="008D15E6"/>
    <w:rsid w:val="008D1A55"/>
    <w:rsid w:val="008D1AED"/>
    <w:rsid w:val="008D1C9A"/>
    <w:rsid w:val="008D229E"/>
    <w:rsid w:val="008D24C5"/>
    <w:rsid w:val="008D27F1"/>
    <w:rsid w:val="008D35A9"/>
    <w:rsid w:val="008D36D2"/>
    <w:rsid w:val="008D3FE4"/>
    <w:rsid w:val="008D415F"/>
    <w:rsid w:val="008D4606"/>
    <w:rsid w:val="008D5506"/>
    <w:rsid w:val="008D5B6F"/>
    <w:rsid w:val="008D5DAB"/>
    <w:rsid w:val="008D6641"/>
    <w:rsid w:val="008D6847"/>
    <w:rsid w:val="008D6968"/>
    <w:rsid w:val="008D6C68"/>
    <w:rsid w:val="008D6F45"/>
    <w:rsid w:val="008D70F4"/>
    <w:rsid w:val="008D71F3"/>
    <w:rsid w:val="008D7AFD"/>
    <w:rsid w:val="008D7E3E"/>
    <w:rsid w:val="008D7EA6"/>
    <w:rsid w:val="008E0029"/>
    <w:rsid w:val="008E0041"/>
    <w:rsid w:val="008E01BA"/>
    <w:rsid w:val="008E0219"/>
    <w:rsid w:val="008E0DE2"/>
    <w:rsid w:val="008E1568"/>
    <w:rsid w:val="008E1CA4"/>
    <w:rsid w:val="008E2301"/>
    <w:rsid w:val="008E2BCC"/>
    <w:rsid w:val="008E3959"/>
    <w:rsid w:val="008E39DD"/>
    <w:rsid w:val="008E3AAA"/>
    <w:rsid w:val="008E3F1C"/>
    <w:rsid w:val="008E4648"/>
    <w:rsid w:val="008E46B7"/>
    <w:rsid w:val="008E4B95"/>
    <w:rsid w:val="008E4D65"/>
    <w:rsid w:val="008E57E3"/>
    <w:rsid w:val="008E5A4E"/>
    <w:rsid w:val="008E5E7E"/>
    <w:rsid w:val="008E6D37"/>
    <w:rsid w:val="008E6F6B"/>
    <w:rsid w:val="008E7155"/>
    <w:rsid w:val="008E71FB"/>
    <w:rsid w:val="008E7365"/>
    <w:rsid w:val="008E7AF1"/>
    <w:rsid w:val="008E7B40"/>
    <w:rsid w:val="008F0248"/>
    <w:rsid w:val="008F07B8"/>
    <w:rsid w:val="008F0932"/>
    <w:rsid w:val="008F0AAF"/>
    <w:rsid w:val="008F0EF5"/>
    <w:rsid w:val="008F1238"/>
    <w:rsid w:val="008F1522"/>
    <w:rsid w:val="008F1F94"/>
    <w:rsid w:val="008F257A"/>
    <w:rsid w:val="008F28D8"/>
    <w:rsid w:val="008F2A1F"/>
    <w:rsid w:val="008F2CD4"/>
    <w:rsid w:val="008F301E"/>
    <w:rsid w:val="008F30E1"/>
    <w:rsid w:val="008F31C8"/>
    <w:rsid w:val="008F3225"/>
    <w:rsid w:val="008F35D9"/>
    <w:rsid w:val="008F3793"/>
    <w:rsid w:val="008F438C"/>
    <w:rsid w:val="008F4606"/>
    <w:rsid w:val="008F4CB8"/>
    <w:rsid w:val="008F525C"/>
    <w:rsid w:val="008F533A"/>
    <w:rsid w:val="008F540C"/>
    <w:rsid w:val="008F5C2A"/>
    <w:rsid w:val="008F5C74"/>
    <w:rsid w:val="008F6060"/>
    <w:rsid w:val="008F6426"/>
    <w:rsid w:val="008F64E1"/>
    <w:rsid w:val="008F6B8B"/>
    <w:rsid w:val="008F744C"/>
    <w:rsid w:val="008F752E"/>
    <w:rsid w:val="0090146E"/>
    <w:rsid w:val="00901724"/>
    <w:rsid w:val="00901A3E"/>
    <w:rsid w:val="00901E4D"/>
    <w:rsid w:val="009020DE"/>
    <w:rsid w:val="009025D5"/>
    <w:rsid w:val="00902FDC"/>
    <w:rsid w:val="009031C5"/>
    <w:rsid w:val="00903424"/>
    <w:rsid w:val="00903587"/>
    <w:rsid w:val="00903E12"/>
    <w:rsid w:val="00904010"/>
    <w:rsid w:val="00904206"/>
    <w:rsid w:val="0090468B"/>
    <w:rsid w:val="00905456"/>
    <w:rsid w:val="009055C2"/>
    <w:rsid w:val="0090621C"/>
    <w:rsid w:val="00906618"/>
    <w:rsid w:val="00906835"/>
    <w:rsid w:val="00906C4A"/>
    <w:rsid w:val="0090736C"/>
    <w:rsid w:val="00907976"/>
    <w:rsid w:val="00910400"/>
    <w:rsid w:val="00910451"/>
    <w:rsid w:val="00910629"/>
    <w:rsid w:val="0091071F"/>
    <w:rsid w:val="00910866"/>
    <w:rsid w:val="009110AD"/>
    <w:rsid w:val="009111CC"/>
    <w:rsid w:val="00911313"/>
    <w:rsid w:val="009114FF"/>
    <w:rsid w:val="00911A79"/>
    <w:rsid w:val="00911C55"/>
    <w:rsid w:val="00911D8B"/>
    <w:rsid w:val="00912025"/>
    <w:rsid w:val="0091227B"/>
    <w:rsid w:val="00912622"/>
    <w:rsid w:val="009127CC"/>
    <w:rsid w:val="00912CBF"/>
    <w:rsid w:val="00913279"/>
    <w:rsid w:val="00913EBD"/>
    <w:rsid w:val="00914316"/>
    <w:rsid w:val="00914573"/>
    <w:rsid w:val="0091478A"/>
    <w:rsid w:val="00914B78"/>
    <w:rsid w:val="009158B9"/>
    <w:rsid w:val="00915B61"/>
    <w:rsid w:val="00915DC8"/>
    <w:rsid w:val="0091620A"/>
    <w:rsid w:val="00916863"/>
    <w:rsid w:val="009168F0"/>
    <w:rsid w:val="009168FC"/>
    <w:rsid w:val="00916F5A"/>
    <w:rsid w:val="009172A6"/>
    <w:rsid w:val="00917458"/>
    <w:rsid w:val="00917A98"/>
    <w:rsid w:val="00920225"/>
    <w:rsid w:val="009204F2"/>
    <w:rsid w:val="0092096D"/>
    <w:rsid w:val="00920CB1"/>
    <w:rsid w:val="0092108E"/>
    <w:rsid w:val="00921721"/>
    <w:rsid w:val="00921E56"/>
    <w:rsid w:val="00922166"/>
    <w:rsid w:val="009221ED"/>
    <w:rsid w:val="009224CB"/>
    <w:rsid w:val="0092259C"/>
    <w:rsid w:val="00922AAE"/>
    <w:rsid w:val="00922C63"/>
    <w:rsid w:val="0092301E"/>
    <w:rsid w:val="00923201"/>
    <w:rsid w:val="0092434C"/>
    <w:rsid w:val="00925018"/>
    <w:rsid w:val="00925620"/>
    <w:rsid w:val="0092569B"/>
    <w:rsid w:val="00925B80"/>
    <w:rsid w:val="00926F09"/>
    <w:rsid w:val="00926F12"/>
    <w:rsid w:val="00927DE3"/>
    <w:rsid w:val="009301E0"/>
    <w:rsid w:val="00930372"/>
    <w:rsid w:val="00930591"/>
    <w:rsid w:val="00930609"/>
    <w:rsid w:val="00930615"/>
    <w:rsid w:val="00930B72"/>
    <w:rsid w:val="0093196E"/>
    <w:rsid w:val="00931A58"/>
    <w:rsid w:val="00932113"/>
    <w:rsid w:val="009324E6"/>
    <w:rsid w:val="00932AD7"/>
    <w:rsid w:val="00932E71"/>
    <w:rsid w:val="00932ED3"/>
    <w:rsid w:val="0093312B"/>
    <w:rsid w:val="009340F5"/>
    <w:rsid w:val="009341B7"/>
    <w:rsid w:val="00934C07"/>
    <w:rsid w:val="009350DC"/>
    <w:rsid w:val="009352C5"/>
    <w:rsid w:val="00935534"/>
    <w:rsid w:val="0093562F"/>
    <w:rsid w:val="00935F61"/>
    <w:rsid w:val="009360BB"/>
    <w:rsid w:val="009364F8"/>
    <w:rsid w:val="00936772"/>
    <w:rsid w:val="00936B1F"/>
    <w:rsid w:val="00936BB9"/>
    <w:rsid w:val="009370A4"/>
    <w:rsid w:val="009378CF"/>
    <w:rsid w:val="009379F0"/>
    <w:rsid w:val="00937A67"/>
    <w:rsid w:val="00940193"/>
    <w:rsid w:val="00940820"/>
    <w:rsid w:val="00940CAF"/>
    <w:rsid w:val="009415BC"/>
    <w:rsid w:val="00941946"/>
    <w:rsid w:val="009425E7"/>
    <w:rsid w:val="00942B2E"/>
    <w:rsid w:val="009431A8"/>
    <w:rsid w:val="00943238"/>
    <w:rsid w:val="00943843"/>
    <w:rsid w:val="009438B3"/>
    <w:rsid w:val="00943ADB"/>
    <w:rsid w:val="00943C15"/>
    <w:rsid w:val="00943CFE"/>
    <w:rsid w:val="00943F96"/>
    <w:rsid w:val="00943FA2"/>
    <w:rsid w:val="00944115"/>
    <w:rsid w:val="0094494D"/>
    <w:rsid w:val="00944E59"/>
    <w:rsid w:val="00944E95"/>
    <w:rsid w:val="00945401"/>
    <w:rsid w:val="00945648"/>
    <w:rsid w:val="009459F4"/>
    <w:rsid w:val="00945ABE"/>
    <w:rsid w:val="00945DE7"/>
    <w:rsid w:val="00945E58"/>
    <w:rsid w:val="00946127"/>
    <w:rsid w:val="009462A4"/>
    <w:rsid w:val="00946427"/>
    <w:rsid w:val="00946907"/>
    <w:rsid w:val="00946DB0"/>
    <w:rsid w:val="009477C7"/>
    <w:rsid w:val="00950CAE"/>
    <w:rsid w:val="009512EC"/>
    <w:rsid w:val="009523F9"/>
    <w:rsid w:val="009526CD"/>
    <w:rsid w:val="009527BA"/>
    <w:rsid w:val="0095315A"/>
    <w:rsid w:val="009534DD"/>
    <w:rsid w:val="009535C2"/>
    <w:rsid w:val="00953A73"/>
    <w:rsid w:val="00953D0E"/>
    <w:rsid w:val="00954D5A"/>
    <w:rsid w:val="009551A8"/>
    <w:rsid w:val="009552E3"/>
    <w:rsid w:val="0095604D"/>
    <w:rsid w:val="00956B6C"/>
    <w:rsid w:val="0095714C"/>
    <w:rsid w:val="009572FA"/>
    <w:rsid w:val="00957383"/>
    <w:rsid w:val="009573EA"/>
    <w:rsid w:val="00957B5B"/>
    <w:rsid w:val="00957E69"/>
    <w:rsid w:val="00957F1F"/>
    <w:rsid w:val="009601CB"/>
    <w:rsid w:val="0096059A"/>
    <w:rsid w:val="0096081E"/>
    <w:rsid w:val="00960D39"/>
    <w:rsid w:val="00960F7E"/>
    <w:rsid w:val="009611A5"/>
    <w:rsid w:val="009612D0"/>
    <w:rsid w:val="0096193B"/>
    <w:rsid w:val="00961C02"/>
    <w:rsid w:val="00963188"/>
    <w:rsid w:val="00963240"/>
    <w:rsid w:val="009634FC"/>
    <w:rsid w:val="00963A0E"/>
    <w:rsid w:val="00963ADA"/>
    <w:rsid w:val="00963AFA"/>
    <w:rsid w:val="00963B82"/>
    <w:rsid w:val="00964475"/>
    <w:rsid w:val="00964A6E"/>
    <w:rsid w:val="00964FB4"/>
    <w:rsid w:val="00965327"/>
    <w:rsid w:val="00965C61"/>
    <w:rsid w:val="009666BD"/>
    <w:rsid w:val="00966BE4"/>
    <w:rsid w:val="00966BFB"/>
    <w:rsid w:val="009675F0"/>
    <w:rsid w:val="00967CDA"/>
    <w:rsid w:val="00970048"/>
    <w:rsid w:val="00970960"/>
    <w:rsid w:val="00970A77"/>
    <w:rsid w:val="00970E59"/>
    <w:rsid w:val="00970EF9"/>
    <w:rsid w:val="00971145"/>
    <w:rsid w:val="00971831"/>
    <w:rsid w:val="00971940"/>
    <w:rsid w:val="00971B93"/>
    <w:rsid w:val="00971EBA"/>
    <w:rsid w:val="00972113"/>
    <w:rsid w:val="0097216D"/>
    <w:rsid w:val="009726BA"/>
    <w:rsid w:val="00972945"/>
    <w:rsid w:val="00972A64"/>
    <w:rsid w:val="00972B02"/>
    <w:rsid w:val="00972CB8"/>
    <w:rsid w:val="00972D8F"/>
    <w:rsid w:val="00973299"/>
    <w:rsid w:val="00973C2B"/>
    <w:rsid w:val="0097437B"/>
    <w:rsid w:val="0097441E"/>
    <w:rsid w:val="009745A2"/>
    <w:rsid w:val="00974751"/>
    <w:rsid w:val="00975394"/>
    <w:rsid w:val="00975E7D"/>
    <w:rsid w:val="00975F87"/>
    <w:rsid w:val="00975FB0"/>
    <w:rsid w:val="00976242"/>
    <w:rsid w:val="009762C7"/>
    <w:rsid w:val="009766CB"/>
    <w:rsid w:val="0097670F"/>
    <w:rsid w:val="00976C32"/>
    <w:rsid w:val="00976C61"/>
    <w:rsid w:val="009803EC"/>
    <w:rsid w:val="00980BF4"/>
    <w:rsid w:val="00981215"/>
    <w:rsid w:val="009812FC"/>
    <w:rsid w:val="009813BF"/>
    <w:rsid w:val="009819CD"/>
    <w:rsid w:val="00981B60"/>
    <w:rsid w:val="00981DEB"/>
    <w:rsid w:val="00981E3F"/>
    <w:rsid w:val="00982582"/>
    <w:rsid w:val="0098284A"/>
    <w:rsid w:val="00982C0D"/>
    <w:rsid w:val="00983C71"/>
    <w:rsid w:val="00983D86"/>
    <w:rsid w:val="00983D98"/>
    <w:rsid w:val="009841D6"/>
    <w:rsid w:val="00984367"/>
    <w:rsid w:val="009844B4"/>
    <w:rsid w:val="0098453B"/>
    <w:rsid w:val="0098487D"/>
    <w:rsid w:val="00984D82"/>
    <w:rsid w:val="00984EC5"/>
    <w:rsid w:val="0098552E"/>
    <w:rsid w:val="0098572B"/>
    <w:rsid w:val="00985CDA"/>
    <w:rsid w:val="00985DE6"/>
    <w:rsid w:val="00985E82"/>
    <w:rsid w:val="0098603A"/>
    <w:rsid w:val="00986137"/>
    <w:rsid w:val="00986339"/>
    <w:rsid w:val="00986B96"/>
    <w:rsid w:val="00987125"/>
    <w:rsid w:val="00987351"/>
    <w:rsid w:val="0098740B"/>
    <w:rsid w:val="00987C6F"/>
    <w:rsid w:val="0099018C"/>
    <w:rsid w:val="00990708"/>
    <w:rsid w:val="0099076F"/>
    <w:rsid w:val="00990AA8"/>
    <w:rsid w:val="00990C3D"/>
    <w:rsid w:val="00991088"/>
    <w:rsid w:val="0099199D"/>
    <w:rsid w:val="00991B9A"/>
    <w:rsid w:val="00991BF9"/>
    <w:rsid w:val="0099214E"/>
    <w:rsid w:val="009923C3"/>
    <w:rsid w:val="00993499"/>
    <w:rsid w:val="009934DB"/>
    <w:rsid w:val="009939C7"/>
    <w:rsid w:val="009939CB"/>
    <w:rsid w:val="00993D95"/>
    <w:rsid w:val="009948FE"/>
    <w:rsid w:val="00994984"/>
    <w:rsid w:val="009956DE"/>
    <w:rsid w:val="00995756"/>
    <w:rsid w:val="00996876"/>
    <w:rsid w:val="00997125"/>
    <w:rsid w:val="0099726D"/>
    <w:rsid w:val="00997960"/>
    <w:rsid w:val="009979C6"/>
    <w:rsid w:val="009A002D"/>
    <w:rsid w:val="009A01EB"/>
    <w:rsid w:val="009A0208"/>
    <w:rsid w:val="009A0B05"/>
    <w:rsid w:val="009A11A6"/>
    <w:rsid w:val="009A1B80"/>
    <w:rsid w:val="009A21EE"/>
    <w:rsid w:val="009A253B"/>
    <w:rsid w:val="009A2F2E"/>
    <w:rsid w:val="009A3C6E"/>
    <w:rsid w:val="009A3F83"/>
    <w:rsid w:val="009A42AB"/>
    <w:rsid w:val="009A4472"/>
    <w:rsid w:val="009A552D"/>
    <w:rsid w:val="009A5566"/>
    <w:rsid w:val="009A5696"/>
    <w:rsid w:val="009A63C5"/>
    <w:rsid w:val="009A640C"/>
    <w:rsid w:val="009A6722"/>
    <w:rsid w:val="009A6A04"/>
    <w:rsid w:val="009A6A34"/>
    <w:rsid w:val="009A6F26"/>
    <w:rsid w:val="009A7042"/>
    <w:rsid w:val="009A7846"/>
    <w:rsid w:val="009A78A6"/>
    <w:rsid w:val="009B01AE"/>
    <w:rsid w:val="009B04F2"/>
    <w:rsid w:val="009B0763"/>
    <w:rsid w:val="009B076D"/>
    <w:rsid w:val="009B0A43"/>
    <w:rsid w:val="009B0A66"/>
    <w:rsid w:val="009B0AA4"/>
    <w:rsid w:val="009B123D"/>
    <w:rsid w:val="009B1C1B"/>
    <w:rsid w:val="009B1E55"/>
    <w:rsid w:val="009B30DC"/>
    <w:rsid w:val="009B3178"/>
    <w:rsid w:val="009B35BF"/>
    <w:rsid w:val="009B4194"/>
    <w:rsid w:val="009B472A"/>
    <w:rsid w:val="009B4C04"/>
    <w:rsid w:val="009B4C3E"/>
    <w:rsid w:val="009B4D2F"/>
    <w:rsid w:val="009B5038"/>
    <w:rsid w:val="009B508C"/>
    <w:rsid w:val="009B5121"/>
    <w:rsid w:val="009B55B6"/>
    <w:rsid w:val="009B56BE"/>
    <w:rsid w:val="009B573C"/>
    <w:rsid w:val="009B5A2F"/>
    <w:rsid w:val="009B5B0B"/>
    <w:rsid w:val="009B6816"/>
    <w:rsid w:val="009B6E08"/>
    <w:rsid w:val="009B6E0F"/>
    <w:rsid w:val="009B7356"/>
    <w:rsid w:val="009B7A8A"/>
    <w:rsid w:val="009C0156"/>
    <w:rsid w:val="009C0463"/>
    <w:rsid w:val="009C04D2"/>
    <w:rsid w:val="009C04DE"/>
    <w:rsid w:val="009C099B"/>
    <w:rsid w:val="009C0B86"/>
    <w:rsid w:val="009C1056"/>
    <w:rsid w:val="009C1219"/>
    <w:rsid w:val="009C1470"/>
    <w:rsid w:val="009C19F1"/>
    <w:rsid w:val="009C1ADB"/>
    <w:rsid w:val="009C1BF2"/>
    <w:rsid w:val="009C2E83"/>
    <w:rsid w:val="009C309B"/>
    <w:rsid w:val="009C33AD"/>
    <w:rsid w:val="009C350A"/>
    <w:rsid w:val="009C37BF"/>
    <w:rsid w:val="009C398A"/>
    <w:rsid w:val="009C3DDC"/>
    <w:rsid w:val="009C40BF"/>
    <w:rsid w:val="009C4676"/>
    <w:rsid w:val="009C5755"/>
    <w:rsid w:val="009C5C27"/>
    <w:rsid w:val="009C5FC3"/>
    <w:rsid w:val="009C60E9"/>
    <w:rsid w:val="009C61F4"/>
    <w:rsid w:val="009C6572"/>
    <w:rsid w:val="009C6629"/>
    <w:rsid w:val="009C7896"/>
    <w:rsid w:val="009C796F"/>
    <w:rsid w:val="009C7D0B"/>
    <w:rsid w:val="009D010B"/>
    <w:rsid w:val="009D0530"/>
    <w:rsid w:val="009D056C"/>
    <w:rsid w:val="009D0596"/>
    <w:rsid w:val="009D0C23"/>
    <w:rsid w:val="009D0CF4"/>
    <w:rsid w:val="009D0D52"/>
    <w:rsid w:val="009D140A"/>
    <w:rsid w:val="009D1A74"/>
    <w:rsid w:val="009D1ADF"/>
    <w:rsid w:val="009D24C1"/>
    <w:rsid w:val="009D2B26"/>
    <w:rsid w:val="009D2B87"/>
    <w:rsid w:val="009D2BE6"/>
    <w:rsid w:val="009D2F55"/>
    <w:rsid w:val="009D36C8"/>
    <w:rsid w:val="009D39E1"/>
    <w:rsid w:val="009D3B6A"/>
    <w:rsid w:val="009D3D90"/>
    <w:rsid w:val="009D43C4"/>
    <w:rsid w:val="009D44A1"/>
    <w:rsid w:val="009D4BCE"/>
    <w:rsid w:val="009D4C5D"/>
    <w:rsid w:val="009D5B6D"/>
    <w:rsid w:val="009D6019"/>
    <w:rsid w:val="009D645F"/>
    <w:rsid w:val="009D64A7"/>
    <w:rsid w:val="009D6D3F"/>
    <w:rsid w:val="009D6F87"/>
    <w:rsid w:val="009D7067"/>
    <w:rsid w:val="009D70A2"/>
    <w:rsid w:val="009D7203"/>
    <w:rsid w:val="009D7312"/>
    <w:rsid w:val="009D7410"/>
    <w:rsid w:val="009D7601"/>
    <w:rsid w:val="009D7622"/>
    <w:rsid w:val="009E05A2"/>
    <w:rsid w:val="009E074C"/>
    <w:rsid w:val="009E1377"/>
    <w:rsid w:val="009E1908"/>
    <w:rsid w:val="009E2463"/>
    <w:rsid w:val="009E2B4C"/>
    <w:rsid w:val="009E2C55"/>
    <w:rsid w:val="009E2D07"/>
    <w:rsid w:val="009E2E3F"/>
    <w:rsid w:val="009E2FAC"/>
    <w:rsid w:val="009E37B0"/>
    <w:rsid w:val="009E3971"/>
    <w:rsid w:val="009E39F0"/>
    <w:rsid w:val="009E3F94"/>
    <w:rsid w:val="009E44A4"/>
    <w:rsid w:val="009E4661"/>
    <w:rsid w:val="009E486C"/>
    <w:rsid w:val="009E4A34"/>
    <w:rsid w:val="009E4A5F"/>
    <w:rsid w:val="009E4E3B"/>
    <w:rsid w:val="009E59F4"/>
    <w:rsid w:val="009E61B0"/>
    <w:rsid w:val="009E63F0"/>
    <w:rsid w:val="009E675A"/>
    <w:rsid w:val="009E73B1"/>
    <w:rsid w:val="009E7BCD"/>
    <w:rsid w:val="009F012F"/>
    <w:rsid w:val="009F046E"/>
    <w:rsid w:val="009F05AC"/>
    <w:rsid w:val="009F086C"/>
    <w:rsid w:val="009F0971"/>
    <w:rsid w:val="009F09F5"/>
    <w:rsid w:val="009F09FB"/>
    <w:rsid w:val="009F0F11"/>
    <w:rsid w:val="009F1443"/>
    <w:rsid w:val="009F1778"/>
    <w:rsid w:val="009F1EEE"/>
    <w:rsid w:val="009F2229"/>
    <w:rsid w:val="009F236B"/>
    <w:rsid w:val="009F239C"/>
    <w:rsid w:val="009F290A"/>
    <w:rsid w:val="009F2B35"/>
    <w:rsid w:val="009F2E88"/>
    <w:rsid w:val="009F376C"/>
    <w:rsid w:val="009F3ED0"/>
    <w:rsid w:val="009F4220"/>
    <w:rsid w:val="009F429E"/>
    <w:rsid w:val="009F4825"/>
    <w:rsid w:val="009F4921"/>
    <w:rsid w:val="009F49FF"/>
    <w:rsid w:val="009F52E0"/>
    <w:rsid w:val="009F5CE6"/>
    <w:rsid w:val="009F5D65"/>
    <w:rsid w:val="009F60E0"/>
    <w:rsid w:val="009F68A3"/>
    <w:rsid w:val="009F6B75"/>
    <w:rsid w:val="009F6FA5"/>
    <w:rsid w:val="009F7007"/>
    <w:rsid w:val="009F74DB"/>
    <w:rsid w:val="009F77DF"/>
    <w:rsid w:val="009F7813"/>
    <w:rsid w:val="009F7932"/>
    <w:rsid w:val="00A00221"/>
    <w:rsid w:val="00A00437"/>
    <w:rsid w:val="00A00BE9"/>
    <w:rsid w:val="00A00DDA"/>
    <w:rsid w:val="00A01385"/>
    <w:rsid w:val="00A01B9D"/>
    <w:rsid w:val="00A02C0A"/>
    <w:rsid w:val="00A02ECC"/>
    <w:rsid w:val="00A031CE"/>
    <w:rsid w:val="00A03652"/>
    <w:rsid w:val="00A03A2A"/>
    <w:rsid w:val="00A03CB1"/>
    <w:rsid w:val="00A047FA"/>
    <w:rsid w:val="00A0480E"/>
    <w:rsid w:val="00A04844"/>
    <w:rsid w:val="00A06ED8"/>
    <w:rsid w:val="00A07570"/>
    <w:rsid w:val="00A07E5B"/>
    <w:rsid w:val="00A10103"/>
    <w:rsid w:val="00A10D64"/>
    <w:rsid w:val="00A11137"/>
    <w:rsid w:val="00A111EA"/>
    <w:rsid w:val="00A1135E"/>
    <w:rsid w:val="00A11447"/>
    <w:rsid w:val="00A11B67"/>
    <w:rsid w:val="00A11DEE"/>
    <w:rsid w:val="00A11DF8"/>
    <w:rsid w:val="00A12195"/>
    <w:rsid w:val="00A123D5"/>
    <w:rsid w:val="00A12B28"/>
    <w:rsid w:val="00A135AE"/>
    <w:rsid w:val="00A13A38"/>
    <w:rsid w:val="00A13D2F"/>
    <w:rsid w:val="00A13EAB"/>
    <w:rsid w:val="00A1423C"/>
    <w:rsid w:val="00A14BC6"/>
    <w:rsid w:val="00A1538B"/>
    <w:rsid w:val="00A15693"/>
    <w:rsid w:val="00A15AB8"/>
    <w:rsid w:val="00A162DF"/>
    <w:rsid w:val="00A16324"/>
    <w:rsid w:val="00A16DCB"/>
    <w:rsid w:val="00A17013"/>
    <w:rsid w:val="00A17526"/>
    <w:rsid w:val="00A176A3"/>
    <w:rsid w:val="00A17AF1"/>
    <w:rsid w:val="00A17B4D"/>
    <w:rsid w:val="00A17B91"/>
    <w:rsid w:val="00A20220"/>
    <w:rsid w:val="00A20CAE"/>
    <w:rsid w:val="00A210C0"/>
    <w:rsid w:val="00A21A7C"/>
    <w:rsid w:val="00A21C7C"/>
    <w:rsid w:val="00A21DE7"/>
    <w:rsid w:val="00A21E5B"/>
    <w:rsid w:val="00A21E7F"/>
    <w:rsid w:val="00A21EBF"/>
    <w:rsid w:val="00A222FD"/>
    <w:rsid w:val="00A22C23"/>
    <w:rsid w:val="00A23269"/>
    <w:rsid w:val="00A23BFA"/>
    <w:rsid w:val="00A23EC7"/>
    <w:rsid w:val="00A23F95"/>
    <w:rsid w:val="00A24C5B"/>
    <w:rsid w:val="00A254AA"/>
    <w:rsid w:val="00A25DFB"/>
    <w:rsid w:val="00A25E6E"/>
    <w:rsid w:val="00A2610D"/>
    <w:rsid w:val="00A26312"/>
    <w:rsid w:val="00A26462"/>
    <w:rsid w:val="00A26700"/>
    <w:rsid w:val="00A26A0F"/>
    <w:rsid w:val="00A26B21"/>
    <w:rsid w:val="00A274E2"/>
    <w:rsid w:val="00A27727"/>
    <w:rsid w:val="00A27F30"/>
    <w:rsid w:val="00A30562"/>
    <w:rsid w:val="00A30786"/>
    <w:rsid w:val="00A307DF"/>
    <w:rsid w:val="00A30B97"/>
    <w:rsid w:val="00A31193"/>
    <w:rsid w:val="00A312AD"/>
    <w:rsid w:val="00A312FC"/>
    <w:rsid w:val="00A316FF"/>
    <w:rsid w:val="00A31909"/>
    <w:rsid w:val="00A31A9F"/>
    <w:rsid w:val="00A31F9A"/>
    <w:rsid w:val="00A32038"/>
    <w:rsid w:val="00A32237"/>
    <w:rsid w:val="00A3288D"/>
    <w:rsid w:val="00A32A9B"/>
    <w:rsid w:val="00A32E54"/>
    <w:rsid w:val="00A3307A"/>
    <w:rsid w:val="00A3497B"/>
    <w:rsid w:val="00A34BDA"/>
    <w:rsid w:val="00A358DC"/>
    <w:rsid w:val="00A362FE"/>
    <w:rsid w:val="00A36969"/>
    <w:rsid w:val="00A36979"/>
    <w:rsid w:val="00A36BED"/>
    <w:rsid w:val="00A37640"/>
    <w:rsid w:val="00A37789"/>
    <w:rsid w:val="00A377EC"/>
    <w:rsid w:val="00A3799F"/>
    <w:rsid w:val="00A37B75"/>
    <w:rsid w:val="00A37E2E"/>
    <w:rsid w:val="00A40079"/>
    <w:rsid w:val="00A40C15"/>
    <w:rsid w:val="00A414A5"/>
    <w:rsid w:val="00A4164A"/>
    <w:rsid w:val="00A41C3D"/>
    <w:rsid w:val="00A41F2E"/>
    <w:rsid w:val="00A427FE"/>
    <w:rsid w:val="00A42822"/>
    <w:rsid w:val="00A42BB2"/>
    <w:rsid w:val="00A42BF6"/>
    <w:rsid w:val="00A432A0"/>
    <w:rsid w:val="00A4354B"/>
    <w:rsid w:val="00A43BFD"/>
    <w:rsid w:val="00A43F0A"/>
    <w:rsid w:val="00A43FF9"/>
    <w:rsid w:val="00A44220"/>
    <w:rsid w:val="00A443AA"/>
    <w:rsid w:val="00A44B28"/>
    <w:rsid w:val="00A452DB"/>
    <w:rsid w:val="00A45500"/>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3CF6"/>
    <w:rsid w:val="00A5508D"/>
    <w:rsid w:val="00A550F7"/>
    <w:rsid w:val="00A55474"/>
    <w:rsid w:val="00A557AA"/>
    <w:rsid w:val="00A558B3"/>
    <w:rsid w:val="00A562BE"/>
    <w:rsid w:val="00A56A4F"/>
    <w:rsid w:val="00A56B72"/>
    <w:rsid w:val="00A56DDE"/>
    <w:rsid w:val="00A56FEE"/>
    <w:rsid w:val="00A5777D"/>
    <w:rsid w:val="00A5787F"/>
    <w:rsid w:val="00A57E73"/>
    <w:rsid w:val="00A60436"/>
    <w:rsid w:val="00A607D9"/>
    <w:rsid w:val="00A60A8B"/>
    <w:rsid w:val="00A60C3A"/>
    <w:rsid w:val="00A6124D"/>
    <w:rsid w:val="00A6198C"/>
    <w:rsid w:val="00A6203D"/>
    <w:rsid w:val="00A62199"/>
    <w:rsid w:val="00A621B7"/>
    <w:rsid w:val="00A63037"/>
    <w:rsid w:val="00A6323E"/>
    <w:rsid w:val="00A63315"/>
    <w:rsid w:val="00A63575"/>
    <w:rsid w:val="00A63AF3"/>
    <w:rsid w:val="00A6419E"/>
    <w:rsid w:val="00A64A06"/>
    <w:rsid w:val="00A64E8C"/>
    <w:rsid w:val="00A64EF8"/>
    <w:rsid w:val="00A65016"/>
    <w:rsid w:val="00A65A63"/>
    <w:rsid w:val="00A65B00"/>
    <w:rsid w:val="00A65CC9"/>
    <w:rsid w:val="00A65E01"/>
    <w:rsid w:val="00A66413"/>
    <w:rsid w:val="00A664B6"/>
    <w:rsid w:val="00A6677B"/>
    <w:rsid w:val="00A67A3C"/>
    <w:rsid w:val="00A67D1C"/>
    <w:rsid w:val="00A67D72"/>
    <w:rsid w:val="00A7089D"/>
    <w:rsid w:val="00A710AC"/>
    <w:rsid w:val="00A7126B"/>
    <w:rsid w:val="00A717AD"/>
    <w:rsid w:val="00A7186E"/>
    <w:rsid w:val="00A719E2"/>
    <w:rsid w:val="00A71B1D"/>
    <w:rsid w:val="00A71FC9"/>
    <w:rsid w:val="00A7220A"/>
    <w:rsid w:val="00A725DB"/>
    <w:rsid w:val="00A72751"/>
    <w:rsid w:val="00A7337F"/>
    <w:rsid w:val="00A73655"/>
    <w:rsid w:val="00A73667"/>
    <w:rsid w:val="00A73738"/>
    <w:rsid w:val="00A73CB7"/>
    <w:rsid w:val="00A73D7C"/>
    <w:rsid w:val="00A73E8F"/>
    <w:rsid w:val="00A747DC"/>
    <w:rsid w:val="00A74D4E"/>
    <w:rsid w:val="00A753BD"/>
    <w:rsid w:val="00A7616A"/>
    <w:rsid w:val="00A761EE"/>
    <w:rsid w:val="00A762FD"/>
    <w:rsid w:val="00A76818"/>
    <w:rsid w:val="00A769BA"/>
    <w:rsid w:val="00A76B33"/>
    <w:rsid w:val="00A77933"/>
    <w:rsid w:val="00A77F98"/>
    <w:rsid w:val="00A80813"/>
    <w:rsid w:val="00A80C47"/>
    <w:rsid w:val="00A80EA4"/>
    <w:rsid w:val="00A81275"/>
    <w:rsid w:val="00A8162A"/>
    <w:rsid w:val="00A816E3"/>
    <w:rsid w:val="00A819DD"/>
    <w:rsid w:val="00A81B62"/>
    <w:rsid w:val="00A81C95"/>
    <w:rsid w:val="00A82527"/>
    <w:rsid w:val="00A8316D"/>
    <w:rsid w:val="00A833BF"/>
    <w:rsid w:val="00A83509"/>
    <w:rsid w:val="00A83903"/>
    <w:rsid w:val="00A83A16"/>
    <w:rsid w:val="00A83CA5"/>
    <w:rsid w:val="00A84336"/>
    <w:rsid w:val="00A84863"/>
    <w:rsid w:val="00A84AB6"/>
    <w:rsid w:val="00A84EBD"/>
    <w:rsid w:val="00A84EDD"/>
    <w:rsid w:val="00A84F34"/>
    <w:rsid w:val="00A84FAC"/>
    <w:rsid w:val="00A854BC"/>
    <w:rsid w:val="00A85B89"/>
    <w:rsid w:val="00A8620E"/>
    <w:rsid w:val="00A864E9"/>
    <w:rsid w:val="00A86CC9"/>
    <w:rsid w:val="00A87600"/>
    <w:rsid w:val="00A87906"/>
    <w:rsid w:val="00A87958"/>
    <w:rsid w:val="00A87CD3"/>
    <w:rsid w:val="00A87E9E"/>
    <w:rsid w:val="00A901BE"/>
    <w:rsid w:val="00A904E2"/>
    <w:rsid w:val="00A908FF"/>
    <w:rsid w:val="00A90AD4"/>
    <w:rsid w:val="00A90D2E"/>
    <w:rsid w:val="00A90DCE"/>
    <w:rsid w:val="00A90F25"/>
    <w:rsid w:val="00A912E7"/>
    <w:rsid w:val="00A91A2C"/>
    <w:rsid w:val="00A91E97"/>
    <w:rsid w:val="00A9260E"/>
    <w:rsid w:val="00A92BCF"/>
    <w:rsid w:val="00A93095"/>
    <w:rsid w:val="00A93A32"/>
    <w:rsid w:val="00A93E6F"/>
    <w:rsid w:val="00A940DB"/>
    <w:rsid w:val="00A941B0"/>
    <w:rsid w:val="00A941D7"/>
    <w:rsid w:val="00A94511"/>
    <w:rsid w:val="00A94FE5"/>
    <w:rsid w:val="00A96085"/>
    <w:rsid w:val="00A9628F"/>
    <w:rsid w:val="00A96424"/>
    <w:rsid w:val="00A969D8"/>
    <w:rsid w:val="00A96BEA"/>
    <w:rsid w:val="00A9745B"/>
    <w:rsid w:val="00AA19A6"/>
    <w:rsid w:val="00AA1AED"/>
    <w:rsid w:val="00AA20B1"/>
    <w:rsid w:val="00AA262E"/>
    <w:rsid w:val="00AA2BC1"/>
    <w:rsid w:val="00AA2C89"/>
    <w:rsid w:val="00AA3451"/>
    <w:rsid w:val="00AA38F8"/>
    <w:rsid w:val="00AA3906"/>
    <w:rsid w:val="00AA4312"/>
    <w:rsid w:val="00AA43BD"/>
    <w:rsid w:val="00AA46E6"/>
    <w:rsid w:val="00AA47DB"/>
    <w:rsid w:val="00AA48C1"/>
    <w:rsid w:val="00AA4945"/>
    <w:rsid w:val="00AA4B2F"/>
    <w:rsid w:val="00AA4FC0"/>
    <w:rsid w:val="00AA564B"/>
    <w:rsid w:val="00AA5889"/>
    <w:rsid w:val="00AA5915"/>
    <w:rsid w:val="00AA5CE3"/>
    <w:rsid w:val="00AA60A4"/>
    <w:rsid w:val="00AA64DE"/>
    <w:rsid w:val="00AA6D8A"/>
    <w:rsid w:val="00AA73A8"/>
    <w:rsid w:val="00AB006F"/>
    <w:rsid w:val="00AB00E8"/>
    <w:rsid w:val="00AB106B"/>
    <w:rsid w:val="00AB114C"/>
    <w:rsid w:val="00AB153D"/>
    <w:rsid w:val="00AB156D"/>
    <w:rsid w:val="00AB1685"/>
    <w:rsid w:val="00AB17B3"/>
    <w:rsid w:val="00AB1A9F"/>
    <w:rsid w:val="00AB2A38"/>
    <w:rsid w:val="00AB2A74"/>
    <w:rsid w:val="00AB2E0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6DA7"/>
    <w:rsid w:val="00AB7024"/>
    <w:rsid w:val="00AB7213"/>
    <w:rsid w:val="00AB73F4"/>
    <w:rsid w:val="00AB7442"/>
    <w:rsid w:val="00AB759E"/>
    <w:rsid w:val="00AB7A55"/>
    <w:rsid w:val="00AB7CB4"/>
    <w:rsid w:val="00AB7D0B"/>
    <w:rsid w:val="00AB7D4B"/>
    <w:rsid w:val="00AB7D75"/>
    <w:rsid w:val="00AB7FA0"/>
    <w:rsid w:val="00AC03EA"/>
    <w:rsid w:val="00AC0478"/>
    <w:rsid w:val="00AC105F"/>
    <w:rsid w:val="00AC1226"/>
    <w:rsid w:val="00AC14E0"/>
    <w:rsid w:val="00AC1686"/>
    <w:rsid w:val="00AC179A"/>
    <w:rsid w:val="00AC2121"/>
    <w:rsid w:val="00AC2218"/>
    <w:rsid w:val="00AC2385"/>
    <w:rsid w:val="00AC24F6"/>
    <w:rsid w:val="00AC26DC"/>
    <w:rsid w:val="00AC2837"/>
    <w:rsid w:val="00AC299E"/>
    <w:rsid w:val="00AC3375"/>
    <w:rsid w:val="00AC3834"/>
    <w:rsid w:val="00AC5774"/>
    <w:rsid w:val="00AC5C6A"/>
    <w:rsid w:val="00AC5EA2"/>
    <w:rsid w:val="00AC5F59"/>
    <w:rsid w:val="00AC60DA"/>
    <w:rsid w:val="00AC65AF"/>
    <w:rsid w:val="00AC6A61"/>
    <w:rsid w:val="00AC6DA9"/>
    <w:rsid w:val="00AC7052"/>
    <w:rsid w:val="00AC739C"/>
    <w:rsid w:val="00AC7672"/>
    <w:rsid w:val="00AC7703"/>
    <w:rsid w:val="00AC7D7E"/>
    <w:rsid w:val="00AC7E57"/>
    <w:rsid w:val="00AD0558"/>
    <w:rsid w:val="00AD0C0E"/>
    <w:rsid w:val="00AD0DD7"/>
    <w:rsid w:val="00AD0FBD"/>
    <w:rsid w:val="00AD10E5"/>
    <w:rsid w:val="00AD1165"/>
    <w:rsid w:val="00AD13DF"/>
    <w:rsid w:val="00AD150C"/>
    <w:rsid w:val="00AD1F44"/>
    <w:rsid w:val="00AD1FF4"/>
    <w:rsid w:val="00AD2362"/>
    <w:rsid w:val="00AD23CC"/>
    <w:rsid w:val="00AD2741"/>
    <w:rsid w:val="00AD31EC"/>
    <w:rsid w:val="00AD3373"/>
    <w:rsid w:val="00AD35A4"/>
    <w:rsid w:val="00AD35C0"/>
    <w:rsid w:val="00AD37F0"/>
    <w:rsid w:val="00AD3C2A"/>
    <w:rsid w:val="00AD3DAA"/>
    <w:rsid w:val="00AD3E6B"/>
    <w:rsid w:val="00AD4379"/>
    <w:rsid w:val="00AD52BE"/>
    <w:rsid w:val="00AD5D9A"/>
    <w:rsid w:val="00AD6676"/>
    <w:rsid w:val="00AD6769"/>
    <w:rsid w:val="00AD6833"/>
    <w:rsid w:val="00AD715B"/>
    <w:rsid w:val="00AD77FA"/>
    <w:rsid w:val="00AD7A80"/>
    <w:rsid w:val="00AE0B3D"/>
    <w:rsid w:val="00AE0D94"/>
    <w:rsid w:val="00AE156A"/>
    <w:rsid w:val="00AE1923"/>
    <w:rsid w:val="00AE1A43"/>
    <w:rsid w:val="00AE1C81"/>
    <w:rsid w:val="00AE1D4C"/>
    <w:rsid w:val="00AE252A"/>
    <w:rsid w:val="00AE2F4E"/>
    <w:rsid w:val="00AE35BF"/>
    <w:rsid w:val="00AE39A6"/>
    <w:rsid w:val="00AE4199"/>
    <w:rsid w:val="00AE4207"/>
    <w:rsid w:val="00AE486A"/>
    <w:rsid w:val="00AE48A4"/>
    <w:rsid w:val="00AE4C70"/>
    <w:rsid w:val="00AE4F38"/>
    <w:rsid w:val="00AE507F"/>
    <w:rsid w:val="00AE5C73"/>
    <w:rsid w:val="00AE6873"/>
    <w:rsid w:val="00AE6D21"/>
    <w:rsid w:val="00AE78CF"/>
    <w:rsid w:val="00AE7F9B"/>
    <w:rsid w:val="00AF0016"/>
    <w:rsid w:val="00AF0A0B"/>
    <w:rsid w:val="00AF0D03"/>
    <w:rsid w:val="00AF0F7F"/>
    <w:rsid w:val="00AF1618"/>
    <w:rsid w:val="00AF1771"/>
    <w:rsid w:val="00AF1DE2"/>
    <w:rsid w:val="00AF24F2"/>
    <w:rsid w:val="00AF2806"/>
    <w:rsid w:val="00AF2F7F"/>
    <w:rsid w:val="00AF31F6"/>
    <w:rsid w:val="00AF3AE3"/>
    <w:rsid w:val="00AF3BDB"/>
    <w:rsid w:val="00AF406C"/>
    <w:rsid w:val="00AF40E0"/>
    <w:rsid w:val="00AF41B6"/>
    <w:rsid w:val="00AF428A"/>
    <w:rsid w:val="00AF4336"/>
    <w:rsid w:val="00AF45AF"/>
    <w:rsid w:val="00AF498E"/>
    <w:rsid w:val="00AF4AF0"/>
    <w:rsid w:val="00AF4E90"/>
    <w:rsid w:val="00AF52DD"/>
    <w:rsid w:val="00AF535F"/>
    <w:rsid w:val="00AF5912"/>
    <w:rsid w:val="00AF5D8B"/>
    <w:rsid w:val="00AF6220"/>
    <w:rsid w:val="00AF6DFF"/>
    <w:rsid w:val="00AF72AA"/>
    <w:rsid w:val="00AF7341"/>
    <w:rsid w:val="00AF7BAB"/>
    <w:rsid w:val="00B0063B"/>
    <w:rsid w:val="00B00D2D"/>
    <w:rsid w:val="00B00F17"/>
    <w:rsid w:val="00B01C0B"/>
    <w:rsid w:val="00B01DB9"/>
    <w:rsid w:val="00B01E36"/>
    <w:rsid w:val="00B01F90"/>
    <w:rsid w:val="00B03388"/>
    <w:rsid w:val="00B03DEF"/>
    <w:rsid w:val="00B043FA"/>
    <w:rsid w:val="00B04C10"/>
    <w:rsid w:val="00B05579"/>
    <w:rsid w:val="00B0575B"/>
    <w:rsid w:val="00B0581C"/>
    <w:rsid w:val="00B0588C"/>
    <w:rsid w:val="00B05D0B"/>
    <w:rsid w:val="00B05E04"/>
    <w:rsid w:val="00B06249"/>
    <w:rsid w:val="00B06576"/>
    <w:rsid w:val="00B068E4"/>
    <w:rsid w:val="00B068FF"/>
    <w:rsid w:val="00B10C0C"/>
    <w:rsid w:val="00B1114A"/>
    <w:rsid w:val="00B115ED"/>
    <w:rsid w:val="00B117CB"/>
    <w:rsid w:val="00B117D7"/>
    <w:rsid w:val="00B11A1C"/>
    <w:rsid w:val="00B12425"/>
    <w:rsid w:val="00B12732"/>
    <w:rsid w:val="00B13785"/>
    <w:rsid w:val="00B13A62"/>
    <w:rsid w:val="00B13B8E"/>
    <w:rsid w:val="00B13F9C"/>
    <w:rsid w:val="00B142E0"/>
    <w:rsid w:val="00B15237"/>
    <w:rsid w:val="00B16610"/>
    <w:rsid w:val="00B166A6"/>
    <w:rsid w:val="00B166AB"/>
    <w:rsid w:val="00B16817"/>
    <w:rsid w:val="00B20497"/>
    <w:rsid w:val="00B2128C"/>
    <w:rsid w:val="00B21406"/>
    <w:rsid w:val="00B2238D"/>
    <w:rsid w:val="00B229A1"/>
    <w:rsid w:val="00B23034"/>
    <w:rsid w:val="00B2308E"/>
    <w:rsid w:val="00B231BC"/>
    <w:rsid w:val="00B23573"/>
    <w:rsid w:val="00B23ABE"/>
    <w:rsid w:val="00B23B67"/>
    <w:rsid w:val="00B24B78"/>
    <w:rsid w:val="00B24C03"/>
    <w:rsid w:val="00B25E29"/>
    <w:rsid w:val="00B266F1"/>
    <w:rsid w:val="00B2674D"/>
    <w:rsid w:val="00B26797"/>
    <w:rsid w:val="00B26C98"/>
    <w:rsid w:val="00B26E4F"/>
    <w:rsid w:val="00B271E8"/>
    <w:rsid w:val="00B27548"/>
    <w:rsid w:val="00B275D8"/>
    <w:rsid w:val="00B27C62"/>
    <w:rsid w:val="00B30166"/>
    <w:rsid w:val="00B3101D"/>
    <w:rsid w:val="00B313F6"/>
    <w:rsid w:val="00B318E3"/>
    <w:rsid w:val="00B32506"/>
    <w:rsid w:val="00B32F66"/>
    <w:rsid w:val="00B33345"/>
    <w:rsid w:val="00B33678"/>
    <w:rsid w:val="00B33850"/>
    <w:rsid w:val="00B338BA"/>
    <w:rsid w:val="00B33F6F"/>
    <w:rsid w:val="00B33FD6"/>
    <w:rsid w:val="00B34AFD"/>
    <w:rsid w:val="00B3512D"/>
    <w:rsid w:val="00B354E2"/>
    <w:rsid w:val="00B358C1"/>
    <w:rsid w:val="00B35CB1"/>
    <w:rsid w:val="00B3634F"/>
    <w:rsid w:val="00B36705"/>
    <w:rsid w:val="00B36A7A"/>
    <w:rsid w:val="00B37073"/>
    <w:rsid w:val="00B37C50"/>
    <w:rsid w:val="00B40037"/>
    <w:rsid w:val="00B4055F"/>
    <w:rsid w:val="00B40572"/>
    <w:rsid w:val="00B4108E"/>
    <w:rsid w:val="00B4111C"/>
    <w:rsid w:val="00B4120D"/>
    <w:rsid w:val="00B41314"/>
    <w:rsid w:val="00B413D2"/>
    <w:rsid w:val="00B41861"/>
    <w:rsid w:val="00B41A1A"/>
    <w:rsid w:val="00B420A2"/>
    <w:rsid w:val="00B42107"/>
    <w:rsid w:val="00B425D2"/>
    <w:rsid w:val="00B42F63"/>
    <w:rsid w:val="00B431AD"/>
    <w:rsid w:val="00B4365C"/>
    <w:rsid w:val="00B436E2"/>
    <w:rsid w:val="00B438A8"/>
    <w:rsid w:val="00B439B0"/>
    <w:rsid w:val="00B439E5"/>
    <w:rsid w:val="00B440D1"/>
    <w:rsid w:val="00B44412"/>
    <w:rsid w:val="00B44A28"/>
    <w:rsid w:val="00B453BC"/>
    <w:rsid w:val="00B457F9"/>
    <w:rsid w:val="00B45BBA"/>
    <w:rsid w:val="00B45FDC"/>
    <w:rsid w:val="00B462D8"/>
    <w:rsid w:val="00B46347"/>
    <w:rsid w:val="00B46444"/>
    <w:rsid w:val="00B472E3"/>
    <w:rsid w:val="00B4762E"/>
    <w:rsid w:val="00B479CF"/>
    <w:rsid w:val="00B47BCD"/>
    <w:rsid w:val="00B507E3"/>
    <w:rsid w:val="00B512C2"/>
    <w:rsid w:val="00B5139C"/>
    <w:rsid w:val="00B51B92"/>
    <w:rsid w:val="00B51D8B"/>
    <w:rsid w:val="00B52EAD"/>
    <w:rsid w:val="00B52F36"/>
    <w:rsid w:val="00B52FD8"/>
    <w:rsid w:val="00B533DB"/>
    <w:rsid w:val="00B535DF"/>
    <w:rsid w:val="00B536F9"/>
    <w:rsid w:val="00B53ABB"/>
    <w:rsid w:val="00B5463E"/>
    <w:rsid w:val="00B5474A"/>
    <w:rsid w:val="00B54B97"/>
    <w:rsid w:val="00B5505C"/>
    <w:rsid w:val="00B55825"/>
    <w:rsid w:val="00B55E9E"/>
    <w:rsid w:val="00B55FAE"/>
    <w:rsid w:val="00B56101"/>
    <w:rsid w:val="00B5628A"/>
    <w:rsid w:val="00B57320"/>
    <w:rsid w:val="00B574FC"/>
    <w:rsid w:val="00B57639"/>
    <w:rsid w:val="00B57D8B"/>
    <w:rsid w:val="00B6019F"/>
    <w:rsid w:val="00B60E24"/>
    <w:rsid w:val="00B61068"/>
    <w:rsid w:val="00B6118D"/>
    <w:rsid w:val="00B629F8"/>
    <w:rsid w:val="00B62AB3"/>
    <w:rsid w:val="00B62AF2"/>
    <w:rsid w:val="00B6300B"/>
    <w:rsid w:val="00B636B2"/>
    <w:rsid w:val="00B638BD"/>
    <w:rsid w:val="00B63B4B"/>
    <w:rsid w:val="00B649C3"/>
    <w:rsid w:val="00B656D5"/>
    <w:rsid w:val="00B65EAD"/>
    <w:rsid w:val="00B66449"/>
    <w:rsid w:val="00B66F41"/>
    <w:rsid w:val="00B674BE"/>
    <w:rsid w:val="00B67A5D"/>
    <w:rsid w:val="00B67BF5"/>
    <w:rsid w:val="00B70240"/>
    <w:rsid w:val="00B706E0"/>
    <w:rsid w:val="00B70E68"/>
    <w:rsid w:val="00B7115C"/>
    <w:rsid w:val="00B71267"/>
    <w:rsid w:val="00B717A4"/>
    <w:rsid w:val="00B71802"/>
    <w:rsid w:val="00B71BEA"/>
    <w:rsid w:val="00B71D0E"/>
    <w:rsid w:val="00B71D57"/>
    <w:rsid w:val="00B71F1E"/>
    <w:rsid w:val="00B72616"/>
    <w:rsid w:val="00B727C3"/>
    <w:rsid w:val="00B727F5"/>
    <w:rsid w:val="00B7296F"/>
    <w:rsid w:val="00B732CD"/>
    <w:rsid w:val="00B7351F"/>
    <w:rsid w:val="00B73A8A"/>
    <w:rsid w:val="00B743DF"/>
    <w:rsid w:val="00B7465C"/>
    <w:rsid w:val="00B74B6F"/>
    <w:rsid w:val="00B74BD5"/>
    <w:rsid w:val="00B752A3"/>
    <w:rsid w:val="00B75471"/>
    <w:rsid w:val="00B75640"/>
    <w:rsid w:val="00B75690"/>
    <w:rsid w:val="00B75853"/>
    <w:rsid w:val="00B75BF1"/>
    <w:rsid w:val="00B76A80"/>
    <w:rsid w:val="00B76B8C"/>
    <w:rsid w:val="00B76E86"/>
    <w:rsid w:val="00B77355"/>
    <w:rsid w:val="00B773D3"/>
    <w:rsid w:val="00B779BE"/>
    <w:rsid w:val="00B77E94"/>
    <w:rsid w:val="00B77EC0"/>
    <w:rsid w:val="00B802C8"/>
    <w:rsid w:val="00B80321"/>
    <w:rsid w:val="00B80F6B"/>
    <w:rsid w:val="00B81895"/>
    <w:rsid w:val="00B820BD"/>
    <w:rsid w:val="00B82A43"/>
    <w:rsid w:val="00B83B02"/>
    <w:rsid w:val="00B843CE"/>
    <w:rsid w:val="00B8562C"/>
    <w:rsid w:val="00B862C2"/>
    <w:rsid w:val="00B862F5"/>
    <w:rsid w:val="00B863E7"/>
    <w:rsid w:val="00B8669E"/>
    <w:rsid w:val="00B86F1E"/>
    <w:rsid w:val="00B875FA"/>
    <w:rsid w:val="00B8778B"/>
    <w:rsid w:val="00B87A0E"/>
    <w:rsid w:val="00B90076"/>
    <w:rsid w:val="00B9021A"/>
    <w:rsid w:val="00B9029E"/>
    <w:rsid w:val="00B9031C"/>
    <w:rsid w:val="00B90653"/>
    <w:rsid w:val="00B90BB1"/>
    <w:rsid w:val="00B9112C"/>
    <w:rsid w:val="00B9114D"/>
    <w:rsid w:val="00B925DB"/>
    <w:rsid w:val="00B92B1F"/>
    <w:rsid w:val="00B92BCA"/>
    <w:rsid w:val="00B92CDD"/>
    <w:rsid w:val="00B92F57"/>
    <w:rsid w:val="00B9333B"/>
    <w:rsid w:val="00B938E4"/>
    <w:rsid w:val="00B93EB5"/>
    <w:rsid w:val="00B93EBE"/>
    <w:rsid w:val="00B94237"/>
    <w:rsid w:val="00B947BF"/>
    <w:rsid w:val="00B9490A"/>
    <w:rsid w:val="00B94E55"/>
    <w:rsid w:val="00B94F87"/>
    <w:rsid w:val="00B951C1"/>
    <w:rsid w:val="00B9550F"/>
    <w:rsid w:val="00B9556E"/>
    <w:rsid w:val="00B95AB0"/>
    <w:rsid w:val="00B95D3A"/>
    <w:rsid w:val="00B95DC7"/>
    <w:rsid w:val="00B95FFF"/>
    <w:rsid w:val="00B9691F"/>
    <w:rsid w:val="00B96960"/>
    <w:rsid w:val="00B96C53"/>
    <w:rsid w:val="00B975CF"/>
    <w:rsid w:val="00BA0056"/>
    <w:rsid w:val="00BA0218"/>
    <w:rsid w:val="00BA0280"/>
    <w:rsid w:val="00BA07B1"/>
    <w:rsid w:val="00BA0F89"/>
    <w:rsid w:val="00BA1049"/>
    <w:rsid w:val="00BA179D"/>
    <w:rsid w:val="00BA1AFD"/>
    <w:rsid w:val="00BA1FE9"/>
    <w:rsid w:val="00BA217B"/>
    <w:rsid w:val="00BA2898"/>
    <w:rsid w:val="00BA2A85"/>
    <w:rsid w:val="00BA2C58"/>
    <w:rsid w:val="00BA2CA1"/>
    <w:rsid w:val="00BA2D16"/>
    <w:rsid w:val="00BA31C3"/>
    <w:rsid w:val="00BA399C"/>
    <w:rsid w:val="00BA4312"/>
    <w:rsid w:val="00BA4525"/>
    <w:rsid w:val="00BA4BFB"/>
    <w:rsid w:val="00BA4FBA"/>
    <w:rsid w:val="00BA51F6"/>
    <w:rsid w:val="00BA5B47"/>
    <w:rsid w:val="00BA5D22"/>
    <w:rsid w:val="00BA5ED6"/>
    <w:rsid w:val="00BA5FEB"/>
    <w:rsid w:val="00BA648B"/>
    <w:rsid w:val="00BA65B4"/>
    <w:rsid w:val="00BA6818"/>
    <w:rsid w:val="00BA6DEA"/>
    <w:rsid w:val="00BA6F75"/>
    <w:rsid w:val="00BA77DE"/>
    <w:rsid w:val="00BA782E"/>
    <w:rsid w:val="00BA7A25"/>
    <w:rsid w:val="00BA7AFF"/>
    <w:rsid w:val="00BB04EB"/>
    <w:rsid w:val="00BB05F4"/>
    <w:rsid w:val="00BB0630"/>
    <w:rsid w:val="00BB12F6"/>
    <w:rsid w:val="00BB13AC"/>
    <w:rsid w:val="00BB155B"/>
    <w:rsid w:val="00BB26B7"/>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3A7"/>
    <w:rsid w:val="00BB772D"/>
    <w:rsid w:val="00BB7FFA"/>
    <w:rsid w:val="00BC091B"/>
    <w:rsid w:val="00BC0BA0"/>
    <w:rsid w:val="00BC0D36"/>
    <w:rsid w:val="00BC13E1"/>
    <w:rsid w:val="00BC23C0"/>
    <w:rsid w:val="00BC265E"/>
    <w:rsid w:val="00BC2978"/>
    <w:rsid w:val="00BC2AFC"/>
    <w:rsid w:val="00BC2C40"/>
    <w:rsid w:val="00BC2C7A"/>
    <w:rsid w:val="00BC3288"/>
    <w:rsid w:val="00BC3563"/>
    <w:rsid w:val="00BC3677"/>
    <w:rsid w:val="00BC3839"/>
    <w:rsid w:val="00BC3C2D"/>
    <w:rsid w:val="00BC3F6B"/>
    <w:rsid w:val="00BC4B99"/>
    <w:rsid w:val="00BC4BE7"/>
    <w:rsid w:val="00BC55AC"/>
    <w:rsid w:val="00BC6794"/>
    <w:rsid w:val="00BC6A2A"/>
    <w:rsid w:val="00BC6ABA"/>
    <w:rsid w:val="00BC700B"/>
    <w:rsid w:val="00BC730B"/>
    <w:rsid w:val="00BC7AB1"/>
    <w:rsid w:val="00BC7C23"/>
    <w:rsid w:val="00BD0507"/>
    <w:rsid w:val="00BD053A"/>
    <w:rsid w:val="00BD0750"/>
    <w:rsid w:val="00BD0CA0"/>
    <w:rsid w:val="00BD0E33"/>
    <w:rsid w:val="00BD1A6E"/>
    <w:rsid w:val="00BD1B1A"/>
    <w:rsid w:val="00BD1D83"/>
    <w:rsid w:val="00BD1F79"/>
    <w:rsid w:val="00BD2379"/>
    <w:rsid w:val="00BD29E2"/>
    <w:rsid w:val="00BD35A5"/>
    <w:rsid w:val="00BD35F1"/>
    <w:rsid w:val="00BD361E"/>
    <w:rsid w:val="00BD37BA"/>
    <w:rsid w:val="00BD383C"/>
    <w:rsid w:val="00BD3AE8"/>
    <w:rsid w:val="00BD42A4"/>
    <w:rsid w:val="00BD4780"/>
    <w:rsid w:val="00BD4CCC"/>
    <w:rsid w:val="00BD4CF5"/>
    <w:rsid w:val="00BD5509"/>
    <w:rsid w:val="00BD5BA6"/>
    <w:rsid w:val="00BD5EB2"/>
    <w:rsid w:val="00BD601C"/>
    <w:rsid w:val="00BD609B"/>
    <w:rsid w:val="00BD68FA"/>
    <w:rsid w:val="00BD6B3D"/>
    <w:rsid w:val="00BD70AE"/>
    <w:rsid w:val="00BD72D4"/>
    <w:rsid w:val="00BD734C"/>
    <w:rsid w:val="00BE0C0C"/>
    <w:rsid w:val="00BE0DCB"/>
    <w:rsid w:val="00BE1227"/>
    <w:rsid w:val="00BE16C4"/>
    <w:rsid w:val="00BE1859"/>
    <w:rsid w:val="00BE1A96"/>
    <w:rsid w:val="00BE213C"/>
    <w:rsid w:val="00BE241E"/>
    <w:rsid w:val="00BE24E9"/>
    <w:rsid w:val="00BE28C7"/>
    <w:rsid w:val="00BE2D0C"/>
    <w:rsid w:val="00BE2F05"/>
    <w:rsid w:val="00BE35F6"/>
    <w:rsid w:val="00BE396B"/>
    <w:rsid w:val="00BE4180"/>
    <w:rsid w:val="00BE4695"/>
    <w:rsid w:val="00BE499A"/>
    <w:rsid w:val="00BE4A14"/>
    <w:rsid w:val="00BE538C"/>
    <w:rsid w:val="00BE63D8"/>
    <w:rsid w:val="00BE6738"/>
    <w:rsid w:val="00BE6876"/>
    <w:rsid w:val="00BE6ED1"/>
    <w:rsid w:val="00BE756C"/>
    <w:rsid w:val="00BE7822"/>
    <w:rsid w:val="00BE7934"/>
    <w:rsid w:val="00BE7AC2"/>
    <w:rsid w:val="00BE7C29"/>
    <w:rsid w:val="00BF01F1"/>
    <w:rsid w:val="00BF024B"/>
    <w:rsid w:val="00BF0319"/>
    <w:rsid w:val="00BF04AD"/>
    <w:rsid w:val="00BF07D6"/>
    <w:rsid w:val="00BF0D2C"/>
    <w:rsid w:val="00BF1740"/>
    <w:rsid w:val="00BF175C"/>
    <w:rsid w:val="00BF1BFC"/>
    <w:rsid w:val="00BF1F0F"/>
    <w:rsid w:val="00BF20AE"/>
    <w:rsid w:val="00BF2184"/>
    <w:rsid w:val="00BF2BE3"/>
    <w:rsid w:val="00BF2F85"/>
    <w:rsid w:val="00BF35E4"/>
    <w:rsid w:val="00BF3683"/>
    <w:rsid w:val="00BF381C"/>
    <w:rsid w:val="00BF3B26"/>
    <w:rsid w:val="00BF3D2B"/>
    <w:rsid w:val="00BF3E13"/>
    <w:rsid w:val="00BF41D3"/>
    <w:rsid w:val="00BF4419"/>
    <w:rsid w:val="00BF4733"/>
    <w:rsid w:val="00BF498B"/>
    <w:rsid w:val="00BF4E26"/>
    <w:rsid w:val="00BF4EB8"/>
    <w:rsid w:val="00BF5D42"/>
    <w:rsid w:val="00BF5F2E"/>
    <w:rsid w:val="00BF60DA"/>
    <w:rsid w:val="00BF6690"/>
    <w:rsid w:val="00BF75F5"/>
    <w:rsid w:val="00BF7E98"/>
    <w:rsid w:val="00BF7E99"/>
    <w:rsid w:val="00C002F0"/>
    <w:rsid w:val="00C00469"/>
    <w:rsid w:val="00C0047B"/>
    <w:rsid w:val="00C010FA"/>
    <w:rsid w:val="00C016D5"/>
    <w:rsid w:val="00C01B24"/>
    <w:rsid w:val="00C01BB0"/>
    <w:rsid w:val="00C0290F"/>
    <w:rsid w:val="00C03FC3"/>
    <w:rsid w:val="00C042FB"/>
    <w:rsid w:val="00C05075"/>
    <w:rsid w:val="00C05422"/>
    <w:rsid w:val="00C05438"/>
    <w:rsid w:val="00C05541"/>
    <w:rsid w:val="00C055C0"/>
    <w:rsid w:val="00C0591B"/>
    <w:rsid w:val="00C06406"/>
    <w:rsid w:val="00C0643E"/>
    <w:rsid w:val="00C06515"/>
    <w:rsid w:val="00C06FD8"/>
    <w:rsid w:val="00C076A5"/>
    <w:rsid w:val="00C07AE4"/>
    <w:rsid w:val="00C10107"/>
    <w:rsid w:val="00C107DD"/>
    <w:rsid w:val="00C10E4A"/>
    <w:rsid w:val="00C10F84"/>
    <w:rsid w:val="00C11958"/>
    <w:rsid w:val="00C11D58"/>
    <w:rsid w:val="00C11D80"/>
    <w:rsid w:val="00C11E76"/>
    <w:rsid w:val="00C12776"/>
    <w:rsid w:val="00C129C1"/>
    <w:rsid w:val="00C12AB0"/>
    <w:rsid w:val="00C13527"/>
    <w:rsid w:val="00C13704"/>
    <w:rsid w:val="00C13EC6"/>
    <w:rsid w:val="00C1404C"/>
    <w:rsid w:val="00C14145"/>
    <w:rsid w:val="00C1428D"/>
    <w:rsid w:val="00C146BA"/>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B0"/>
    <w:rsid w:val="00C224D0"/>
    <w:rsid w:val="00C22E4B"/>
    <w:rsid w:val="00C22EF9"/>
    <w:rsid w:val="00C22FC9"/>
    <w:rsid w:val="00C23BA3"/>
    <w:rsid w:val="00C23BC5"/>
    <w:rsid w:val="00C23E65"/>
    <w:rsid w:val="00C23FA5"/>
    <w:rsid w:val="00C240D2"/>
    <w:rsid w:val="00C24149"/>
    <w:rsid w:val="00C24886"/>
    <w:rsid w:val="00C24960"/>
    <w:rsid w:val="00C24A19"/>
    <w:rsid w:val="00C24A20"/>
    <w:rsid w:val="00C24CE5"/>
    <w:rsid w:val="00C25770"/>
    <w:rsid w:val="00C2607D"/>
    <w:rsid w:val="00C2636E"/>
    <w:rsid w:val="00C268C6"/>
    <w:rsid w:val="00C2787C"/>
    <w:rsid w:val="00C27F83"/>
    <w:rsid w:val="00C3055A"/>
    <w:rsid w:val="00C3074B"/>
    <w:rsid w:val="00C30904"/>
    <w:rsid w:val="00C3121C"/>
    <w:rsid w:val="00C3156C"/>
    <w:rsid w:val="00C317BF"/>
    <w:rsid w:val="00C3188A"/>
    <w:rsid w:val="00C318AF"/>
    <w:rsid w:val="00C321FC"/>
    <w:rsid w:val="00C324F0"/>
    <w:rsid w:val="00C3267E"/>
    <w:rsid w:val="00C327BC"/>
    <w:rsid w:val="00C33824"/>
    <w:rsid w:val="00C3385B"/>
    <w:rsid w:val="00C34156"/>
    <w:rsid w:val="00C34193"/>
    <w:rsid w:val="00C35323"/>
    <w:rsid w:val="00C353D0"/>
    <w:rsid w:val="00C35747"/>
    <w:rsid w:val="00C35A2D"/>
    <w:rsid w:val="00C3671C"/>
    <w:rsid w:val="00C368B2"/>
    <w:rsid w:val="00C36FB7"/>
    <w:rsid w:val="00C370F9"/>
    <w:rsid w:val="00C37102"/>
    <w:rsid w:val="00C3718D"/>
    <w:rsid w:val="00C37A49"/>
    <w:rsid w:val="00C37ABA"/>
    <w:rsid w:val="00C40D09"/>
    <w:rsid w:val="00C418AB"/>
    <w:rsid w:val="00C41DFB"/>
    <w:rsid w:val="00C41E7E"/>
    <w:rsid w:val="00C4227F"/>
    <w:rsid w:val="00C42FB1"/>
    <w:rsid w:val="00C43770"/>
    <w:rsid w:val="00C43AD5"/>
    <w:rsid w:val="00C43B4C"/>
    <w:rsid w:val="00C43DB2"/>
    <w:rsid w:val="00C43F3C"/>
    <w:rsid w:val="00C44B2F"/>
    <w:rsid w:val="00C44D96"/>
    <w:rsid w:val="00C4508E"/>
    <w:rsid w:val="00C45EA1"/>
    <w:rsid w:val="00C46905"/>
    <w:rsid w:val="00C470BF"/>
    <w:rsid w:val="00C4786D"/>
    <w:rsid w:val="00C47DE2"/>
    <w:rsid w:val="00C50543"/>
    <w:rsid w:val="00C505BA"/>
    <w:rsid w:val="00C510AE"/>
    <w:rsid w:val="00C5157D"/>
    <w:rsid w:val="00C52CEE"/>
    <w:rsid w:val="00C52F9A"/>
    <w:rsid w:val="00C530B7"/>
    <w:rsid w:val="00C53131"/>
    <w:rsid w:val="00C53C97"/>
    <w:rsid w:val="00C54C3C"/>
    <w:rsid w:val="00C54F0B"/>
    <w:rsid w:val="00C55C52"/>
    <w:rsid w:val="00C56DA7"/>
    <w:rsid w:val="00C56EA1"/>
    <w:rsid w:val="00C57016"/>
    <w:rsid w:val="00C57439"/>
    <w:rsid w:val="00C5752E"/>
    <w:rsid w:val="00C57A01"/>
    <w:rsid w:val="00C57A60"/>
    <w:rsid w:val="00C57C31"/>
    <w:rsid w:val="00C60065"/>
    <w:rsid w:val="00C61102"/>
    <w:rsid w:val="00C61EB8"/>
    <w:rsid w:val="00C620C3"/>
    <w:rsid w:val="00C622B7"/>
    <w:rsid w:val="00C624A9"/>
    <w:rsid w:val="00C6290A"/>
    <w:rsid w:val="00C62B22"/>
    <w:rsid w:val="00C62F1F"/>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AA3"/>
    <w:rsid w:val="00C71AA9"/>
    <w:rsid w:val="00C71C06"/>
    <w:rsid w:val="00C71DE5"/>
    <w:rsid w:val="00C71F25"/>
    <w:rsid w:val="00C72540"/>
    <w:rsid w:val="00C72823"/>
    <w:rsid w:val="00C72E13"/>
    <w:rsid w:val="00C7346A"/>
    <w:rsid w:val="00C736A6"/>
    <w:rsid w:val="00C737D4"/>
    <w:rsid w:val="00C73BEB"/>
    <w:rsid w:val="00C73F09"/>
    <w:rsid w:val="00C73F28"/>
    <w:rsid w:val="00C74808"/>
    <w:rsid w:val="00C7480B"/>
    <w:rsid w:val="00C74947"/>
    <w:rsid w:val="00C74BE6"/>
    <w:rsid w:val="00C7524C"/>
    <w:rsid w:val="00C757B7"/>
    <w:rsid w:val="00C75D57"/>
    <w:rsid w:val="00C766FC"/>
    <w:rsid w:val="00C76C34"/>
    <w:rsid w:val="00C76D6D"/>
    <w:rsid w:val="00C7708B"/>
    <w:rsid w:val="00C771A9"/>
    <w:rsid w:val="00C7724A"/>
    <w:rsid w:val="00C776FD"/>
    <w:rsid w:val="00C77B54"/>
    <w:rsid w:val="00C80033"/>
    <w:rsid w:val="00C8020F"/>
    <w:rsid w:val="00C804E2"/>
    <w:rsid w:val="00C8050C"/>
    <w:rsid w:val="00C8057B"/>
    <w:rsid w:val="00C811C0"/>
    <w:rsid w:val="00C81406"/>
    <w:rsid w:val="00C81555"/>
    <w:rsid w:val="00C81842"/>
    <w:rsid w:val="00C81F82"/>
    <w:rsid w:val="00C8225E"/>
    <w:rsid w:val="00C82E09"/>
    <w:rsid w:val="00C8340A"/>
    <w:rsid w:val="00C8345E"/>
    <w:rsid w:val="00C83948"/>
    <w:rsid w:val="00C83FC0"/>
    <w:rsid w:val="00C84351"/>
    <w:rsid w:val="00C845DF"/>
    <w:rsid w:val="00C848BA"/>
    <w:rsid w:val="00C84F98"/>
    <w:rsid w:val="00C852CD"/>
    <w:rsid w:val="00C85392"/>
    <w:rsid w:val="00C85810"/>
    <w:rsid w:val="00C85A6D"/>
    <w:rsid w:val="00C85C14"/>
    <w:rsid w:val="00C85DB5"/>
    <w:rsid w:val="00C863E3"/>
    <w:rsid w:val="00C86576"/>
    <w:rsid w:val="00C867A0"/>
    <w:rsid w:val="00C86A07"/>
    <w:rsid w:val="00C871C2"/>
    <w:rsid w:val="00C8750E"/>
    <w:rsid w:val="00C8799A"/>
    <w:rsid w:val="00C903B9"/>
    <w:rsid w:val="00C9086C"/>
    <w:rsid w:val="00C90B3F"/>
    <w:rsid w:val="00C90D16"/>
    <w:rsid w:val="00C91B89"/>
    <w:rsid w:val="00C91C46"/>
    <w:rsid w:val="00C91EB2"/>
    <w:rsid w:val="00C92387"/>
    <w:rsid w:val="00C923C0"/>
    <w:rsid w:val="00C925B9"/>
    <w:rsid w:val="00C929F3"/>
    <w:rsid w:val="00C92D02"/>
    <w:rsid w:val="00C93087"/>
    <w:rsid w:val="00C93944"/>
    <w:rsid w:val="00C9424C"/>
    <w:rsid w:val="00C94660"/>
    <w:rsid w:val="00C94796"/>
    <w:rsid w:val="00C94C8D"/>
    <w:rsid w:val="00C95281"/>
    <w:rsid w:val="00C955D7"/>
    <w:rsid w:val="00C95C45"/>
    <w:rsid w:val="00C95DD8"/>
    <w:rsid w:val="00C95F4E"/>
    <w:rsid w:val="00C960F1"/>
    <w:rsid w:val="00C9623E"/>
    <w:rsid w:val="00C96502"/>
    <w:rsid w:val="00C971AB"/>
    <w:rsid w:val="00C9724C"/>
    <w:rsid w:val="00C97AD3"/>
    <w:rsid w:val="00C97CB1"/>
    <w:rsid w:val="00CA043B"/>
    <w:rsid w:val="00CA062B"/>
    <w:rsid w:val="00CA0CFC"/>
    <w:rsid w:val="00CA1396"/>
    <w:rsid w:val="00CA1D40"/>
    <w:rsid w:val="00CA2076"/>
    <w:rsid w:val="00CA209D"/>
    <w:rsid w:val="00CA2E6A"/>
    <w:rsid w:val="00CA301A"/>
    <w:rsid w:val="00CA3219"/>
    <w:rsid w:val="00CA3970"/>
    <w:rsid w:val="00CA3981"/>
    <w:rsid w:val="00CA3BBD"/>
    <w:rsid w:val="00CA46A4"/>
    <w:rsid w:val="00CA476E"/>
    <w:rsid w:val="00CA4B8E"/>
    <w:rsid w:val="00CA4CB1"/>
    <w:rsid w:val="00CA4D0A"/>
    <w:rsid w:val="00CA5A78"/>
    <w:rsid w:val="00CA5CE9"/>
    <w:rsid w:val="00CA689A"/>
    <w:rsid w:val="00CA68D4"/>
    <w:rsid w:val="00CA7B07"/>
    <w:rsid w:val="00CB0479"/>
    <w:rsid w:val="00CB08BD"/>
    <w:rsid w:val="00CB092C"/>
    <w:rsid w:val="00CB0A16"/>
    <w:rsid w:val="00CB0C19"/>
    <w:rsid w:val="00CB0C31"/>
    <w:rsid w:val="00CB1696"/>
    <w:rsid w:val="00CB1852"/>
    <w:rsid w:val="00CB1DCD"/>
    <w:rsid w:val="00CB22FC"/>
    <w:rsid w:val="00CB2603"/>
    <w:rsid w:val="00CB2774"/>
    <w:rsid w:val="00CB29FE"/>
    <w:rsid w:val="00CB2A32"/>
    <w:rsid w:val="00CB2F96"/>
    <w:rsid w:val="00CB32CE"/>
    <w:rsid w:val="00CB356C"/>
    <w:rsid w:val="00CB38EE"/>
    <w:rsid w:val="00CB3AE4"/>
    <w:rsid w:val="00CB4562"/>
    <w:rsid w:val="00CB478A"/>
    <w:rsid w:val="00CB47F9"/>
    <w:rsid w:val="00CB4CD7"/>
    <w:rsid w:val="00CB4FE5"/>
    <w:rsid w:val="00CB5417"/>
    <w:rsid w:val="00CB5679"/>
    <w:rsid w:val="00CB5713"/>
    <w:rsid w:val="00CB60AD"/>
    <w:rsid w:val="00CB68A2"/>
    <w:rsid w:val="00CB731B"/>
    <w:rsid w:val="00CB749B"/>
    <w:rsid w:val="00CB75D1"/>
    <w:rsid w:val="00CB77D5"/>
    <w:rsid w:val="00CB7B06"/>
    <w:rsid w:val="00CB7F3B"/>
    <w:rsid w:val="00CC01EB"/>
    <w:rsid w:val="00CC02A5"/>
    <w:rsid w:val="00CC03BF"/>
    <w:rsid w:val="00CC0A7F"/>
    <w:rsid w:val="00CC150E"/>
    <w:rsid w:val="00CC25FD"/>
    <w:rsid w:val="00CC2CA2"/>
    <w:rsid w:val="00CC327F"/>
    <w:rsid w:val="00CC474A"/>
    <w:rsid w:val="00CC4785"/>
    <w:rsid w:val="00CC4C03"/>
    <w:rsid w:val="00CC4E6E"/>
    <w:rsid w:val="00CC4FB3"/>
    <w:rsid w:val="00CC5B01"/>
    <w:rsid w:val="00CC61AA"/>
    <w:rsid w:val="00CC71A0"/>
    <w:rsid w:val="00CC71F3"/>
    <w:rsid w:val="00CC7385"/>
    <w:rsid w:val="00CC75C2"/>
    <w:rsid w:val="00CC778A"/>
    <w:rsid w:val="00CC7F2A"/>
    <w:rsid w:val="00CC7F41"/>
    <w:rsid w:val="00CD0246"/>
    <w:rsid w:val="00CD06B1"/>
    <w:rsid w:val="00CD0842"/>
    <w:rsid w:val="00CD0D42"/>
    <w:rsid w:val="00CD111B"/>
    <w:rsid w:val="00CD157B"/>
    <w:rsid w:val="00CD1836"/>
    <w:rsid w:val="00CD1952"/>
    <w:rsid w:val="00CD1DC8"/>
    <w:rsid w:val="00CD20D5"/>
    <w:rsid w:val="00CD23D6"/>
    <w:rsid w:val="00CD2421"/>
    <w:rsid w:val="00CD2656"/>
    <w:rsid w:val="00CD2DCD"/>
    <w:rsid w:val="00CD2E5F"/>
    <w:rsid w:val="00CD31A5"/>
    <w:rsid w:val="00CD365A"/>
    <w:rsid w:val="00CD3667"/>
    <w:rsid w:val="00CD3BBC"/>
    <w:rsid w:val="00CD3F18"/>
    <w:rsid w:val="00CD45E3"/>
    <w:rsid w:val="00CD4B8D"/>
    <w:rsid w:val="00CD4ECA"/>
    <w:rsid w:val="00CD51D2"/>
    <w:rsid w:val="00CD5857"/>
    <w:rsid w:val="00CD5FFD"/>
    <w:rsid w:val="00CD688F"/>
    <w:rsid w:val="00CD7B0A"/>
    <w:rsid w:val="00CD7CC3"/>
    <w:rsid w:val="00CE02E6"/>
    <w:rsid w:val="00CE0B5B"/>
    <w:rsid w:val="00CE1043"/>
    <w:rsid w:val="00CE1AC9"/>
    <w:rsid w:val="00CE1F54"/>
    <w:rsid w:val="00CE30AE"/>
    <w:rsid w:val="00CE31E5"/>
    <w:rsid w:val="00CE3214"/>
    <w:rsid w:val="00CE3284"/>
    <w:rsid w:val="00CE3564"/>
    <w:rsid w:val="00CE35A0"/>
    <w:rsid w:val="00CE40E5"/>
    <w:rsid w:val="00CE42A1"/>
    <w:rsid w:val="00CE44A7"/>
    <w:rsid w:val="00CE4E08"/>
    <w:rsid w:val="00CE528E"/>
    <w:rsid w:val="00CE52ED"/>
    <w:rsid w:val="00CE569D"/>
    <w:rsid w:val="00CE6528"/>
    <w:rsid w:val="00CE6B16"/>
    <w:rsid w:val="00CE6BB0"/>
    <w:rsid w:val="00CE6F27"/>
    <w:rsid w:val="00CE786A"/>
    <w:rsid w:val="00CE79FE"/>
    <w:rsid w:val="00CE7E16"/>
    <w:rsid w:val="00CF010F"/>
    <w:rsid w:val="00CF027F"/>
    <w:rsid w:val="00CF029A"/>
    <w:rsid w:val="00CF072B"/>
    <w:rsid w:val="00CF0ADD"/>
    <w:rsid w:val="00CF0AFE"/>
    <w:rsid w:val="00CF0D20"/>
    <w:rsid w:val="00CF0DE7"/>
    <w:rsid w:val="00CF192F"/>
    <w:rsid w:val="00CF1E4F"/>
    <w:rsid w:val="00CF2234"/>
    <w:rsid w:val="00CF28EE"/>
    <w:rsid w:val="00CF2991"/>
    <w:rsid w:val="00CF2C40"/>
    <w:rsid w:val="00CF3159"/>
    <w:rsid w:val="00CF340B"/>
    <w:rsid w:val="00CF3488"/>
    <w:rsid w:val="00CF35D6"/>
    <w:rsid w:val="00CF402D"/>
    <w:rsid w:val="00CF431B"/>
    <w:rsid w:val="00CF49E3"/>
    <w:rsid w:val="00CF49FA"/>
    <w:rsid w:val="00CF4CD4"/>
    <w:rsid w:val="00CF5577"/>
    <w:rsid w:val="00CF5765"/>
    <w:rsid w:val="00CF5BF6"/>
    <w:rsid w:val="00CF62A8"/>
    <w:rsid w:val="00CF6DF4"/>
    <w:rsid w:val="00CF6EA7"/>
    <w:rsid w:val="00CF7684"/>
    <w:rsid w:val="00CF782A"/>
    <w:rsid w:val="00CF7B31"/>
    <w:rsid w:val="00D0078A"/>
    <w:rsid w:val="00D0093A"/>
    <w:rsid w:val="00D011F0"/>
    <w:rsid w:val="00D0130C"/>
    <w:rsid w:val="00D01731"/>
    <w:rsid w:val="00D0212E"/>
    <w:rsid w:val="00D0241E"/>
    <w:rsid w:val="00D04F7B"/>
    <w:rsid w:val="00D0512C"/>
    <w:rsid w:val="00D058AF"/>
    <w:rsid w:val="00D05E53"/>
    <w:rsid w:val="00D06211"/>
    <w:rsid w:val="00D0698A"/>
    <w:rsid w:val="00D06E9F"/>
    <w:rsid w:val="00D06FFF"/>
    <w:rsid w:val="00D078A4"/>
    <w:rsid w:val="00D0795F"/>
    <w:rsid w:val="00D07B7D"/>
    <w:rsid w:val="00D07CAD"/>
    <w:rsid w:val="00D07D59"/>
    <w:rsid w:val="00D10487"/>
    <w:rsid w:val="00D10BDB"/>
    <w:rsid w:val="00D10FDD"/>
    <w:rsid w:val="00D113E7"/>
    <w:rsid w:val="00D1163D"/>
    <w:rsid w:val="00D116F0"/>
    <w:rsid w:val="00D119B8"/>
    <w:rsid w:val="00D11A1D"/>
    <w:rsid w:val="00D11B26"/>
    <w:rsid w:val="00D11E6A"/>
    <w:rsid w:val="00D122BD"/>
    <w:rsid w:val="00D12A77"/>
    <w:rsid w:val="00D12E24"/>
    <w:rsid w:val="00D1347B"/>
    <w:rsid w:val="00D13CD4"/>
    <w:rsid w:val="00D13DB1"/>
    <w:rsid w:val="00D14191"/>
    <w:rsid w:val="00D14332"/>
    <w:rsid w:val="00D148FB"/>
    <w:rsid w:val="00D15178"/>
    <w:rsid w:val="00D15711"/>
    <w:rsid w:val="00D157D3"/>
    <w:rsid w:val="00D15B0C"/>
    <w:rsid w:val="00D167E6"/>
    <w:rsid w:val="00D169DA"/>
    <w:rsid w:val="00D16F9B"/>
    <w:rsid w:val="00D172C2"/>
    <w:rsid w:val="00D17611"/>
    <w:rsid w:val="00D17E36"/>
    <w:rsid w:val="00D2021E"/>
    <w:rsid w:val="00D20D13"/>
    <w:rsid w:val="00D20E60"/>
    <w:rsid w:val="00D21A5A"/>
    <w:rsid w:val="00D21E4C"/>
    <w:rsid w:val="00D22137"/>
    <w:rsid w:val="00D22534"/>
    <w:rsid w:val="00D22863"/>
    <w:rsid w:val="00D22A36"/>
    <w:rsid w:val="00D22BF5"/>
    <w:rsid w:val="00D23502"/>
    <w:rsid w:val="00D2374B"/>
    <w:rsid w:val="00D2419F"/>
    <w:rsid w:val="00D24778"/>
    <w:rsid w:val="00D24D4F"/>
    <w:rsid w:val="00D2528E"/>
    <w:rsid w:val="00D25419"/>
    <w:rsid w:val="00D2567E"/>
    <w:rsid w:val="00D25ADF"/>
    <w:rsid w:val="00D25BE6"/>
    <w:rsid w:val="00D25C2E"/>
    <w:rsid w:val="00D25FFA"/>
    <w:rsid w:val="00D264A4"/>
    <w:rsid w:val="00D26727"/>
    <w:rsid w:val="00D268A9"/>
    <w:rsid w:val="00D26E87"/>
    <w:rsid w:val="00D27086"/>
    <w:rsid w:val="00D27231"/>
    <w:rsid w:val="00D274DD"/>
    <w:rsid w:val="00D27AE9"/>
    <w:rsid w:val="00D27CDB"/>
    <w:rsid w:val="00D3012A"/>
    <w:rsid w:val="00D30458"/>
    <w:rsid w:val="00D30B67"/>
    <w:rsid w:val="00D30D2F"/>
    <w:rsid w:val="00D30D54"/>
    <w:rsid w:val="00D31529"/>
    <w:rsid w:val="00D31750"/>
    <w:rsid w:val="00D3190D"/>
    <w:rsid w:val="00D31A06"/>
    <w:rsid w:val="00D31B78"/>
    <w:rsid w:val="00D331F3"/>
    <w:rsid w:val="00D3345B"/>
    <w:rsid w:val="00D33974"/>
    <w:rsid w:val="00D34220"/>
    <w:rsid w:val="00D346EB"/>
    <w:rsid w:val="00D3493E"/>
    <w:rsid w:val="00D34974"/>
    <w:rsid w:val="00D353DC"/>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985"/>
    <w:rsid w:val="00D41BB5"/>
    <w:rsid w:val="00D41BD7"/>
    <w:rsid w:val="00D41C9A"/>
    <w:rsid w:val="00D41E32"/>
    <w:rsid w:val="00D42078"/>
    <w:rsid w:val="00D4227E"/>
    <w:rsid w:val="00D42CC1"/>
    <w:rsid w:val="00D42F6C"/>
    <w:rsid w:val="00D438D1"/>
    <w:rsid w:val="00D43A1F"/>
    <w:rsid w:val="00D43E29"/>
    <w:rsid w:val="00D440C0"/>
    <w:rsid w:val="00D44755"/>
    <w:rsid w:val="00D452CD"/>
    <w:rsid w:val="00D45EDA"/>
    <w:rsid w:val="00D46126"/>
    <w:rsid w:val="00D464AF"/>
    <w:rsid w:val="00D47E26"/>
    <w:rsid w:val="00D5020B"/>
    <w:rsid w:val="00D50BB5"/>
    <w:rsid w:val="00D50DFF"/>
    <w:rsid w:val="00D512A4"/>
    <w:rsid w:val="00D5138A"/>
    <w:rsid w:val="00D514CB"/>
    <w:rsid w:val="00D51A7A"/>
    <w:rsid w:val="00D521C2"/>
    <w:rsid w:val="00D52CA1"/>
    <w:rsid w:val="00D53401"/>
    <w:rsid w:val="00D535DF"/>
    <w:rsid w:val="00D5370C"/>
    <w:rsid w:val="00D538D5"/>
    <w:rsid w:val="00D53A72"/>
    <w:rsid w:val="00D53E15"/>
    <w:rsid w:val="00D54213"/>
    <w:rsid w:val="00D54510"/>
    <w:rsid w:val="00D54E5C"/>
    <w:rsid w:val="00D54F96"/>
    <w:rsid w:val="00D5509A"/>
    <w:rsid w:val="00D55302"/>
    <w:rsid w:val="00D55F36"/>
    <w:rsid w:val="00D561B5"/>
    <w:rsid w:val="00D56846"/>
    <w:rsid w:val="00D57027"/>
    <w:rsid w:val="00D578C2"/>
    <w:rsid w:val="00D578DF"/>
    <w:rsid w:val="00D579C3"/>
    <w:rsid w:val="00D57DB4"/>
    <w:rsid w:val="00D60147"/>
    <w:rsid w:val="00D60DEF"/>
    <w:rsid w:val="00D6114F"/>
    <w:rsid w:val="00D6142F"/>
    <w:rsid w:val="00D614D6"/>
    <w:rsid w:val="00D61BBD"/>
    <w:rsid w:val="00D61D9D"/>
    <w:rsid w:val="00D62056"/>
    <w:rsid w:val="00D6217D"/>
    <w:rsid w:val="00D6231B"/>
    <w:rsid w:val="00D62367"/>
    <w:rsid w:val="00D62D22"/>
    <w:rsid w:val="00D62DFA"/>
    <w:rsid w:val="00D63142"/>
    <w:rsid w:val="00D6319F"/>
    <w:rsid w:val="00D63ACC"/>
    <w:rsid w:val="00D64AE6"/>
    <w:rsid w:val="00D64E39"/>
    <w:rsid w:val="00D654E1"/>
    <w:rsid w:val="00D65603"/>
    <w:rsid w:val="00D66949"/>
    <w:rsid w:val="00D67077"/>
    <w:rsid w:val="00D67217"/>
    <w:rsid w:val="00D67A60"/>
    <w:rsid w:val="00D67B5B"/>
    <w:rsid w:val="00D67D54"/>
    <w:rsid w:val="00D70016"/>
    <w:rsid w:val="00D70178"/>
    <w:rsid w:val="00D701D4"/>
    <w:rsid w:val="00D7100B"/>
    <w:rsid w:val="00D7105D"/>
    <w:rsid w:val="00D71336"/>
    <w:rsid w:val="00D71461"/>
    <w:rsid w:val="00D71471"/>
    <w:rsid w:val="00D71C56"/>
    <w:rsid w:val="00D722AF"/>
    <w:rsid w:val="00D7357E"/>
    <w:rsid w:val="00D73865"/>
    <w:rsid w:val="00D73C72"/>
    <w:rsid w:val="00D73DDB"/>
    <w:rsid w:val="00D7519D"/>
    <w:rsid w:val="00D75281"/>
    <w:rsid w:val="00D75B25"/>
    <w:rsid w:val="00D7657C"/>
    <w:rsid w:val="00D76BAD"/>
    <w:rsid w:val="00D76E8B"/>
    <w:rsid w:val="00D7706C"/>
    <w:rsid w:val="00D770EA"/>
    <w:rsid w:val="00D77433"/>
    <w:rsid w:val="00D77966"/>
    <w:rsid w:val="00D77CC3"/>
    <w:rsid w:val="00D80155"/>
    <w:rsid w:val="00D80347"/>
    <w:rsid w:val="00D80517"/>
    <w:rsid w:val="00D80F0E"/>
    <w:rsid w:val="00D810BB"/>
    <w:rsid w:val="00D81349"/>
    <w:rsid w:val="00D81801"/>
    <w:rsid w:val="00D819BD"/>
    <w:rsid w:val="00D8205D"/>
    <w:rsid w:val="00D82131"/>
    <w:rsid w:val="00D82276"/>
    <w:rsid w:val="00D82798"/>
    <w:rsid w:val="00D82A69"/>
    <w:rsid w:val="00D82D1E"/>
    <w:rsid w:val="00D82D66"/>
    <w:rsid w:val="00D83023"/>
    <w:rsid w:val="00D83237"/>
    <w:rsid w:val="00D83868"/>
    <w:rsid w:val="00D839FC"/>
    <w:rsid w:val="00D844C1"/>
    <w:rsid w:val="00D845C6"/>
    <w:rsid w:val="00D846FB"/>
    <w:rsid w:val="00D84E58"/>
    <w:rsid w:val="00D8567A"/>
    <w:rsid w:val="00D85FD1"/>
    <w:rsid w:val="00D86512"/>
    <w:rsid w:val="00D86695"/>
    <w:rsid w:val="00D867A8"/>
    <w:rsid w:val="00D86A06"/>
    <w:rsid w:val="00D86ABB"/>
    <w:rsid w:val="00D86AD8"/>
    <w:rsid w:val="00D86C54"/>
    <w:rsid w:val="00D87080"/>
    <w:rsid w:val="00D87110"/>
    <w:rsid w:val="00D87115"/>
    <w:rsid w:val="00D879AF"/>
    <w:rsid w:val="00D879C1"/>
    <w:rsid w:val="00D90803"/>
    <w:rsid w:val="00D90A77"/>
    <w:rsid w:val="00D90BA1"/>
    <w:rsid w:val="00D91911"/>
    <w:rsid w:val="00D91B8A"/>
    <w:rsid w:val="00D921F7"/>
    <w:rsid w:val="00D9234C"/>
    <w:rsid w:val="00D92633"/>
    <w:rsid w:val="00D9376B"/>
    <w:rsid w:val="00D93E53"/>
    <w:rsid w:val="00D93F89"/>
    <w:rsid w:val="00D9449B"/>
    <w:rsid w:val="00D94887"/>
    <w:rsid w:val="00D94A33"/>
    <w:rsid w:val="00D9537D"/>
    <w:rsid w:val="00D9543D"/>
    <w:rsid w:val="00D958D0"/>
    <w:rsid w:val="00D95BC4"/>
    <w:rsid w:val="00D96760"/>
    <w:rsid w:val="00D96B53"/>
    <w:rsid w:val="00D96F70"/>
    <w:rsid w:val="00D97110"/>
    <w:rsid w:val="00D974B9"/>
    <w:rsid w:val="00D97CB3"/>
    <w:rsid w:val="00DA0132"/>
    <w:rsid w:val="00DA022B"/>
    <w:rsid w:val="00DA037D"/>
    <w:rsid w:val="00DA0742"/>
    <w:rsid w:val="00DA182E"/>
    <w:rsid w:val="00DA1D15"/>
    <w:rsid w:val="00DA1E23"/>
    <w:rsid w:val="00DA2F88"/>
    <w:rsid w:val="00DA30ED"/>
    <w:rsid w:val="00DA32AF"/>
    <w:rsid w:val="00DA33EF"/>
    <w:rsid w:val="00DA35AD"/>
    <w:rsid w:val="00DA3EAD"/>
    <w:rsid w:val="00DA4370"/>
    <w:rsid w:val="00DA477A"/>
    <w:rsid w:val="00DA4973"/>
    <w:rsid w:val="00DA4BF3"/>
    <w:rsid w:val="00DA5172"/>
    <w:rsid w:val="00DA5259"/>
    <w:rsid w:val="00DA545B"/>
    <w:rsid w:val="00DA64F1"/>
    <w:rsid w:val="00DA67B4"/>
    <w:rsid w:val="00DA6B61"/>
    <w:rsid w:val="00DA6CF4"/>
    <w:rsid w:val="00DA70E8"/>
    <w:rsid w:val="00DA73AF"/>
    <w:rsid w:val="00DA79AE"/>
    <w:rsid w:val="00DA7CFE"/>
    <w:rsid w:val="00DB0056"/>
    <w:rsid w:val="00DB016D"/>
    <w:rsid w:val="00DB0DD9"/>
    <w:rsid w:val="00DB1050"/>
    <w:rsid w:val="00DB1368"/>
    <w:rsid w:val="00DB14EF"/>
    <w:rsid w:val="00DB152B"/>
    <w:rsid w:val="00DB2058"/>
    <w:rsid w:val="00DB30F4"/>
    <w:rsid w:val="00DB37C9"/>
    <w:rsid w:val="00DB3A12"/>
    <w:rsid w:val="00DB3D95"/>
    <w:rsid w:val="00DB40C6"/>
    <w:rsid w:val="00DB49CD"/>
    <w:rsid w:val="00DB5833"/>
    <w:rsid w:val="00DB59FC"/>
    <w:rsid w:val="00DB6332"/>
    <w:rsid w:val="00DB6E07"/>
    <w:rsid w:val="00DB7113"/>
    <w:rsid w:val="00DB73D7"/>
    <w:rsid w:val="00DB7ED2"/>
    <w:rsid w:val="00DC0138"/>
    <w:rsid w:val="00DC07F7"/>
    <w:rsid w:val="00DC0D2B"/>
    <w:rsid w:val="00DC11BA"/>
    <w:rsid w:val="00DC1926"/>
    <w:rsid w:val="00DC1937"/>
    <w:rsid w:val="00DC1A8F"/>
    <w:rsid w:val="00DC1C01"/>
    <w:rsid w:val="00DC1DA9"/>
    <w:rsid w:val="00DC1E36"/>
    <w:rsid w:val="00DC1FFA"/>
    <w:rsid w:val="00DC2886"/>
    <w:rsid w:val="00DC2B34"/>
    <w:rsid w:val="00DC2BBB"/>
    <w:rsid w:val="00DC3012"/>
    <w:rsid w:val="00DC390F"/>
    <w:rsid w:val="00DC3A85"/>
    <w:rsid w:val="00DC4904"/>
    <w:rsid w:val="00DC4BC8"/>
    <w:rsid w:val="00DC55EF"/>
    <w:rsid w:val="00DC5D3B"/>
    <w:rsid w:val="00DC5DB6"/>
    <w:rsid w:val="00DC6C74"/>
    <w:rsid w:val="00DC6D7E"/>
    <w:rsid w:val="00DC7C4E"/>
    <w:rsid w:val="00DC7C54"/>
    <w:rsid w:val="00DD102A"/>
    <w:rsid w:val="00DD160F"/>
    <w:rsid w:val="00DD19BB"/>
    <w:rsid w:val="00DD2301"/>
    <w:rsid w:val="00DD2520"/>
    <w:rsid w:val="00DD26EB"/>
    <w:rsid w:val="00DD2863"/>
    <w:rsid w:val="00DD28FB"/>
    <w:rsid w:val="00DD30CB"/>
    <w:rsid w:val="00DD31DE"/>
    <w:rsid w:val="00DD3791"/>
    <w:rsid w:val="00DD3A1E"/>
    <w:rsid w:val="00DD4752"/>
    <w:rsid w:val="00DD488F"/>
    <w:rsid w:val="00DD4D46"/>
    <w:rsid w:val="00DD4DAF"/>
    <w:rsid w:val="00DD5948"/>
    <w:rsid w:val="00DD6294"/>
    <w:rsid w:val="00DD62BC"/>
    <w:rsid w:val="00DD67E5"/>
    <w:rsid w:val="00DD695B"/>
    <w:rsid w:val="00DD6A57"/>
    <w:rsid w:val="00DD6DE4"/>
    <w:rsid w:val="00DD733A"/>
    <w:rsid w:val="00DD7750"/>
    <w:rsid w:val="00DD7848"/>
    <w:rsid w:val="00DD7EAF"/>
    <w:rsid w:val="00DD7F81"/>
    <w:rsid w:val="00DE0FBE"/>
    <w:rsid w:val="00DE0FC3"/>
    <w:rsid w:val="00DE1164"/>
    <w:rsid w:val="00DE1343"/>
    <w:rsid w:val="00DE1A30"/>
    <w:rsid w:val="00DE1B18"/>
    <w:rsid w:val="00DE1D5F"/>
    <w:rsid w:val="00DE1DCD"/>
    <w:rsid w:val="00DE1FAB"/>
    <w:rsid w:val="00DE2010"/>
    <w:rsid w:val="00DE20F1"/>
    <w:rsid w:val="00DE21F5"/>
    <w:rsid w:val="00DE2445"/>
    <w:rsid w:val="00DE2608"/>
    <w:rsid w:val="00DE268A"/>
    <w:rsid w:val="00DE2755"/>
    <w:rsid w:val="00DE2792"/>
    <w:rsid w:val="00DE284F"/>
    <w:rsid w:val="00DE2EB4"/>
    <w:rsid w:val="00DE34E7"/>
    <w:rsid w:val="00DE3567"/>
    <w:rsid w:val="00DE357C"/>
    <w:rsid w:val="00DE377D"/>
    <w:rsid w:val="00DE37A4"/>
    <w:rsid w:val="00DE38E9"/>
    <w:rsid w:val="00DE3A21"/>
    <w:rsid w:val="00DE3CE5"/>
    <w:rsid w:val="00DE3F60"/>
    <w:rsid w:val="00DE4063"/>
    <w:rsid w:val="00DE408F"/>
    <w:rsid w:val="00DE43C1"/>
    <w:rsid w:val="00DE472C"/>
    <w:rsid w:val="00DE5F1B"/>
    <w:rsid w:val="00DE6D7A"/>
    <w:rsid w:val="00DE6EB9"/>
    <w:rsid w:val="00DE76E1"/>
    <w:rsid w:val="00DE7B6E"/>
    <w:rsid w:val="00DE7F64"/>
    <w:rsid w:val="00DF074F"/>
    <w:rsid w:val="00DF0BAD"/>
    <w:rsid w:val="00DF12B3"/>
    <w:rsid w:val="00DF15B6"/>
    <w:rsid w:val="00DF1613"/>
    <w:rsid w:val="00DF1A16"/>
    <w:rsid w:val="00DF1C08"/>
    <w:rsid w:val="00DF21F4"/>
    <w:rsid w:val="00DF2583"/>
    <w:rsid w:val="00DF26B1"/>
    <w:rsid w:val="00DF2AF3"/>
    <w:rsid w:val="00DF2CE5"/>
    <w:rsid w:val="00DF2DDB"/>
    <w:rsid w:val="00DF2E7F"/>
    <w:rsid w:val="00DF3158"/>
    <w:rsid w:val="00DF3219"/>
    <w:rsid w:val="00DF34BA"/>
    <w:rsid w:val="00DF390D"/>
    <w:rsid w:val="00DF3CC5"/>
    <w:rsid w:val="00DF3DA5"/>
    <w:rsid w:val="00DF4420"/>
    <w:rsid w:val="00DF4506"/>
    <w:rsid w:val="00DF4FB9"/>
    <w:rsid w:val="00DF6037"/>
    <w:rsid w:val="00DF681C"/>
    <w:rsid w:val="00DF6B4D"/>
    <w:rsid w:val="00DF6EB2"/>
    <w:rsid w:val="00DF72B0"/>
    <w:rsid w:val="00DF75FE"/>
    <w:rsid w:val="00DF781D"/>
    <w:rsid w:val="00DF7E8C"/>
    <w:rsid w:val="00E004C3"/>
    <w:rsid w:val="00E0085F"/>
    <w:rsid w:val="00E00C25"/>
    <w:rsid w:val="00E016A7"/>
    <w:rsid w:val="00E01A40"/>
    <w:rsid w:val="00E01CA7"/>
    <w:rsid w:val="00E0208A"/>
    <w:rsid w:val="00E0286D"/>
    <w:rsid w:val="00E029D7"/>
    <w:rsid w:val="00E02E95"/>
    <w:rsid w:val="00E033BA"/>
    <w:rsid w:val="00E03692"/>
    <w:rsid w:val="00E0382F"/>
    <w:rsid w:val="00E03980"/>
    <w:rsid w:val="00E041EC"/>
    <w:rsid w:val="00E04226"/>
    <w:rsid w:val="00E047AD"/>
    <w:rsid w:val="00E04DE8"/>
    <w:rsid w:val="00E05696"/>
    <w:rsid w:val="00E058EE"/>
    <w:rsid w:val="00E06676"/>
    <w:rsid w:val="00E06A0D"/>
    <w:rsid w:val="00E075BD"/>
    <w:rsid w:val="00E075DE"/>
    <w:rsid w:val="00E07761"/>
    <w:rsid w:val="00E07AA3"/>
    <w:rsid w:val="00E07AB5"/>
    <w:rsid w:val="00E10F2D"/>
    <w:rsid w:val="00E118F5"/>
    <w:rsid w:val="00E11BF2"/>
    <w:rsid w:val="00E11DB0"/>
    <w:rsid w:val="00E11F70"/>
    <w:rsid w:val="00E1213E"/>
    <w:rsid w:val="00E1260C"/>
    <w:rsid w:val="00E12CBB"/>
    <w:rsid w:val="00E12CC4"/>
    <w:rsid w:val="00E12D6C"/>
    <w:rsid w:val="00E12EDF"/>
    <w:rsid w:val="00E13509"/>
    <w:rsid w:val="00E1448C"/>
    <w:rsid w:val="00E14610"/>
    <w:rsid w:val="00E147DD"/>
    <w:rsid w:val="00E14B7B"/>
    <w:rsid w:val="00E14D04"/>
    <w:rsid w:val="00E15B76"/>
    <w:rsid w:val="00E16067"/>
    <w:rsid w:val="00E164F4"/>
    <w:rsid w:val="00E16B28"/>
    <w:rsid w:val="00E16D2F"/>
    <w:rsid w:val="00E16F51"/>
    <w:rsid w:val="00E175FA"/>
    <w:rsid w:val="00E17B40"/>
    <w:rsid w:val="00E17D6E"/>
    <w:rsid w:val="00E17F71"/>
    <w:rsid w:val="00E21224"/>
    <w:rsid w:val="00E21351"/>
    <w:rsid w:val="00E21A79"/>
    <w:rsid w:val="00E229FE"/>
    <w:rsid w:val="00E22E57"/>
    <w:rsid w:val="00E22E87"/>
    <w:rsid w:val="00E2360B"/>
    <w:rsid w:val="00E2361F"/>
    <w:rsid w:val="00E2374E"/>
    <w:rsid w:val="00E23C52"/>
    <w:rsid w:val="00E23C67"/>
    <w:rsid w:val="00E23CEF"/>
    <w:rsid w:val="00E23D0D"/>
    <w:rsid w:val="00E25459"/>
    <w:rsid w:val="00E25948"/>
    <w:rsid w:val="00E25A89"/>
    <w:rsid w:val="00E2631F"/>
    <w:rsid w:val="00E26A6B"/>
    <w:rsid w:val="00E26C49"/>
    <w:rsid w:val="00E27665"/>
    <w:rsid w:val="00E278AC"/>
    <w:rsid w:val="00E27BEE"/>
    <w:rsid w:val="00E27D5D"/>
    <w:rsid w:val="00E27DF8"/>
    <w:rsid w:val="00E30324"/>
    <w:rsid w:val="00E303AB"/>
    <w:rsid w:val="00E3046D"/>
    <w:rsid w:val="00E3052B"/>
    <w:rsid w:val="00E30544"/>
    <w:rsid w:val="00E305F5"/>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40D"/>
    <w:rsid w:val="00E3750A"/>
    <w:rsid w:val="00E37667"/>
    <w:rsid w:val="00E378C0"/>
    <w:rsid w:val="00E37F05"/>
    <w:rsid w:val="00E406DA"/>
    <w:rsid w:val="00E40ADA"/>
    <w:rsid w:val="00E415FC"/>
    <w:rsid w:val="00E4170E"/>
    <w:rsid w:val="00E423B1"/>
    <w:rsid w:val="00E43398"/>
    <w:rsid w:val="00E43665"/>
    <w:rsid w:val="00E43C15"/>
    <w:rsid w:val="00E43C5A"/>
    <w:rsid w:val="00E43FB8"/>
    <w:rsid w:val="00E44028"/>
    <w:rsid w:val="00E44214"/>
    <w:rsid w:val="00E44594"/>
    <w:rsid w:val="00E44A83"/>
    <w:rsid w:val="00E44B43"/>
    <w:rsid w:val="00E44BFF"/>
    <w:rsid w:val="00E44C59"/>
    <w:rsid w:val="00E44EBC"/>
    <w:rsid w:val="00E45109"/>
    <w:rsid w:val="00E4549D"/>
    <w:rsid w:val="00E45634"/>
    <w:rsid w:val="00E45BF2"/>
    <w:rsid w:val="00E45DEA"/>
    <w:rsid w:val="00E46020"/>
    <w:rsid w:val="00E47409"/>
    <w:rsid w:val="00E47684"/>
    <w:rsid w:val="00E50035"/>
    <w:rsid w:val="00E50C4C"/>
    <w:rsid w:val="00E513CB"/>
    <w:rsid w:val="00E51829"/>
    <w:rsid w:val="00E526A3"/>
    <w:rsid w:val="00E52926"/>
    <w:rsid w:val="00E52D09"/>
    <w:rsid w:val="00E5350C"/>
    <w:rsid w:val="00E54291"/>
    <w:rsid w:val="00E5459C"/>
    <w:rsid w:val="00E549C2"/>
    <w:rsid w:val="00E54C6D"/>
    <w:rsid w:val="00E557B5"/>
    <w:rsid w:val="00E55C12"/>
    <w:rsid w:val="00E55CAB"/>
    <w:rsid w:val="00E56BD8"/>
    <w:rsid w:val="00E56F3C"/>
    <w:rsid w:val="00E57379"/>
    <w:rsid w:val="00E57B6A"/>
    <w:rsid w:val="00E60295"/>
    <w:rsid w:val="00E60468"/>
    <w:rsid w:val="00E60952"/>
    <w:rsid w:val="00E60A48"/>
    <w:rsid w:val="00E61098"/>
    <w:rsid w:val="00E61857"/>
    <w:rsid w:val="00E61AA0"/>
    <w:rsid w:val="00E61E23"/>
    <w:rsid w:val="00E620A6"/>
    <w:rsid w:val="00E6210D"/>
    <w:rsid w:val="00E62171"/>
    <w:rsid w:val="00E6226E"/>
    <w:rsid w:val="00E62768"/>
    <w:rsid w:val="00E629C4"/>
    <w:rsid w:val="00E632F9"/>
    <w:rsid w:val="00E6369F"/>
    <w:rsid w:val="00E63786"/>
    <w:rsid w:val="00E64233"/>
    <w:rsid w:val="00E6462C"/>
    <w:rsid w:val="00E64F0F"/>
    <w:rsid w:val="00E659A0"/>
    <w:rsid w:val="00E65BCA"/>
    <w:rsid w:val="00E66308"/>
    <w:rsid w:val="00E66365"/>
    <w:rsid w:val="00E667BF"/>
    <w:rsid w:val="00E668A0"/>
    <w:rsid w:val="00E67DF8"/>
    <w:rsid w:val="00E67DFC"/>
    <w:rsid w:val="00E7054F"/>
    <w:rsid w:val="00E70BF0"/>
    <w:rsid w:val="00E70D4D"/>
    <w:rsid w:val="00E71702"/>
    <w:rsid w:val="00E7174E"/>
    <w:rsid w:val="00E719D3"/>
    <w:rsid w:val="00E71C36"/>
    <w:rsid w:val="00E720D0"/>
    <w:rsid w:val="00E720FE"/>
    <w:rsid w:val="00E72A86"/>
    <w:rsid w:val="00E72C29"/>
    <w:rsid w:val="00E730E8"/>
    <w:rsid w:val="00E73583"/>
    <w:rsid w:val="00E74C89"/>
    <w:rsid w:val="00E74EE7"/>
    <w:rsid w:val="00E75137"/>
    <w:rsid w:val="00E76782"/>
    <w:rsid w:val="00E7691A"/>
    <w:rsid w:val="00E76956"/>
    <w:rsid w:val="00E76FD7"/>
    <w:rsid w:val="00E77030"/>
    <w:rsid w:val="00E77653"/>
    <w:rsid w:val="00E779CB"/>
    <w:rsid w:val="00E80193"/>
    <w:rsid w:val="00E802E8"/>
    <w:rsid w:val="00E80B80"/>
    <w:rsid w:val="00E80F03"/>
    <w:rsid w:val="00E814BC"/>
    <w:rsid w:val="00E81603"/>
    <w:rsid w:val="00E817DF"/>
    <w:rsid w:val="00E81A4E"/>
    <w:rsid w:val="00E83366"/>
    <w:rsid w:val="00E83D1B"/>
    <w:rsid w:val="00E84AB4"/>
    <w:rsid w:val="00E84B48"/>
    <w:rsid w:val="00E84EBF"/>
    <w:rsid w:val="00E856F6"/>
    <w:rsid w:val="00E8590A"/>
    <w:rsid w:val="00E85BB3"/>
    <w:rsid w:val="00E85F38"/>
    <w:rsid w:val="00E861A8"/>
    <w:rsid w:val="00E862F6"/>
    <w:rsid w:val="00E86DC3"/>
    <w:rsid w:val="00E86ED2"/>
    <w:rsid w:val="00E87100"/>
    <w:rsid w:val="00E87629"/>
    <w:rsid w:val="00E87846"/>
    <w:rsid w:val="00E87853"/>
    <w:rsid w:val="00E8787C"/>
    <w:rsid w:val="00E879CD"/>
    <w:rsid w:val="00E90423"/>
    <w:rsid w:val="00E9047F"/>
    <w:rsid w:val="00E90602"/>
    <w:rsid w:val="00E90630"/>
    <w:rsid w:val="00E90938"/>
    <w:rsid w:val="00E911F0"/>
    <w:rsid w:val="00E91273"/>
    <w:rsid w:val="00E91621"/>
    <w:rsid w:val="00E91C47"/>
    <w:rsid w:val="00E91D47"/>
    <w:rsid w:val="00E92935"/>
    <w:rsid w:val="00E92D6D"/>
    <w:rsid w:val="00E94323"/>
    <w:rsid w:val="00E949D3"/>
    <w:rsid w:val="00E950B7"/>
    <w:rsid w:val="00E96473"/>
    <w:rsid w:val="00E9686D"/>
    <w:rsid w:val="00E96A08"/>
    <w:rsid w:val="00E96E5F"/>
    <w:rsid w:val="00E97928"/>
    <w:rsid w:val="00E97A5E"/>
    <w:rsid w:val="00E97B27"/>
    <w:rsid w:val="00EA01C2"/>
    <w:rsid w:val="00EA060C"/>
    <w:rsid w:val="00EA0894"/>
    <w:rsid w:val="00EA0D57"/>
    <w:rsid w:val="00EA0E45"/>
    <w:rsid w:val="00EA1B8B"/>
    <w:rsid w:val="00EA1E87"/>
    <w:rsid w:val="00EA1EAD"/>
    <w:rsid w:val="00EA2035"/>
    <w:rsid w:val="00EA205B"/>
    <w:rsid w:val="00EA20FA"/>
    <w:rsid w:val="00EA25B6"/>
    <w:rsid w:val="00EA3D47"/>
    <w:rsid w:val="00EA4907"/>
    <w:rsid w:val="00EA4974"/>
    <w:rsid w:val="00EA4A2E"/>
    <w:rsid w:val="00EA5618"/>
    <w:rsid w:val="00EA56B3"/>
    <w:rsid w:val="00EA6303"/>
    <w:rsid w:val="00EA66CD"/>
    <w:rsid w:val="00EA6872"/>
    <w:rsid w:val="00EA6B90"/>
    <w:rsid w:val="00EA6EA1"/>
    <w:rsid w:val="00EA72B6"/>
    <w:rsid w:val="00EA7403"/>
    <w:rsid w:val="00EA7A0F"/>
    <w:rsid w:val="00EB04B5"/>
    <w:rsid w:val="00EB0F0D"/>
    <w:rsid w:val="00EB1073"/>
    <w:rsid w:val="00EB199B"/>
    <w:rsid w:val="00EB1B46"/>
    <w:rsid w:val="00EB1BD3"/>
    <w:rsid w:val="00EB210B"/>
    <w:rsid w:val="00EB269D"/>
    <w:rsid w:val="00EB28AE"/>
    <w:rsid w:val="00EB2979"/>
    <w:rsid w:val="00EB306B"/>
    <w:rsid w:val="00EB39F9"/>
    <w:rsid w:val="00EB3BCE"/>
    <w:rsid w:val="00EB3C82"/>
    <w:rsid w:val="00EB3E3A"/>
    <w:rsid w:val="00EB4093"/>
    <w:rsid w:val="00EB47E5"/>
    <w:rsid w:val="00EB537C"/>
    <w:rsid w:val="00EB53A3"/>
    <w:rsid w:val="00EB5877"/>
    <w:rsid w:val="00EB5BA4"/>
    <w:rsid w:val="00EB5CAD"/>
    <w:rsid w:val="00EB621E"/>
    <w:rsid w:val="00EB65A1"/>
    <w:rsid w:val="00EB6633"/>
    <w:rsid w:val="00EB67A1"/>
    <w:rsid w:val="00EB684B"/>
    <w:rsid w:val="00EB6AA5"/>
    <w:rsid w:val="00EB7175"/>
    <w:rsid w:val="00EB73C0"/>
    <w:rsid w:val="00EB7939"/>
    <w:rsid w:val="00EB7C89"/>
    <w:rsid w:val="00EC0768"/>
    <w:rsid w:val="00EC0CD1"/>
    <w:rsid w:val="00EC0DD2"/>
    <w:rsid w:val="00EC0E73"/>
    <w:rsid w:val="00EC0F63"/>
    <w:rsid w:val="00EC1104"/>
    <w:rsid w:val="00EC1543"/>
    <w:rsid w:val="00EC225A"/>
    <w:rsid w:val="00EC23B5"/>
    <w:rsid w:val="00EC2B6C"/>
    <w:rsid w:val="00EC2C2F"/>
    <w:rsid w:val="00EC2CF2"/>
    <w:rsid w:val="00EC2F71"/>
    <w:rsid w:val="00EC3159"/>
    <w:rsid w:val="00EC323A"/>
    <w:rsid w:val="00EC34E3"/>
    <w:rsid w:val="00EC3D4A"/>
    <w:rsid w:val="00EC4820"/>
    <w:rsid w:val="00EC5335"/>
    <w:rsid w:val="00EC5470"/>
    <w:rsid w:val="00EC5DD1"/>
    <w:rsid w:val="00EC6830"/>
    <w:rsid w:val="00EC6BEC"/>
    <w:rsid w:val="00EC70F7"/>
    <w:rsid w:val="00EC7C78"/>
    <w:rsid w:val="00EC7EB7"/>
    <w:rsid w:val="00ED0078"/>
    <w:rsid w:val="00ED053F"/>
    <w:rsid w:val="00ED0D4B"/>
    <w:rsid w:val="00ED0DE8"/>
    <w:rsid w:val="00ED104C"/>
    <w:rsid w:val="00ED1925"/>
    <w:rsid w:val="00ED1A2D"/>
    <w:rsid w:val="00ED1EF8"/>
    <w:rsid w:val="00ED241C"/>
    <w:rsid w:val="00ED2867"/>
    <w:rsid w:val="00ED28D4"/>
    <w:rsid w:val="00ED2F2E"/>
    <w:rsid w:val="00ED2F32"/>
    <w:rsid w:val="00ED3319"/>
    <w:rsid w:val="00ED38A1"/>
    <w:rsid w:val="00ED3A50"/>
    <w:rsid w:val="00ED3CFE"/>
    <w:rsid w:val="00ED3E46"/>
    <w:rsid w:val="00ED4488"/>
    <w:rsid w:val="00ED456E"/>
    <w:rsid w:val="00ED46D7"/>
    <w:rsid w:val="00ED4E9D"/>
    <w:rsid w:val="00ED542F"/>
    <w:rsid w:val="00ED54B3"/>
    <w:rsid w:val="00ED56F2"/>
    <w:rsid w:val="00ED6A8D"/>
    <w:rsid w:val="00ED6B2E"/>
    <w:rsid w:val="00ED710B"/>
    <w:rsid w:val="00ED7133"/>
    <w:rsid w:val="00ED7924"/>
    <w:rsid w:val="00ED794A"/>
    <w:rsid w:val="00EE0989"/>
    <w:rsid w:val="00EE11F8"/>
    <w:rsid w:val="00EE1427"/>
    <w:rsid w:val="00EE224B"/>
    <w:rsid w:val="00EE2696"/>
    <w:rsid w:val="00EE27E2"/>
    <w:rsid w:val="00EE2819"/>
    <w:rsid w:val="00EE2A4B"/>
    <w:rsid w:val="00EE2C81"/>
    <w:rsid w:val="00EE2EC4"/>
    <w:rsid w:val="00EE38B4"/>
    <w:rsid w:val="00EE392A"/>
    <w:rsid w:val="00EE3F23"/>
    <w:rsid w:val="00EE5921"/>
    <w:rsid w:val="00EE59ED"/>
    <w:rsid w:val="00EE6168"/>
    <w:rsid w:val="00EE664E"/>
    <w:rsid w:val="00EE6853"/>
    <w:rsid w:val="00EE6B3C"/>
    <w:rsid w:val="00EE6BD8"/>
    <w:rsid w:val="00EE6C9F"/>
    <w:rsid w:val="00EE7E5F"/>
    <w:rsid w:val="00EF00D9"/>
    <w:rsid w:val="00EF02B0"/>
    <w:rsid w:val="00EF04B9"/>
    <w:rsid w:val="00EF067D"/>
    <w:rsid w:val="00EF0F24"/>
    <w:rsid w:val="00EF105D"/>
    <w:rsid w:val="00EF16C3"/>
    <w:rsid w:val="00EF1824"/>
    <w:rsid w:val="00EF201C"/>
    <w:rsid w:val="00EF2474"/>
    <w:rsid w:val="00EF24F5"/>
    <w:rsid w:val="00EF251D"/>
    <w:rsid w:val="00EF2565"/>
    <w:rsid w:val="00EF27D0"/>
    <w:rsid w:val="00EF28B1"/>
    <w:rsid w:val="00EF2DE8"/>
    <w:rsid w:val="00EF32F6"/>
    <w:rsid w:val="00EF4580"/>
    <w:rsid w:val="00EF4674"/>
    <w:rsid w:val="00EF49D6"/>
    <w:rsid w:val="00EF4D4E"/>
    <w:rsid w:val="00EF539F"/>
    <w:rsid w:val="00EF587B"/>
    <w:rsid w:val="00EF5C32"/>
    <w:rsid w:val="00EF6280"/>
    <w:rsid w:val="00EF629C"/>
    <w:rsid w:val="00EF6600"/>
    <w:rsid w:val="00EF662C"/>
    <w:rsid w:val="00EF6928"/>
    <w:rsid w:val="00EF7AE2"/>
    <w:rsid w:val="00EF7C29"/>
    <w:rsid w:val="00F016E4"/>
    <w:rsid w:val="00F01B75"/>
    <w:rsid w:val="00F0245D"/>
    <w:rsid w:val="00F02475"/>
    <w:rsid w:val="00F0268A"/>
    <w:rsid w:val="00F02E29"/>
    <w:rsid w:val="00F03170"/>
    <w:rsid w:val="00F03B3C"/>
    <w:rsid w:val="00F03C06"/>
    <w:rsid w:val="00F04097"/>
    <w:rsid w:val="00F045E2"/>
    <w:rsid w:val="00F04BCE"/>
    <w:rsid w:val="00F04F4F"/>
    <w:rsid w:val="00F05409"/>
    <w:rsid w:val="00F059B9"/>
    <w:rsid w:val="00F06448"/>
    <w:rsid w:val="00F064BD"/>
    <w:rsid w:val="00F0689B"/>
    <w:rsid w:val="00F06C5A"/>
    <w:rsid w:val="00F06E52"/>
    <w:rsid w:val="00F06F62"/>
    <w:rsid w:val="00F07EC3"/>
    <w:rsid w:val="00F100E0"/>
    <w:rsid w:val="00F10625"/>
    <w:rsid w:val="00F1079D"/>
    <w:rsid w:val="00F10BE4"/>
    <w:rsid w:val="00F11209"/>
    <w:rsid w:val="00F11C39"/>
    <w:rsid w:val="00F11CEB"/>
    <w:rsid w:val="00F1248F"/>
    <w:rsid w:val="00F1264C"/>
    <w:rsid w:val="00F1327D"/>
    <w:rsid w:val="00F13573"/>
    <w:rsid w:val="00F13B7A"/>
    <w:rsid w:val="00F14060"/>
    <w:rsid w:val="00F14621"/>
    <w:rsid w:val="00F14673"/>
    <w:rsid w:val="00F1469A"/>
    <w:rsid w:val="00F1480E"/>
    <w:rsid w:val="00F149A3"/>
    <w:rsid w:val="00F14D6A"/>
    <w:rsid w:val="00F15443"/>
    <w:rsid w:val="00F155D2"/>
    <w:rsid w:val="00F1575F"/>
    <w:rsid w:val="00F15BD1"/>
    <w:rsid w:val="00F161F9"/>
    <w:rsid w:val="00F16772"/>
    <w:rsid w:val="00F1677E"/>
    <w:rsid w:val="00F16E3E"/>
    <w:rsid w:val="00F16E82"/>
    <w:rsid w:val="00F1767B"/>
    <w:rsid w:val="00F1784C"/>
    <w:rsid w:val="00F1788E"/>
    <w:rsid w:val="00F17CF5"/>
    <w:rsid w:val="00F200EA"/>
    <w:rsid w:val="00F20E6E"/>
    <w:rsid w:val="00F211C1"/>
    <w:rsid w:val="00F21C7E"/>
    <w:rsid w:val="00F21EEB"/>
    <w:rsid w:val="00F21F25"/>
    <w:rsid w:val="00F2227D"/>
    <w:rsid w:val="00F22A44"/>
    <w:rsid w:val="00F23077"/>
    <w:rsid w:val="00F234F2"/>
    <w:rsid w:val="00F23C99"/>
    <w:rsid w:val="00F25592"/>
    <w:rsid w:val="00F255A4"/>
    <w:rsid w:val="00F25F15"/>
    <w:rsid w:val="00F26877"/>
    <w:rsid w:val="00F2738D"/>
    <w:rsid w:val="00F27A88"/>
    <w:rsid w:val="00F27BD9"/>
    <w:rsid w:val="00F30013"/>
    <w:rsid w:val="00F30562"/>
    <w:rsid w:val="00F30CB3"/>
    <w:rsid w:val="00F30E40"/>
    <w:rsid w:val="00F31254"/>
    <w:rsid w:val="00F3163A"/>
    <w:rsid w:val="00F31A97"/>
    <w:rsid w:val="00F320EB"/>
    <w:rsid w:val="00F3231E"/>
    <w:rsid w:val="00F32530"/>
    <w:rsid w:val="00F32876"/>
    <w:rsid w:val="00F32E30"/>
    <w:rsid w:val="00F3312F"/>
    <w:rsid w:val="00F333D1"/>
    <w:rsid w:val="00F33438"/>
    <w:rsid w:val="00F3344A"/>
    <w:rsid w:val="00F335B5"/>
    <w:rsid w:val="00F3372C"/>
    <w:rsid w:val="00F33B1F"/>
    <w:rsid w:val="00F33FEC"/>
    <w:rsid w:val="00F345BB"/>
    <w:rsid w:val="00F35842"/>
    <w:rsid w:val="00F36501"/>
    <w:rsid w:val="00F3664B"/>
    <w:rsid w:val="00F36694"/>
    <w:rsid w:val="00F36B00"/>
    <w:rsid w:val="00F36CD4"/>
    <w:rsid w:val="00F3767D"/>
    <w:rsid w:val="00F40360"/>
    <w:rsid w:val="00F4093E"/>
    <w:rsid w:val="00F40C63"/>
    <w:rsid w:val="00F40C8A"/>
    <w:rsid w:val="00F4170C"/>
    <w:rsid w:val="00F41879"/>
    <w:rsid w:val="00F419B1"/>
    <w:rsid w:val="00F41CFF"/>
    <w:rsid w:val="00F41DCB"/>
    <w:rsid w:val="00F42010"/>
    <w:rsid w:val="00F42116"/>
    <w:rsid w:val="00F4243B"/>
    <w:rsid w:val="00F42646"/>
    <w:rsid w:val="00F42A87"/>
    <w:rsid w:val="00F42EA6"/>
    <w:rsid w:val="00F43598"/>
    <w:rsid w:val="00F43A0D"/>
    <w:rsid w:val="00F43F68"/>
    <w:rsid w:val="00F44038"/>
    <w:rsid w:val="00F45A58"/>
    <w:rsid w:val="00F45BBF"/>
    <w:rsid w:val="00F46342"/>
    <w:rsid w:val="00F4667C"/>
    <w:rsid w:val="00F46963"/>
    <w:rsid w:val="00F46F74"/>
    <w:rsid w:val="00F47047"/>
    <w:rsid w:val="00F471C5"/>
    <w:rsid w:val="00F47DE3"/>
    <w:rsid w:val="00F50392"/>
    <w:rsid w:val="00F50828"/>
    <w:rsid w:val="00F50906"/>
    <w:rsid w:val="00F50AA7"/>
    <w:rsid w:val="00F50C91"/>
    <w:rsid w:val="00F522A2"/>
    <w:rsid w:val="00F53002"/>
    <w:rsid w:val="00F53B92"/>
    <w:rsid w:val="00F53C02"/>
    <w:rsid w:val="00F54646"/>
    <w:rsid w:val="00F54714"/>
    <w:rsid w:val="00F54B54"/>
    <w:rsid w:val="00F54B91"/>
    <w:rsid w:val="00F54BA2"/>
    <w:rsid w:val="00F55175"/>
    <w:rsid w:val="00F55659"/>
    <w:rsid w:val="00F558D4"/>
    <w:rsid w:val="00F55AEA"/>
    <w:rsid w:val="00F55FFC"/>
    <w:rsid w:val="00F562F1"/>
    <w:rsid w:val="00F563E4"/>
    <w:rsid w:val="00F56730"/>
    <w:rsid w:val="00F56F60"/>
    <w:rsid w:val="00F571B8"/>
    <w:rsid w:val="00F5722C"/>
    <w:rsid w:val="00F577C6"/>
    <w:rsid w:val="00F57800"/>
    <w:rsid w:val="00F603F5"/>
    <w:rsid w:val="00F60F76"/>
    <w:rsid w:val="00F6185D"/>
    <w:rsid w:val="00F61E12"/>
    <w:rsid w:val="00F620E4"/>
    <w:rsid w:val="00F62238"/>
    <w:rsid w:val="00F622E7"/>
    <w:rsid w:val="00F62391"/>
    <w:rsid w:val="00F629C3"/>
    <w:rsid w:val="00F62A2D"/>
    <w:rsid w:val="00F6313E"/>
    <w:rsid w:val="00F63A0E"/>
    <w:rsid w:val="00F642E8"/>
    <w:rsid w:val="00F6463A"/>
    <w:rsid w:val="00F64883"/>
    <w:rsid w:val="00F64954"/>
    <w:rsid w:val="00F64B72"/>
    <w:rsid w:val="00F64FC3"/>
    <w:rsid w:val="00F65A96"/>
    <w:rsid w:val="00F65B4B"/>
    <w:rsid w:val="00F66F43"/>
    <w:rsid w:val="00F66F81"/>
    <w:rsid w:val="00F67608"/>
    <w:rsid w:val="00F67700"/>
    <w:rsid w:val="00F705E9"/>
    <w:rsid w:val="00F709A0"/>
    <w:rsid w:val="00F70C84"/>
    <w:rsid w:val="00F7113A"/>
    <w:rsid w:val="00F7132A"/>
    <w:rsid w:val="00F71F37"/>
    <w:rsid w:val="00F721EA"/>
    <w:rsid w:val="00F72B0E"/>
    <w:rsid w:val="00F72BEC"/>
    <w:rsid w:val="00F72BF8"/>
    <w:rsid w:val="00F72D40"/>
    <w:rsid w:val="00F72F42"/>
    <w:rsid w:val="00F731D2"/>
    <w:rsid w:val="00F736AF"/>
    <w:rsid w:val="00F736F8"/>
    <w:rsid w:val="00F73A5D"/>
    <w:rsid w:val="00F73C9D"/>
    <w:rsid w:val="00F73E80"/>
    <w:rsid w:val="00F73E94"/>
    <w:rsid w:val="00F742A7"/>
    <w:rsid w:val="00F74D09"/>
    <w:rsid w:val="00F74F88"/>
    <w:rsid w:val="00F74FA0"/>
    <w:rsid w:val="00F75320"/>
    <w:rsid w:val="00F756F1"/>
    <w:rsid w:val="00F757DF"/>
    <w:rsid w:val="00F75913"/>
    <w:rsid w:val="00F75BD3"/>
    <w:rsid w:val="00F75E22"/>
    <w:rsid w:val="00F76030"/>
    <w:rsid w:val="00F76222"/>
    <w:rsid w:val="00F763FB"/>
    <w:rsid w:val="00F7696B"/>
    <w:rsid w:val="00F76D63"/>
    <w:rsid w:val="00F77748"/>
    <w:rsid w:val="00F77E2A"/>
    <w:rsid w:val="00F8050A"/>
    <w:rsid w:val="00F80C8A"/>
    <w:rsid w:val="00F81169"/>
    <w:rsid w:val="00F814B5"/>
    <w:rsid w:val="00F81852"/>
    <w:rsid w:val="00F819D7"/>
    <w:rsid w:val="00F81FBA"/>
    <w:rsid w:val="00F82251"/>
    <w:rsid w:val="00F82257"/>
    <w:rsid w:val="00F82588"/>
    <w:rsid w:val="00F83339"/>
    <w:rsid w:val="00F83651"/>
    <w:rsid w:val="00F83660"/>
    <w:rsid w:val="00F84128"/>
    <w:rsid w:val="00F847D1"/>
    <w:rsid w:val="00F84CA9"/>
    <w:rsid w:val="00F853B0"/>
    <w:rsid w:val="00F85A8A"/>
    <w:rsid w:val="00F85E5F"/>
    <w:rsid w:val="00F8681C"/>
    <w:rsid w:val="00F8690B"/>
    <w:rsid w:val="00F86C07"/>
    <w:rsid w:val="00F8714E"/>
    <w:rsid w:val="00F87671"/>
    <w:rsid w:val="00F87A7C"/>
    <w:rsid w:val="00F90A06"/>
    <w:rsid w:val="00F912FF"/>
    <w:rsid w:val="00F92589"/>
    <w:rsid w:val="00F929DD"/>
    <w:rsid w:val="00F92A39"/>
    <w:rsid w:val="00F92E4A"/>
    <w:rsid w:val="00F937BF"/>
    <w:rsid w:val="00F93C2D"/>
    <w:rsid w:val="00F9431A"/>
    <w:rsid w:val="00F94CF3"/>
    <w:rsid w:val="00F957C9"/>
    <w:rsid w:val="00F95A74"/>
    <w:rsid w:val="00F96182"/>
    <w:rsid w:val="00F963DA"/>
    <w:rsid w:val="00F9643D"/>
    <w:rsid w:val="00F9658B"/>
    <w:rsid w:val="00F967F7"/>
    <w:rsid w:val="00F97418"/>
    <w:rsid w:val="00FA0D6C"/>
    <w:rsid w:val="00FA106A"/>
    <w:rsid w:val="00FA1B45"/>
    <w:rsid w:val="00FA1BA9"/>
    <w:rsid w:val="00FA1F78"/>
    <w:rsid w:val="00FA2038"/>
    <w:rsid w:val="00FA205F"/>
    <w:rsid w:val="00FA20B1"/>
    <w:rsid w:val="00FA2240"/>
    <w:rsid w:val="00FA2668"/>
    <w:rsid w:val="00FA27B3"/>
    <w:rsid w:val="00FA27E5"/>
    <w:rsid w:val="00FA2C2B"/>
    <w:rsid w:val="00FA2E11"/>
    <w:rsid w:val="00FA2EA4"/>
    <w:rsid w:val="00FA3243"/>
    <w:rsid w:val="00FA343C"/>
    <w:rsid w:val="00FA4434"/>
    <w:rsid w:val="00FA5186"/>
    <w:rsid w:val="00FA5B44"/>
    <w:rsid w:val="00FA6220"/>
    <w:rsid w:val="00FA64DB"/>
    <w:rsid w:val="00FA68B5"/>
    <w:rsid w:val="00FA6E3B"/>
    <w:rsid w:val="00FA7753"/>
    <w:rsid w:val="00FA77BD"/>
    <w:rsid w:val="00FA78FC"/>
    <w:rsid w:val="00FA7D8F"/>
    <w:rsid w:val="00FB06B8"/>
    <w:rsid w:val="00FB0D75"/>
    <w:rsid w:val="00FB13CA"/>
    <w:rsid w:val="00FB188E"/>
    <w:rsid w:val="00FB20FB"/>
    <w:rsid w:val="00FB21C9"/>
    <w:rsid w:val="00FB240E"/>
    <w:rsid w:val="00FB280F"/>
    <w:rsid w:val="00FB3415"/>
    <w:rsid w:val="00FB34EE"/>
    <w:rsid w:val="00FB35FD"/>
    <w:rsid w:val="00FB44B4"/>
    <w:rsid w:val="00FB574C"/>
    <w:rsid w:val="00FB5AF6"/>
    <w:rsid w:val="00FB5C73"/>
    <w:rsid w:val="00FB5D49"/>
    <w:rsid w:val="00FB5E5B"/>
    <w:rsid w:val="00FB5F69"/>
    <w:rsid w:val="00FB6060"/>
    <w:rsid w:val="00FB6359"/>
    <w:rsid w:val="00FB674F"/>
    <w:rsid w:val="00FB6D59"/>
    <w:rsid w:val="00FB7435"/>
    <w:rsid w:val="00FB791F"/>
    <w:rsid w:val="00FB7943"/>
    <w:rsid w:val="00FB7C6D"/>
    <w:rsid w:val="00FB7F47"/>
    <w:rsid w:val="00FC0B55"/>
    <w:rsid w:val="00FC0EC5"/>
    <w:rsid w:val="00FC197D"/>
    <w:rsid w:val="00FC1A59"/>
    <w:rsid w:val="00FC1B2C"/>
    <w:rsid w:val="00FC2034"/>
    <w:rsid w:val="00FC2186"/>
    <w:rsid w:val="00FC247E"/>
    <w:rsid w:val="00FC2DF9"/>
    <w:rsid w:val="00FC2FD2"/>
    <w:rsid w:val="00FC317E"/>
    <w:rsid w:val="00FC3EEA"/>
    <w:rsid w:val="00FC3FA0"/>
    <w:rsid w:val="00FC43EC"/>
    <w:rsid w:val="00FC49E2"/>
    <w:rsid w:val="00FC503A"/>
    <w:rsid w:val="00FC54F5"/>
    <w:rsid w:val="00FC58F4"/>
    <w:rsid w:val="00FC630C"/>
    <w:rsid w:val="00FC6452"/>
    <w:rsid w:val="00FC6D9B"/>
    <w:rsid w:val="00FC6FB3"/>
    <w:rsid w:val="00FC7517"/>
    <w:rsid w:val="00FC7661"/>
    <w:rsid w:val="00FC77EA"/>
    <w:rsid w:val="00FC799F"/>
    <w:rsid w:val="00FC7C04"/>
    <w:rsid w:val="00FC7CA3"/>
    <w:rsid w:val="00FC7DED"/>
    <w:rsid w:val="00FD0020"/>
    <w:rsid w:val="00FD11D9"/>
    <w:rsid w:val="00FD11F8"/>
    <w:rsid w:val="00FD121A"/>
    <w:rsid w:val="00FD1225"/>
    <w:rsid w:val="00FD1613"/>
    <w:rsid w:val="00FD16AB"/>
    <w:rsid w:val="00FD221F"/>
    <w:rsid w:val="00FD2229"/>
    <w:rsid w:val="00FD2812"/>
    <w:rsid w:val="00FD2D27"/>
    <w:rsid w:val="00FD36F8"/>
    <w:rsid w:val="00FD4326"/>
    <w:rsid w:val="00FD4BC6"/>
    <w:rsid w:val="00FD4CBE"/>
    <w:rsid w:val="00FD5C7D"/>
    <w:rsid w:val="00FD6A99"/>
    <w:rsid w:val="00FD71D4"/>
    <w:rsid w:val="00FD733E"/>
    <w:rsid w:val="00FD741B"/>
    <w:rsid w:val="00FD76FD"/>
    <w:rsid w:val="00FD798A"/>
    <w:rsid w:val="00FE098C"/>
    <w:rsid w:val="00FE0AF5"/>
    <w:rsid w:val="00FE0D21"/>
    <w:rsid w:val="00FE162B"/>
    <w:rsid w:val="00FE2194"/>
    <w:rsid w:val="00FE21E9"/>
    <w:rsid w:val="00FE25D9"/>
    <w:rsid w:val="00FE2952"/>
    <w:rsid w:val="00FE2D16"/>
    <w:rsid w:val="00FE2F77"/>
    <w:rsid w:val="00FE31B2"/>
    <w:rsid w:val="00FE3480"/>
    <w:rsid w:val="00FE3716"/>
    <w:rsid w:val="00FE3ABE"/>
    <w:rsid w:val="00FE3BFE"/>
    <w:rsid w:val="00FE3E4F"/>
    <w:rsid w:val="00FE4384"/>
    <w:rsid w:val="00FE43E1"/>
    <w:rsid w:val="00FE47E6"/>
    <w:rsid w:val="00FE4D74"/>
    <w:rsid w:val="00FE4D95"/>
    <w:rsid w:val="00FE559F"/>
    <w:rsid w:val="00FE5CD6"/>
    <w:rsid w:val="00FE706C"/>
    <w:rsid w:val="00FE7446"/>
    <w:rsid w:val="00FE7473"/>
    <w:rsid w:val="00FE76A6"/>
    <w:rsid w:val="00FE779B"/>
    <w:rsid w:val="00FE7C2E"/>
    <w:rsid w:val="00FF0CD1"/>
    <w:rsid w:val="00FF14A6"/>
    <w:rsid w:val="00FF33A9"/>
    <w:rsid w:val="00FF3582"/>
    <w:rsid w:val="00FF380B"/>
    <w:rsid w:val="00FF3907"/>
    <w:rsid w:val="00FF3B92"/>
    <w:rsid w:val="00FF3BC9"/>
    <w:rsid w:val="00FF4385"/>
    <w:rsid w:val="00FF4A61"/>
    <w:rsid w:val="00FF4F68"/>
    <w:rsid w:val="00FF5044"/>
    <w:rsid w:val="00FF52A9"/>
    <w:rsid w:val="00FF52DE"/>
    <w:rsid w:val="00FF565C"/>
    <w:rsid w:val="00FF58A0"/>
    <w:rsid w:val="00FF5CB1"/>
    <w:rsid w:val="00FF5F0C"/>
    <w:rsid w:val="00FF601C"/>
    <w:rsid w:val="00FF646D"/>
    <w:rsid w:val="00FF64BE"/>
    <w:rsid w:val="00FF6E2B"/>
    <w:rsid w:val="00FF70B5"/>
    <w:rsid w:val="00FF7189"/>
    <w:rsid w:val="00FF7721"/>
    <w:rsid w:val="00FF7F30"/>
    <w:rsid w:val="011A11A4"/>
    <w:rsid w:val="014B5B44"/>
    <w:rsid w:val="018C5F7F"/>
    <w:rsid w:val="01BE4069"/>
    <w:rsid w:val="01BE5800"/>
    <w:rsid w:val="01E46F65"/>
    <w:rsid w:val="02E536DD"/>
    <w:rsid w:val="0386778E"/>
    <w:rsid w:val="03E802C2"/>
    <w:rsid w:val="03F06C42"/>
    <w:rsid w:val="041B3357"/>
    <w:rsid w:val="04846E0C"/>
    <w:rsid w:val="04C34346"/>
    <w:rsid w:val="04E30437"/>
    <w:rsid w:val="05F41FAA"/>
    <w:rsid w:val="061F6226"/>
    <w:rsid w:val="063B78DC"/>
    <w:rsid w:val="076E0F6D"/>
    <w:rsid w:val="07E84F31"/>
    <w:rsid w:val="0839529D"/>
    <w:rsid w:val="0883652D"/>
    <w:rsid w:val="09974C33"/>
    <w:rsid w:val="09B82947"/>
    <w:rsid w:val="0BDD2C71"/>
    <w:rsid w:val="0BF958C7"/>
    <w:rsid w:val="0C3F3332"/>
    <w:rsid w:val="0C5A09A9"/>
    <w:rsid w:val="0CDB719E"/>
    <w:rsid w:val="0D421774"/>
    <w:rsid w:val="0E0812B7"/>
    <w:rsid w:val="0EAB6A73"/>
    <w:rsid w:val="0F4D0707"/>
    <w:rsid w:val="0FBA2A45"/>
    <w:rsid w:val="0FC41654"/>
    <w:rsid w:val="0FDE7285"/>
    <w:rsid w:val="100B5FE0"/>
    <w:rsid w:val="11001AA9"/>
    <w:rsid w:val="110D54CF"/>
    <w:rsid w:val="118C2ED5"/>
    <w:rsid w:val="118D2E37"/>
    <w:rsid w:val="11B83D31"/>
    <w:rsid w:val="12243AF9"/>
    <w:rsid w:val="12795B29"/>
    <w:rsid w:val="12F62B63"/>
    <w:rsid w:val="13394155"/>
    <w:rsid w:val="13696837"/>
    <w:rsid w:val="13B31AEC"/>
    <w:rsid w:val="13FE3FBA"/>
    <w:rsid w:val="140E1568"/>
    <w:rsid w:val="14404369"/>
    <w:rsid w:val="1441502F"/>
    <w:rsid w:val="158847C9"/>
    <w:rsid w:val="16AB43FB"/>
    <w:rsid w:val="172B1BED"/>
    <w:rsid w:val="175D674F"/>
    <w:rsid w:val="17CD2550"/>
    <w:rsid w:val="18114189"/>
    <w:rsid w:val="18784728"/>
    <w:rsid w:val="18F06F2D"/>
    <w:rsid w:val="19043765"/>
    <w:rsid w:val="193A7876"/>
    <w:rsid w:val="19AD7F51"/>
    <w:rsid w:val="19D41FCF"/>
    <w:rsid w:val="1BA50D14"/>
    <w:rsid w:val="1BA677E7"/>
    <w:rsid w:val="1BD25BC2"/>
    <w:rsid w:val="1C0748A3"/>
    <w:rsid w:val="1C0F5E7D"/>
    <w:rsid w:val="1C625D30"/>
    <w:rsid w:val="1C7671E3"/>
    <w:rsid w:val="1C777601"/>
    <w:rsid w:val="1C7D3501"/>
    <w:rsid w:val="1C8A493E"/>
    <w:rsid w:val="1CCB6998"/>
    <w:rsid w:val="1CD6623F"/>
    <w:rsid w:val="1CDD4BE7"/>
    <w:rsid w:val="1CF90898"/>
    <w:rsid w:val="1CFA0FE7"/>
    <w:rsid w:val="1D8C69C4"/>
    <w:rsid w:val="1E1C7C6C"/>
    <w:rsid w:val="1E786F00"/>
    <w:rsid w:val="1EBB34DD"/>
    <w:rsid w:val="1F1F22F6"/>
    <w:rsid w:val="1F1F65F5"/>
    <w:rsid w:val="1F343C02"/>
    <w:rsid w:val="1FAC7E53"/>
    <w:rsid w:val="20517FE3"/>
    <w:rsid w:val="20B163FC"/>
    <w:rsid w:val="20CE2C18"/>
    <w:rsid w:val="217C1DAF"/>
    <w:rsid w:val="218220DE"/>
    <w:rsid w:val="222C76C6"/>
    <w:rsid w:val="22466CF3"/>
    <w:rsid w:val="22A344E7"/>
    <w:rsid w:val="22DE3197"/>
    <w:rsid w:val="230E0741"/>
    <w:rsid w:val="23F63E16"/>
    <w:rsid w:val="24016243"/>
    <w:rsid w:val="243A32C2"/>
    <w:rsid w:val="24F00EBB"/>
    <w:rsid w:val="25093A3B"/>
    <w:rsid w:val="25236D0D"/>
    <w:rsid w:val="252F645D"/>
    <w:rsid w:val="254130DC"/>
    <w:rsid w:val="258858A9"/>
    <w:rsid w:val="2591077D"/>
    <w:rsid w:val="259C1C77"/>
    <w:rsid w:val="26757E2C"/>
    <w:rsid w:val="26790701"/>
    <w:rsid w:val="26AD5BFF"/>
    <w:rsid w:val="26EF7EAE"/>
    <w:rsid w:val="26FD567B"/>
    <w:rsid w:val="273508EE"/>
    <w:rsid w:val="27483692"/>
    <w:rsid w:val="27536BD8"/>
    <w:rsid w:val="276F6E45"/>
    <w:rsid w:val="278066D7"/>
    <w:rsid w:val="27827B0F"/>
    <w:rsid w:val="27886287"/>
    <w:rsid w:val="27B528F8"/>
    <w:rsid w:val="27F53526"/>
    <w:rsid w:val="27FA5E76"/>
    <w:rsid w:val="28690FE5"/>
    <w:rsid w:val="288E2BD2"/>
    <w:rsid w:val="28911B25"/>
    <w:rsid w:val="28CF2F29"/>
    <w:rsid w:val="28DC50AB"/>
    <w:rsid w:val="28E55271"/>
    <w:rsid w:val="29001B92"/>
    <w:rsid w:val="2923374B"/>
    <w:rsid w:val="296C2B2B"/>
    <w:rsid w:val="29BD796F"/>
    <w:rsid w:val="29F93181"/>
    <w:rsid w:val="2A2D69E0"/>
    <w:rsid w:val="2AAC3644"/>
    <w:rsid w:val="2B2646C8"/>
    <w:rsid w:val="2B8946FF"/>
    <w:rsid w:val="2C0A4741"/>
    <w:rsid w:val="2CE77A69"/>
    <w:rsid w:val="2CF86E08"/>
    <w:rsid w:val="2D9B15EF"/>
    <w:rsid w:val="2DCD1FF8"/>
    <w:rsid w:val="2E304308"/>
    <w:rsid w:val="2EB26D79"/>
    <w:rsid w:val="2F501102"/>
    <w:rsid w:val="2F576681"/>
    <w:rsid w:val="2F7145F4"/>
    <w:rsid w:val="2F975F0D"/>
    <w:rsid w:val="2FB208FE"/>
    <w:rsid w:val="2FC51C73"/>
    <w:rsid w:val="30580298"/>
    <w:rsid w:val="30646F90"/>
    <w:rsid w:val="30CB0402"/>
    <w:rsid w:val="30EF06F9"/>
    <w:rsid w:val="31190B70"/>
    <w:rsid w:val="324D2681"/>
    <w:rsid w:val="32CF2C33"/>
    <w:rsid w:val="32E367A8"/>
    <w:rsid w:val="34457450"/>
    <w:rsid w:val="35373F98"/>
    <w:rsid w:val="363B7932"/>
    <w:rsid w:val="36D15C2A"/>
    <w:rsid w:val="36FA4BBC"/>
    <w:rsid w:val="371D61FE"/>
    <w:rsid w:val="374B5AC3"/>
    <w:rsid w:val="37723A07"/>
    <w:rsid w:val="377F7586"/>
    <w:rsid w:val="37EB4622"/>
    <w:rsid w:val="38187E4F"/>
    <w:rsid w:val="3820445B"/>
    <w:rsid w:val="38210467"/>
    <w:rsid w:val="38401B73"/>
    <w:rsid w:val="384B1D2A"/>
    <w:rsid w:val="39780BBB"/>
    <w:rsid w:val="39D617F2"/>
    <w:rsid w:val="3B731AB5"/>
    <w:rsid w:val="3B833738"/>
    <w:rsid w:val="3B874762"/>
    <w:rsid w:val="3C2527C5"/>
    <w:rsid w:val="3C3B3B82"/>
    <w:rsid w:val="3D421B01"/>
    <w:rsid w:val="3D6F75C9"/>
    <w:rsid w:val="3DE90F01"/>
    <w:rsid w:val="3E266E35"/>
    <w:rsid w:val="3E644118"/>
    <w:rsid w:val="3E9426DD"/>
    <w:rsid w:val="3F7F04D5"/>
    <w:rsid w:val="40A005F0"/>
    <w:rsid w:val="40F27D35"/>
    <w:rsid w:val="417E1386"/>
    <w:rsid w:val="422B6BF4"/>
    <w:rsid w:val="42347713"/>
    <w:rsid w:val="43B00A8F"/>
    <w:rsid w:val="4409618B"/>
    <w:rsid w:val="44183947"/>
    <w:rsid w:val="442619BB"/>
    <w:rsid w:val="44D03003"/>
    <w:rsid w:val="45511B47"/>
    <w:rsid w:val="45A15DDB"/>
    <w:rsid w:val="45B22926"/>
    <w:rsid w:val="462D1CB6"/>
    <w:rsid w:val="4681712C"/>
    <w:rsid w:val="468B6718"/>
    <w:rsid w:val="473B23EB"/>
    <w:rsid w:val="476C53A1"/>
    <w:rsid w:val="47706509"/>
    <w:rsid w:val="478C4AD1"/>
    <w:rsid w:val="47B32EAB"/>
    <w:rsid w:val="47C40E8C"/>
    <w:rsid w:val="48B1218F"/>
    <w:rsid w:val="48B14AB0"/>
    <w:rsid w:val="48D6123C"/>
    <w:rsid w:val="49150F51"/>
    <w:rsid w:val="49480BD4"/>
    <w:rsid w:val="499F04DF"/>
    <w:rsid w:val="49CB3BFF"/>
    <w:rsid w:val="4A56432B"/>
    <w:rsid w:val="4AA4619B"/>
    <w:rsid w:val="4B240160"/>
    <w:rsid w:val="4B284D77"/>
    <w:rsid w:val="4BEC1507"/>
    <w:rsid w:val="4C783572"/>
    <w:rsid w:val="4C7E06ED"/>
    <w:rsid w:val="4CD363C9"/>
    <w:rsid w:val="4D7F6702"/>
    <w:rsid w:val="4DC35387"/>
    <w:rsid w:val="4F123950"/>
    <w:rsid w:val="4F134C73"/>
    <w:rsid w:val="4F8E155E"/>
    <w:rsid w:val="4FBA1A62"/>
    <w:rsid w:val="500D7D9D"/>
    <w:rsid w:val="507519D9"/>
    <w:rsid w:val="50DA7C50"/>
    <w:rsid w:val="50EC442B"/>
    <w:rsid w:val="52127D7D"/>
    <w:rsid w:val="52412A63"/>
    <w:rsid w:val="52A24E2C"/>
    <w:rsid w:val="52C5188C"/>
    <w:rsid w:val="53763D4D"/>
    <w:rsid w:val="54014B46"/>
    <w:rsid w:val="54135280"/>
    <w:rsid w:val="5526139C"/>
    <w:rsid w:val="552B2D26"/>
    <w:rsid w:val="554E1470"/>
    <w:rsid w:val="55986D51"/>
    <w:rsid w:val="55D42624"/>
    <w:rsid w:val="56133CA0"/>
    <w:rsid w:val="56DD4ABD"/>
    <w:rsid w:val="5703231E"/>
    <w:rsid w:val="57116442"/>
    <w:rsid w:val="5780342F"/>
    <w:rsid w:val="578D3493"/>
    <w:rsid w:val="586A7A45"/>
    <w:rsid w:val="58914C8B"/>
    <w:rsid w:val="58E3423E"/>
    <w:rsid w:val="58F23ED5"/>
    <w:rsid w:val="5956205C"/>
    <w:rsid w:val="596D0431"/>
    <w:rsid w:val="599E6CB8"/>
    <w:rsid w:val="59E031E2"/>
    <w:rsid w:val="5AA974E8"/>
    <w:rsid w:val="5B703490"/>
    <w:rsid w:val="5B8340E7"/>
    <w:rsid w:val="5B8D0599"/>
    <w:rsid w:val="5B937814"/>
    <w:rsid w:val="5BA627EA"/>
    <w:rsid w:val="5BAA125C"/>
    <w:rsid w:val="5C425529"/>
    <w:rsid w:val="5C6E79F1"/>
    <w:rsid w:val="5C8657B1"/>
    <w:rsid w:val="5CA73484"/>
    <w:rsid w:val="5CE5499C"/>
    <w:rsid w:val="5D77243C"/>
    <w:rsid w:val="5DA6474A"/>
    <w:rsid w:val="5E2F13E4"/>
    <w:rsid w:val="5EC546B7"/>
    <w:rsid w:val="5EE01513"/>
    <w:rsid w:val="5F61759D"/>
    <w:rsid w:val="5FA9036D"/>
    <w:rsid w:val="5FB52C98"/>
    <w:rsid w:val="5FE20A6A"/>
    <w:rsid w:val="5FE80DF1"/>
    <w:rsid w:val="60394F33"/>
    <w:rsid w:val="607A028C"/>
    <w:rsid w:val="60A9073B"/>
    <w:rsid w:val="61215ABF"/>
    <w:rsid w:val="61904268"/>
    <w:rsid w:val="61922827"/>
    <w:rsid w:val="61985AAE"/>
    <w:rsid w:val="619B21A0"/>
    <w:rsid w:val="61A6252D"/>
    <w:rsid w:val="61C95215"/>
    <w:rsid w:val="62066613"/>
    <w:rsid w:val="620863D2"/>
    <w:rsid w:val="626058BD"/>
    <w:rsid w:val="6283443A"/>
    <w:rsid w:val="629C375A"/>
    <w:rsid w:val="62D638A3"/>
    <w:rsid w:val="62D70238"/>
    <w:rsid w:val="634E5810"/>
    <w:rsid w:val="639A2C3A"/>
    <w:rsid w:val="63A81226"/>
    <w:rsid w:val="650A079C"/>
    <w:rsid w:val="658203CA"/>
    <w:rsid w:val="65E5355A"/>
    <w:rsid w:val="66CD3247"/>
    <w:rsid w:val="674A3D4F"/>
    <w:rsid w:val="679006E0"/>
    <w:rsid w:val="6864772D"/>
    <w:rsid w:val="68855470"/>
    <w:rsid w:val="68A779A6"/>
    <w:rsid w:val="68BC6A3B"/>
    <w:rsid w:val="68DD7469"/>
    <w:rsid w:val="68F05C2D"/>
    <w:rsid w:val="6A121AD7"/>
    <w:rsid w:val="6A3C248C"/>
    <w:rsid w:val="6A7E5E1C"/>
    <w:rsid w:val="6AD23B35"/>
    <w:rsid w:val="6AF97D73"/>
    <w:rsid w:val="6B125161"/>
    <w:rsid w:val="6C3226C6"/>
    <w:rsid w:val="6C545FF5"/>
    <w:rsid w:val="6C591BE2"/>
    <w:rsid w:val="6D0A670A"/>
    <w:rsid w:val="6E0A4A26"/>
    <w:rsid w:val="6E5E1B6C"/>
    <w:rsid w:val="6EEF71D1"/>
    <w:rsid w:val="6F021A16"/>
    <w:rsid w:val="6F1D40CE"/>
    <w:rsid w:val="6FDE2530"/>
    <w:rsid w:val="70451EA5"/>
    <w:rsid w:val="7051517A"/>
    <w:rsid w:val="706424A0"/>
    <w:rsid w:val="70C25205"/>
    <w:rsid w:val="70D85BD1"/>
    <w:rsid w:val="71062109"/>
    <w:rsid w:val="714B1CA5"/>
    <w:rsid w:val="715B338A"/>
    <w:rsid w:val="716A7ADC"/>
    <w:rsid w:val="71DE2E53"/>
    <w:rsid w:val="721F39FF"/>
    <w:rsid w:val="7283785C"/>
    <w:rsid w:val="729E121E"/>
    <w:rsid w:val="72B069AF"/>
    <w:rsid w:val="72E23A7A"/>
    <w:rsid w:val="72F6179B"/>
    <w:rsid w:val="730833A3"/>
    <w:rsid w:val="736355BB"/>
    <w:rsid w:val="738003CA"/>
    <w:rsid w:val="73C56EED"/>
    <w:rsid w:val="73E70DF8"/>
    <w:rsid w:val="740370F5"/>
    <w:rsid w:val="758D4AB4"/>
    <w:rsid w:val="75D12961"/>
    <w:rsid w:val="765941C5"/>
    <w:rsid w:val="76AC04E9"/>
    <w:rsid w:val="773B6CD4"/>
    <w:rsid w:val="777668B4"/>
    <w:rsid w:val="77D61CCD"/>
    <w:rsid w:val="77E30949"/>
    <w:rsid w:val="77F16A53"/>
    <w:rsid w:val="783525A0"/>
    <w:rsid w:val="786F12BD"/>
    <w:rsid w:val="786F1AA9"/>
    <w:rsid w:val="7872551D"/>
    <w:rsid w:val="78E958A0"/>
    <w:rsid w:val="7920071D"/>
    <w:rsid w:val="79C52BC7"/>
    <w:rsid w:val="79C747F6"/>
    <w:rsid w:val="79D25F09"/>
    <w:rsid w:val="7A36659D"/>
    <w:rsid w:val="7A6027C1"/>
    <w:rsid w:val="7A854A12"/>
    <w:rsid w:val="7B237820"/>
    <w:rsid w:val="7B2E31DE"/>
    <w:rsid w:val="7B974622"/>
    <w:rsid w:val="7BC43F28"/>
    <w:rsid w:val="7D4E72F0"/>
    <w:rsid w:val="7D6B63CB"/>
    <w:rsid w:val="7E9219F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2"/>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uiPriority w:val="0"/>
  </w:style>
  <w:style w:type="table" w:default="1" w:styleId="5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uiPriority w:val="0"/>
    <w:pPr>
      <w:ind w:left="100" w:leftChars="400" w:hanging="200" w:hangingChars="200"/>
    </w:pPr>
  </w:style>
  <w:style w:type="paragraph" w:styleId="13">
    <w:name w:val="toc 7"/>
    <w:basedOn w:val="1"/>
    <w:next w:val="1"/>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uiPriority w:val="0"/>
    <w:pPr>
      <w:adjustRightInd w:val="0"/>
      <w:ind w:left="420" w:right="33"/>
      <w:jc w:val="left"/>
      <w:textAlignment w:val="baseline"/>
    </w:pPr>
    <w:rPr>
      <w:kern w:val="0"/>
      <w:sz w:val="24"/>
      <w:szCs w:val="20"/>
    </w:rPr>
  </w:style>
  <w:style w:type="paragraph" w:styleId="24">
    <w:name w:val="toc 5"/>
    <w:basedOn w:val="1"/>
    <w:next w:val="1"/>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ascii="宋体" w:hAnsi="Courier New" w:cs="Courier New"/>
      <w:szCs w:val="21"/>
    </w:rPr>
  </w:style>
  <w:style w:type="paragraph" w:styleId="27">
    <w:name w:val="toc 8"/>
    <w:basedOn w:val="1"/>
    <w:next w:val="1"/>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uiPriority w:val="0"/>
    <w:pPr>
      <w:spacing w:after="120" w:afterLines="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afterLines="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afterLines="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afterLines="0" w:line="240" w:lineRule="auto"/>
      <w:ind w:firstLine="420" w:firstLineChars="100"/>
    </w:pPr>
    <w:rPr>
      <w:sz w:val="21"/>
    </w:rPr>
  </w:style>
  <w:style w:type="paragraph" w:styleId="50">
    <w:name w:val="Body Text First Indent 2"/>
    <w:basedOn w:val="20"/>
    <w:link w:val="85"/>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9"/>
    <w:rPr>
      <w:rFonts w:eastAsia="宋体"/>
      <w:b/>
      <w:bCs/>
      <w:kern w:val="44"/>
      <w:sz w:val="44"/>
      <w:szCs w:val="44"/>
      <w:lang w:val="en-US" w:eastAsia="zh-CN" w:bidi="ar-SA"/>
    </w:rPr>
  </w:style>
  <w:style w:type="character" w:customStyle="1" w:styleId="60">
    <w:name w:val="标题 2 字符"/>
    <w:link w:val="3"/>
    <w:qFormat/>
    <w:uiPriority w:val="0"/>
    <w:rPr>
      <w:rFonts w:ascii="Arial" w:hAnsi="Arial" w:eastAsia="黑体"/>
      <w:b/>
      <w:bCs/>
      <w:kern w:val="2"/>
      <w:sz w:val="32"/>
      <w:szCs w:val="32"/>
    </w:rPr>
  </w:style>
  <w:style w:type="character" w:customStyle="1" w:styleId="61">
    <w:name w:val="标题 3 字符"/>
    <w:link w:val="4"/>
    <w:qFormat/>
    <w:uiPriority w:val="0"/>
    <w:rPr>
      <w:b/>
      <w:bCs/>
      <w:kern w:val="2"/>
      <w:sz w:val="32"/>
      <w:szCs w:val="32"/>
    </w:rPr>
  </w:style>
  <w:style w:type="character" w:customStyle="1" w:styleId="62">
    <w:name w:val="标题 4 字符"/>
    <w:link w:val="5"/>
    <w:qFormat/>
    <w:uiPriority w:val="0"/>
    <w:rPr>
      <w:rFonts w:ascii="Arial" w:hAnsi="Arial" w:eastAsia="黑体"/>
      <w:sz w:val="28"/>
    </w:rPr>
  </w:style>
  <w:style w:type="character" w:customStyle="1" w:styleId="63">
    <w:name w:val="标题 5 字符"/>
    <w:link w:val="6"/>
    <w:qFormat/>
    <w:uiPriority w:val="0"/>
    <w:rPr>
      <w:b/>
      <w:kern w:val="2"/>
      <w:sz w:val="28"/>
      <w:szCs w:val="24"/>
    </w:rPr>
  </w:style>
  <w:style w:type="character" w:customStyle="1" w:styleId="64">
    <w:name w:val="标题 6 字符"/>
    <w:link w:val="8"/>
    <w:qFormat/>
    <w:uiPriority w:val="0"/>
    <w:rPr>
      <w:rFonts w:ascii="Arial" w:hAnsi="Arial" w:eastAsia="黑体"/>
      <w:b/>
      <w:kern w:val="2"/>
      <w:sz w:val="24"/>
      <w:szCs w:val="24"/>
    </w:rPr>
  </w:style>
  <w:style w:type="character" w:customStyle="1" w:styleId="65">
    <w:name w:val="标题 7 字符"/>
    <w:link w:val="9"/>
    <w:qFormat/>
    <w:uiPriority w:val="0"/>
    <w:rPr>
      <w:b/>
      <w:kern w:val="2"/>
      <w:sz w:val="24"/>
      <w:szCs w:val="24"/>
    </w:rPr>
  </w:style>
  <w:style w:type="character" w:customStyle="1" w:styleId="66">
    <w:name w:val="标题 8 字符"/>
    <w:link w:val="10"/>
    <w:qFormat/>
    <w:uiPriority w:val="0"/>
    <w:rPr>
      <w:rFonts w:ascii="Arial" w:hAnsi="Arial" w:eastAsia="黑体"/>
      <w:kern w:val="2"/>
      <w:sz w:val="24"/>
      <w:szCs w:val="24"/>
    </w:rPr>
  </w:style>
  <w:style w:type="character" w:customStyle="1" w:styleId="67">
    <w:name w:val="标题 9 字符"/>
    <w:link w:val="11"/>
    <w:qFormat/>
    <w:uiPriority w:val="0"/>
    <w:rPr>
      <w:rFonts w:ascii="Arial" w:hAnsi="Arial" w:eastAsia="黑体"/>
      <w:kern w:val="2"/>
      <w:sz w:val="21"/>
      <w:szCs w:val="24"/>
    </w:rPr>
  </w:style>
  <w:style w:type="character" w:customStyle="1" w:styleId="68">
    <w:name w:val="文档结构图 字符"/>
    <w:link w:val="16"/>
    <w:qFormat/>
    <w:uiPriority w:val="0"/>
    <w:rPr>
      <w:sz w:val="21"/>
      <w:shd w:val="clear" w:color="auto" w:fill="000080"/>
    </w:rPr>
  </w:style>
  <w:style w:type="character" w:customStyle="1" w:styleId="69">
    <w:name w:val="批注文字 字符2"/>
    <w:link w:val="17"/>
    <w:qFormat/>
    <w:uiPriority w:val="0"/>
    <w:rPr>
      <w:kern w:val="2"/>
      <w:sz w:val="21"/>
      <w:szCs w:val="24"/>
    </w:rPr>
  </w:style>
  <w:style w:type="character" w:customStyle="1" w:styleId="70">
    <w:name w:val="正文文本 3 字符"/>
    <w:link w:val="18"/>
    <w:qFormat/>
    <w:uiPriority w:val="0"/>
    <w:rPr>
      <w:b/>
      <w:bCs/>
      <w:kern w:val="2"/>
      <w:sz w:val="24"/>
      <w:szCs w:val="24"/>
    </w:rPr>
  </w:style>
  <w:style w:type="character" w:customStyle="1" w:styleId="71">
    <w:name w:val="正文文本 字符"/>
    <w:link w:val="19"/>
    <w:qFormat/>
    <w:uiPriority w:val="99"/>
    <w:rPr>
      <w:kern w:val="2"/>
      <w:sz w:val="24"/>
      <w:szCs w:val="24"/>
    </w:rPr>
  </w:style>
  <w:style w:type="character" w:customStyle="1" w:styleId="72">
    <w:name w:val="正文文本缩进 字符"/>
    <w:link w:val="20"/>
    <w:qFormat/>
    <w:uiPriority w:val="99"/>
    <w:rPr>
      <w:rFonts w:ascii="仿宋_GB2312" w:eastAsia="仿宋_GB2312"/>
      <w:kern w:val="2"/>
      <w:sz w:val="32"/>
    </w:rPr>
  </w:style>
  <w:style w:type="character" w:customStyle="1" w:styleId="73">
    <w:name w:val="纯文本 字符2"/>
    <w:link w:val="26"/>
    <w:qFormat/>
    <w:uiPriority w:val="0"/>
    <w:rPr>
      <w:rFonts w:ascii="宋体" w:hAnsi="Courier New" w:eastAsia="宋体" w:cs="Courier New"/>
      <w:kern w:val="2"/>
      <w:sz w:val="21"/>
      <w:szCs w:val="21"/>
      <w:lang w:val="en-US" w:eastAsia="zh-CN" w:bidi="ar-SA"/>
    </w:rPr>
  </w:style>
  <w:style w:type="character" w:customStyle="1" w:styleId="74">
    <w:name w:val="日期 字符"/>
    <w:link w:val="28"/>
    <w:qFormat/>
    <w:uiPriority w:val="0"/>
    <w:rPr>
      <w:rFonts w:ascii="宋体" w:hAnsi="Courier New" w:cs="Courier New"/>
      <w:kern w:val="2"/>
      <w:sz w:val="21"/>
      <w:szCs w:val="21"/>
    </w:rPr>
  </w:style>
  <w:style w:type="character" w:customStyle="1" w:styleId="75">
    <w:name w:val="正文文本缩进 2 字符"/>
    <w:link w:val="29"/>
    <w:qFormat/>
    <w:uiPriority w:val="0"/>
    <w:rPr>
      <w:kern w:val="2"/>
      <w:sz w:val="32"/>
    </w:rPr>
  </w:style>
  <w:style w:type="character" w:customStyle="1" w:styleId="76">
    <w:name w:val="批注框文本 字符"/>
    <w:link w:val="30"/>
    <w:qFormat/>
    <w:uiPriority w:val="0"/>
    <w:rPr>
      <w:kern w:val="2"/>
      <w:sz w:val="18"/>
      <w:szCs w:val="18"/>
    </w:rPr>
  </w:style>
  <w:style w:type="character" w:customStyle="1" w:styleId="77">
    <w:name w:val="页脚 字符"/>
    <w:link w:val="31"/>
    <w:qFormat/>
    <w:uiPriority w:val="0"/>
    <w:rPr>
      <w:kern w:val="2"/>
      <w:sz w:val="18"/>
      <w:szCs w:val="18"/>
    </w:rPr>
  </w:style>
  <w:style w:type="character" w:customStyle="1" w:styleId="78">
    <w:name w:val="页眉 字符"/>
    <w:link w:val="32"/>
    <w:qFormat/>
    <w:uiPriority w:val="99"/>
    <w:rPr>
      <w:kern w:val="2"/>
      <w:sz w:val="18"/>
      <w:szCs w:val="18"/>
    </w:rPr>
  </w:style>
  <w:style w:type="character" w:customStyle="1" w:styleId="79">
    <w:name w:val="正文文本缩进 3 字符"/>
    <w:link w:val="38"/>
    <w:qFormat/>
    <w:uiPriority w:val="0"/>
    <w:rPr>
      <w:kern w:val="2"/>
      <w:sz w:val="16"/>
      <w:szCs w:val="16"/>
    </w:rPr>
  </w:style>
  <w:style w:type="character" w:customStyle="1" w:styleId="80">
    <w:name w:val="正文文本 2 字符"/>
    <w:link w:val="41"/>
    <w:qFormat/>
    <w:uiPriority w:val="0"/>
    <w:rPr>
      <w:kern w:val="2"/>
      <w:sz w:val="21"/>
      <w:szCs w:val="24"/>
    </w:rPr>
  </w:style>
  <w:style w:type="character" w:customStyle="1" w:styleId="81">
    <w:name w:val="HTML 预设格式 字符"/>
    <w:link w:val="44"/>
    <w:qFormat/>
    <w:uiPriority w:val="0"/>
    <w:rPr>
      <w:rFonts w:ascii="黑体" w:hAnsi="Courier New" w:eastAsia="黑体" w:cs="Courier New"/>
    </w:rPr>
  </w:style>
  <w:style w:type="character" w:customStyle="1" w:styleId="82">
    <w:name w:val="标题 字符"/>
    <w:link w:val="47"/>
    <w:qFormat/>
    <w:uiPriority w:val="0"/>
    <w:rPr>
      <w:kern w:val="2"/>
      <w:sz w:val="30"/>
      <w:szCs w:val="24"/>
    </w:rPr>
  </w:style>
  <w:style w:type="character" w:customStyle="1" w:styleId="83">
    <w:name w:val="批注主题 字符"/>
    <w:link w:val="48"/>
    <w:qFormat/>
    <w:uiPriority w:val="0"/>
    <w:rPr>
      <w:b/>
      <w:bCs/>
      <w:kern w:val="2"/>
      <w:sz w:val="21"/>
      <w:szCs w:val="24"/>
    </w:rPr>
  </w:style>
  <w:style w:type="character" w:customStyle="1" w:styleId="84">
    <w:name w:val="正文文本首行缩进 字符"/>
    <w:link w:val="49"/>
    <w:qFormat/>
    <w:uiPriority w:val="0"/>
    <w:rPr>
      <w:kern w:val="2"/>
      <w:sz w:val="21"/>
      <w:szCs w:val="24"/>
    </w:rPr>
  </w:style>
  <w:style w:type="character" w:customStyle="1" w:styleId="85">
    <w:name w:val="正文文本首行缩进 2 字符"/>
    <w:link w:val="50"/>
    <w:qFormat/>
    <w:uiPriority w:val="0"/>
    <w:rPr>
      <w:kern w:val="2"/>
      <w:sz w:val="21"/>
      <w:szCs w:val="24"/>
    </w:rPr>
  </w:style>
  <w:style w:type="character" w:customStyle="1" w:styleId="86">
    <w:name w:val="标题 5 Char"/>
    <w:qFormat/>
    <w:uiPriority w:val="0"/>
    <w:rPr>
      <w:b/>
      <w:kern w:val="2"/>
      <w:sz w:val="28"/>
      <w:szCs w:val="24"/>
    </w:rPr>
  </w:style>
  <w:style w:type="character" w:customStyle="1" w:styleId="87">
    <w:name w:val="apple-converted-space"/>
    <w:qFormat/>
    <w:uiPriority w:val="0"/>
  </w:style>
  <w:style w:type="character" w:customStyle="1" w:styleId="88">
    <w:name w:val="062"/>
    <w:qFormat/>
    <w:uiPriority w:val="0"/>
    <w:rPr>
      <w:rFonts w:ascii="宋体" w:hAnsi="宋体"/>
      <w:b/>
      <w:bCs/>
      <w:sz w:val="32"/>
    </w:rPr>
  </w:style>
  <w:style w:type="character" w:customStyle="1" w:styleId="89">
    <w:name w:val="纯文本 Char1"/>
    <w:qFormat/>
    <w:uiPriority w:val="0"/>
    <w:rPr>
      <w:rFonts w:ascii="宋体" w:hAnsi="Courier New" w:eastAsia="宋体" w:cs="Courier New"/>
      <w:kern w:val="2"/>
      <w:sz w:val="21"/>
      <w:szCs w:val="21"/>
      <w:lang w:val="en-US" w:eastAsia="zh-CN" w:bidi="ar-SA"/>
    </w:rPr>
  </w:style>
  <w:style w:type="character" w:customStyle="1" w:styleId="90">
    <w:name w:val="批注文字 字符1"/>
    <w:qFormat/>
    <w:uiPriority w:val="0"/>
    <w:rPr>
      <w:kern w:val="2"/>
      <w:sz w:val="21"/>
      <w:szCs w:val="24"/>
    </w:rPr>
  </w:style>
  <w:style w:type="character" w:customStyle="1" w:styleId="91">
    <w:name w:val="small"/>
    <w:qFormat/>
    <w:uiPriority w:val="0"/>
  </w:style>
  <w:style w:type="character" w:customStyle="1" w:styleId="92">
    <w:name w:val="标题 3 Char"/>
    <w:qFormat/>
    <w:uiPriority w:val="0"/>
    <w:rPr>
      <w:b/>
      <w:bCs/>
      <w:kern w:val="2"/>
      <w:sz w:val="32"/>
      <w:szCs w:val="32"/>
    </w:rPr>
  </w:style>
  <w:style w:type="character" w:customStyle="1" w:styleId="93">
    <w:name w:val="标题3 Char"/>
    <w:link w:val="94"/>
    <w:qFormat/>
    <w:uiPriority w:val="0"/>
    <w:rPr>
      <w:rFonts w:ascii="宋体" w:hAnsi="宋体"/>
      <w:b/>
      <w:bCs/>
      <w:kern w:val="44"/>
      <w:sz w:val="24"/>
      <w:szCs w:val="24"/>
    </w:rPr>
  </w:style>
  <w:style w:type="paragraph" w:customStyle="1" w:styleId="94">
    <w:name w:val="标题3"/>
    <w:basedOn w:val="2"/>
    <w:link w:val="93"/>
    <w:qFormat/>
    <w:uiPriority w:val="0"/>
    <w:pPr>
      <w:spacing w:before="0" w:beforeLines="50" w:after="0" w:afterLines="50" w:line="400" w:lineRule="exact"/>
    </w:pPr>
    <w:rPr>
      <w:rFonts w:ascii="宋体" w:hAnsi="宋体"/>
      <w:sz w:val="24"/>
      <w:szCs w:val="24"/>
    </w:rPr>
  </w:style>
  <w:style w:type="character" w:customStyle="1" w:styleId="95">
    <w:name w:val="标题 4 Char"/>
    <w:qFormat/>
    <w:uiPriority w:val="0"/>
    <w:rPr>
      <w:rFonts w:ascii="Arial" w:hAnsi="Arial" w:eastAsia="黑体"/>
      <w:sz w:val="28"/>
    </w:rPr>
  </w:style>
  <w:style w:type="character" w:customStyle="1" w:styleId="96">
    <w:name w:val="case31"/>
    <w:qFormat/>
    <w:uiPriority w:val="0"/>
    <w:rPr>
      <w:rFonts w:hint="default" w:ascii="_x000B__x000C_" w:hAnsi="_x000B__x000C_"/>
      <w:sz w:val="21"/>
      <w:szCs w:val="21"/>
    </w:rPr>
  </w:style>
  <w:style w:type="character" w:customStyle="1" w:styleId="97">
    <w:name w:val="style11"/>
    <w:qFormat/>
    <w:uiPriority w:val="0"/>
    <w:rPr>
      <w:rFonts w:hint="default" w:ascii="Arial" w:hAnsi="Arial" w:cs="Arial"/>
    </w:rPr>
  </w:style>
  <w:style w:type="character" w:customStyle="1" w:styleId="98">
    <w:name w:val="正文文本缩进 Char"/>
    <w:qFormat/>
    <w:uiPriority w:val="99"/>
    <w:rPr>
      <w:rFonts w:ascii="仿宋_GB2312" w:eastAsia="仿宋_GB2312"/>
      <w:kern w:val="2"/>
      <w:sz w:val="32"/>
    </w:rPr>
  </w:style>
  <w:style w:type="character" w:customStyle="1" w:styleId="99">
    <w:name w:val="正文文本 Char"/>
    <w:qFormat/>
    <w:uiPriority w:val="99"/>
    <w:rPr>
      <w:kern w:val="2"/>
      <w:sz w:val="24"/>
      <w:szCs w:val="24"/>
    </w:rPr>
  </w:style>
  <w:style w:type="character" w:customStyle="1" w:styleId="100">
    <w:name w:val="标题 9 Char"/>
    <w:qFormat/>
    <w:uiPriority w:val="0"/>
    <w:rPr>
      <w:rFonts w:ascii="Arial" w:hAnsi="Arial" w:eastAsia="黑体"/>
      <w:kern w:val="2"/>
      <w:sz w:val="21"/>
      <w:szCs w:val="24"/>
    </w:rPr>
  </w:style>
  <w:style w:type="character" w:customStyle="1" w:styleId="101">
    <w:name w:val="正文文本 字符1"/>
    <w:qFormat/>
    <w:uiPriority w:val="99"/>
    <w:rPr>
      <w:kern w:val="2"/>
      <w:sz w:val="24"/>
      <w:szCs w:val="24"/>
    </w:rPr>
  </w:style>
  <w:style w:type="character" w:customStyle="1" w:styleId="102">
    <w:name w:val="页眉 Char"/>
    <w:qFormat/>
    <w:uiPriority w:val="99"/>
    <w:rPr>
      <w:kern w:val="2"/>
      <w:sz w:val="18"/>
      <w:szCs w:val="18"/>
    </w:rPr>
  </w:style>
  <w:style w:type="character" w:customStyle="1" w:styleId="103">
    <w:name w:val="批注主题 Char"/>
    <w:qFormat/>
    <w:uiPriority w:val="0"/>
    <w:rPr>
      <w:b/>
      <w:bCs/>
      <w:kern w:val="2"/>
      <w:sz w:val="21"/>
      <w:szCs w:val="24"/>
    </w:rPr>
  </w:style>
  <w:style w:type="character" w:customStyle="1" w:styleId="104">
    <w:name w:val="正文文本 2 Char"/>
    <w:qFormat/>
    <w:uiPriority w:val="0"/>
    <w:rPr>
      <w:kern w:val="2"/>
      <w:sz w:val="21"/>
      <w:szCs w:val="24"/>
    </w:rPr>
  </w:style>
  <w:style w:type="character" w:customStyle="1" w:styleId="105">
    <w:name w:val="unnamed3"/>
    <w:qFormat/>
    <w:uiPriority w:val="0"/>
  </w:style>
  <w:style w:type="character" w:customStyle="1" w:styleId="106">
    <w:name w:val="正文文本缩进 3 Char"/>
    <w:qFormat/>
    <w:uiPriority w:val="0"/>
    <w:rPr>
      <w:kern w:val="2"/>
      <w:sz w:val="16"/>
      <w:szCs w:val="16"/>
    </w:rPr>
  </w:style>
  <w:style w:type="character" w:customStyle="1" w:styleId="107">
    <w:name w:val="1051"/>
    <w:qFormat/>
    <w:uiPriority w:val="0"/>
    <w:rPr>
      <w:sz w:val="21"/>
      <w:szCs w:val="21"/>
    </w:rPr>
  </w:style>
  <w:style w:type="character" w:customStyle="1" w:styleId="108">
    <w:name w:val="mark8"/>
    <w:qFormat/>
    <w:uiPriority w:val="0"/>
    <w:rPr>
      <w:b/>
      <w:bCs/>
      <w:sz w:val="21"/>
      <w:szCs w:val="21"/>
    </w:rPr>
  </w:style>
  <w:style w:type="character" w:customStyle="1" w:styleId="109">
    <w:name w:val="标题 7 Char"/>
    <w:qFormat/>
    <w:uiPriority w:val="0"/>
    <w:rPr>
      <w:b/>
      <w:kern w:val="2"/>
      <w:sz w:val="24"/>
      <w:szCs w:val="24"/>
    </w:rPr>
  </w:style>
  <w:style w:type="character" w:customStyle="1" w:styleId="110">
    <w:name w:val="批注文字 字符"/>
    <w:semiHidden/>
    <w:qFormat/>
    <w:uiPriority w:val="99"/>
  </w:style>
  <w:style w:type="character" w:customStyle="1" w:styleId="111">
    <w:name w:val="纯文本 Char"/>
    <w:qFormat/>
    <w:uiPriority w:val="99"/>
    <w:rPr>
      <w:rFonts w:ascii="宋体" w:hAnsi="Courier New" w:eastAsia="宋体" w:cs="Courier New"/>
      <w:kern w:val="2"/>
      <w:sz w:val="21"/>
      <w:szCs w:val="21"/>
      <w:lang w:val="en-US" w:eastAsia="zh-CN" w:bidi="ar-SA"/>
    </w:rPr>
  </w:style>
  <w:style w:type="character" w:customStyle="1" w:styleId="112">
    <w:name w:val="_Style 111"/>
    <w:unhideWhenUsed/>
    <w:qFormat/>
    <w:uiPriority w:val="99"/>
    <w:rPr>
      <w:color w:val="605E5C"/>
      <w:shd w:val="clear" w:color="auto" w:fill="E1DFDD"/>
    </w:rPr>
  </w:style>
  <w:style w:type="character" w:customStyle="1" w:styleId="113">
    <w:name w:val="f151"/>
    <w:qFormat/>
    <w:uiPriority w:val="0"/>
    <w:rPr>
      <w:sz w:val="23"/>
      <w:szCs w:val="23"/>
    </w:rPr>
  </w:style>
  <w:style w:type="character" w:customStyle="1" w:styleId="114">
    <w:name w:val="正文文本缩进 2 Char"/>
    <w:qFormat/>
    <w:uiPriority w:val="0"/>
    <w:rPr>
      <w:kern w:val="2"/>
      <w:sz w:val="32"/>
    </w:rPr>
  </w:style>
  <w:style w:type="character" w:customStyle="1" w:styleId="115">
    <w:name w:val="批注框文本 Char"/>
    <w:qFormat/>
    <w:uiPriority w:val="0"/>
    <w:rPr>
      <w:kern w:val="2"/>
      <w:sz w:val="18"/>
      <w:szCs w:val="18"/>
    </w:rPr>
  </w:style>
  <w:style w:type="character" w:customStyle="1" w:styleId="116">
    <w:name w:val="日期 Char"/>
    <w:qFormat/>
    <w:uiPriority w:val="0"/>
    <w:rPr>
      <w:rFonts w:ascii="宋体" w:hAnsi="Courier New" w:cs="Courier New"/>
      <w:kern w:val="2"/>
      <w:sz w:val="21"/>
      <w:szCs w:val="21"/>
    </w:rPr>
  </w:style>
  <w:style w:type="character" w:customStyle="1" w:styleId="117">
    <w:name w:val="正文首行缩进 2 Char"/>
    <w:qFormat/>
    <w:uiPriority w:val="0"/>
    <w:rPr>
      <w:kern w:val="2"/>
      <w:sz w:val="21"/>
      <w:szCs w:val="24"/>
    </w:rPr>
  </w:style>
  <w:style w:type="character" w:customStyle="1" w:styleId="118">
    <w:name w:val="1ji Char"/>
    <w:link w:val="119"/>
    <w:qFormat/>
    <w:uiPriority w:val="0"/>
    <w:rPr>
      <w:rFonts w:ascii="宋体" w:hAnsi="宋体" w:eastAsia="宋体"/>
      <w:b/>
      <w:bCs/>
      <w:kern w:val="44"/>
      <w:sz w:val="36"/>
      <w:szCs w:val="44"/>
      <w:lang w:val="en-US" w:eastAsia="zh-CN" w:bidi="ar-SA"/>
    </w:rPr>
  </w:style>
  <w:style w:type="paragraph" w:customStyle="1" w:styleId="119">
    <w:name w:val="1ji"/>
    <w:basedOn w:val="2"/>
    <w:link w:val="118"/>
    <w:qFormat/>
    <w:uiPriority w:val="0"/>
    <w:pPr>
      <w:keepLines w:val="0"/>
      <w:widowControl/>
      <w:spacing w:before="0" w:beforeLines="0" w:after="0" w:afterLines="0" w:line="240" w:lineRule="auto"/>
      <w:jc w:val="center"/>
    </w:pPr>
    <w:rPr>
      <w:rFonts w:ascii="宋体" w:hAnsi="宋体"/>
      <w:sz w:val="36"/>
    </w:rPr>
  </w:style>
  <w:style w:type="character" w:customStyle="1" w:styleId="120">
    <w:name w:val="white"/>
    <w:qFormat/>
    <w:uiPriority w:val="0"/>
  </w:style>
  <w:style w:type="character" w:customStyle="1" w:styleId="121">
    <w:name w:val="标题 Char"/>
    <w:qFormat/>
    <w:uiPriority w:val="0"/>
    <w:rPr>
      <w:kern w:val="2"/>
      <w:sz w:val="30"/>
      <w:szCs w:val="24"/>
    </w:rPr>
  </w:style>
  <w:style w:type="character" w:customStyle="1" w:styleId="122">
    <w:name w:val="z-窗体顶端 Char"/>
    <w:qFormat/>
    <w:uiPriority w:val="0"/>
    <w:rPr>
      <w:rFonts w:ascii="Arial"/>
      <w:vanish/>
      <w:kern w:val="2"/>
      <w:sz w:val="16"/>
      <w:szCs w:val="24"/>
    </w:rPr>
  </w:style>
  <w:style w:type="character" w:customStyle="1" w:styleId="123">
    <w:name w:val="style21"/>
    <w:qFormat/>
    <w:uiPriority w:val="0"/>
    <w:rPr>
      <w:sz w:val="17"/>
      <w:szCs w:val="17"/>
    </w:rPr>
  </w:style>
  <w:style w:type="character" w:customStyle="1" w:styleId="124">
    <w:name w:val="批注文字 Char2"/>
    <w:qFormat/>
    <w:uiPriority w:val="0"/>
    <w:rPr>
      <w:kern w:val="2"/>
      <w:sz w:val="21"/>
      <w:szCs w:val="24"/>
      <w:lang w:bidi="ar-SA"/>
    </w:rPr>
  </w:style>
  <w:style w:type="character" w:customStyle="1" w:styleId="125">
    <w:name w:val="font01"/>
    <w:qFormat/>
    <w:uiPriority w:val="0"/>
    <w:rPr>
      <w:rFonts w:hint="eastAsia" w:ascii="宋体" w:hAnsi="宋体" w:eastAsia="宋体"/>
      <w:color w:val="000000"/>
      <w:sz w:val="22"/>
      <w:szCs w:val="22"/>
      <w:u w:val="none"/>
    </w:rPr>
  </w:style>
  <w:style w:type="character" w:customStyle="1" w:styleId="126">
    <w:name w:val="正文首行缩进 Char"/>
    <w:qFormat/>
    <w:uiPriority w:val="0"/>
    <w:rPr>
      <w:kern w:val="2"/>
      <w:sz w:val="21"/>
      <w:szCs w:val="24"/>
    </w:rPr>
  </w:style>
  <w:style w:type="character" w:customStyle="1" w:styleId="127">
    <w:name w:val="纯文本 字符"/>
    <w:qFormat/>
    <w:uiPriority w:val="0"/>
    <w:rPr>
      <w:rFonts w:ascii="宋体" w:hAnsi="Courier New" w:eastAsia="宋体" w:cs="Courier New"/>
      <w:kern w:val="2"/>
      <w:sz w:val="21"/>
      <w:szCs w:val="21"/>
      <w:lang w:val="en-US" w:eastAsia="zh-CN" w:bidi="ar-SA"/>
    </w:rPr>
  </w:style>
  <w:style w:type="character" w:customStyle="1" w:styleId="128">
    <w:name w:val="z-窗体顶端 字符"/>
    <w:link w:val="129"/>
    <w:qFormat/>
    <w:uiPriority w:val="0"/>
    <w:rPr>
      <w:rFonts w:ascii="Arial"/>
      <w:vanish/>
      <w:kern w:val="2"/>
      <w:sz w:val="16"/>
      <w:szCs w:val="24"/>
    </w:rPr>
  </w:style>
  <w:style w:type="paragraph" w:customStyle="1" w:styleId="129">
    <w:name w:val="_Style 128"/>
    <w:basedOn w:val="1"/>
    <w:next w:val="1"/>
    <w:link w:val="128"/>
    <w:qFormat/>
    <w:uiPriority w:val="0"/>
    <w:pPr>
      <w:pBdr>
        <w:bottom w:val="single" w:color="auto" w:sz="6" w:space="1"/>
      </w:pBdr>
      <w:jc w:val="center"/>
    </w:pPr>
    <w:rPr>
      <w:rFonts w:ascii="Arial"/>
      <w:vanish/>
      <w:sz w:val="16"/>
    </w:rPr>
  </w:style>
  <w:style w:type="character" w:customStyle="1" w:styleId="130">
    <w:name w:val="页脚 Char"/>
    <w:qFormat/>
    <w:uiPriority w:val="0"/>
    <w:rPr>
      <w:kern w:val="2"/>
      <w:sz w:val="18"/>
      <w:szCs w:val="18"/>
    </w:rPr>
  </w:style>
  <w:style w:type="character" w:customStyle="1" w:styleId="131">
    <w:name w:val="graytext1"/>
    <w:qFormat/>
    <w:uiPriority w:val="0"/>
    <w:rPr>
      <w:color w:val="666666"/>
    </w:rPr>
  </w:style>
  <w:style w:type="character" w:customStyle="1" w:styleId="132">
    <w:name w:val="标题 2 Char"/>
    <w:qFormat/>
    <w:uiPriority w:val="0"/>
    <w:rPr>
      <w:rFonts w:ascii="Arial" w:hAnsi="Arial" w:eastAsia="黑体"/>
      <w:b/>
      <w:bCs/>
      <w:kern w:val="2"/>
      <w:sz w:val="32"/>
      <w:szCs w:val="32"/>
    </w:rPr>
  </w:style>
  <w:style w:type="character" w:customStyle="1" w:styleId="133">
    <w:name w:val="正文-2字符首行缩进 Char"/>
    <w:link w:val="134"/>
    <w:qFormat/>
    <w:uiPriority w:val="0"/>
    <w:rPr>
      <w:rFonts w:ascii="仿宋_GB2312" w:hAnsi="Calibri" w:eastAsia="仿宋_GB2312"/>
      <w:sz w:val="28"/>
      <w:szCs w:val="22"/>
    </w:rPr>
  </w:style>
  <w:style w:type="paragraph" w:customStyle="1" w:styleId="134">
    <w:name w:val="正文-2字符首行缩进"/>
    <w:basedOn w:val="1"/>
    <w:link w:val="13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35">
    <w:name w:val="文档结构图 Char"/>
    <w:qFormat/>
    <w:uiPriority w:val="0"/>
    <w:rPr>
      <w:sz w:val="21"/>
      <w:shd w:val="clear" w:color="auto" w:fill="000080"/>
    </w:rPr>
  </w:style>
  <w:style w:type="character" w:customStyle="1" w:styleId="136">
    <w:name w:val="content2"/>
    <w:qFormat/>
    <w:uiPriority w:val="0"/>
  </w:style>
  <w:style w:type="character" w:customStyle="1" w:styleId="137">
    <w:name w:val="标题 8 Char"/>
    <w:qFormat/>
    <w:uiPriority w:val="0"/>
    <w:rPr>
      <w:rFonts w:ascii="Arial" w:hAnsi="Arial" w:eastAsia="黑体"/>
      <w:kern w:val="2"/>
      <w:sz w:val="24"/>
      <w:szCs w:val="24"/>
    </w:rPr>
  </w:style>
  <w:style w:type="character" w:customStyle="1" w:styleId="138">
    <w:name w:val="HTML 预设格式 Char"/>
    <w:qFormat/>
    <w:uiPriority w:val="0"/>
    <w:rPr>
      <w:rFonts w:ascii="黑体" w:hAnsi="Courier New" w:eastAsia="黑体" w:cs="Courier New"/>
    </w:rPr>
  </w:style>
  <w:style w:type="character" w:customStyle="1" w:styleId="139">
    <w:name w:val="标题 1 Char"/>
    <w:qFormat/>
    <w:uiPriority w:val="9"/>
    <w:rPr>
      <w:rFonts w:eastAsia="宋体"/>
      <w:b/>
      <w:bCs/>
      <w:kern w:val="44"/>
      <w:sz w:val="44"/>
      <w:szCs w:val="44"/>
      <w:lang w:val="en-US" w:eastAsia="zh-CN" w:bidi="ar-SA"/>
    </w:rPr>
  </w:style>
  <w:style w:type="character" w:customStyle="1" w:styleId="140">
    <w:name w:val="标题 6 Char"/>
    <w:qFormat/>
    <w:uiPriority w:val="0"/>
    <w:rPr>
      <w:rFonts w:ascii="Arial" w:hAnsi="Arial" w:eastAsia="黑体"/>
      <w:b/>
      <w:kern w:val="2"/>
      <w:sz w:val="24"/>
      <w:szCs w:val="24"/>
    </w:rPr>
  </w:style>
  <w:style w:type="character" w:customStyle="1" w:styleId="141">
    <w:name w:val="short_text1"/>
    <w:qFormat/>
    <w:uiPriority w:val="0"/>
    <w:rPr>
      <w:sz w:val="26"/>
    </w:rPr>
  </w:style>
  <w:style w:type="character" w:customStyle="1" w:styleId="142">
    <w:name w:val="gray12"/>
    <w:qFormat/>
    <w:uiPriority w:val="0"/>
  </w:style>
  <w:style w:type="character" w:customStyle="1" w:styleId="143">
    <w:name w:val="15"/>
    <w:basedOn w:val="53"/>
    <w:qFormat/>
    <w:uiPriority w:val="0"/>
    <w:rPr>
      <w:rFonts w:hint="default" w:ascii="Times New Roman" w:hAnsi="Times New Roman" w:cs="Times New Roman"/>
    </w:rPr>
  </w:style>
  <w:style w:type="character" w:customStyle="1" w:styleId="144">
    <w:name w:val="正文文本 3 Char"/>
    <w:qFormat/>
    <w:uiPriority w:val="0"/>
    <w:rPr>
      <w:b/>
      <w:bCs/>
      <w:kern w:val="2"/>
      <w:sz w:val="24"/>
      <w:szCs w:val="24"/>
    </w:rPr>
  </w:style>
  <w:style w:type="character" w:customStyle="1" w:styleId="145">
    <w:name w:val="纯文本 字符1"/>
    <w:qFormat/>
    <w:uiPriority w:val="99"/>
    <w:rPr>
      <w:rFonts w:ascii="宋体" w:hAnsi="Courier New" w:eastAsia="宋体" w:cs="Courier New"/>
      <w:kern w:val="2"/>
      <w:sz w:val="21"/>
      <w:szCs w:val="21"/>
      <w:lang w:val="en-US" w:eastAsia="zh-CN" w:bidi="ar-SA"/>
    </w:rPr>
  </w:style>
  <w:style w:type="character" w:customStyle="1" w:styleId="146">
    <w:name w:val="text11"/>
    <w:qFormat/>
    <w:uiPriority w:val="0"/>
    <w:rPr>
      <w:rFonts w:hint="default" w:ascii="Verdana" w:hAnsi="Verdana"/>
      <w:color w:val="4E4E4E"/>
      <w:sz w:val="18"/>
      <w:szCs w:val="18"/>
    </w:rPr>
  </w:style>
  <w:style w:type="character" w:customStyle="1" w:styleId="147">
    <w:name w:val="批注文字 Char"/>
    <w:qFormat/>
    <w:uiPriority w:val="0"/>
    <w:rPr>
      <w:kern w:val="2"/>
      <w:sz w:val="21"/>
      <w:szCs w:val="24"/>
    </w:rPr>
  </w:style>
  <w:style w:type="character" w:customStyle="1" w:styleId="148">
    <w:name w:val="fd"/>
    <w:qFormat/>
    <w:uiPriority w:val="0"/>
  </w:style>
  <w:style w:type="paragraph" w:customStyle="1" w:styleId="149">
    <w:name w:val="Table Paragraph"/>
    <w:basedOn w:val="1"/>
    <w:qFormat/>
    <w:uiPriority w:val="1"/>
    <w:pPr>
      <w:autoSpaceDE w:val="0"/>
      <w:autoSpaceDN w:val="0"/>
      <w:adjustRightInd w:val="0"/>
      <w:jc w:val="left"/>
    </w:pPr>
    <w:rPr>
      <w:kern w:val="0"/>
      <w:sz w:val="24"/>
    </w:rPr>
  </w:style>
  <w:style w:type="paragraph" w:customStyle="1" w:styleId="150">
    <w:name w:val="F2"/>
    <w:basedOn w:val="1"/>
    <w:qFormat/>
    <w:uiPriority w:val="0"/>
    <w:pPr>
      <w:autoSpaceDE w:val="0"/>
      <w:autoSpaceDN w:val="0"/>
      <w:adjustRightInd w:val="0"/>
      <w:ind w:firstLine="601"/>
      <w:textAlignment w:val="baseline"/>
    </w:pPr>
    <w:rPr>
      <w:kern w:val="0"/>
      <w:sz w:val="24"/>
      <w:szCs w:val="20"/>
    </w:rPr>
  </w:style>
  <w:style w:type="paragraph" w:customStyle="1" w:styleId="151">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5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3">
    <w:name w:val="Char1"/>
    <w:basedOn w:val="1"/>
    <w:qFormat/>
    <w:uiPriority w:val="0"/>
    <w:rPr>
      <w:szCs w:val="21"/>
    </w:rPr>
  </w:style>
  <w:style w:type="paragraph" w:styleId="154">
    <w:name w:val="List Paragraph"/>
    <w:basedOn w:val="1"/>
    <w:qFormat/>
    <w:uiPriority w:val="34"/>
    <w:pPr>
      <w:ind w:firstLine="420" w:firstLineChars="200"/>
    </w:pPr>
    <w:rPr>
      <w:rFonts w:ascii="Calibri" w:hAnsi="Calibri"/>
      <w:szCs w:val="22"/>
    </w:rPr>
  </w:style>
  <w:style w:type="paragraph" w:customStyle="1" w:styleId="155">
    <w:name w:val="默认段落字体 Para Char"/>
    <w:basedOn w:val="1"/>
    <w:qFormat/>
    <w:uiPriority w:val="0"/>
    <w:pPr>
      <w:adjustRightInd w:val="0"/>
      <w:spacing w:line="360" w:lineRule="auto"/>
    </w:pPr>
    <w:rPr>
      <w:kern w:val="0"/>
      <w:sz w:val="24"/>
      <w:szCs w:val="20"/>
    </w:rPr>
  </w:style>
  <w:style w:type="paragraph" w:customStyle="1" w:styleId="156">
    <w:name w:val="_Style 155"/>
    <w:unhideWhenUsed/>
    <w:qFormat/>
    <w:uiPriority w:val="99"/>
    <w:rPr>
      <w:rFonts w:ascii="Calibri" w:hAnsi="Calibri" w:eastAsia="宋体" w:cs="Times New Roman"/>
      <w:kern w:val="2"/>
      <w:sz w:val="21"/>
      <w:szCs w:val="24"/>
      <w:lang w:val="en-US" w:eastAsia="zh-CN" w:bidi="ar-SA"/>
    </w:rPr>
  </w:style>
  <w:style w:type="paragraph" w:customStyle="1" w:styleId="157">
    <w:name w:val="五号正文（标准）"/>
    <w:basedOn w:val="1"/>
    <w:qFormat/>
    <w:uiPriority w:val="0"/>
    <w:pPr>
      <w:spacing w:line="360" w:lineRule="auto"/>
      <w:ind w:right="55" w:firstLine="560" w:firstLineChars="200"/>
    </w:pPr>
    <w:rPr>
      <w:rFonts w:eastAsia="仿宋_GB2312"/>
      <w:sz w:val="28"/>
      <w:szCs w:val="20"/>
    </w:rPr>
  </w:style>
  <w:style w:type="paragraph" w:customStyle="1" w:styleId="158">
    <w:name w:val="正文文本缩进1"/>
    <w:basedOn w:val="1"/>
    <w:qFormat/>
    <w:uiPriority w:val="0"/>
    <w:pPr>
      <w:ind w:firstLine="645"/>
    </w:pPr>
    <w:rPr>
      <w:rFonts w:ascii="楷体_GB2312" w:eastAsia="楷体_GB2312"/>
      <w:sz w:val="32"/>
    </w:rPr>
  </w:style>
  <w:style w:type="paragraph" w:customStyle="1" w:styleId="15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0">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61">
    <w:name w:val="表格文字"/>
    <w:qFormat/>
    <w:uiPriority w:val="0"/>
    <w:pPr>
      <w:widowControl w:val="0"/>
      <w:spacing w:before="25" w:after="25" w:line="300" w:lineRule="auto"/>
      <w:ind w:firstLine="200" w:firstLineChars="200"/>
      <w:jc w:val="both"/>
    </w:pPr>
    <w:rPr>
      <w:rFonts w:ascii="Times New Roman" w:hAnsi="Times New Roman" w:eastAsia="宋体" w:cs="Times New Roman"/>
      <w:spacing w:val="10"/>
      <w:kern w:val="0"/>
      <w:sz w:val="24"/>
      <w:szCs w:val="24"/>
      <w:lang w:val="en-US" w:eastAsia="zh-CN" w:bidi="ar-SA"/>
    </w:rPr>
  </w:style>
  <w:style w:type="paragraph" w:customStyle="1" w:styleId="1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3">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64">
    <w:name w:val="tgt1"/>
    <w:basedOn w:val="1"/>
    <w:qFormat/>
    <w:uiPriority w:val="0"/>
    <w:pPr>
      <w:widowControl/>
      <w:spacing w:after="150" w:afterLines="0"/>
      <w:jc w:val="left"/>
    </w:pPr>
    <w:rPr>
      <w:rFonts w:ascii="宋体" w:hAnsi="宋体" w:cs="宋体"/>
      <w:kern w:val="0"/>
      <w:sz w:val="24"/>
    </w:rPr>
  </w:style>
  <w:style w:type="paragraph" w:customStyle="1" w:styleId="1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6">
    <w:name w:val=" Char"/>
    <w:basedOn w:val="1"/>
    <w:qFormat/>
    <w:uiPriority w:val="0"/>
    <w:pPr>
      <w:tabs>
        <w:tab w:val="left" w:pos="360"/>
      </w:tabs>
      <w:ind w:left="252" w:hanging="252" w:hangingChars="140"/>
    </w:pPr>
    <w:rPr>
      <w:rFonts w:ascii="宋体"/>
      <w:sz w:val="18"/>
      <w:szCs w:val="18"/>
    </w:rPr>
  </w:style>
  <w:style w:type="paragraph" w:customStyle="1" w:styleId="167">
    <w:name w:val=" Char Char Char Char Char Char Char"/>
    <w:basedOn w:val="1"/>
    <w:qFormat/>
    <w:uiPriority w:val="0"/>
  </w:style>
  <w:style w:type="paragraph" w:customStyle="1" w:styleId="168">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9">
    <w:name w:val="正文段"/>
    <w:basedOn w:val="1"/>
    <w:qFormat/>
    <w:uiPriority w:val="0"/>
    <w:pPr>
      <w:widowControl/>
      <w:snapToGrid w:val="0"/>
      <w:spacing w:after="156" w:afterLines="50"/>
      <w:ind w:firstLine="200" w:firstLineChars="200"/>
    </w:pPr>
    <w:rPr>
      <w:kern w:val="0"/>
      <w:sz w:val="24"/>
      <w:szCs w:val="20"/>
    </w:rPr>
  </w:style>
  <w:style w:type="paragraph" w:customStyle="1" w:styleId="170">
    <w:name w:val="次小点说明 Char"/>
    <w:basedOn w:val="7"/>
    <w:qFormat/>
    <w:uiPriority w:val="0"/>
    <w:pPr>
      <w:ind w:firstLine="0"/>
    </w:pPr>
    <w:rPr>
      <w:sz w:val="24"/>
      <w:szCs w:val="24"/>
    </w:rPr>
  </w:style>
  <w:style w:type="paragraph" w:customStyle="1" w:styleId="171">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2">
    <w:name w:val="样式1"/>
    <w:basedOn w:val="1"/>
    <w:qFormat/>
    <w:uiPriority w:val="0"/>
    <w:pPr>
      <w:spacing w:before="120" w:beforeLines="0" w:after="120" w:afterLines="0" w:line="300" w:lineRule="auto"/>
    </w:pPr>
    <w:rPr>
      <w:rFonts w:ascii="宋体" w:hAnsi="宋体"/>
      <w:b/>
      <w:sz w:val="24"/>
      <w:szCs w:val="20"/>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样式 0正文 + 首行缩进:  2 字符1"/>
    <w:qFormat/>
    <w:uiPriority w:val="0"/>
    <w:pPr>
      <w:widowControl w:val="0"/>
      <w:spacing w:line="360" w:lineRule="auto"/>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17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76">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7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8">
    <w:name w:val="_Style 177"/>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0">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81">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82">
    <w:name w:val="1"/>
    <w:basedOn w:val="1"/>
    <w:next w:val="26"/>
    <w:qFormat/>
    <w:uiPriority w:val="0"/>
    <w:rPr>
      <w:rFonts w:ascii="宋体" w:hAnsi="Courier New"/>
      <w:szCs w:val="20"/>
    </w:rPr>
  </w:style>
  <w:style w:type="paragraph" w:customStyle="1" w:styleId="18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 Char Char Char Char Char Char"/>
    <w:basedOn w:val="1"/>
    <w:qFormat/>
    <w:uiPriority w:val="0"/>
  </w:style>
  <w:style w:type="paragraph" w:customStyle="1" w:styleId="185">
    <w:name w:val="表格"/>
    <w:basedOn w:val="1"/>
    <w:qFormat/>
    <w:uiPriority w:val="0"/>
    <w:pPr>
      <w:spacing w:line="400" w:lineRule="exact"/>
    </w:pPr>
    <w:rPr>
      <w:sz w:val="24"/>
    </w:rPr>
  </w:style>
  <w:style w:type="paragraph" w:customStyle="1" w:styleId="18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88">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89">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90">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9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93">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4">
    <w:name w:val="444"/>
    <w:basedOn w:val="1"/>
    <w:qFormat/>
    <w:uiPriority w:val="0"/>
    <w:pPr>
      <w:adjustRightInd w:val="0"/>
      <w:spacing w:line="312" w:lineRule="atLeast"/>
      <w:jc w:val="center"/>
      <w:textAlignment w:val="baseline"/>
    </w:pPr>
    <w:rPr>
      <w:b/>
      <w:kern w:val="0"/>
      <w:sz w:val="36"/>
      <w:szCs w:val="36"/>
    </w:rPr>
  </w:style>
  <w:style w:type="paragraph" w:customStyle="1" w:styleId="19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96">
    <w:name w:val="List Paragraph1"/>
    <w:basedOn w:val="1"/>
    <w:qFormat/>
    <w:uiPriority w:val="0"/>
    <w:pPr>
      <w:ind w:firstLine="420" w:firstLineChars="200"/>
    </w:pPr>
    <w:rPr>
      <w:rFonts w:ascii="Calibri" w:hAnsi="Calibri"/>
      <w:szCs w:val="22"/>
    </w:rPr>
  </w:style>
  <w:style w:type="paragraph" w:customStyle="1" w:styleId="197">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98">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9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200">
    <w:name w:val="Char Char Char"/>
    <w:basedOn w:val="1"/>
    <w:qFormat/>
    <w:uiPriority w:val="0"/>
    <w:rPr>
      <w:rFonts w:ascii="Tahoma" w:hAnsi="Tahoma"/>
      <w:sz w:val="24"/>
      <w:szCs w:val="20"/>
    </w:rPr>
  </w:style>
  <w:style w:type="paragraph" w:customStyle="1" w:styleId="201">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02">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203">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204">
    <w:name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6">
    <w:name w:val="正文首行缩进两字符"/>
    <w:basedOn w:val="1"/>
    <w:qFormat/>
    <w:uiPriority w:val="0"/>
    <w:pPr>
      <w:spacing w:line="360" w:lineRule="auto"/>
      <w:ind w:firstLine="200" w:firstLineChars="200"/>
    </w:pPr>
  </w:style>
  <w:style w:type="paragraph" w:customStyle="1" w:styleId="207">
    <w:name w:val="样式 首行缩进:  2 字符"/>
    <w:basedOn w:val="1"/>
    <w:qFormat/>
    <w:uiPriority w:val="0"/>
    <w:pPr>
      <w:spacing w:line="400" w:lineRule="exact"/>
      <w:ind w:firstLine="200" w:firstLineChars="200"/>
    </w:pPr>
    <w:rPr>
      <w:rFonts w:cs="宋体"/>
      <w:sz w:val="24"/>
    </w:rPr>
  </w:style>
  <w:style w:type="paragraph" w:customStyle="1" w:styleId="208">
    <w:name w:val="默认段落字体 Para Char Char Char Char Char Char Char Char Char1 Char Char Char Char"/>
    <w:basedOn w:val="1"/>
    <w:qFormat/>
    <w:uiPriority w:val="0"/>
    <w:rPr>
      <w:rFonts w:ascii="Tahoma" w:hAnsi="Tahoma"/>
      <w:sz w:val="24"/>
      <w:szCs w:val="20"/>
    </w:rPr>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80</Pages>
  <Words>9200</Words>
  <Characters>9949</Characters>
  <Lines>1</Lines>
  <Paragraphs>1</Paragraphs>
  <TotalTime>294</TotalTime>
  <ScaleCrop>false</ScaleCrop>
  <LinksUpToDate>false</LinksUpToDate>
  <CharactersWithSpaces>10068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2022-07-21T08:34:00Z</dcterms:created>
  <dc:creator>微软用户</dc:creator>
  <cp:lastModifiedBy>CGZXB</cp:lastModifiedBy>
  <cp:lastPrinted>2025-06-17T01:12:00Z</cp:lastPrinted>
  <dcterms:modified xsi:type="dcterms:W3CDTF">2025-07-01T02:36:17Z</dcterms:modified>
  <dc:title>桂财采〔2009〕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73FFC43FE16F43E9BC83F15AE5EC9392_13</vt:lpwstr>
  </property>
  <property fmtid="{D5CDD505-2E9C-101B-9397-08002B2CF9AE}" pid="14" name="KSOTemplateDocerSaveRecord">
    <vt:lpwstr>eyJoZGlkIjoiOTcwMzA4MWNkZGIzNWUxYWUyNjIwZTRmNTNmMGY5NGQiLCJ1c2VySWQiOiI0NTM0Njc2NjUifQ==</vt:lpwstr>
  </property>
</Properties>
</file>