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C49A">
      <w:pPr>
        <w:pStyle w:val="19"/>
        <w:jc w:val="center"/>
        <w:rPr>
          <w:rFonts w:hAnsi="宋体" w:cs="宋体"/>
          <w:color w:val="auto"/>
          <w:spacing w:val="30"/>
          <w:kern w:val="52"/>
          <w:sz w:val="64"/>
          <w:szCs w:val="64"/>
          <w:highlight w:val="none"/>
        </w:rPr>
      </w:pPr>
      <w:r>
        <w:rPr>
          <w:rFonts w:hAnsi="宋体" w:cs="宋体"/>
          <w:color w:val="auto"/>
          <w:highlight w:val="none"/>
        </w:rPr>
        <w:drawing>
          <wp:inline distT="0" distB="0" distL="114300" distR="114300">
            <wp:extent cx="1028700" cy="962025"/>
            <wp:effectExtent l="0" t="0" r="0" b="9525"/>
            <wp:docPr id="2"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泰标志"/>
                    <pic:cNvPicPr>
                      <a:picLocks noChangeAspect="1"/>
                    </pic:cNvPicPr>
                  </pic:nvPicPr>
                  <pic:blipFill>
                    <a:blip r:embed="rId14"/>
                    <a:stretch>
                      <a:fillRect/>
                    </a:stretch>
                  </pic:blipFill>
                  <pic:spPr>
                    <a:xfrm>
                      <a:off x="0" y="0"/>
                      <a:ext cx="1028700" cy="962025"/>
                    </a:xfrm>
                    <a:prstGeom prst="rect">
                      <a:avLst/>
                    </a:prstGeom>
                    <a:noFill/>
                    <a:ln>
                      <a:noFill/>
                    </a:ln>
                  </pic:spPr>
                </pic:pic>
              </a:graphicData>
            </a:graphic>
          </wp:inline>
        </w:drawing>
      </w:r>
    </w:p>
    <w:p w14:paraId="331CDF24">
      <w:pPr>
        <w:pStyle w:val="19"/>
        <w:jc w:val="center"/>
        <w:rPr>
          <w:rFonts w:hAnsi="宋体" w:cs="宋体"/>
          <w:color w:val="auto"/>
          <w:spacing w:val="30"/>
          <w:kern w:val="52"/>
          <w:sz w:val="64"/>
          <w:szCs w:val="64"/>
          <w:highlight w:val="none"/>
        </w:rPr>
      </w:pPr>
      <w:r>
        <w:rPr>
          <w:rFonts w:hint="eastAsia" w:hAnsi="宋体" w:cs="宋体"/>
          <w:color w:val="auto"/>
          <w:spacing w:val="30"/>
          <w:kern w:val="52"/>
          <w:sz w:val="64"/>
          <w:szCs w:val="64"/>
          <w:highlight w:val="none"/>
        </w:rPr>
        <w:t>广西国泰招标咨询有限公司</w:t>
      </w:r>
    </w:p>
    <w:p w14:paraId="43773704">
      <w:pPr>
        <w:pStyle w:val="19"/>
        <w:jc w:val="center"/>
        <w:rPr>
          <w:rFonts w:hAnsi="宋体" w:cs="宋体"/>
          <w:b/>
          <w:color w:val="auto"/>
          <w:sz w:val="44"/>
          <w:szCs w:val="4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pt;margin-top:7.8pt;height:0pt;width:432pt;z-index:251663360;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awUM1AAAAAgBAAAP&#10;AAAAAAAAAAEAIAAAACIAAABkcnMvZG93bnJldi54bWxQSwECFAAUAAAACACHTuJAqlxkR+MBAADe&#10;AwAADgAAAAAAAAABACAAAAAjAQAAZHJzL2Uyb0RvYy54bWxQSwUGAAAAAAYABgBZAQAAeAUAAAAA&#10;">
                <v:fill on="f" focussize="0,0"/>
                <v:stroke weight="1pt" color="#000000" joinstyle="round"/>
                <v:imagedata o:title=""/>
                <o:lock v:ext="edit" aspectratio="f"/>
              </v:line>
            </w:pict>
          </mc:Fallback>
        </mc:AlternateContent>
      </w:r>
    </w:p>
    <w:p w14:paraId="4C2AFEDA">
      <w:pPr>
        <w:snapToGrid w:val="0"/>
        <w:spacing w:beforeLines="50" w:line="360" w:lineRule="auto"/>
        <w:jc w:val="center"/>
        <w:rPr>
          <w:rFonts w:ascii="宋体" w:cs="宋体"/>
          <w:color w:val="auto"/>
          <w:sz w:val="120"/>
          <w:szCs w:val="120"/>
          <w:highlight w:val="none"/>
        </w:rPr>
      </w:pPr>
      <w:r>
        <w:rPr>
          <w:rFonts w:hint="eastAsia" w:ascii="宋体" w:hAnsi="宋体" w:cs="宋体"/>
          <w:color w:val="auto"/>
          <w:sz w:val="120"/>
          <w:szCs w:val="120"/>
          <w:highlight w:val="none"/>
        </w:rPr>
        <w:t>竞争性磋商文件</w:t>
      </w:r>
    </w:p>
    <w:p w14:paraId="3559515E">
      <w:pPr>
        <w:snapToGrid w:val="0"/>
        <w:spacing w:line="360" w:lineRule="auto"/>
        <w:rPr>
          <w:rFonts w:ascii="宋体" w:cs="宋体"/>
          <w:b/>
          <w:color w:val="auto"/>
          <w:sz w:val="48"/>
          <w:szCs w:val="48"/>
          <w:highlight w:val="none"/>
        </w:rPr>
      </w:pPr>
    </w:p>
    <w:p w14:paraId="50CC42B4">
      <w:pPr>
        <w:pStyle w:val="19"/>
        <w:snapToGrid w:val="0"/>
        <w:spacing w:line="360" w:lineRule="auto"/>
        <w:ind w:firstLine="1205" w:firstLineChars="400"/>
        <w:rPr>
          <w:rFonts w:hAnsi="宋体" w:cs="宋体"/>
          <w:b/>
          <w:bCs/>
          <w:color w:val="auto"/>
          <w:sz w:val="30"/>
          <w:szCs w:val="30"/>
          <w:highlight w:val="none"/>
        </w:rPr>
      </w:pPr>
    </w:p>
    <w:p w14:paraId="387656C5">
      <w:pPr>
        <w:pStyle w:val="19"/>
        <w:snapToGrid w:val="0"/>
        <w:spacing w:line="360" w:lineRule="auto"/>
        <w:ind w:left="2699" w:leftChars="568"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color w:val="auto"/>
          <w:sz w:val="32"/>
          <w:szCs w:val="32"/>
          <w:highlight w:val="none"/>
          <w:lang w:eastAsia="zh-CN"/>
        </w:rPr>
        <w:t>2025年第七届广西稻渔丰收节暨大水面“库库魚”区域公用品牌发布活动</w:t>
      </w:r>
    </w:p>
    <w:p w14:paraId="3D955BDF">
      <w:pPr>
        <w:pStyle w:val="19"/>
        <w:snapToGrid w:val="0"/>
        <w:spacing w:line="360" w:lineRule="auto"/>
        <w:ind w:firstLine="1205" w:firstLineChars="4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color w:val="auto"/>
          <w:sz w:val="32"/>
          <w:szCs w:val="32"/>
          <w:highlight w:val="none"/>
          <w:lang w:eastAsia="zh-CN"/>
        </w:rPr>
        <w:t>GXZC2025-C3-002962-GTZB</w:t>
      </w:r>
    </w:p>
    <w:p w14:paraId="3FE5160C">
      <w:pPr>
        <w:snapToGrid w:val="0"/>
        <w:spacing w:line="360" w:lineRule="auto"/>
        <w:rPr>
          <w:rFonts w:ascii="宋体" w:cs="宋体"/>
          <w:color w:val="auto"/>
          <w:sz w:val="30"/>
          <w:szCs w:val="72"/>
          <w:highlight w:val="none"/>
        </w:rPr>
      </w:pPr>
    </w:p>
    <w:p w14:paraId="2E0A2C16">
      <w:pPr>
        <w:pStyle w:val="19"/>
        <w:snapToGrid w:val="0"/>
        <w:spacing w:line="360" w:lineRule="auto"/>
        <w:ind w:firstLine="1431" w:firstLineChars="500"/>
        <w:rPr>
          <w:rFonts w:hAnsi="宋体" w:cs="宋体"/>
          <w:b/>
          <w:bCs/>
          <w:color w:val="auto"/>
          <w:w w:val="95"/>
          <w:sz w:val="30"/>
          <w:szCs w:val="30"/>
          <w:highlight w:val="none"/>
        </w:rPr>
      </w:pPr>
    </w:p>
    <w:p w14:paraId="2ABE49C5">
      <w:pPr>
        <w:pStyle w:val="19"/>
        <w:snapToGrid w:val="0"/>
        <w:spacing w:line="360" w:lineRule="auto"/>
        <w:ind w:firstLine="1431" w:firstLineChars="500"/>
        <w:rPr>
          <w:rFonts w:hAnsi="宋体" w:cs="宋体"/>
          <w:b/>
          <w:bCs/>
          <w:color w:val="auto"/>
          <w:w w:val="95"/>
          <w:sz w:val="30"/>
          <w:szCs w:val="30"/>
          <w:highlight w:val="none"/>
        </w:rPr>
      </w:pPr>
    </w:p>
    <w:p w14:paraId="2B187DAD">
      <w:pPr>
        <w:pStyle w:val="19"/>
        <w:snapToGrid w:val="0"/>
        <w:spacing w:line="360" w:lineRule="auto"/>
        <w:ind w:firstLine="1431" w:firstLineChars="5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w:t>
      </w:r>
      <w:r>
        <w:rPr>
          <w:rFonts w:hAnsi="宋体" w:cs="宋体"/>
          <w:b/>
          <w:bCs/>
          <w:color w:val="auto"/>
          <w:w w:val="95"/>
          <w:sz w:val="30"/>
          <w:szCs w:val="30"/>
          <w:highlight w:val="none"/>
        </w:rPr>
        <w:t xml:space="preserve"> </w:t>
      </w:r>
      <w:r>
        <w:rPr>
          <w:rFonts w:hint="eastAsia" w:hAnsi="宋体" w:cs="宋体"/>
          <w:b/>
          <w:bCs/>
          <w:color w:val="auto"/>
          <w:w w:val="95"/>
          <w:sz w:val="30"/>
          <w:szCs w:val="30"/>
          <w:highlight w:val="none"/>
        </w:rPr>
        <w:t>购</w:t>
      </w:r>
      <w:r>
        <w:rPr>
          <w:rFonts w:hAnsi="宋体" w:cs="宋体"/>
          <w:b/>
          <w:bCs/>
          <w:color w:val="auto"/>
          <w:w w:val="95"/>
          <w:sz w:val="30"/>
          <w:szCs w:val="30"/>
          <w:highlight w:val="none"/>
        </w:rPr>
        <w:t xml:space="preserve"> </w:t>
      </w:r>
      <w:r>
        <w:rPr>
          <w:rFonts w:hint="eastAsia" w:hAnsi="宋体" w:cs="宋体"/>
          <w:b/>
          <w:bCs/>
          <w:color w:val="auto"/>
          <w:w w:val="95"/>
          <w:sz w:val="30"/>
          <w:szCs w:val="30"/>
          <w:highlight w:val="none"/>
        </w:rPr>
        <w:t>人：</w:t>
      </w:r>
      <w:r>
        <w:rPr>
          <w:rFonts w:hint="eastAsia" w:hAnsi="宋体" w:cs="宋体"/>
          <w:b/>
          <w:color w:val="auto"/>
          <w:sz w:val="32"/>
          <w:szCs w:val="32"/>
          <w:highlight w:val="none"/>
          <w:lang w:eastAsia="zh-CN"/>
        </w:rPr>
        <w:t>广西壮族自治区水产技术推广站</w:t>
      </w:r>
    </w:p>
    <w:p w14:paraId="7EA57A78">
      <w:pPr>
        <w:pStyle w:val="19"/>
        <w:snapToGrid w:val="0"/>
        <w:spacing w:line="360" w:lineRule="auto"/>
        <w:ind w:firstLine="1431" w:firstLineChars="5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color w:val="auto"/>
          <w:sz w:val="32"/>
          <w:szCs w:val="32"/>
          <w:highlight w:val="none"/>
        </w:rPr>
        <w:t>广西国泰招标咨询有限公司</w:t>
      </w:r>
    </w:p>
    <w:p w14:paraId="151E5BB0">
      <w:pPr>
        <w:pStyle w:val="19"/>
        <w:snapToGrid w:val="0"/>
        <w:spacing w:line="360" w:lineRule="auto"/>
        <w:ind w:left="420" w:firstLine="841" w:firstLineChars="294"/>
        <w:rPr>
          <w:rFonts w:hAnsi="宋体" w:cs="宋体"/>
          <w:b/>
          <w:bCs/>
          <w:color w:val="auto"/>
          <w:w w:val="95"/>
          <w:sz w:val="30"/>
          <w:szCs w:val="30"/>
          <w:highlight w:val="none"/>
        </w:rPr>
      </w:pPr>
      <w:r>
        <w:rPr>
          <w:rFonts w:hAnsi="宋体" w:cs="宋体"/>
          <w:b/>
          <w:bCs/>
          <w:color w:val="auto"/>
          <w:w w:val="95"/>
          <w:sz w:val="30"/>
          <w:szCs w:val="30"/>
          <w:highlight w:val="none"/>
        </w:rPr>
        <w:t xml:space="preserve">                2025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p>
    <w:p w14:paraId="5A58E484">
      <w:pPr>
        <w:tabs>
          <w:tab w:val="left" w:pos="1080"/>
        </w:tabs>
        <w:spacing w:line="360" w:lineRule="auto"/>
        <w:ind w:firstLine="883" w:firstLineChars="200"/>
        <w:rPr>
          <w:rFonts w:ascii="宋体" w:cs="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5081A358">
      <w:pPr>
        <w:pStyle w:val="63"/>
        <w:rPr>
          <w:color w:val="auto"/>
          <w:highlight w:val="none"/>
        </w:rPr>
      </w:pPr>
    </w:p>
    <w:p w14:paraId="34873585">
      <w:pPr>
        <w:spacing w:line="360" w:lineRule="auto"/>
        <w:jc w:val="center"/>
        <w:rPr>
          <w:rFonts w:ascii="宋体" w:cs="宋体"/>
          <w:b/>
          <w:color w:val="auto"/>
          <w:sz w:val="44"/>
          <w:szCs w:val="44"/>
          <w:highlight w:val="none"/>
        </w:rPr>
      </w:pPr>
      <w:r>
        <w:rPr>
          <w:rFonts w:hint="eastAsia" w:ascii="宋体" w:hAnsi="宋体" w:cs="宋体"/>
          <w:b/>
          <w:color w:val="auto"/>
          <w:sz w:val="44"/>
          <w:szCs w:val="44"/>
          <w:highlight w:val="none"/>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录</w:t>
      </w:r>
    </w:p>
    <w:p w14:paraId="4AA1C9D4">
      <w:pPr>
        <w:spacing w:line="400" w:lineRule="exact"/>
        <w:jc w:val="center"/>
        <w:rPr>
          <w:rFonts w:ascii="宋体" w:cs="宋体"/>
          <w:b/>
          <w:color w:val="auto"/>
          <w:sz w:val="44"/>
          <w:szCs w:val="44"/>
          <w:highlight w:val="none"/>
        </w:rPr>
      </w:pPr>
    </w:p>
    <w:p w14:paraId="545480DD">
      <w:pPr>
        <w:pStyle w:val="24"/>
        <w:tabs>
          <w:tab w:val="right" w:leader="dot" w:pos="8879"/>
        </w:tabs>
        <w:rPr>
          <w:rFonts w:ascii="宋体" w:cs="宋体"/>
          <w:b/>
          <w:bCs/>
          <w:color w:val="auto"/>
          <w:sz w:val="28"/>
          <w:szCs w:val="28"/>
          <w:highlight w:val="none"/>
        </w:rPr>
      </w:pPr>
      <w:r>
        <w:rPr>
          <w:rFonts w:ascii="宋体" w:hAnsi="宋体" w:cs="宋体"/>
          <w:b/>
          <w:color w:val="auto"/>
          <w:sz w:val="24"/>
          <w:highlight w:val="none"/>
        </w:rPr>
        <w:fldChar w:fldCharType="begin"/>
      </w:r>
      <w:r>
        <w:rPr>
          <w:rFonts w:ascii="宋体" w:hAnsi="宋体" w:cs="宋体"/>
          <w:b/>
          <w:color w:val="auto"/>
          <w:sz w:val="24"/>
          <w:highlight w:val="none"/>
        </w:rPr>
        <w:instrText xml:space="preserve">TOC \o "1-3" \h \u </w:instrText>
      </w:r>
      <w:r>
        <w:rPr>
          <w:rFonts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"_Toc24302" </w:instrText>
      </w:r>
      <w:r>
        <w:rPr>
          <w:color w:val="auto"/>
          <w:highlight w:val="none"/>
        </w:rPr>
        <w:fldChar w:fldCharType="separate"/>
      </w:r>
      <w:r>
        <w:rPr>
          <w:rFonts w:hint="eastAsia" w:ascii="宋体" w:hAnsi="宋体" w:cs="宋体"/>
          <w:b/>
          <w:bCs/>
          <w:color w:val="auto"/>
          <w:sz w:val="28"/>
          <w:szCs w:val="28"/>
          <w:highlight w:val="none"/>
        </w:rPr>
        <w:t>第一章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竞争性磋商公告</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_Toc24302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1</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19627C1A">
      <w:pPr>
        <w:pStyle w:val="24"/>
        <w:tabs>
          <w:tab w:val="right" w:leader="dot" w:pos="8879"/>
        </w:tabs>
        <w:rPr>
          <w:rFonts w:ascii="宋体" w:cs="宋体"/>
          <w:b/>
          <w:bCs/>
          <w:color w:val="auto"/>
          <w:sz w:val="28"/>
          <w:szCs w:val="28"/>
          <w:highlight w:val="none"/>
        </w:rPr>
      </w:pPr>
      <w:r>
        <w:rPr>
          <w:color w:val="auto"/>
          <w:highlight w:val="none"/>
        </w:rPr>
        <w:fldChar w:fldCharType="begin"/>
      </w:r>
      <w:r>
        <w:rPr>
          <w:color w:val="auto"/>
          <w:highlight w:val="none"/>
        </w:rPr>
        <w:instrText xml:space="preserve"> HYPERLINK \l "_Toc23903" </w:instrText>
      </w:r>
      <w:r>
        <w:rPr>
          <w:color w:val="auto"/>
          <w:highlight w:val="none"/>
        </w:rPr>
        <w:fldChar w:fldCharType="separate"/>
      </w:r>
      <w:r>
        <w:rPr>
          <w:rFonts w:hint="eastAsia" w:ascii="宋体" w:hAnsi="宋体" w:cs="宋体"/>
          <w:b/>
          <w:bCs/>
          <w:color w:val="auto"/>
          <w:sz w:val="28"/>
          <w:szCs w:val="28"/>
          <w:highlight w:val="none"/>
        </w:rPr>
        <w:t>第二章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供应商须知</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_Toc23903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6</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7D6FBB7C">
      <w:pPr>
        <w:pStyle w:val="24"/>
        <w:tabs>
          <w:tab w:val="right" w:leader="dot" w:pos="8879"/>
        </w:tabs>
        <w:rPr>
          <w:rFonts w:ascii="宋体" w:cs="宋体"/>
          <w:b/>
          <w:bCs/>
          <w:color w:val="auto"/>
          <w:sz w:val="28"/>
          <w:szCs w:val="28"/>
          <w:highlight w:val="none"/>
        </w:rPr>
      </w:pPr>
      <w:r>
        <w:rPr>
          <w:color w:val="auto"/>
          <w:highlight w:val="none"/>
        </w:rPr>
        <w:fldChar w:fldCharType="begin"/>
      </w:r>
      <w:r>
        <w:rPr>
          <w:color w:val="auto"/>
          <w:highlight w:val="none"/>
        </w:rPr>
        <w:instrText xml:space="preserve"> HYPERLINK \l "_Toc8379" </w:instrText>
      </w:r>
      <w:r>
        <w:rPr>
          <w:color w:val="auto"/>
          <w:highlight w:val="none"/>
        </w:rPr>
        <w:fldChar w:fldCharType="separate"/>
      </w:r>
      <w:r>
        <w:rPr>
          <w:rFonts w:hint="eastAsia" w:ascii="宋体" w:hAnsi="宋体" w:cs="宋体"/>
          <w:b/>
          <w:bCs/>
          <w:color w:val="auto"/>
          <w:sz w:val="28"/>
          <w:szCs w:val="28"/>
          <w:highlight w:val="none"/>
        </w:rPr>
        <w:t>第三章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采购需求</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_Toc8379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22</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59335F47">
      <w:pPr>
        <w:pStyle w:val="24"/>
        <w:tabs>
          <w:tab w:val="right" w:leader="dot" w:pos="8879"/>
        </w:tabs>
        <w:rPr>
          <w:rFonts w:ascii="宋体" w:cs="宋体"/>
          <w:b/>
          <w:bCs/>
          <w:color w:val="auto"/>
          <w:sz w:val="28"/>
          <w:szCs w:val="28"/>
          <w:highlight w:val="none"/>
        </w:rPr>
      </w:pPr>
      <w:r>
        <w:rPr>
          <w:color w:val="auto"/>
          <w:highlight w:val="none"/>
        </w:rPr>
        <w:fldChar w:fldCharType="begin"/>
      </w:r>
      <w:r>
        <w:rPr>
          <w:color w:val="auto"/>
          <w:highlight w:val="none"/>
        </w:rPr>
        <w:instrText xml:space="preserve"> HYPERLINK \l "_Toc9102" </w:instrText>
      </w:r>
      <w:r>
        <w:rPr>
          <w:color w:val="auto"/>
          <w:highlight w:val="none"/>
        </w:rPr>
        <w:fldChar w:fldCharType="separate"/>
      </w:r>
      <w:r>
        <w:rPr>
          <w:rFonts w:hint="eastAsia" w:ascii="宋体" w:hAnsi="宋体" w:cs="宋体"/>
          <w:b/>
          <w:bCs/>
          <w:color w:val="auto"/>
          <w:sz w:val="28"/>
          <w:szCs w:val="28"/>
          <w:highlight w:val="none"/>
        </w:rPr>
        <w:t>第四章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评审程序、评审方法和评审标准</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_Toc9102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29</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76240618">
      <w:pPr>
        <w:pStyle w:val="24"/>
        <w:tabs>
          <w:tab w:val="right" w:leader="dot" w:pos="8879"/>
        </w:tabs>
        <w:rPr>
          <w:rFonts w:ascii="宋体" w:cs="宋体"/>
          <w:b/>
          <w:bCs/>
          <w:color w:val="auto"/>
          <w:sz w:val="28"/>
          <w:szCs w:val="28"/>
          <w:highlight w:val="none"/>
        </w:rPr>
      </w:pPr>
      <w:r>
        <w:rPr>
          <w:color w:val="auto"/>
          <w:highlight w:val="none"/>
        </w:rPr>
        <w:fldChar w:fldCharType="begin"/>
      </w:r>
      <w:r>
        <w:rPr>
          <w:color w:val="auto"/>
          <w:highlight w:val="none"/>
        </w:rPr>
        <w:instrText xml:space="preserve"> HYPERLINK \l "_Toc22926" </w:instrText>
      </w:r>
      <w:r>
        <w:rPr>
          <w:color w:val="auto"/>
          <w:highlight w:val="none"/>
        </w:rPr>
        <w:fldChar w:fldCharType="separate"/>
      </w:r>
      <w:r>
        <w:rPr>
          <w:rFonts w:hint="eastAsia" w:ascii="宋体" w:hAnsi="宋体" w:cs="宋体"/>
          <w:b/>
          <w:bCs/>
          <w:color w:val="auto"/>
          <w:sz w:val="28"/>
          <w:szCs w:val="28"/>
          <w:highlight w:val="none"/>
        </w:rPr>
        <w:t>第五章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响应文件格式</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_Toc22926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41</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13A4F15A">
      <w:pPr>
        <w:pStyle w:val="24"/>
        <w:tabs>
          <w:tab w:val="right" w:leader="dot" w:pos="8879"/>
        </w:tabs>
        <w:rPr>
          <w:color w:val="auto"/>
          <w:highlight w:val="none"/>
        </w:rPr>
      </w:pPr>
      <w:r>
        <w:rPr>
          <w:color w:val="auto"/>
          <w:highlight w:val="none"/>
        </w:rPr>
        <w:fldChar w:fldCharType="begin"/>
      </w:r>
      <w:r>
        <w:rPr>
          <w:color w:val="auto"/>
          <w:highlight w:val="none"/>
        </w:rPr>
        <w:instrText xml:space="preserve"> HYPERLINK \l "_Toc19603" </w:instrText>
      </w:r>
      <w:r>
        <w:rPr>
          <w:color w:val="auto"/>
          <w:highlight w:val="none"/>
        </w:rPr>
        <w:fldChar w:fldCharType="separate"/>
      </w:r>
      <w:r>
        <w:rPr>
          <w:rFonts w:hint="eastAsia" w:ascii="宋体" w:hAnsi="宋体" w:cs="宋体"/>
          <w:b/>
          <w:bCs/>
          <w:color w:val="auto"/>
          <w:sz w:val="28"/>
          <w:szCs w:val="28"/>
          <w:highlight w:val="none"/>
        </w:rPr>
        <w:t>第六章</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合同文本</w:t>
      </w:r>
      <w:r>
        <w:rPr>
          <w:rFonts w:ascii="宋体" w:cs="宋体"/>
          <w:b/>
          <w:bCs/>
          <w:color w:val="auto"/>
          <w:sz w:val="28"/>
          <w:szCs w:val="28"/>
          <w:highlight w:val="none"/>
        </w:rPr>
        <w:tab/>
      </w:r>
      <w:r>
        <w:rPr>
          <w:rFonts w:ascii="宋体" w:hAnsi="宋体" w:cs="宋体"/>
          <w:b/>
          <w:bCs/>
          <w:color w:val="auto"/>
          <w:sz w:val="28"/>
          <w:szCs w:val="28"/>
          <w:highlight w:val="none"/>
        </w:rPr>
        <w:fldChar w:fldCharType="begin"/>
      </w:r>
      <w:r>
        <w:rPr>
          <w:rFonts w:ascii="宋体" w:hAnsi="宋体" w:cs="宋体"/>
          <w:b/>
          <w:bCs/>
          <w:color w:val="auto"/>
          <w:sz w:val="28"/>
          <w:szCs w:val="28"/>
          <w:highlight w:val="none"/>
        </w:rPr>
        <w:instrText xml:space="preserve"> PAGEREF _Toc19603 \h </w:instrText>
      </w:r>
      <w:r>
        <w:rPr>
          <w:rFonts w:ascii="宋体" w:hAnsi="宋体" w:cs="宋体"/>
          <w:b/>
          <w:bCs/>
          <w:color w:val="auto"/>
          <w:sz w:val="28"/>
          <w:szCs w:val="28"/>
          <w:highlight w:val="none"/>
        </w:rPr>
        <w:fldChar w:fldCharType="separate"/>
      </w:r>
      <w:r>
        <w:rPr>
          <w:rFonts w:ascii="宋体" w:hAnsi="宋体" w:cs="宋体"/>
          <w:b/>
          <w:bCs/>
          <w:color w:val="auto"/>
          <w:sz w:val="28"/>
          <w:szCs w:val="28"/>
          <w:highlight w:val="none"/>
        </w:rPr>
        <w:t>64</w:t>
      </w:r>
      <w:r>
        <w:rPr>
          <w:rFonts w:ascii="宋体" w:hAnsi="宋体" w:cs="宋体"/>
          <w:b/>
          <w:bCs/>
          <w:color w:val="auto"/>
          <w:sz w:val="28"/>
          <w:szCs w:val="28"/>
          <w:highlight w:val="none"/>
        </w:rPr>
        <w:fldChar w:fldCharType="end"/>
      </w:r>
      <w:r>
        <w:rPr>
          <w:rFonts w:ascii="宋体" w:hAnsi="宋体" w:cs="宋体"/>
          <w:b/>
          <w:bCs/>
          <w:color w:val="auto"/>
          <w:sz w:val="28"/>
          <w:szCs w:val="28"/>
          <w:highlight w:val="none"/>
        </w:rPr>
        <w:fldChar w:fldCharType="end"/>
      </w:r>
    </w:p>
    <w:p w14:paraId="10E38B6A">
      <w:pPr>
        <w:pStyle w:val="26"/>
        <w:tabs>
          <w:tab w:val="right" w:leader="dot" w:pos="8931"/>
          <w:tab w:val="clear" w:pos="8296"/>
        </w:tabs>
        <w:snapToGrid w:val="0"/>
        <w:spacing w:line="500" w:lineRule="atLeast"/>
        <w:ind w:left="0" w:leftChars="0"/>
        <w:rPr>
          <w:rFonts w:ascii="宋体" w:cs="宋体"/>
          <w:b/>
          <w:color w:val="auto"/>
          <w:sz w:val="24"/>
          <w:highlight w:val="none"/>
        </w:rPr>
      </w:pPr>
      <w:r>
        <w:rPr>
          <w:rFonts w:ascii="宋体" w:hAnsi="宋体" w:cs="宋体"/>
          <w:b/>
          <w:color w:val="auto"/>
          <w:sz w:val="24"/>
          <w:highlight w:val="none"/>
        </w:rPr>
        <w:fldChar w:fldCharType="end"/>
      </w:r>
    </w:p>
    <w:p w14:paraId="06CD3F0E">
      <w:pPr>
        <w:spacing w:line="400" w:lineRule="exact"/>
        <w:jc w:val="left"/>
        <w:rPr>
          <w:rFonts w:ascii="宋体" w:cs="宋体"/>
          <w:b/>
          <w:color w:val="auto"/>
          <w:sz w:val="32"/>
          <w:szCs w:val="32"/>
          <w:highlight w:val="none"/>
        </w:rPr>
      </w:pPr>
    </w:p>
    <w:p w14:paraId="7A941DA8">
      <w:pPr>
        <w:spacing w:line="400" w:lineRule="exact"/>
        <w:jc w:val="center"/>
        <w:rPr>
          <w:rFonts w:ascii="宋体" w:cs="宋体"/>
          <w:b/>
          <w:color w:val="auto"/>
          <w:sz w:val="32"/>
          <w:szCs w:val="32"/>
          <w:highlight w:val="none"/>
        </w:rPr>
      </w:pPr>
    </w:p>
    <w:p w14:paraId="590890F1">
      <w:pPr>
        <w:spacing w:line="400" w:lineRule="exact"/>
        <w:jc w:val="center"/>
        <w:rPr>
          <w:rFonts w:ascii="宋体" w:cs="宋体"/>
          <w:b/>
          <w:color w:val="auto"/>
          <w:sz w:val="32"/>
          <w:szCs w:val="32"/>
          <w:highlight w:val="none"/>
        </w:rPr>
      </w:pPr>
    </w:p>
    <w:p w14:paraId="1D487DA4">
      <w:pPr>
        <w:spacing w:line="400" w:lineRule="exact"/>
        <w:jc w:val="center"/>
        <w:rPr>
          <w:rFonts w:ascii="宋体" w:cs="宋体"/>
          <w:b/>
          <w:color w:val="auto"/>
          <w:sz w:val="32"/>
          <w:szCs w:val="32"/>
          <w:highlight w:val="none"/>
        </w:rPr>
      </w:pPr>
    </w:p>
    <w:p w14:paraId="784AB185">
      <w:pPr>
        <w:spacing w:line="400" w:lineRule="exact"/>
        <w:rPr>
          <w:rFonts w:ascii="宋体" w:cs="宋体"/>
          <w:b/>
          <w:color w:val="auto"/>
          <w:sz w:val="32"/>
          <w:szCs w:val="32"/>
          <w:highlight w:val="none"/>
        </w:rPr>
      </w:pPr>
    </w:p>
    <w:p w14:paraId="7A2BF5B7">
      <w:pPr>
        <w:rPr>
          <w:color w:val="auto"/>
          <w:highlight w:val="none"/>
        </w:rPr>
      </w:pPr>
    </w:p>
    <w:p w14:paraId="56121C9B">
      <w:pPr>
        <w:rPr>
          <w:color w:val="auto"/>
          <w:highlight w:val="none"/>
        </w:rPr>
      </w:pPr>
    </w:p>
    <w:p w14:paraId="70DF1C42">
      <w:pPr>
        <w:rPr>
          <w:color w:val="auto"/>
          <w:highlight w:val="none"/>
        </w:rPr>
      </w:pPr>
    </w:p>
    <w:p w14:paraId="6B8CAD03">
      <w:pPr>
        <w:rPr>
          <w:color w:val="auto"/>
          <w:highlight w:val="none"/>
        </w:rPr>
      </w:pPr>
    </w:p>
    <w:p w14:paraId="65E03475">
      <w:pPr>
        <w:rPr>
          <w:color w:val="auto"/>
          <w:highlight w:val="none"/>
        </w:rPr>
      </w:pPr>
    </w:p>
    <w:p w14:paraId="0A7E4586">
      <w:pPr>
        <w:rPr>
          <w:color w:val="auto"/>
          <w:highlight w:val="none"/>
        </w:rPr>
      </w:pPr>
    </w:p>
    <w:p w14:paraId="2A66F431">
      <w:pPr>
        <w:rPr>
          <w:color w:val="auto"/>
          <w:highlight w:val="none"/>
        </w:rPr>
      </w:pPr>
    </w:p>
    <w:p w14:paraId="74CD864F">
      <w:pPr>
        <w:rPr>
          <w:color w:val="auto"/>
          <w:highlight w:val="none"/>
        </w:rPr>
      </w:pPr>
    </w:p>
    <w:p w14:paraId="30A59D36">
      <w:pPr>
        <w:rPr>
          <w:color w:val="auto"/>
          <w:highlight w:val="none"/>
        </w:rPr>
      </w:pPr>
    </w:p>
    <w:p w14:paraId="42B3E2DF">
      <w:pPr>
        <w:rPr>
          <w:color w:val="auto"/>
          <w:highlight w:val="none"/>
        </w:rPr>
      </w:pPr>
    </w:p>
    <w:p w14:paraId="054B5F92">
      <w:pPr>
        <w:rPr>
          <w:color w:val="auto"/>
          <w:highlight w:val="none"/>
        </w:rPr>
      </w:pPr>
    </w:p>
    <w:p w14:paraId="5E8C92E8">
      <w:pPr>
        <w:rPr>
          <w:color w:val="auto"/>
          <w:highlight w:val="none"/>
        </w:rPr>
      </w:pPr>
    </w:p>
    <w:p w14:paraId="6C1C7955">
      <w:pPr>
        <w:rPr>
          <w:color w:val="auto"/>
          <w:highlight w:val="none"/>
        </w:rPr>
      </w:pPr>
    </w:p>
    <w:p w14:paraId="67142E59">
      <w:pPr>
        <w:rPr>
          <w:color w:val="auto"/>
          <w:highlight w:val="none"/>
        </w:rPr>
      </w:pPr>
    </w:p>
    <w:p w14:paraId="39707B7D">
      <w:pPr>
        <w:rPr>
          <w:color w:val="auto"/>
          <w:highlight w:val="none"/>
        </w:rPr>
      </w:pPr>
    </w:p>
    <w:p w14:paraId="4B3A68DA">
      <w:pPr>
        <w:rPr>
          <w:color w:val="auto"/>
          <w:highlight w:val="none"/>
        </w:rPr>
      </w:pPr>
    </w:p>
    <w:p w14:paraId="189FEECE">
      <w:pPr>
        <w:rPr>
          <w:color w:val="auto"/>
          <w:highlight w:val="none"/>
        </w:rPr>
      </w:pPr>
    </w:p>
    <w:p w14:paraId="21169AAC">
      <w:pPr>
        <w:rPr>
          <w:color w:val="auto"/>
          <w:highlight w:val="none"/>
        </w:rPr>
      </w:pPr>
    </w:p>
    <w:p w14:paraId="701B6E66">
      <w:pPr>
        <w:rPr>
          <w:color w:val="auto"/>
          <w:highlight w:val="none"/>
        </w:rPr>
      </w:pPr>
    </w:p>
    <w:p w14:paraId="47623CE9">
      <w:pPr>
        <w:tabs>
          <w:tab w:val="center" w:pos="4439"/>
        </w:tabs>
        <w:jc w:val="left"/>
        <w:rPr>
          <w:color w:val="auto"/>
          <w:highlight w:val="none"/>
        </w:rPr>
        <w:sectPr>
          <w:footerReference r:id="rId10" w:type="first"/>
          <w:footerReference r:id="rId9" w:type="default"/>
          <w:pgSz w:w="11906" w:h="16838"/>
          <w:pgMar w:top="1440" w:right="1440" w:bottom="1440" w:left="1587" w:header="851" w:footer="992" w:gutter="0"/>
          <w:pgNumType w:start="0"/>
          <w:cols w:space="720" w:num="1"/>
          <w:titlePg/>
          <w:docGrid w:type="lines" w:linePitch="312" w:charSpace="0"/>
        </w:sectPr>
      </w:pPr>
      <w:r>
        <w:rPr>
          <w:color w:val="auto"/>
          <w:highlight w:val="none"/>
        </w:rPr>
        <w:tab/>
      </w:r>
    </w:p>
    <w:p w14:paraId="1929C10C">
      <w:pPr>
        <w:pStyle w:val="2"/>
        <w:rPr>
          <w:color w:val="auto"/>
          <w:highlight w:val="none"/>
        </w:rPr>
      </w:pPr>
      <w:bookmarkStart w:id="0" w:name="_Toc24302"/>
      <w:bookmarkStart w:id="1" w:name="_Toc24200"/>
      <w:r>
        <w:rPr>
          <w:rFonts w:hint="eastAsia"/>
          <w:color w:val="auto"/>
          <w:highlight w:val="none"/>
        </w:rPr>
        <w:t>第一章</w:t>
      </w:r>
      <w:r>
        <w:rPr>
          <w:color w:val="auto"/>
          <w:highlight w:val="none"/>
        </w:rPr>
        <w:t xml:space="preserve"> </w:t>
      </w:r>
      <w:r>
        <w:rPr>
          <w:rFonts w:hint="eastAsia"/>
          <w:color w:val="auto"/>
          <w:highlight w:val="none"/>
        </w:rPr>
        <w:t>竞争性磋商公告</w:t>
      </w:r>
      <w:bookmarkEnd w:id="0"/>
      <w:bookmarkEnd w:id="1"/>
    </w:p>
    <w:p w14:paraId="1A595FF7">
      <w:pPr>
        <w:pStyle w:val="19"/>
        <w:jc w:val="center"/>
        <w:rPr>
          <w:rFonts w:hAnsi="宋体" w:cs="宋体"/>
          <w:b/>
          <w:color w:val="auto"/>
          <w:sz w:val="28"/>
          <w:szCs w:val="28"/>
          <w:highlight w:val="none"/>
        </w:rPr>
      </w:pPr>
      <w:r>
        <w:rPr>
          <w:rFonts w:hint="eastAsia" w:hAnsi="宋体" w:cs="宋体"/>
          <w:b/>
          <w:color w:val="auto"/>
          <w:sz w:val="28"/>
          <w:szCs w:val="28"/>
          <w:highlight w:val="none"/>
        </w:rPr>
        <w:t>广西国泰招标咨询有限公司关于</w:t>
      </w:r>
    </w:p>
    <w:p w14:paraId="130DA41D">
      <w:pPr>
        <w:pStyle w:val="19"/>
        <w:jc w:val="center"/>
        <w:rPr>
          <w:rFonts w:hAnsi="宋体" w:cs="宋体"/>
          <w:b/>
          <w:color w:val="auto"/>
          <w:sz w:val="28"/>
          <w:szCs w:val="28"/>
          <w:highlight w:val="none"/>
        </w:rPr>
      </w:pPr>
      <w:r>
        <w:rPr>
          <w:rFonts w:hint="eastAsia" w:hAnsi="宋体" w:cs="宋体"/>
          <w:b/>
          <w:color w:val="auto"/>
          <w:sz w:val="28"/>
          <w:szCs w:val="28"/>
          <w:highlight w:val="none"/>
          <w:lang w:eastAsia="zh-CN"/>
        </w:rPr>
        <w:t>2025年第七届广西稻渔丰收节暨大水面“库库魚”区域公用品牌发布活动</w:t>
      </w:r>
      <w:r>
        <w:rPr>
          <w:rFonts w:hint="eastAsia" w:hAnsi="宋体" w:cs="宋体"/>
          <w:b/>
          <w:color w:val="auto"/>
          <w:sz w:val="28"/>
          <w:szCs w:val="28"/>
          <w:highlight w:val="none"/>
        </w:rPr>
        <w:t>（</w:t>
      </w:r>
      <w:r>
        <w:rPr>
          <w:rFonts w:hint="eastAsia" w:hAnsi="宋体" w:cs="宋体"/>
          <w:b/>
          <w:color w:val="auto"/>
          <w:sz w:val="28"/>
          <w:szCs w:val="28"/>
          <w:highlight w:val="none"/>
          <w:lang w:eastAsia="zh-CN"/>
        </w:rPr>
        <w:t>GXZC2025-C3-002962-GTZB</w:t>
      </w:r>
      <w:r>
        <w:rPr>
          <w:rFonts w:hint="eastAsia" w:hAnsi="宋体" w:cs="宋体"/>
          <w:b/>
          <w:color w:val="auto"/>
          <w:sz w:val="28"/>
          <w:szCs w:val="28"/>
          <w:highlight w:val="none"/>
        </w:rPr>
        <w:t>）</w:t>
      </w:r>
    </w:p>
    <w:p w14:paraId="57F522DE">
      <w:pPr>
        <w:pStyle w:val="19"/>
        <w:jc w:val="center"/>
        <w:rPr>
          <w:rFonts w:hAnsi="宋体" w:cs="宋体"/>
          <w:b/>
          <w:color w:val="auto"/>
          <w:sz w:val="28"/>
          <w:szCs w:val="28"/>
          <w:highlight w:val="none"/>
        </w:rPr>
      </w:pPr>
      <w:r>
        <w:rPr>
          <w:rFonts w:hint="eastAsia" w:hAnsi="宋体" w:cs="宋体"/>
          <w:b/>
          <w:color w:val="auto"/>
          <w:sz w:val="28"/>
          <w:szCs w:val="28"/>
          <w:highlight w:val="none"/>
        </w:rPr>
        <w:t>竞争性磋商公告</w:t>
      </w:r>
    </w:p>
    <w:p w14:paraId="27932F92">
      <w:pPr>
        <w:spacing w:line="360" w:lineRule="auto"/>
        <w:jc w:val="center"/>
        <w:rPr>
          <w:rFonts w:ascii="宋体" w:cs="宋体"/>
          <w:color w:val="auto"/>
          <w:szCs w:val="21"/>
          <w:highlight w:val="none"/>
        </w:rPr>
      </w:pPr>
    </w:p>
    <w:p w14:paraId="4C542F2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auto"/>
          <w:szCs w:val="21"/>
          <w:highlight w:val="none"/>
        </w:rPr>
      </w:pPr>
      <w:bookmarkStart w:id="2" w:name="_Hlk37430271"/>
      <w:r>
        <w:rPr>
          <w:rFonts w:hint="eastAsia" w:ascii="宋体" w:hAnsi="宋体" w:cs="宋体"/>
          <w:color w:val="auto"/>
          <w:szCs w:val="21"/>
          <w:highlight w:val="none"/>
        </w:rPr>
        <w:t>项目概况</w:t>
      </w:r>
    </w:p>
    <w:p w14:paraId="3ED05BF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lang w:eastAsia="zh-CN"/>
        </w:rPr>
        <w:t>2025年第七届广西稻渔丰收节暨大水面“库库魚”区域公用品牌发布活动</w:t>
      </w:r>
      <w:r>
        <w:rPr>
          <w:rFonts w:hint="eastAsia" w:ascii="宋体" w:hAnsi="宋体" w:cs="宋体"/>
          <w:color w:val="auto"/>
          <w:szCs w:val="21"/>
          <w:highlight w:val="none"/>
        </w:rPr>
        <w:t>采购项目的潜在供应商应在广西政府采购云平台（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）获取采购文件，并于</w:t>
      </w:r>
      <w:r>
        <w:rPr>
          <w:rFonts w:hint="eastAsia" w:ascii="宋体" w:hAnsi="宋体" w:cs="宋体"/>
          <w:color w:val="auto"/>
          <w:szCs w:val="21"/>
          <w:highlight w:val="none"/>
          <w:lang w:eastAsia="zh-CN"/>
        </w:rPr>
        <w:t>2025年10月14日</w:t>
      </w:r>
      <w:r>
        <w:rPr>
          <w:rFonts w:ascii="宋体" w:hAnsi="宋体" w:cs="宋体"/>
          <w:color w:val="auto"/>
          <w:szCs w:val="21"/>
          <w:highlight w:val="none"/>
        </w:rPr>
        <w:t>09</w:t>
      </w:r>
      <w:r>
        <w:rPr>
          <w:rFonts w:hint="eastAsia" w:ascii="宋体" w:hAnsi="宋体" w:cs="宋体"/>
          <w:color w:val="auto"/>
          <w:szCs w:val="21"/>
          <w:highlight w:val="none"/>
        </w:rPr>
        <w:t>时</w:t>
      </w:r>
      <w:r>
        <w:rPr>
          <w:rFonts w:ascii="宋体" w:cs="宋体"/>
          <w:color w:val="auto"/>
          <w:szCs w:val="21"/>
          <w:highlight w:val="none"/>
        </w:rPr>
        <w:t>00</w:t>
      </w:r>
      <w:r>
        <w:rPr>
          <w:rFonts w:hint="eastAsia" w:ascii="宋体" w:hAnsi="宋体" w:cs="宋体"/>
          <w:color w:val="auto"/>
          <w:szCs w:val="21"/>
          <w:highlight w:val="none"/>
        </w:rPr>
        <w:t>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29DD8E31">
      <w:pPr>
        <w:spacing w:line="360" w:lineRule="auto"/>
        <w:ind w:firstLine="354" w:firstLineChars="147"/>
        <w:rPr>
          <w:rFonts w:ascii="宋体" w:cs="宋体"/>
          <w:b/>
          <w:color w:val="auto"/>
          <w:sz w:val="24"/>
          <w:highlight w:val="none"/>
        </w:rPr>
      </w:pPr>
      <w:bookmarkStart w:id="3" w:name="_Toc28359012"/>
      <w:bookmarkStart w:id="4" w:name="_Toc28359089"/>
      <w:bookmarkStart w:id="5" w:name="_Toc35393629"/>
      <w:bookmarkStart w:id="6" w:name="_Toc35393798"/>
      <w:bookmarkStart w:id="7" w:name="_Toc44229878"/>
      <w:bookmarkStart w:id="8" w:name="_Toc71365905"/>
    </w:p>
    <w:bookmarkEnd w:id="3"/>
    <w:bookmarkEnd w:id="4"/>
    <w:bookmarkEnd w:id="5"/>
    <w:bookmarkEnd w:id="6"/>
    <w:bookmarkEnd w:id="7"/>
    <w:bookmarkEnd w:id="8"/>
    <w:p w14:paraId="77C2DFAF">
      <w:pPr>
        <w:spacing w:line="360" w:lineRule="auto"/>
        <w:ind w:firstLine="354" w:firstLineChars="147"/>
        <w:rPr>
          <w:rFonts w:ascii="宋体" w:cs="宋体"/>
          <w:b/>
          <w:color w:val="auto"/>
          <w:sz w:val="24"/>
          <w:highlight w:val="none"/>
        </w:rPr>
      </w:pPr>
      <w:bookmarkStart w:id="9" w:name="_Hlk37429674"/>
      <w:bookmarkStart w:id="10" w:name="_Toc44229885"/>
      <w:bookmarkStart w:id="11" w:name="_Toc35393805"/>
      <w:bookmarkStart w:id="12" w:name="_Toc35393636"/>
      <w:bookmarkStart w:id="13" w:name="_Toc28359095"/>
      <w:bookmarkStart w:id="14" w:name="_Toc28359018"/>
      <w:r>
        <w:rPr>
          <w:rFonts w:hint="eastAsia" w:ascii="宋体" w:hAnsi="宋体" w:cs="宋体"/>
          <w:b/>
          <w:color w:val="auto"/>
          <w:sz w:val="24"/>
          <w:highlight w:val="none"/>
        </w:rPr>
        <w:t>一、项目基本情况</w:t>
      </w:r>
    </w:p>
    <w:p w14:paraId="2DC494D6">
      <w:pPr>
        <w:spacing w:line="360" w:lineRule="auto"/>
        <w:ind w:firstLine="420" w:firstLineChars="200"/>
        <w:rPr>
          <w:rFonts w:hint="eastAsia" w:asci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GXZC2025-C3-002962-GTZB</w:t>
      </w:r>
    </w:p>
    <w:p w14:paraId="308DAA9A">
      <w:pPr>
        <w:spacing w:line="360" w:lineRule="auto"/>
        <w:ind w:firstLine="420" w:firstLineChars="200"/>
        <w:rPr>
          <w:rFonts w:hint="eastAsia" w:asci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2025年第七届广西稻渔丰收节暨大水面“库库魚”区域公用品牌发布活动</w:t>
      </w:r>
    </w:p>
    <w:p w14:paraId="5AB1757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采购方式：竞争性磋商</w:t>
      </w:r>
    </w:p>
    <w:p w14:paraId="0503B19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预算金额：</w:t>
      </w:r>
      <w:r>
        <w:rPr>
          <w:rFonts w:hint="eastAsia" w:ascii="宋体" w:hAnsi="宋体" w:eastAsia="宋体" w:cs="宋体"/>
          <w:color w:val="auto"/>
          <w:highlight w:val="none"/>
        </w:rPr>
        <w:t>预算总金额为</w:t>
      </w:r>
      <w:r>
        <w:rPr>
          <w:rFonts w:hint="eastAsia" w:ascii="宋体" w:hAnsi="宋体" w:eastAsia="宋体" w:cs="宋体"/>
          <w:iCs/>
          <w:color w:val="auto"/>
          <w:szCs w:val="21"/>
          <w:highlight w:val="none"/>
          <w:lang w:val="en-US" w:eastAsia="zh-CN"/>
        </w:rPr>
        <w:t>180.00</w:t>
      </w:r>
      <w:r>
        <w:rPr>
          <w:rFonts w:hint="eastAsia" w:ascii="宋体" w:hAnsi="宋体" w:eastAsia="宋体" w:cs="宋体"/>
          <w:iCs/>
          <w:color w:val="auto"/>
          <w:szCs w:val="21"/>
          <w:highlight w:val="none"/>
        </w:rPr>
        <w:t>万元</w:t>
      </w:r>
      <w:r>
        <w:rPr>
          <w:rFonts w:hint="eastAsia" w:ascii="宋体" w:hAnsi="宋体" w:eastAsia="宋体" w:cs="宋体"/>
          <w:color w:val="auto"/>
          <w:highlight w:val="none"/>
        </w:rPr>
        <w:t>，其中：</w:t>
      </w:r>
      <w:r>
        <w:rPr>
          <w:rFonts w:hint="eastAsia" w:ascii="宋体" w:hAnsi="宋体" w:eastAsia="宋体" w:cs="宋体"/>
          <w:color w:val="auto"/>
          <w:szCs w:val="21"/>
          <w:highlight w:val="none"/>
        </w:rPr>
        <w:t>分标1为</w:t>
      </w:r>
      <w:r>
        <w:rPr>
          <w:rFonts w:hint="eastAsia" w:ascii="宋体" w:hAnsi="宋体" w:eastAsia="宋体" w:cs="宋体"/>
          <w:color w:val="auto"/>
          <w:szCs w:val="21"/>
          <w:highlight w:val="none"/>
          <w:lang w:val="en-US" w:eastAsia="zh-CN"/>
        </w:rPr>
        <w:t>64</w:t>
      </w:r>
      <w:r>
        <w:rPr>
          <w:rFonts w:hint="eastAsia" w:ascii="宋体" w:hAnsi="宋体" w:eastAsia="宋体" w:cs="宋体"/>
          <w:color w:val="auto"/>
          <w:szCs w:val="21"/>
          <w:highlight w:val="none"/>
        </w:rPr>
        <w:t>.00万元；分标2为</w:t>
      </w:r>
      <w:r>
        <w:rPr>
          <w:rFonts w:hint="eastAsia" w:ascii="宋体" w:hAnsi="宋体" w:eastAsia="宋体" w:cs="宋体"/>
          <w:color w:val="auto"/>
          <w:szCs w:val="21"/>
          <w:highlight w:val="none"/>
          <w:lang w:val="en-US" w:eastAsia="zh-CN"/>
        </w:rPr>
        <w:t>67</w:t>
      </w:r>
      <w:r>
        <w:rPr>
          <w:rFonts w:hint="eastAsia" w:ascii="宋体" w:hAnsi="宋体" w:eastAsia="宋体" w:cs="宋体"/>
          <w:color w:val="auto"/>
          <w:szCs w:val="21"/>
          <w:highlight w:val="none"/>
        </w:rPr>
        <w:t>.00万元；分标3为</w:t>
      </w:r>
      <w:r>
        <w:rPr>
          <w:rFonts w:hint="eastAsia" w:ascii="宋体" w:hAnsi="宋体" w:eastAsia="宋体" w:cs="宋体"/>
          <w:color w:val="auto"/>
          <w:szCs w:val="21"/>
          <w:highlight w:val="none"/>
          <w:lang w:val="en-US" w:eastAsia="zh-CN"/>
        </w:rPr>
        <w:t>36</w:t>
      </w:r>
      <w:r>
        <w:rPr>
          <w:rFonts w:hint="eastAsia" w:ascii="宋体" w:hAnsi="宋体" w:eastAsia="宋体" w:cs="宋体"/>
          <w:color w:val="auto"/>
          <w:szCs w:val="21"/>
          <w:highlight w:val="none"/>
        </w:rPr>
        <w:t>.00万元；分标4为</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.00万元。</w:t>
      </w:r>
    </w:p>
    <w:p w14:paraId="41199B02">
      <w:pPr>
        <w:spacing w:line="360" w:lineRule="auto"/>
        <w:ind w:firstLine="420" w:firstLineChars="200"/>
        <w:rPr>
          <w:rFonts w:ascii="宋体" w:cs="宋体"/>
          <w:color w:val="auto"/>
          <w:szCs w:val="21"/>
          <w:highlight w:val="none"/>
        </w:rPr>
      </w:pPr>
      <w:r>
        <w:rPr>
          <w:rFonts w:hint="eastAsia" w:ascii="宋体" w:hAnsi="宋体" w:eastAsia="宋体" w:cs="宋体"/>
          <w:color w:val="auto"/>
          <w:szCs w:val="21"/>
          <w:highlight w:val="none"/>
        </w:rPr>
        <w:t>最高限价（如有）：分标1为</w:t>
      </w:r>
      <w:r>
        <w:rPr>
          <w:rFonts w:hint="eastAsia" w:ascii="宋体" w:hAnsi="宋体" w:eastAsia="宋体" w:cs="宋体"/>
          <w:color w:val="auto"/>
          <w:szCs w:val="21"/>
          <w:highlight w:val="none"/>
          <w:lang w:val="en-US" w:eastAsia="zh-CN"/>
        </w:rPr>
        <w:t>64</w:t>
      </w:r>
      <w:r>
        <w:rPr>
          <w:rFonts w:hint="eastAsia" w:ascii="宋体" w:hAnsi="宋体" w:eastAsia="宋体" w:cs="宋体"/>
          <w:color w:val="auto"/>
          <w:szCs w:val="21"/>
          <w:highlight w:val="none"/>
        </w:rPr>
        <w:t>.00万元；</w:t>
      </w:r>
      <w:r>
        <w:rPr>
          <w:rFonts w:hint="eastAsia" w:ascii="宋体" w:hAnsi="宋体"/>
          <w:color w:val="auto"/>
          <w:szCs w:val="21"/>
          <w:highlight w:val="none"/>
        </w:rPr>
        <w:t>分标2为</w:t>
      </w:r>
      <w:r>
        <w:rPr>
          <w:rFonts w:hint="eastAsia" w:ascii="宋体" w:hAnsi="宋体"/>
          <w:color w:val="auto"/>
          <w:szCs w:val="21"/>
          <w:highlight w:val="none"/>
          <w:lang w:val="en-US" w:eastAsia="zh-CN"/>
        </w:rPr>
        <w:t>67</w:t>
      </w:r>
      <w:r>
        <w:rPr>
          <w:rFonts w:hint="eastAsia" w:ascii="宋体" w:hAnsi="宋体"/>
          <w:color w:val="auto"/>
          <w:szCs w:val="21"/>
          <w:highlight w:val="none"/>
        </w:rPr>
        <w:t>.00万元；分标3为</w:t>
      </w:r>
      <w:r>
        <w:rPr>
          <w:rFonts w:hint="eastAsia" w:ascii="宋体" w:hAnsi="宋体"/>
          <w:color w:val="auto"/>
          <w:szCs w:val="21"/>
          <w:highlight w:val="none"/>
          <w:lang w:val="en-US" w:eastAsia="zh-CN"/>
        </w:rPr>
        <w:t>36</w:t>
      </w:r>
      <w:r>
        <w:rPr>
          <w:rFonts w:hint="eastAsia" w:ascii="宋体" w:hAnsi="宋体"/>
          <w:color w:val="auto"/>
          <w:szCs w:val="21"/>
          <w:highlight w:val="none"/>
        </w:rPr>
        <w:t>.00万元；分标4为</w:t>
      </w:r>
      <w:r>
        <w:rPr>
          <w:rFonts w:hint="eastAsia" w:ascii="宋体" w:hAnsi="宋体"/>
          <w:color w:val="auto"/>
          <w:szCs w:val="21"/>
          <w:highlight w:val="none"/>
          <w:lang w:val="en-US" w:eastAsia="zh-CN"/>
        </w:rPr>
        <w:t>13</w:t>
      </w:r>
      <w:r>
        <w:rPr>
          <w:rFonts w:hint="eastAsia" w:ascii="宋体" w:hAnsi="宋体"/>
          <w:color w:val="auto"/>
          <w:szCs w:val="21"/>
          <w:highlight w:val="none"/>
        </w:rPr>
        <w:t>.00万元。</w:t>
      </w:r>
    </w:p>
    <w:p w14:paraId="748AD885">
      <w:pPr>
        <w:spacing w:line="360" w:lineRule="auto"/>
        <w:ind w:firstLine="422" w:firstLineChars="200"/>
        <w:rPr>
          <w:rFonts w:ascii="宋体"/>
          <w:color w:val="auto"/>
          <w:szCs w:val="21"/>
          <w:highlight w:val="none"/>
        </w:rPr>
      </w:pPr>
      <w:r>
        <w:rPr>
          <w:rFonts w:hint="eastAsia" w:ascii="宋体" w:hAnsi="宋体"/>
          <w:b/>
          <w:bCs/>
          <w:color w:val="auto"/>
          <w:szCs w:val="21"/>
          <w:highlight w:val="none"/>
        </w:rPr>
        <w:t>采购需求：</w:t>
      </w:r>
    </w:p>
    <w:tbl>
      <w:tblPr>
        <w:tblStyle w:val="3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3344"/>
        <w:gridCol w:w="5670"/>
      </w:tblGrid>
      <w:tr w14:paraId="00980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000" w:type="pct"/>
            <w:gridSpan w:val="3"/>
            <w:tcBorders>
              <w:top w:val="single" w:color="auto" w:sz="4" w:space="0"/>
              <w:bottom w:val="single" w:color="auto" w:sz="4" w:space="0"/>
            </w:tcBorders>
            <w:vAlign w:val="center"/>
          </w:tcPr>
          <w:p w14:paraId="619620C7">
            <w:pPr>
              <w:snapToGrid w:val="0"/>
              <w:spacing w:line="360" w:lineRule="auto"/>
              <w:rPr>
                <w:rFonts w:ascii="宋体"/>
                <w:color w:val="auto"/>
                <w:szCs w:val="21"/>
                <w:highlight w:val="none"/>
              </w:rPr>
            </w:pPr>
            <w:r>
              <w:rPr>
                <w:rFonts w:hint="eastAsia" w:ascii="宋体" w:hAnsi="宋体"/>
                <w:b/>
                <w:bCs/>
                <w:color w:val="auto"/>
                <w:szCs w:val="21"/>
                <w:highlight w:val="none"/>
              </w:rPr>
              <w:t>分标</w:t>
            </w:r>
            <w:r>
              <w:rPr>
                <w:rFonts w:ascii="宋体" w:hAnsi="宋体"/>
                <w:b/>
                <w:bCs/>
                <w:color w:val="auto"/>
                <w:szCs w:val="21"/>
                <w:highlight w:val="none"/>
              </w:rPr>
              <w:t>1</w:t>
            </w:r>
            <w:r>
              <w:rPr>
                <w:rFonts w:hint="eastAsia" w:ascii="宋体" w:hAnsi="宋体"/>
                <w:b/>
                <w:bCs/>
                <w:color w:val="auto"/>
                <w:szCs w:val="21"/>
                <w:highlight w:val="none"/>
              </w:rPr>
              <w:t>；预算金额：</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64</w:t>
            </w:r>
            <w:r>
              <w:rPr>
                <w:rFonts w:hint="eastAsia" w:ascii="宋体" w:hAnsi="宋体"/>
                <w:b/>
                <w:bCs/>
                <w:color w:val="auto"/>
                <w:szCs w:val="21"/>
                <w:highlight w:val="none"/>
                <w:u w:val="single"/>
              </w:rPr>
              <w:t>.00万元</w:t>
            </w:r>
            <w:r>
              <w:rPr>
                <w:rFonts w:ascii="宋体" w:hAnsi="宋体" w:cs="宋体"/>
                <w:b/>
                <w:bCs/>
                <w:color w:val="auto"/>
                <w:szCs w:val="21"/>
                <w:highlight w:val="none"/>
                <w:u w:val="single"/>
              </w:rPr>
              <w:t xml:space="preserve"> </w:t>
            </w:r>
          </w:p>
        </w:tc>
      </w:tr>
      <w:tr w14:paraId="4F51A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426" w:type="pct"/>
            <w:tcBorders>
              <w:top w:val="single" w:color="auto" w:sz="4" w:space="0"/>
              <w:bottom w:val="single" w:color="auto" w:sz="4" w:space="0"/>
              <w:right w:val="single" w:color="auto" w:sz="4" w:space="0"/>
            </w:tcBorders>
            <w:vAlign w:val="center"/>
          </w:tcPr>
          <w:p w14:paraId="05EA57F2">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序号</w:t>
            </w:r>
          </w:p>
        </w:tc>
        <w:tc>
          <w:tcPr>
            <w:tcW w:w="1697" w:type="pct"/>
            <w:tcBorders>
              <w:top w:val="single" w:color="auto" w:sz="4" w:space="0"/>
              <w:left w:val="single" w:color="auto" w:sz="4" w:space="0"/>
              <w:bottom w:val="single" w:color="auto" w:sz="4" w:space="0"/>
              <w:right w:val="single" w:color="auto" w:sz="4" w:space="0"/>
            </w:tcBorders>
            <w:vAlign w:val="center"/>
          </w:tcPr>
          <w:p w14:paraId="5F263B78">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标项名称</w:t>
            </w:r>
          </w:p>
        </w:tc>
        <w:tc>
          <w:tcPr>
            <w:tcW w:w="2875" w:type="pct"/>
            <w:tcBorders>
              <w:top w:val="single" w:color="auto" w:sz="4" w:space="0"/>
              <w:left w:val="single" w:color="auto" w:sz="4" w:space="0"/>
              <w:bottom w:val="single" w:color="auto" w:sz="4" w:space="0"/>
            </w:tcBorders>
            <w:vAlign w:val="center"/>
          </w:tcPr>
          <w:p w14:paraId="2468FC6D">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简要规格描述或项目基本概况介绍、用途</w:t>
            </w:r>
          </w:p>
        </w:tc>
      </w:tr>
      <w:tr w14:paraId="22DEC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26" w:type="pct"/>
            <w:tcBorders>
              <w:top w:val="single" w:color="auto" w:sz="4" w:space="0"/>
              <w:right w:val="single" w:color="auto" w:sz="4" w:space="0"/>
            </w:tcBorders>
            <w:vAlign w:val="center"/>
          </w:tcPr>
          <w:p w14:paraId="33930F95">
            <w:pPr>
              <w:snapToGrid w:val="0"/>
              <w:spacing w:line="360" w:lineRule="auto"/>
              <w:jc w:val="center"/>
              <w:rPr>
                <w:rFonts w:ascii="宋体"/>
                <w:color w:val="auto"/>
                <w:szCs w:val="21"/>
                <w:highlight w:val="none"/>
              </w:rPr>
            </w:pPr>
            <w:r>
              <w:rPr>
                <w:rFonts w:ascii="宋体" w:hAnsi="宋体"/>
                <w:color w:val="auto"/>
                <w:szCs w:val="21"/>
                <w:highlight w:val="none"/>
              </w:rPr>
              <w:t>1</w:t>
            </w:r>
          </w:p>
        </w:tc>
        <w:tc>
          <w:tcPr>
            <w:tcW w:w="1697" w:type="pct"/>
            <w:tcBorders>
              <w:top w:val="single" w:color="auto" w:sz="4" w:space="0"/>
              <w:left w:val="single" w:color="auto" w:sz="4" w:space="0"/>
              <w:bottom w:val="single" w:color="auto" w:sz="4" w:space="0"/>
              <w:right w:val="single" w:color="auto" w:sz="4" w:space="0"/>
            </w:tcBorders>
            <w:vAlign w:val="center"/>
          </w:tcPr>
          <w:p w14:paraId="27AE318C">
            <w:pPr>
              <w:autoSpaceDE w:val="0"/>
              <w:autoSpaceDN w:val="0"/>
              <w:adjustRightInd w:val="0"/>
              <w:jc w:val="center"/>
              <w:rPr>
                <w:rFonts w:hint="default" w:ascii="宋体"/>
                <w:color w:val="auto"/>
                <w:szCs w:val="21"/>
                <w:highlight w:val="none"/>
                <w:lang w:val="en-US"/>
              </w:rPr>
            </w:pPr>
            <w:r>
              <w:rPr>
                <w:rFonts w:hint="eastAsia" w:ascii="宋体"/>
                <w:color w:val="auto"/>
                <w:szCs w:val="21"/>
                <w:highlight w:val="none"/>
                <w:lang w:eastAsia="zh-CN"/>
              </w:rPr>
              <w:t>2025年第七届广西稻渔丰收节暨大水面“库库魚”区域公用品牌发布活动</w:t>
            </w:r>
            <w:r>
              <w:rPr>
                <w:rFonts w:hint="eastAsia" w:ascii="宋体"/>
                <w:color w:val="auto"/>
                <w:szCs w:val="21"/>
                <w:highlight w:val="none"/>
                <w:lang w:val="en-US" w:eastAsia="zh-CN"/>
              </w:rPr>
              <w:t>分标1</w:t>
            </w:r>
          </w:p>
        </w:tc>
        <w:tc>
          <w:tcPr>
            <w:tcW w:w="2875" w:type="pct"/>
            <w:tcBorders>
              <w:top w:val="single" w:color="auto" w:sz="4" w:space="0"/>
              <w:left w:val="single" w:color="auto" w:sz="4" w:space="0"/>
            </w:tcBorders>
            <w:vAlign w:val="center"/>
          </w:tcPr>
          <w:p w14:paraId="08849EAA">
            <w:pPr>
              <w:tabs>
                <w:tab w:val="left" w:pos="180"/>
                <w:tab w:val="left" w:pos="1620"/>
              </w:tabs>
              <w:spacing w:line="360" w:lineRule="auto"/>
              <w:rPr>
                <w:rFonts w:ascii="宋体"/>
                <w:color w:val="auto"/>
                <w:szCs w:val="21"/>
                <w:highlight w:val="none"/>
              </w:rPr>
            </w:pPr>
            <w:r>
              <w:rPr>
                <w:rFonts w:hint="eastAsia" w:ascii="宋体" w:hAnsi="宋体" w:cs="宋体"/>
                <w:color w:val="auto"/>
                <w:szCs w:val="21"/>
                <w:highlight w:val="none"/>
              </w:rPr>
              <w:t>2025年第七届广西稻渔丰收节开幕式1项</w:t>
            </w:r>
            <w:r>
              <w:rPr>
                <w:rFonts w:hint="eastAsia" w:ascii="宋体" w:hAnsi="宋体" w:cs="宋体"/>
                <w:color w:val="auto"/>
                <w:szCs w:val="21"/>
                <w:highlight w:val="none"/>
                <w:lang w:eastAsia="zh-CN"/>
              </w:rPr>
              <w:t>；举办大水面产业交流与库库魚品牌发布会</w:t>
            </w:r>
            <w:r>
              <w:rPr>
                <w:rFonts w:hint="eastAsia" w:ascii="宋体" w:hAnsi="宋体" w:cs="宋体"/>
                <w:color w:val="auto"/>
                <w:szCs w:val="21"/>
                <w:highlight w:val="none"/>
                <w:lang w:val="en-US" w:eastAsia="zh-CN"/>
              </w:rPr>
              <w:t>主会场1项</w:t>
            </w:r>
            <w:r>
              <w:rPr>
                <w:rFonts w:hint="eastAsia" w:ascii="宋体" w:hAnsi="宋体" w:cs="宋体"/>
                <w:color w:val="auto"/>
                <w:kern w:val="0"/>
                <w:sz w:val="22"/>
                <w:szCs w:val="21"/>
                <w:highlight w:val="none"/>
              </w:rPr>
              <w:t>；</w:t>
            </w:r>
            <w:r>
              <w:rPr>
                <w:rFonts w:hint="eastAsia" w:ascii="宋体" w:hAnsi="宋体"/>
                <w:color w:val="auto"/>
                <w:szCs w:val="21"/>
                <w:highlight w:val="none"/>
              </w:rPr>
              <w:t>详细内容详见磋商文件。</w:t>
            </w:r>
          </w:p>
        </w:tc>
      </w:tr>
      <w:tr w14:paraId="39F2E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000" w:type="pct"/>
            <w:gridSpan w:val="3"/>
            <w:tcBorders>
              <w:top w:val="single" w:color="auto" w:sz="4" w:space="0"/>
              <w:bottom w:val="single" w:color="auto" w:sz="4" w:space="0"/>
            </w:tcBorders>
            <w:vAlign w:val="center"/>
          </w:tcPr>
          <w:p w14:paraId="57D27E8A">
            <w:pPr>
              <w:spacing w:line="360" w:lineRule="auto"/>
              <w:rPr>
                <w:rFonts w:ascii="宋体"/>
                <w:color w:val="auto"/>
                <w:szCs w:val="21"/>
                <w:highlight w:val="none"/>
              </w:rPr>
            </w:pPr>
            <w:r>
              <w:rPr>
                <w:rFonts w:hint="eastAsia" w:ascii="宋体" w:hAnsi="宋体"/>
                <w:b/>
                <w:bCs/>
                <w:color w:val="auto"/>
                <w:szCs w:val="21"/>
                <w:highlight w:val="none"/>
              </w:rPr>
              <w:t>分标</w:t>
            </w:r>
            <w:r>
              <w:rPr>
                <w:rFonts w:ascii="宋体" w:hAnsi="宋体"/>
                <w:b/>
                <w:bCs/>
                <w:color w:val="auto"/>
                <w:szCs w:val="21"/>
                <w:highlight w:val="none"/>
              </w:rPr>
              <w:t>2</w:t>
            </w:r>
            <w:r>
              <w:rPr>
                <w:rFonts w:hint="eastAsia" w:ascii="宋体" w:hAnsi="宋体"/>
                <w:b/>
                <w:bCs/>
                <w:color w:val="auto"/>
                <w:szCs w:val="21"/>
                <w:highlight w:val="none"/>
              </w:rPr>
              <w:t>；预算金额：</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67</w:t>
            </w:r>
            <w:r>
              <w:rPr>
                <w:rFonts w:hint="eastAsia" w:ascii="宋体" w:hAnsi="宋体"/>
                <w:b/>
                <w:bCs/>
                <w:color w:val="auto"/>
                <w:szCs w:val="21"/>
                <w:highlight w:val="none"/>
                <w:u w:val="single"/>
              </w:rPr>
              <w:t>.00</w:t>
            </w:r>
            <w:r>
              <w:rPr>
                <w:rFonts w:hint="eastAsia" w:ascii="宋体" w:hAnsi="宋体" w:cs="宋体"/>
                <w:b/>
                <w:bCs/>
                <w:color w:val="auto"/>
                <w:szCs w:val="21"/>
                <w:highlight w:val="none"/>
              </w:rPr>
              <w:t>万元</w:t>
            </w:r>
          </w:p>
        </w:tc>
      </w:tr>
      <w:tr w14:paraId="08095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26" w:type="pct"/>
            <w:tcBorders>
              <w:top w:val="single" w:color="auto" w:sz="4" w:space="0"/>
              <w:bottom w:val="single" w:color="auto" w:sz="4" w:space="0"/>
              <w:right w:val="single" w:color="auto" w:sz="4" w:space="0"/>
            </w:tcBorders>
            <w:vAlign w:val="center"/>
          </w:tcPr>
          <w:p w14:paraId="252D0567">
            <w:pPr>
              <w:snapToGrid w:val="0"/>
              <w:spacing w:line="360" w:lineRule="auto"/>
              <w:jc w:val="center"/>
              <w:rPr>
                <w:rFonts w:ascii="宋体"/>
                <w:color w:val="auto"/>
                <w:szCs w:val="21"/>
                <w:highlight w:val="none"/>
              </w:rPr>
            </w:pPr>
            <w:r>
              <w:rPr>
                <w:rFonts w:hint="eastAsia" w:ascii="宋体" w:hAnsi="宋体"/>
                <w:color w:val="auto"/>
                <w:szCs w:val="21"/>
                <w:highlight w:val="none"/>
              </w:rPr>
              <w:t>序号</w:t>
            </w:r>
          </w:p>
        </w:tc>
        <w:tc>
          <w:tcPr>
            <w:tcW w:w="1697" w:type="pct"/>
            <w:tcBorders>
              <w:top w:val="single" w:color="auto" w:sz="4" w:space="0"/>
              <w:left w:val="single" w:color="auto" w:sz="4" w:space="0"/>
              <w:bottom w:val="single" w:color="auto" w:sz="4" w:space="0"/>
              <w:right w:val="single" w:color="auto" w:sz="4" w:space="0"/>
            </w:tcBorders>
            <w:vAlign w:val="center"/>
          </w:tcPr>
          <w:p w14:paraId="34D8AC29">
            <w:pPr>
              <w:snapToGrid w:val="0"/>
              <w:spacing w:line="360" w:lineRule="auto"/>
              <w:jc w:val="center"/>
              <w:rPr>
                <w:rFonts w:ascii="宋体"/>
                <w:color w:val="auto"/>
                <w:szCs w:val="21"/>
                <w:highlight w:val="none"/>
              </w:rPr>
            </w:pPr>
            <w:r>
              <w:rPr>
                <w:rFonts w:hint="eastAsia" w:ascii="宋体" w:hAnsi="宋体"/>
                <w:color w:val="auto"/>
                <w:szCs w:val="21"/>
                <w:highlight w:val="none"/>
              </w:rPr>
              <w:t>标项名称</w:t>
            </w:r>
          </w:p>
        </w:tc>
        <w:tc>
          <w:tcPr>
            <w:tcW w:w="2875" w:type="pct"/>
            <w:tcBorders>
              <w:top w:val="single" w:color="auto" w:sz="4" w:space="0"/>
              <w:left w:val="single" w:color="auto" w:sz="4" w:space="0"/>
              <w:bottom w:val="single" w:color="auto" w:sz="4" w:space="0"/>
            </w:tcBorders>
            <w:vAlign w:val="center"/>
          </w:tcPr>
          <w:p w14:paraId="0755336E">
            <w:pPr>
              <w:snapToGrid w:val="0"/>
              <w:spacing w:line="360" w:lineRule="auto"/>
              <w:jc w:val="center"/>
              <w:rPr>
                <w:rFonts w:ascii="宋体"/>
                <w:color w:val="auto"/>
                <w:szCs w:val="21"/>
                <w:highlight w:val="none"/>
              </w:rPr>
            </w:pPr>
            <w:r>
              <w:rPr>
                <w:rFonts w:hint="eastAsia" w:ascii="宋体" w:hAnsi="宋体"/>
                <w:color w:val="auto"/>
                <w:szCs w:val="21"/>
                <w:highlight w:val="none"/>
              </w:rPr>
              <w:t>简要规格描述或项目基本概况介绍、用途</w:t>
            </w:r>
          </w:p>
        </w:tc>
      </w:tr>
      <w:tr w14:paraId="07558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426" w:type="pct"/>
            <w:tcBorders>
              <w:top w:val="single" w:color="auto" w:sz="4" w:space="0"/>
              <w:bottom w:val="single" w:color="auto" w:sz="4" w:space="0"/>
              <w:right w:val="single" w:color="auto" w:sz="4" w:space="0"/>
            </w:tcBorders>
            <w:vAlign w:val="center"/>
          </w:tcPr>
          <w:p w14:paraId="06525DF7">
            <w:pPr>
              <w:snapToGrid w:val="0"/>
              <w:spacing w:line="360" w:lineRule="auto"/>
              <w:jc w:val="center"/>
              <w:rPr>
                <w:rFonts w:ascii="宋体"/>
                <w:color w:val="auto"/>
                <w:szCs w:val="21"/>
                <w:highlight w:val="none"/>
              </w:rPr>
            </w:pPr>
            <w:r>
              <w:rPr>
                <w:rFonts w:ascii="宋体" w:hAnsi="宋体"/>
                <w:color w:val="auto"/>
                <w:szCs w:val="21"/>
                <w:highlight w:val="none"/>
              </w:rPr>
              <w:t>1</w:t>
            </w:r>
          </w:p>
        </w:tc>
        <w:tc>
          <w:tcPr>
            <w:tcW w:w="1697" w:type="pct"/>
            <w:tcBorders>
              <w:top w:val="single" w:color="auto" w:sz="4" w:space="0"/>
              <w:left w:val="single" w:color="auto" w:sz="4" w:space="0"/>
              <w:bottom w:val="single" w:color="auto" w:sz="4" w:space="0"/>
              <w:right w:val="single" w:color="auto" w:sz="4" w:space="0"/>
            </w:tcBorders>
            <w:vAlign w:val="center"/>
          </w:tcPr>
          <w:p w14:paraId="20C55A87">
            <w:pPr>
              <w:autoSpaceDE w:val="0"/>
              <w:autoSpaceDN w:val="0"/>
              <w:adjustRightInd w:val="0"/>
              <w:spacing w:before="50" w:after="50" w:line="360" w:lineRule="auto"/>
              <w:jc w:val="center"/>
              <w:rPr>
                <w:rFonts w:ascii="宋体"/>
                <w:color w:val="auto"/>
                <w:szCs w:val="21"/>
                <w:highlight w:val="none"/>
              </w:rPr>
            </w:pPr>
            <w:r>
              <w:rPr>
                <w:rFonts w:hint="eastAsia" w:ascii="宋体"/>
                <w:color w:val="auto"/>
                <w:szCs w:val="21"/>
                <w:highlight w:val="none"/>
                <w:lang w:eastAsia="zh-CN"/>
              </w:rPr>
              <w:t>2025年第七届广西稻渔丰收节暨大水面“库库魚”区域公用品牌发布活动</w:t>
            </w:r>
            <w:r>
              <w:rPr>
                <w:rFonts w:hint="eastAsia" w:ascii="宋体"/>
                <w:color w:val="auto"/>
                <w:szCs w:val="21"/>
                <w:highlight w:val="none"/>
                <w:lang w:val="en-US" w:eastAsia="zh-CN"/>
              </w:rPr>
              <w:t>分标2</w:t>
            </w:r>
          </w:p>
        </w:tc>
        <w:tc>
          <w:tcPr>
            <w:tcW w:w="2875" w:type="pct"/>
            <w:tcBorders>
              <w:top w:val="single" w:color="auto" w:sz="4" w:space="0"/>
              <w:left w:val="single" w:color="auto" w:sz="4" w:space="0"/>
              <w:bottom w:val="single" w:color="auto" w:sz="4" w:space="0"/>
            </w:tcBorders>
            <w:vAlign w:val="center"/>
          </w:tcPr>
          <w:p w14:paraId="40F886E5">
            <w:pPr>
              <w:snapToGrid w:val="0"/>
              <w:spacing w:line="360" w:lineRule="auto"/>
              <w:jc w:val="left"/>
              <w:rPr>
                <w:rFonts w:ascii="宋体"/>
                <w:color w:val="auto"/>
                <w:szCs w:val="21"/>
                <w:highlight w:val="none"/>
              </w:rPr>
            </w:pPr>
            <w:r>
              <w:rPr>
                <w:rFonts w:hint="eastAsia" w:ascii="宋体" w:hAnsi="宋体" w:cs="宋体"/>
                <w:color w:val="auto"/>
                <w:szCs w:val="21"/>
                <w:highlight w:val="none"/>
              </w:rPr>
              <w:t>稻渔遗产文化</w:t>
            </w:r>
            <w:r>
              <w:rPr>
                <w:rFonts w:hint="eastAsia" w:ascii="宋体" w:hAnsi="宋体" w:eastAsia="宋体" w:cs="宋体"/>
                <w:color w:val="auto"/>
                <w:szCs w:val="21"/>
                <w:highlight w:val="none"/>
              </w:rPr>
              <w:t>展览、文创作品展示、渔文旅线路宣发1项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全国和全区</w:t>
            </w:r>
            <w:r>
              <w:rPr>
                <w:rFonts w:hint="eastAsia" w:ascii="宋体" w:hAnsi="宋体" w:eastAsia="宋体" w:cs="宋体"/>
                <w:color w:val="auto"/>
                <w:szCs w:val="21"/>
                <w:highlight w:val="none"/>
                <w:lang w:eastAsia="zh-CN"/>
              </w:rPr>
              <w:t>稻渔精品</w:t>
            </w:r>
            <w:r>
              <w:rPr>
                <w:rFonts w:hint="eastAsia" w:ascii="宋体" w:hAnsi="宋体" w:eastAsia="宋体" w:cs="宋体"/>
                <w:color w:val="auto"/>
                <w:szCs w:val="21"/>
                <w:highlight w:val="none"/>
                <w:lang w:val="en-US" w:eastAsia="zh-CN"/>
              </w:rPr>
              <w:t>推介展位搭建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项；融水地方特色产品推介展位搭建1项；粤桂协作专场展位搭建1项；“赋码上市”与宣传物料1项；</w:t>
            </w:r>
            <w:r>
              <w:rPr>
                <w:rFonts w:hint="eastAsia" w:ascii="宋体" w:hAnsi="宋体" w:eastAsia="宋体" w:cs="宋体"/>
                <w:color w:val="auto"/>
                <w:szCs w:val="21"/>
                <w:highlight w:val="none"/>
              </w:rPr>
              <w:t>详细内容详见磋商文件。</w:t>
            </w:r>
          </w:p>
        </w:tc>
      </w:tr>
      <w:tr w14:paraId="77F6F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000" w:type="pct"/>
            <w:gridSpan w:val="3"/>
            <w:tcBorders>
              <w:top w:val="single" w:color="auto" w:sz="4" w:space="0"/>
              <w:bottom w:val="single" w:color="auto" w:sz="4" w:space="0"/>
            </w:tcBorders>
            <w:shd w:val="clear" w:color="auto" w:fill="auto"/>
            <w:vAlign w:val="center"/>
          </w:tcPr>
          <w:p w14:paraId="51EA5EC3">
            <w:pPr>
              <w:snapToGrid w:val="0"/>
              <w:spacing w:line="360" w:lineRule="auto"/>
              <w:jc w:val="left"/>
              <w:rPr>
                <w:rFonts w:ascii="宋体" w:hAnsi="宋体" w:cs="宋体"/>
                <w:color w:val="auto"/>
                <w:szCs w:val="21"/>
                <w:highlight w:val="none"/>
              </w:rPr>
            </w:pPr>
            <w:r>
              <w:rPr>
                <w:rFonts w:hint="eastAsia" w:ascii="宋体" w:hAnsi="宋体"/>
                <w:b/>
                <w:bCs/>
                <w:color w:val="auto"/>
                <w:szCs w:val="21"/>
                <w:highlight w:val="none"/>
              </w:rPr>
              <w:t>分标3；预算金额：</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36</w:t>
            </w:r>
            <w:r>
              <w:rPr>
                <w:rFonts w:hint="eastAsia" w:ascii="宋体" w:hAnsi="宋体"/>
                <w:b/>
                <w:bCs/>
                <w:color w:val="auto"/>
                <w:szCs w:val="21"/>
                <w:highlight w:val="none"/>
                <w:u w:val="single"/>
              </w:rPr>
              <w:t>.00万元</w:t>
            </w:r>
            <w:r>
              <w:rPr>
                <w:rFonts w:ascii="宋体" w:hAnsi="宋体" w:cs="宋体"/>
                <w:b/>
                <w:bCs/>
                <w:color w:val="auto"/>
                <w:szCs w:val="21"/>
                <w:highlight w:val="none"/>
                <w:u w:val="single"/>
              </w:rPr>
              <w:t xml:space="preserve"> </w:t>
            </w:r>
          </w:p>
        </w:tc>
      </w:tr>
      <w:tr w14:paraId="08D4F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26" w:type="pct"/>
            <w:tcBorders>
              <w:top w:val="single" w:color="auto" w:sz="4" w:space="0"/>
              <w:bottom w:val="single" w:color="auto" w:sz="4" w:space="0"/>
              <w:right w:val="single" w:color="auto" w:sz="4" w:space="0"/>
            </w:tcBorders>
            <w:shd w:val="clear" w:color="auto" w:fill="auto"/>
            <w:vAlign w:val="center"/>
          </w:tcPr>
          <w:p w14:paraId="3C680F65">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序号</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482A6780">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标项名称</w:t>
            </w:r>
          </w:p>
        </w:tc>
        <w:tc>
          <w:tcPr>
            <w:tcW w:w="2875" w:type="pct"/>
            <w:tcBorders>
              <w:top w:val="single" w:color="auto" w:sz="4" w:space="0"/>
              <w:left w:val="single" w:color="auto" w:sz="4" w:space="0"/>
              <w:bottom w:val="single" w:color="auto" w:sz="4" w:space="0"/>
            </w:tcBorders>
            <w:shd w:val="clear" w:color="auto" w:fill="auto"/>
            <w:vAlign w:val="center"/>
          </w:tcPr>
          <w:p w14:paraId="0A85FB1B">
            <w:pPr>
              <w:snapToGrid w:val="0"/>
              <w:spacing w:line="360" w:lineRule="auto"/>
              <w:jc w:val="center"/>
              <w:rPr>
                <w:rFonts w:ascii="宋体"/>
                <w:color w:val="auto"/>
                <w:szCs w:val="21"/>
                <w:highlight w:val="none"/>
                <w:u w:val="single"/>
              </w:rPr>
            </w:pPr>
            <w:r>
              <w:rPr>
                <w:rFonts w:hint="eastAsia" w:ascii="宋体" w:hAnsi="宋体"/>
                <w:color w:val="auto"/>
                <w:szCs w:val="21"/>
                <w:highlight w:val="none"/>
              </w:rPr>
              <w:t>简要规格描述或项目基本概况介绍、用途</w:t>
            </w:r>
          </w:p>
        </w:tc>
      </w:tr>
      <w:tr w14:paraId="19D23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26" w:type="pct"/>
            <w:tcBorders>
              <w:top w:val="single" w:color="auto" w:sz="4" w:space="0"/>
              <w:bottom w:val="single" w:color="auto" w:sz="4" w:space="0"/>
              <w:right w:val="single" w:color="auto" w:sz="4" w:space="0"/>
            </w:tcBorders>
            <w:shd w:val="clear" w:color="auto" w:fill="auto"/>
            <w:vAlign w:val="center"/>
          </w:tcPr>
          <w:p w14:paraId="19C563FE">
            <w:pPr>
              <w:snapToGrid w:val="0"/>
              <w:spacing w:line="360" w:lineRule="auto"/>
              <w:jc w:val="center"/>
              <w:rPr>
                <w:rFonts w:ascii="宋体"/>
                <w:color w:val="auto"/>
                <w:szCs w:val="21"/>
                <w:highlight w:val="none"/>
              </w:rPr>
            </w:pPr>
            <w:r>
              <w:rPr>
                <w:rFonts w:ascii="宋体" w:hAnsi="宋体"/>
                <w:color w:val="auto"/>
                <w:szCs w:val="21"/>
                <w:highlight w:val="none"/>
              </w:rPr>
              <w:t>1</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347C2697">
            <w:pPr>
              <w:autoSpaceDE w:val="0"/>
              <w:autoSpaceDN w:val="0"/>
              <w:adjustRightInd w:val="0"/>
              <w:jc w:val="center"/>
              <w:rPr>
                <w:rFonts w:ascii="宋体"/>
                <w:color w:val="auto"/>
                <w:szCs w:val="21"/>
                <w:highlight w:val="none"/>
              </w:rPr>
            </w:pPr>
            <w:r>
              <w:rPr>
                <w:rFonts w:hint="eastAsia" w:ascii="宋体"/>
                <w:color w:val="auto"/>
                <w:szCs w:val="21"/>
                <w:highlight w:val="none"/>
                <w:lang w:eastAsia="zh-CN"/>
              </w:rPr>
              <w:t>2025年第七届广西稻渔丰收节暨大水面“库库魚”区域公用品牌发布活动</w:t>
            </w:r>
            <w:r>
              <w:rPr>
                <w:rFonts w:hint="eastAsia" w:ascii="宋体"/>
                <w:color w:val="auto"/>
                <w:szCs w:val="21"/>
                <w:highlight w:val="none"/>
                <w:lang w:val="en-US" w:eastAsia="zh-CN"/>
              </w:rPr>
              <w:t>分标3</w:t>
            </w:r>
          </w:p>
        </w:tc>
        <w:tc>
          <w:tcPr>
            <w:tcW w:w="2875" w:type="pct"/>
            <w:tcBorders>
              <w:top w:val="single" w:color="auto" w:sz="4" w:space="0"/>
              <w:left w:val="single" w:color="auto" w:sz="4" w:space="0"/>
              <w:bottom w:val="single" w:color="auto" w:sz="4" w:space="0"/>
            </w:tcBorders>
            <w:shd w:val="clear" w:color="auto" w:fill="auto"/>
            <w:vAlign w:val="center"/>
          </w:tcPr>
          <w:p w14:paraId="475F36BD">
            <w:pPr>
              <w:tabs>
                <w:tab w:val="left" w:pos="180"/>
                <w:tab w:val="left" w:pos="1620"/>
              </w:tabs>
              <w:spacing w:line="360" w:lineRule="auto"/>
              <w:rPr>
                <w:rFonts w:ascii="宋体"/>
                <w:color w:val="auto"/>
                <w:szCs w:val="21"/>
                <w:highlight w:val="none"/>
              </w:rPr>
            </w:pPr>
            <w:r>
              <w:rPr>
                <w:rFonts w:hint="eastAsia" w:ascii="宋体" w:hAnsi="宋体" w:eastAsia="宋体" w:cs="Times New Roman"/>
                <w:color w:val="auto"/>
                <w:szCs w:val="21"/>
                <w:highlight w:val="none"/>
                <w:lang w:val="en-US" w:eastAsia="zh-CN"/>
              </w:rPr>
              <w:t>“鱼王”争霸赛</w:t>
            </w:r>
            <w:r>
              <w:rPr>
                <w:rFonts w:hint="eastAsia" w:ascii="宋体" w:hAnsi="宋体" w:eastAsia="宋体" w:cs="Times New Roman"/>
                <w:color w:val="auto"/>
                <w:szCs w:val="21"/>
                <w:highlight w:val="none"/>
              </w:rPr>
              <w:t>1项；烹饪大赛1项；专家与参展商采购商邀请</w:t>
            </w:r>
            <w:r>
              <w:rPr>
                <w:rFonts w:hint="eastAsia" w:ascii="宋体" w:hAnsi="宋体" w:eastAsia="宋体" w:cs="Times New Roman"/>
                <w:color w:val="auto"/>
                <w:szCs w:val="21"/>
                <w:highlight w:val="none"/>
                <w:lang w:val="en-US" w:eastAsia="zh-CN"/>
              </w:rPr>
              <w:t>1项；</w:t>
            </w:r>
            <w:r>
              <w:rPr>
                <w:rFonts w:hint="eastAsia" w:ascii="宋体" w:hAnsi="宋体" w:eastAsia="宋体" w:cs="Times New Roman"/>
                <w:color w:val="auto"/>
                <w:szCs w:val="21"/>
                <w:highlight w:val="none"/>
              </w:rPr>
              <w:t>详细内容详见磋商文件。</w:t>
            </w:r>
          </w:p>
        </w:tc>
      </w:tr>
      <w:tr w14:paraId="5D238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000" w:type="pct"/>
            <w:gridSpan w:val="3"/>
            <w:tcBorders>
              <w:top w:val="single" w:color="auto" w:sz="4" w:space="0"/>
              <w:bottom w:val="single" w:color="auto" w:sz="4" w:space="0"/>
            </w:tcBorders>
            <w:shd w:val="clear" w:color="auto" w:fill="auto"/>
            <w:vAlign w:val="center"/>
          </w:tcPr>
          <w:p w14:paraId="52D522DF">
            <w:pPr>
              <w:snapToGrid w:val="0"/>
              <w:spacing w:line="360" w:lineRule="auto"/>
              <w:jc w:val="left"/>
              <w:rPr>
                <w:rFonts w:ascii="宋体" w:hAnsi="宋体" w:cs="宋体"/>
                <w:color w:val="auto"/>
                <w:szCs w:val="21"/>
                <w:highlight w:val="none"/>
              </w:rPr>
            </w:pPr>
            <w:r>
              <w:rPr>
                <w:rFonts w:hint="eastAsia" w:ascii="宋体" w:hAnsi="宋体"/>
                <w:b/>
                <w:bCs/>
                <w:color w:val="auto"/>
                <w:szCs w:val="21"/>
                <w:highlight w:val="none"/>
              </w:rPr>
              <w:t>分标4；预算金额：</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13</w:t>
            </w:r>
            <w:r>
              <w:rPr>
                <w:rFonts w:hint="eastAsia" w:ascii="宋体" w:hAnsi="宋体"/>
                <w:b/>
                <w:bCs/>
                <w:color w:val="auto"/>
                <w:szCs w:val="21"/>
                <w:highlight w:val="none"/>
                <w:u w:val="single"/>
              </w:rPr>
              <w:t>.00</w:t>
            </w:r>
            <w:r>
              <w:rPr>
                <w:rFonts w:hint="eastAsia" w:ascii="宋体" w:hAnsi="宋体" w:cs="宋体"/>
                <w:b/>
                <w:bCs/>
                <w:color w:val="auto"/>
                <w:szCs w:val="21"/>
                <w:highlight w:val="none"/>
              </w:rPr>
              <w:t>万元</w:t>
            </w:r>
          </w:p>
        </w:tc>
      </w:tr>
      <w:tr w14:paraId="71362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26" w:type="pct"/>
            <w:tcBorders>
              <w:top w:val="single" w:color="auto" w:sz="4" w:space="0"/>
              <w:bottom w:val="single" w:color="auto" w:sz="4" w:space="0"/>
              <w:right w:val="single" w:color="auto" w:sz="4" w:space="0"/>
            </w:tcBorders>
            <w:shd w:val="clear" w:color="auto" w:fill="auto"/>
            <w:vAlign w:val="center"/>
          </w:tcPr>
          <w:p w14:paraId="0994B105">
            <w:pPr>
              <w:snapToGrid w:val="0"/>
              <w:spacing w:line="360" w:lineRule="auto"/>
              <w:jc w:val="center"/>
              <w:rPr>
                <w:rFonts w:ascii="宋体"/>
                <w:color w:val="auto"/>
                <w:szCs w:val="21"/>
                <w:highlight w:val="none"/>
              </w:rPr>
            </w:pPr>
            <w:r>
              <w:rPr>
                <w:rFonts w:hint="eastAsia" w:ascii="宋体" w:hAnsi="宋体"/>
                <w:color w:val="auto"/>
                <w:szCs w:val="21"/>
                <w:highlight w:val="none"/>
              </w:rPr>
              <w:t>序号</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2B397B7C">
            <w:pPr>
              <w:snapToGrid w:val="0"/>
              <w:spacing w:line="360" w:lineRule="auto"/>
              <w:jc w:val="center"/>
              <w:rPr>
                <w:rFonts w:ascii="宋体"/>
                <w:color w:val="auto"/>
                <w:szCs w:val="21"/>
                <w:highlight w:val="none"/>
              </w:rPr>
            </w:pPr>
            <w:r>
              <w:rPr>
                <w:rFonts w:hint="eastAsia" w:ascii="宋体" w:hAnsi="宋体"/>
                <w:color w:val="auto"/>
                <w:szCs w:val="21"/>
                <w:highlight w:val="none"/>
              </w:rPr>
              <w:t>标项名称</w:t>
            </w:r>
          </w:p>
        </w:tc>
        <w:tc>
          <w:tcPr>
            <w:tcW w:w="2875" w:type="pct"/>
            <w:tcBorders>
              <w:top w:val="single" w:color="auto" w:sz="4" w:space="0"/>
              <w:left w:val="single" w:color="auto" w:sz="4" w:space="0"/>
              <w:bottom w:val="single" w:color="auto" w:sz="4" w:space="0"/>
            </w:tcBorders>
            <w:shd w:val="clear" w:color="auto" w:fill="auto"/>
            <w:vAlign w:val="center"/>
          </w:tcPr>
          <w:p w14:paraId="268B6036">
            <w:pPr>
              <w:snapToGrid w:val="0"/>
              <w:spacing w:line="360" w:lineRule="auto"/>
              <w:jc w:val="center"/>
              <w:rPr>
                <w:rFonts w:ascii="宋体"/>
                <w:color w:val="auto"/>
                <w:szCs w:val="21"/>
                <w:highlight w:val="none"/>
              </w:rPr>
            </w:pPr>
            <w:r>
              <w:rPr>
                <w:rFonts w:hint="eastAsia" w:ascii="宋体" w:hAnsi="宋体"/>
                <w:color w:val="auto"/>
                <w:szCs w:val="21"/>
                <w:highlight w:val="none"/>
              </w:rPr>
              <w:t>简要规格描述或项目基本概况介绍、用途</w:t>
            </w:r>
          </w:p>
        </w:tc>
      </w:tr>
      <w:tr w14:paraId="5D145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26" w:type="pct"/>
            <w:tcBorders>
              <w:top w:val="single" w:color="auto" w:sz="4" w:space="0"/>
              <w:bottom w:val="single" w:color="auto" w:sz="4" w:space="0"/>
              <w:right w:val="single" w:color="auto" w:sz="4" w:space="0"/>
            </w:tcBorders>
            <w:shd w:val="clear" w:color="auto" w:fill="auto"/>
            <w:vAlign w:val="center"/>
          </w:tcPr>
          <w:p w14:paraId="7239B2A3">
            <w:pPr>
              <w:snapToGrid w:val="0"/>
              <w:spacing w:line="360" w:lineRule="auto"/>
              <w:jc w:val="center"/>
              <w:rPr>
                <w:rFonts w:ascii="宋体"/>
                <w:color w:val="auto"/>
                <w:szCs w:val="21"/>
                <w:highlight w:val="none"/>
              </w:rPr>
            </w:pPr>
            <w:r>
              <w:rPr>
                <w:rFonts w:ascii="宋体" w:hAnsi="宋体"/>
                <w:color w:val="auto"/>
                <w:szCs w:val="21"/>
                <w:highlight w:val="none"/>
              </w:rPr>
              <w:t>1</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14:paraId="62F86365">
            <w:pPr>
              <w:autoSpaceDE w:val="0"/>
              <w:autoSpaceDN w:val="0"/>
              <w:adjustRightInd w:val="0"/>
              <w:spacing w:before="50" w:after="50" w:line="360" w:lineRule="auto"/>
              <w:jc w:val="center"/>
              <w:rPr>
                <w:rFonts w:hint="default" w:ascii="宋体"/>
                <w:color w:val="auto"/>
                <w:szCs w:val="21"/>
                <w:highlight w:val="none"/>
                <w:lang w:val="en-US"/>
              </w:rPr>
            </w:pPr>
            <w:r>
              <w:rPr>
                <w:rFonts w:hint="eastAsia" w:ascii="宋体"/>
                <w:color w:val="auto"/>
                <w:szCs w:val="21"/>
                <w:highlight w:val="none"/>
                <w:lang w:eastAsia="zh-CN"/>
              </w:rPr>
              <w:t>2025年第七届广西稻渔丰收节暨大水面“库库魚”区域公用品牌发布活动</w:t>
            </w:r>
            <w:r>
              <w:rPr>
                <w:rFonts w:hint="eastAsia" w:ascii="宋体"/>
                <w:color w:val="auto"/>
                <w:szCs w:val="21"/>
                <w:highlight w:val="none"/>
                <w:lang w:val="en-US" w:eastAsia="zh-CN"/>
              </w:rPr>
              <w:t>分标4</w:t>
            </w:r>
          </w:p>
        </w:tc>
        <w:tc>
          <w:tcPr>
            <w:tcW w:w="2875" w:type="pct"/>
            <w:tcBorders>
              <w:top w:val="single" w:color="auto" w:sz="4" w:space="0"/>
              <w:left w:val="single" w:color="auto" w:sz="4" w:space="0"/>
              <w:bottom w:val="single" w:color="auto" w:sz="4" w:space="0"/>
            </w:tcBorders>
            <w:shd w:val="clear" w:color="auto" w:fill="auto"/>
            <w:vAlign w:val="center"/>
          </w:tcPr>
          <w:p w14:paraId="024227DB">
            <w:pPr>
              <w:snapToGrid w:val="0"/>
              <w:spacing w:line="360" w:lineRule="auto"/>
              <w:jc w:val="left"/>
              <w:rPr>
                <w:rFonts w:ascii="宋体"/>
                <w:color w:val="auto"/>
                <w:szCs w:val="21"/>
                <w:highlight w:val="none"/>
              </w:rPr>
            </w:pPr>
            <w:r>
              <w:rPr>
                <w:rFonts w:hint="eastAsia" w:ascii="宋体" w:hAnsi="宋体" w:cs="宋体"/>
                <w:color w:val="auto"/>
                <w:szCs w:val="21"/>
                <w:highlight w:val="none"/>
                <w:lang w:val="en-US" w:eastAsia="zh-CN"/>
              </w:rPr>
              <w:t>宣传推广</w:t>
            </w:r>
            <w:r>
              <w:rPr>
                <w:rFonts w:hint="eastAsia" w:ascii="宋体" w:hAnsi="宋体" w:cs="宋体"/>
                <w:color w:val="auto"/>
                <w:szCs w:val="21"/>
                <w:highlight w:val="none"/>
              </w:rPr>
              <w:t>1项；详</w:t>
            </w:r>
            <w:r>
              <w:rPr>
                <w:rFonts w:hint="eastAsia" w:ascii="宋体" w:hAnsi="宋体"/>
                <w:color w:val="auto"/>
                <w:szCs w:val="21"/>
                <w:highlight w:val="none"/>
              </w:rPr>
              <w:t>细内容详见磋商文件。</w:t>
            </w:r>
          </w:p>
        </w:tc>
      </w:tr>
    </w:tbl>
    <w:p w14:paraId="1C9DE6D5">
      <w:pPr>
        <w:spacing w:line="360" w:lineRule="auto"/>
        <w:ind w:firstLine="420" w:firstLineChars="200"/>
        <w:rPr>
          <w:color w:val="auto"/>
          <w:highlight w:val="none"/>
        </w:rPr>
      </w:pPr>
      <w:r>
        <w:rPr>
          <w:rFonts w:hint="eastAsia" w:ascii="宋体" w:hAnsi="宋体"/>
          <w:color w:val="auto"/>
          <w:szCs w:val="21"/>
          <w:highlight w:val="none"/>
        </w:rPr>
        <w:t>合同履约期限：</w:t>
      </w:r>
      <w:r>
        <w:rPr>
          <w:rFonts w:hint="eastAsia"/>
          <w:bCs/>
          <w:color w:val="auto"/>
          <w:highlight w:val="none"/>
        </w:rPr>
        <w:t>详见竞争性磋商文件。</w:t>
      </w:r>
    </w:p>
    <w:p w14:paraId="4EFFCE79">
      <w:pPr>
        <w:spacing w:line="360" w:lineRule="auto"/>
        <w:ind w:firstLine="422" w:firstLineChars="200"/>
        <w:rPr>
          <w:rFonts w:ascii="宋体" w:cs="宋体"/>
          <w:b/>
          <w:bCs/>
          <w:color w:val="auto"/>
          <w:szCs w:val="21"/>
          <w:highlight w:val="none"/>
        </w:rPr>
      </w:pPr>
      <w:r>
        <w:rPr>
          <w:rFonts w:hint="eastAsia" w:ascii="宋体" w:hAnsi="宋体"/>
          <w:b/>
          <w:bCs/>
          <w:color w:val="auto"/>
          <w:szCs w:val="21"/>
          <w:highlight w:val="none"/>
        </w:rPr>
        <w:t>本项目不接受联合体。</w:t>
      </w:r>
    </w:p>
    <w:p w14:paraId="0F9B65FB">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二、申请人的资格条件：</w:t>
      </w:r>
    </w:p>
    <w:p w14:paraId="37A6906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、满足《中华人民共和国政府采购法》第二十二条规定；</w:t>
      </w:r>
    </w:p>
    <w:p w14:paraId="7D33503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r>
        <w:rPr>
          <w:rFonts w:ascii="宋体" w:cs="宋体"/>
          <w:color w:val="auto"/>
          <w:szCs w:val="21"/>
          <w:highlight w:val="none"/>
        </w:rPr>
        <w:t> </w:t>
      </w:r>
    </w:p>
    <w:p w14:paraId="6A50A454">
      <w:pPr>
        <w:spacing w:line="360" w:lineRule="auto"/>
        <w:ind w:firstLine="420" w:firstLineChars="200"/>
        <w:rPr>
          <w:rFonts w:hint="eastAsia" w:ascii="宋体" w:eastAsia="宋体" w:cs="宋体"/>
          <w:color w:val="auto"/>
          <w:szCs w:val="21"/>
          <w:highlight w:val="none"/>
          <w:lang w:eastAsia="zh-CN"/>
        </w:rPr>
      </w:pPr>
      <w:r>
        <w:rPr>
          <w:rFonts w:ascii="宋体" w:hAnsi="宋体" w:cs="宋体"/>
          <w:color w:val="auto"/>
          <w:szCs w:val="21"/>
          <w:highlight w:val="none"/>
        </w:rPr>
        <w:t>3</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eastAsia="zh-CN"/>
        </w:rPr>
        <w:t>无。</w:t>
      </w:r>
    </w:p>
    <w:p w14:paraId="597B930C">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三、获取竞争性磋商文件</w:t>
      </w:r>
    </w:p>
    <w:p w14:paraId="31380FE4">
      <w:pPr>
        <w:spacing w:line="360" w:lineRule="auto"/>
        <w:ind w:firstLine="420" w:firstLineChars="200"/>
        <w:rPr>
          <w:rFonts w:asci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color w:val="auto"/>
          <w:highlight w:val="none"/>
        </w:rPr>
        <w:t>2025</w:t>
      </w:r>
      <w:r>
        <w:rPr>
          <w:rFonts w:hint="eastAsia" w:ascii="宋体" w:hAnsi="宋体" w:cs="宋体"/>
          <w:color w:val="auto"/>
          <w:highlight w:val="none"/>
        </w:rPr>
        <w:t>年</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29</w:t>
      </w:r>
      <w:r>
        <w:rPr>
          <w:rFonts w:hint="eastAsia" w:ascii="宋体" w:hAnsi="宋体" w:cs="宋体"/>
          <w:color w:val="auto"/>
          <w:highlight w:val="none"/>
        </w:rPr>
        <w:t>日</w:t>
      </w:r>
      <w:r>
        <w:rPr>
          <w:rFonts w:hint="eastAsia" w:ascii="宋体" w:hAnsi="宋体" w:cs="宋体"/>
          <w:color w:val="auto"/>
          <w:szCs w:val="21"/>
          <w:highlight w:val="none"/>
        </w:rPr>
        <w:t>至</w:t>
      </w:r>
      <w:r>
        <w:rPr>
          <w:rFonts w:ascii="宋体" w:hAnsi="宋体" w:cs="宋体"/>
          <w:color w:val="auto"/>
          <w:highlight w:val="none"/>
        </w:rPr>
        <w:t>2025</w:t>
      </w:r>
      <w:r>
        <w:rPr>
          <w:rFonts w:hint="eastAsia" w:ascii="宋体" w:hAnsi="宋体" w:cs="宋体"/>
          <w:color w:val="auto"/>
          <w:highlight w:val="none"/>
        </w:rPr>
        <w:t>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13</w:t>
      </w:r>
      <w:r>
        <w:rPr>
          <w:rFonts w:hint="eastAsia" w:ascii="宋体" w:hAnsi="宋体" w:cs="宋体"/>
          <w:color w:val="auto"/>
          <w:highlight w:val="none"/>
        </w:rPr>
        <w:t>日</w:t>
      </w:r>
      <w:r>
        <w:rPr>
          <w:rFonts w:hint="eastAsia" w:ascii="宋体" w:hAnsi="宋体" w:cs="宋体"/>
          <w:color w:val="auto"/>
          <w:szCs w:val="21"/>
          <w:highlight w:val="none"/>
        </w:rPr>
        <w:t>，每天上午</w:t>
      </w:r>
      <w:r>
        <w:rPr>
          <w:rFonts w:ascii="宋体" w:hAnsi="宋体" w:cs="宋体"/>
          <w:color w:val="auto"/>
          <w:szCs w:val="21"/>
          <w:highlight w:val="none"/>
        </w:rPr>
        <w:t>00:00-12:00</w:t>
      </w:r>
      <w:r>
        <w:rPr>
          <w:rFonts w:hint="eastAsia" w:ascii="宋体" w:hAnsi="宋体" w:cs="宋体"/>
          <w:color w:val="auto"/>
          <w:szCs w:val="21"/>
          <w:highlight w:val="none"/>
        </w:rPr>
        <w:t>；下午</w:t>
      </w:r>
      <w:r>
        <w:rPr>
          <w:rFonts w:ascii="宋体" w:hAnsi="宋体" w:cs="宋体"/>
          <w:color w:val="auto"/>
          <w:szCs w:val="21"/>
          <w:highlight w:val="none"/>
        </w:rPr>
        <w:t>1</w:t>
      </w:r>
      <w:r>
        <w:rPr>
          <w:rFonts w:ascii="宋体" w:hAnsi="宋体" w:cs="宋体"/>
          <w:color w:val="auto"/>
          <w:highlight w:val="none"/>
        </w:rPr>
        <w:t>2</w:t>
      </w:r>
      <w:r>
        <w:rPr>
          <w:rFonts w:ascii="宋体" w:hAnsi="宋体" w:cs="宋体"/>
          <w:color w:val="auto"/>
          <w:szCs w:val="21"/>
          <w:highlight w:val="none"/>
        </w:rPr>
        <w:t>:</w:t>
      </w:r>
      <w:r>
        <w:rPr>
          <w:rFonts w:ascii="宋体" w:cs="宋体"/>
          <w:color w:val="auto"/>
          <w:highlight w:val="none"/>
        </w:rPr>
        <w:t>00</w:t>
      </w:r>
      <w:r>
        <w:rPr>
          <w:rFonts w:ascii="宋体" w:hAnsi="宋体" w:cs="宋体"/>
          <w:color w:val="auto"/>
          <w:szCs w:val="21"/>
          <w:highlight w:val="none"/>
        </w:rPr>
        <w:t>-23:</w:t>
      </w:r>
      <w:r>
        <w:rPr>
          <w:rFonts w:ascii="宋体" w:hAnsi="宋体" w:cs="宋体"/>
          <w:color w:val="auto"/>
          <w:highlight w:val="none"/>
        </w:rPr>
        <w:t>59</w:t>
      </w:r>
      <w:r>
        <w:rPr>
          <w:rFonts w:hint="eastAsia" w:ascii="宋体" w:hAnsi="宋体" w:cs="宋体"/>
          <w:color w:val="auto"/>
          <w:szCs w:val="21"/>
          <w:highlight w:val="none"/>
        </w:rPr>
        <w:t>（北京时间，法定节假日除外）</w:t>
      </w:r>
      <w:r>
        <w:rPr>
          <w:rFonts w:hint="eastAsia" w:ascii="宋体" w:hAnsi="宋体" w:cs="宋体"/>
          <w:bCs/>
          <w:color w:val="auto"/>
          <w:kern w:val="0"/>
          <w:szCs w:val="21"/>
          <w:highlight w:val="none"/>
        </w:rPr>
        <w:t>。</w:t>
      </w:r>
    </w:p>
    <w:p w14:paraId="1BDE29FE">
      <w:pPr>
        <w:spacing w:line="360" w:lineRule="auto"/>
        <w:ind w:firstLine="420" w:firstLineChars="200"/>
        <w:rPr>
          <w:rFonts w:ascii="宋体" w:cs="宋体"/>
          <w:color w:val="auto"/>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w:t>
      </w:r>
      <w:r>
        <w:rPr>
          <w:rFonts w:ascii="宋体" w:hAnsi="宋体" w:cs="宋体"/>
          <w:color w:val="auto"/>
          <w:highlight w:val="none"/>
        </w:rPr>
        <w:t>https://www.gcy.zfcg.gxzf.gov.cn/</w:t>
      </w:r>
      <w:r>
        <w:rPr>
          <w:rFonts w:hint="eastAsia" w:ascii="宋体" w:hAnsi="宋体" w:cs="宋体"/>
          <w:color w:val="auto"/>
          <w:highlight w:val="none"/>
        </w:rPr>
        <w:t>）。</w:t>
      </w:r>
    </w:p>
    <w:p w14:paraId="2E1D2D30">
      <w:pPr>
        <w:spacing w:line="360" w:lineRule="auto"/>
        <w:ind w:firstLine="420" w:firstLineChars="200"/>
        <w:rPr>
          <w:rFonts w:ascii="宋体" w:cs="宋体"/>
          <w:bCs/>
          <w:color w:val="auto"/>
          <w:kern w:val="0"/>
          <w:szCs w:val="21"/>
          <w:highlight w:val="none"/>
        </w:rPr>
      </w:pPr>
      <w:r>
        <w:rPr>
          <w:rFonts w:hint="eastAsia" w:ascii="宋体" w:hAnsi="宋体" w:cs="宋体"/>
          <w:bCs/>
          <w:color w:val="auto"/>
          <w:kern w:val="0"/>
          <w:szCs w:val="21"/>
          <w:highlight w:val="none"/>
        </w:rPr>
        <w:t>方式：网上下载。供应商登录广西政府采购云平台</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在线申请获取采购文件（进入“项目采购”应用，在获取采购文件菜单中选择项目，申请获取采购文件）。</w:t>
      </w:r>
    </w:p>
    <w:p w14:paraId="460E8217">
      <w:pPr>
        <w:spacing w:line="360" w:lineRule="auto"/>
        <w:ind w:firstLine="420" w:firstLineChars="200"/>
        <w:rPr>
          <w:rFonts w:ascii="宋体" w:cs="宋体"/>
          <w:color w:val="auto"/>
          <w:szCs w:val="21"/>
          <w:highlight w:val="none"/>
        </w:rPr>
      </w:pPr>
      <w:r>
        <w:rPr>
          <w:rFonts w:hint="eastAsia" w:ascii="宋体" w:hAnsi="宋体" w:cs="宋体"/>
          <w:bCs/>
          <w:color w:val="auto"/>
          <w:kern w:val="0"/>
          <w:szCs w:val="21"/>
          <w:highlight w:val="none"/>
        </w:rPr>
        <w:t>售价：</w:t>
      </w:r>
      <w:r>
        <w:rPr>
          <w:rFonts w:ascii="宋体" w:cs="宋体"/>
          <w:bCs/>
          <w:color w:val="auto"/>
          <w:kern w:val="0"/>
          <w:szCs w:val="21"/>
          <w:highlight w:val="none"/>
        </w:rPr>
        <w:t>0</w:t>
      </w:r>
      <w:r>
        <w:rPr>
          <w:rFonts w:hint="eastAsia" w:ascii="宋体" w:hAnsi="宋体" w:cs="宋体"/>
          <w:bCs/>
          <w:color w:val="auto"/>
          <w:kern w:val="0"/>
          <w:szCs w:val="21"/>
          <w:highlight w:val="none"/>
        </w:rPr>
        <w:t>元。</w:t>
      </w:r>
    </w:p>
    <w:p w14:paraId="0B427761">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四、响应文件提交</w:t>
      </w:r>
    </w:p>
    <w:p w14:paraId="5B05BF93">
      <w:pPr>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、首次响应文件提交截止时间：</w:t>
      </w:r>
      <w:r>
        <w:rPr>
          <w:rFonts w:hint="eastAsia" w:ascii="宋体" w:hAnsi="宋体" w:cs="宋体"/>
          <w:bCs/>
          <w:color w:val="auto"/>
          <w:kern w:val="0"/>
          <w:szCs w:val="21"/>
          <w:highlight w:val="none"/>
          <w:lang w:eastAsia="zh-CN"/>
        </w:rPr>
        <w:t>2025年10月14日</w:t>
      </w:r>
      <w:r>
        <w:rPr>
          <w:rFonts w:ascii="宋体" w:hAnsi="宋体" w:cs="宋体"/>
          <w:bCs/>
          <w:color w:val="auto"/>
          <w:kern w:val="0"/>
          <w:szCs w:val="21"/>
          <w:highlight w:val="none"/>
        </w:rPr>
        <w:t>09</w:t>
      </w:r>
      <w:r>
        <w:rPr>
          <w:rFonts w:hint="eastAsia" w:ascii="宋体" w:hAnsi="宋体" w:cs="宋体"/>
          <w:bCs/>
          <w:color w:val="auto"/>
          <w:kern w:val="0"/>
          <w:szCs w:val="21"/>
          <w:highlight w:val="none"/>
        </w:rPr>
        <w:t>时</w:t>
      </w:r>
      <w:r>
        <w:rPr>
          <w:rFonts w:ascii="宋体" w:cs="宋体"/>
          <w:bCs/>
          <w:color w:val="auto"/>
          <w:kern w:val="0"/>
          <w:szCs w:val="21"/>
          <w:highlight w:val="none"/>
        </w:rPr>
        <w:t>00</w:t>
      </w:r>
      <w:r>
        <w:rPr>
          <w:rFonts w:hint="eastAsia" w:ascii="宋体" w:hAnsi="宋体" w:cs="宋体"/>
          <w:bCs/>
          <w:color w:val="auto"/>
          <w:kern w:val="0"/>
          <w:szCs w:val="21"/>
          <w:highlight w:val="none"/>
        </w:rPr>
        <w:t>分（北京时间）</w:t>
      </w:r>
    </w:p>
    <w:p w14:paraId="5BA6D45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、地点：通过广西政府采购云平台（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）在线提交。</w:t>
      </w:r>
    </w:p>
    <w:p w14:paraId="275374AE">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五、开启</w:t>
      </w:r>
    </w:p>
    <w:p w14:paraId="35ADC89E">
      <w:pPr>
        <w:spacing w:line="360" w:lineRule="auto"/>
        <w:ind w:firstLine="420" w:firstLineChars="200"/>
        <w:rPr>
          <w:rFonts w:ascii="宋体" w:cs="宋体"/>
          <w:bCs/>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、首次响应文件开启时间：</w:t>
      </w:r>
      <w:r>
        <w:rPr>
          <w:rFonts w:hint="eastAsia" w:ascii="宋体" w:hAnsi="宋体" w:cs="宋体"/>
          <w:bCs/>
          <w:color w:val="auto"/>
          <w:kern w:val="0"/>
          <w:szCs w:val="21"/>
          <w:highlight w:val="none"/>
          <w:lang w:eastAsia="zh-CN"/>
        </w:rPr>
        <w:t>2025年10月14日</w:t>
      </w:r>
      <w:r>
        <w:rPr>
          <w:rFonts w:ascii="宋体" w:hAnsi="宋体" w:cs="宋体"/>
          <w:bCs/>
          <w:color w:val="auto"/>
          <w:kern w:val="0"/>
          <w:szCs w:val="21"/>
          <w:highlight w:val="none"/>
        </w:rPr>
        <w:t>09</w:t>
      </w:r>
      <w:r>
        <w:rPr>
          <w:rFonts w:hint="eastAsia" w:ascii="宋体" w:hAnsi="宋体" w:cs="宋体"/>
          <w:bCs/>
          <w:color w:val="auto"/>
          <w:kern w:val="0"/>
          <w:szCs w:val="21"/>
          <w:highlight w:val="none"/>
        </w:rPr>
        <w:t>时</w:t>
      </w:r>
      <w:r>
        <w:rPr>
          <w:rFonts w:ascii="宋体" w:cs="宋体"/>
          <w:bCs/>
          <w:color w:val="auto"/>
          <w:kern w:val="0"/>
          <w:szCs w:val="21"/>
          <w:highlight w:val="none"/>
        </w:rPr>
        <w:t>00</w:t>
      </w:r>
      <w:r>
        <w:rPr>
          <w:rFonts w:hint="eastAsia" w:ascii="宋体" w:hAnsi="宋体" w:cs="宋体"/>
          <w:bCs/>
          <w:color w:val="auto"/>
          <w:kern w:val="0"/>
          <w:szCs w:val="21"/>
          <w:highlight w:val="none"/>
        </w:rPr>
        <w:t>分（北京时间）</w:t>
      </w:r>
    </w:p>
    <w:p w14:paraId="17E53B6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、地点：本项目将在广西政府采购云平台电子开标大厅解密、开启。</w:t>
      </w:r>
    </w:p>
    <w:p w14:paraId="6E894694">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六、公告期限</w:t>
      </w:r>
    </w:p>
    <w:p w14:paraId="65F5E95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4D8C6828">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七、其他补充事宜</w:t>
      </w:r>
    </w:p>
    <w:p w14:paraId="3B141859">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、磋商保证金（人民币）：分标</w:t>
      </w:r>
      <w:r>
        <w:rPr>
          <w:rFonts w:ascii="宋体" w:hAnsi="宋体" w:cs="宋体"/>
          <w:color w:val="auto"/>
          <w:szCs w:val="21"/>
          <w:highlight w:val="none"/>
        </w:rPr>
        <w:t>1</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00.00元；分标</w:t>
      </w:r>
      <w:r>
        <w:rPr>
          <w:rFonts w:ascii="宋体" w:hAnsi="宋体" w:cs="宋体"/>
          <w:color w:val="auto"/>
          <w:szCs w:val="21"/>
          <w:highlight w:val="none"/>
        </w:rPr>
        <w:t>2</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67</w:t>
      </w:r>
      <w:r>
        <w:rPr>
          <w:rFonts w:hint="eastAsia" w:ascii="宋体" w:hAnsi="宋体" w:cs="宋体"/>
          <w:color w:val="auto"/>
          <w:szCs w:val="21"/>
          <w:highlight w:val="none"/>
        </w:rPr>
        <w:t>00.00元；分标3为</w:t>
      </w:r>
      <w:r>
        <w:rPr>
          <w:rFonts w:hint="eastAsia" w:ascii="宋体" w:hAnsi="宋体" w:cs="宋体"/>
          <w:color w:val="auto"/>
          <w:szCs w:val="21"/>
          <w:highlight w:val="none"/>
          <w:lang w:val="en-US" w:eastAsia="zh-CN"/>
        </w:rPr>
        <w:t>3600.00</w:t>
      </w:r>
      <w:r>
        <w:rPr>
          <w:rFonts w:hint="eastAsia" w:ascii="宋体" w:hAnsi="宋体" w:cs="宋体"/>
          <w:color w:val="auto"/>
          <w:szCs w:val="21"/>
          <w:highlight w:val="none"/>
        </w:rPr>
        <w:t>元；分标4为</w:t>
      </w:r>
      <w:r>
        <w:rPr>
          <w:rFonts w:hint="eastAsia" w:ascii="宋体" w:hAnsi="宋体" w:cs="宋体"/>
          <w:color w:val="auto"/>
          <w:szCs w:val="21"/>
          <w:highlight w:val="none"/>
          <w:lang w:val="en-US" w:eastAsia="zh-CN"/>
        </w:rPr>
        <w:t>130</w:t>
      </w:r>
      <w:r>
        <w:rPr>
          <w:rFonts w:hint="eastAsia" w:ascii="宋体" w:hAnsi="宋体" w:cs="宋体"/>
          <w:color w:val="auto"/>
          <w:szCs w:val="21"/>
          <w:highlight w:val="none"/>
        </w:rPr>
        <w:t>0.00元。</w:t>
      </w:r>
    </w:p>
    <w:p w14:paraId="532A7AE0">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ECA103">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、根据财政部《关于在政府采购活动中查询及使用信用记录有关问题的通知》（财库〔</w:t>
      </w:r>
      <w:r>
        <w:rPr>
          <w:rFonts w:ascii="宋体" w:hAnsi="宋体" w:cs="宋体"/>
          <w:color w:val="auto"/>
          <w:szCs w:val="21"/>
          <w:highlight w:val="none"/>
        </w:rPr>
        <w:t>2016</w:t>
      </w:r>
      <w:r>
        <w:rPr>
          <w:rFonts w:hint="eastAsia" w:ascii="宋体" w:hAnsi="宋体" w:cs="宋体"/>
          <w:color w:val="auto"/>
          <w:szCs w:val="21"/>
          <w:highlight w:val="none"/>
        </w:rPr>
        <w:t>〕</w:t>
      </w:r>
      <w:r>
        <w:rPr>
          <w:rFonts w:ascii="宋体" w:hAnsi="宋体" w:cs="宋体"/>
          <w:color w:val="auto"/>
          <w:szCs w:val="21"/>
          <w:highlight w:val="none"/>
        </w:rPr>
        <w:t>125</w:t>
      </w:r>
      <w:r>
        <w:rPr>
          <w:rFonts w:hint="eastAsia" w:ascii="宋体" w:hAnsi="宋体" w:cs="宋体"/>
          <w:color w:val="auto"/>
          <w:szCs w:val="21"/>
          <w:highlight w:val="none"/>
        </w:rPr>
        <w:t>号）的规定，对在“信用中国”网站</w:t>
      </w:r>
      <w:r>
        <w:rPr>
          <w:rFonts w:ascii="宋体" w:hAnsi="宋体" w:cs="宋体"/>
          <w:color w:val="auto"/>
          <w:szCs w:val="21"/>
          <w:highlight w:val="none"/>
        </w:rPr>
        <w:t xml:space="preserve">(www.creditchina.gov.cn) </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5F453CC2">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、网上查询地址：中国政府采购网（</w:t>
      </w:r>
      <w:r>
        <w:rPr>
          <w:rFonts w:ascii="宋体" w:hAnsi="宋体" w:cs="宋体"/>
          <w:color w:val="auto"/>
          <w:szCs w:val="21"/>
          <w:highlight w:val="none"/>
        </w:rPr>
        <w:t>www.ccgp.gov.cn</w:t>
      </w:r>
      <w:r>
        <w:rPr>
          <w:rFonts w:hint="eastAsia" w:ascii="宋体" w:hAnsi="宋体" w:cs="宋体"/>
          <w:color w:val="auto"/>
          <w:szCs w:val="21"/>
          <w:highlight w:val="none"/>
        </w:rPr>
        <w:t>）、广西政府采购网（</w:t>
      </w:r>
      <w:r>
        <w:rPr>
          <w:rFonts w:ascii="宋体" w:hAnsi="宋体" w:cs="宋体"/>
          <w:color w:val="auto"/>
          <w:szCs w:val="21"/>
          <w:highlight w:val="none"/>
        </w:rPr>
        <w:t>zfcg.gxzf.gov.cn</w:t>
      </w:r>
      <w:r>
        <w:rPr>
          <w:rFonts w:hint="eastAsia" w:ascii="宋体" w:hAnsi="宋体" w:cs="宋体"/>
          <w:color w:val="auto"/>
          <w:szCs w:val="21"/>
          <w:highlight w:val="none"/>
        </w:rPr>
        <w:t>）。</w:t>
      </w:r>
    </w:p>
    <w:p w14:paraId="0E7BAE54">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、本项目需要落实的政府采购政策：</w:t>
      </w:r>
    </w:p>
    <w:p w14:paraId="0078AFAA">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）政府采购促进中小企业发展。</w:t>
      </w:r>
    </w:p>
    <w:p w14:paraId="6D50E0AC">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）政府采购支持采用本国产品的政策。</w:t>
      </w:r>
    </w:p>
    <w:p w14:paraId="23BCF4E2">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）强制采购节能产品；优先采购节能产品、环境标志产品。</w:t>
      </w:r>
    </w:p>
    <w:p w14:paraId="2ABC12F4">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）政府采购促进残疾人就业政策。</w:t>
      </w:r>
    </w:p>
    <w:p w14:paraId="4AEBA43D">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）政府采购支持监狱企业发展。</w:t>
      </w:r>
    </w:p>
    <w:p w14:paraId="6D42CD6F">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）扶持不发达地区和少数民族地区政策</w:t>
      </w:r>
    </w:p>
    <w:p w14:paraId="673FD822">
      <w:pPr>
        <w:widowControl/>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、磋商注意事项：</w:t>
      </w:r>
    </w:p>
    <w:bookmarkEnd w:id="9"/>
    <w:p w14:paraId="104466AD">
      <w:pPr>
        <w:spacing w:line="360" w:lineRule="auto"/>
        <w:ind w:firstLine="630" w:firstLineChars="3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）本项目为全流程电子化采购项目，通过“广西政府采购云平台”（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）实行在线电子竞标，供应商应先安装“广西政府采购云平台新版客户端”（新版客户端下载路径：请自行前往广西政府采购网（访问地址</w:t>
      </w:r>
      <w:r>
        <w:rPr>
          <w:rFonts w:ascii="宋体" w:hAnsi="宋体" w:cs="宋体"/>
          <w:color w:val="auto"/>
          <w:szCs w:val="21"/>
          <w:highlight w:val="none"/>
        </w:rPr>
        <w:t>http://zfcg.gxzf.gov.cn/</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办事服务</w:t>
      </w:r>
      <w:r>
        <w:rPr>
          <w:rFonts w:ascii="宋体" w:hAnsi="宋体" w:cs="宋体"/>
          <w:color w:val="auto"/>
          <w:szCs w:val="21"/>
          <w:highlight w:val="none"/>
        </w:rPr>
        <w:t>—</w:t>
      </w:r>
      <w:r>
        <w:rPr>
          <w:rFonts w:hint="eastAsia" w:ascii="宋体" w:hAnsi="宋体" w:cs="宋体"/>
          <w:color w:val="auto"/>
          <w:szCs w:val="21"/>
          <w:highlight w:val="none"/>
        </w:rPr>
        <w:t>下载专区），并按照本项目竞争性磋商文件和“广西政府采购云平台”的要求编制、加密后在竞标截止时间前通过网络上传至</w:t>
      </w:r>
      <w:r>
        <w:rPr>
          <w:rFonts w:ascii="宋体" w:hAnsi="宋体" w:cs="宋体"/>
          <w:color w:val="auto"/>
          <w:szCs w:val="21"/>
          <w:highlight w:val="none"/>
        </w:rPr>
        <w:t xml:space="preserve"> </w:t>
      </w:r>
      <w:r>
        <w:rPr>
          <w:rFonts w:hint="eastAsia" w:ascii="宋体" w:hAnsi="宋体" w:cs="宋体"/>
          <w:color w:val="auto"/>
          <w:szCs w:val="21"/>
          <w:highlight w:val="none"/>
        </w:rPr>
        <w:t>“广西政府采购云平台”，供应商在“广西政府采购云平台”提交电子响应文件时，请填写参加远程开标活动经办人联系方式。供应商登录“广西政府采购云平台”，依次进入“服务中心</w:t>
      </w:r>
      <w:r>
        <w:rPr>
          <w:rFonts w:ascii="宋体" w:cs="宋体"/>
          <w:color w:val="auto"/>
          <w:szCs w:val="21"/>
          <w:highlight w:val="none"/>
        </w:rPr>
        <w:t>-</w:t>
      </w:r>
      <w:r>
        <w:rPr>
          <w:rFonts w:hint="eastAsia" w:ascii="宋体" w:hAnsi="宋体" w:cs="宋体"/>
          <w:color w:val="auto"/>
          <w:szCs w:val="21"/>
          <w:highlight w:val="none"/>
        </w:rPr>
        <w:t>项目采购</w:t>
      </w:r>
      <w:r>
        <w:rPr>
          <w:rFonts w:ascii="宋体" w:cs="宋体"/>
          <w:color w:val="auto"/>
          <w:szCs w:val="21"/>
          <w:highlight w:val="none"/>
        </w:rPr>
        <w:t>-</w:t>
      </w:r>
      <w:r>
        <w:rPr>
          <w:rFonts w:hint="eastAsia" w:ascii="宋体" w:hAnsi="宋体" w:cs="宋体"/>
          <w:color w:val="auto"/>
          <w:szCs w:val="21"/>
          <w:highlight w:val="none"/>
        </w:rPr>
        <w:t>操作流程</w:t>
      </w:r>
      <w:r>
        <w:rPr>
          <w:rFonts w:ascii="宋体" w:cs="宋体"/>
          <w:color w:val="auto"/>
          <w:szCs w:val="21"/>
          <w:highlight w:val="none"/>
        </w:rPr>
        <w:t>-</w:t>
      </w:r>
      <w:r>
        <w:rPr>
          <w:rFonts w:hint="eastAsia" w:ascii="宋体" w:hAnsi="宋体" w:cs="宋体"/>
          <w:color w:val="auto"/>
          <w:szCs w:val="21"/>
          <w:highlight w:val="none"/>
        </w:rPr>
        <w:t>电子招投标</w:t>
      </w:r>
      <w:r>
        <w:rPr>
          <w:rFonts w:ascii="宋体" w:cs="宋体"/>
          <w:color w:val="auto"/>
          <w:szCs w:val="21"/>
          <w:highlight w:val="none"/>
        </w:rPr>
        <w:t>-</w:t>
      </w:r>
      <w:r>
        <w:rPr>
          <w:rFonts w:hint="eastAsia" w:ascii="宋体" w:hAnsi="宋体" w:cs="宋体"/>
          <w:color w:val="auto"/>
          <w:szCs w:val="21"/>
          <w:highlight w:val="none"/>
        </w:rPr>
        <w:t>政府采购项目电子交易管理操作指南</w:t>
      </w:r>
      <w:r>
        <w:rPr>
          <w:rFonts w:ascii="宋体" w:cs="宋体"/>
          <w:color w:val="auto"/>
          <w:szCs w:val="21"/>
          <w:highlight w:val="none"/>
        </w:rPr>
        <w:t>-</w:t>
      </w:r>
      <w:r>
        <w:rPr>
          <w:rFonts w:hint="eastAsia" w:ascii="宋体" w:hAnsi="宋体" w:cs="宋体"/>
          <w:color w:val="auto"/>
          <w:szCs w:val="21"/>
          <w:highlight w:val="none"/>
        </w:rPr>
        <w:t>供应商”查看电子竞标具体操作流程。</w:t>
      </w:r>
    </w:p>
    <w:p w14:paraId="4E6E693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）未进行网上注册并办理数字证书（</w:t>
      </w:r>
      <w:r>
        <w:rPr>
          <w:rFonts w:ascii="宋体" w:hAnsi="宋体" w:cs="宋体"/>
          <w:color w:val="auto"/>
          <w:szCs w:val="21"/>
          <w:highlight w:val="none"/>
        </w:rPr>
        <w:t>CA</w:t>
      </w:r>
      <w:r>
        <w:rPr>
          <w:rFonts w:hint="eastAsia" w:ascii="宋体" w:hAnsi="宋体" w:cs="宋体"/>
          <w:color w:val="auto"/>
          <w:szCs w:val="21"/>
          <w:highlight w:val="none"/>
        </w:rPr>
        <w:t>认证）的供应商将无法参与本项目政府采购活动，供应商应当在竞标截止时间前，完成电子交易平台上的</w:t>
      </w:r>
      <w:r>
        <w:rPr>
          <w:rFonts w:ascii="宋体" w:hAnsi="宋体" w:cs="宋体"/>
          <w:color w:val="auto"/>
          <w:szCs w:val="21"/>
          <w:highlight w:val="none"/>
        </w:rPr>
        <w:t>CA</w:t>
      </w:r>
      <w:r>
        <w:rPr>
          <w:rFonts w:hint="eastAsia" w:ascii="宋体" w:hAnsi="宋体" w:cs="宋体"/>
          <w:color w:val="auto"/>
          <w:szCs w:val="21"/>
          <w:highlight w:val="none"/>
        </w:rPr>
        <w:t>数字证书办理及响应文件的提交（供应商可登录“广西政府采购网”，依次进入“办事服务</w:t>
      </w:r>
      <w:r>
        <w:rPr>
          <w:rFonts w:ascii="宋体" w:cs="宋体"/>
          <w:color w:val="auto"/>
          <w:szCs w:val="21"/>
          <w:highlight w:val="none"/>
        </w:rPr>
        <w:t>-</w:t>
      </w:r>
      <w:r>
        <w:rPr>
          <w:rFonts w:hint="eastAsia" w:ascii="宋体" w:hAnsi="宋体" w:cs="宋体"/>
          <w:color w:val="auto"/>
          <w:szCs w:val="21"/>
          <w:highlight w:val="none"/>
        </w:rPr>
        <w:t>下载专区”或者登陆“广西政府采购云平台”，依次进入“服务中心</w:t>
      </w:r>
      <w:r>
        <w:rPr>
          <w:rFonts w:ascii="宋体" w:cs="宋体"/>
          <w:color w:val="auto"/>
          <w:szCs w:val="21"/>
          <w:highlight w:val="none"/>
        </w:rPr>
        <w:t>-</w:t>
      </w:r>
      <w:r>
        <w:rPr>
          <w:rFonts w:hint="eastAsia" w:ascii="宋体" w:hAnsi="宋体" w:cs="宋体"/>
          <w:color w:val="auto"/>
          <w:szCs w:val="21"/>
          <w:highlight w:val="none"/>
        </w:rPr>
        <w:t>入驻与配置”中查看</w:t>
      </w:r>
      <w:r>
        <w:rPr>
          <w:rFonts w:ascii="宋体" w:hAnsi="宋体" w:cs="宋体"/>
          <w:color w:val="auto"/>
          <w:szCs w:val="21"/>
          <w:highlight w:val="none"/>
        </w:rPr>
        <w:t>CA</w:t>
      </w:r>
      <w:r>
        <w:rPr>
          <w:rFonts w:hint="eastAsia" w:ascii="宋体" w:hAnsi="宋体" w:cs="宋体"/>
          <w:color w:val="auto"/>
          <w:szCs w:val="21"/>
          <w:highlight w:val="none"/>
        </w:rPr>
        <w:t>数字证书办理操作流程。如在操作过程中遇到问题或者需要技术支持，请致电</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客服热线：</w:t>
      </w:r>
      <w:r>
        <w:rPr>
          <w:rFonts w:ascii="宋体" w:hAnsi="宋体" w:cs="宋体"/>
          <w:color w:val="auto"/>
          <w:szCs w:val="21"/>
          <w:highlight w:val="none"/>
        </w:rPr>
        <w:t>95763</w:t>
      </w:r>
      <w:r>
        <w:rPr>
          <w:rFonts w:hint="eastAsia" w:ascii="宋体" w:hAnsi="宋体" w:cs="宋体"/>
          <w:color w:val="auto"/>
          <w:szCs w:val="21"/>
          <w:highlight w:val="none"/>
        </w:rPr>
        <w:t>）。</w:t>
      </w:r>
    </w:p>
    <w:p w14:paraId="1087383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CA</w:t>
      </w:r>
      <w:r>
        <w:rPr>
          <w:rFonts w:hint="eastAsia" w:ascii="宋体" w:hAnsi="宋体" w:cs="宋体"/>
          <w:color w:val="auto"/>
          <w:szCs w:val="21"/>
          <w:highlight w:val="none"/>
        </w:rPr>
        <w:t>证书在线解密：供应商竞标时，需凭制作响应文件时用来加密的有效数字证书（</w:t>
      </w:r>
      <w:r>
        <w:rPr>
          <w:rFonts w:ascii="宋体" w:hAnsi="宋体" w:cs="宋体"/>
          <w:color w:val="auto"/>
          <w:szCs w:val="21"/>
          <w:highlight w:val="none"/>
        </w:rPr>
        <w:t>CA</w:t>
      </w:r>
      <w:r>
        <w:rPr>
          <w:rFonts w:hint="eastAsia" w:ascii="宋体" w:hAnsi="宋体" w:cs="宋体"/>
          <w:color w:val="auto"/>
          <w:szCs w:val="21"/>
          <w:highlight w:val="none"/>
        </w:rPr>
        <w:t>认证）登录“广西政府采购云平台”电子开标大厅现场按规定时间对加密的响应文件进行解密，否则后果自负。</w:t>
      </w:r>
    </w:p>
    <w:p w14:paraId="5F4D85B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）为确保网上操作合法、有效和安全，请供应商确保在电子投标过程中能够对相关数据电文进行加密和使用电子签章，妥善保管</w:t>
      </w:r>
      <w:r>
        <w:rPr>
          <w:rFonts w:ascii="宋体" w:hAnsi="宋体" w:cs="宋体"/>
          <w:color w:val="auto"/>
          <w:szCs w:val="21"/>
          <w:highlight w:val="none"/>
        </w:rPr>
        <w:t>CA</w:t>
      </w:r>
      <w:r>
        <w:rPr>
          <w:rFonts w:hint="eastAsia" w:ascii="宋体" w:hAnsi="宋体" w:cs="宋体"/>
          <w:color w:val="auto"/>
          <w:szCs w:val="21"/>
          <w:highlight w:val="none"/>
        </w:rPr>
        <w:t>数字证书并使用有效的</w:t>
      </w:r>
      <w:r>
        <w:rPr>
          <w:rFonts w:ascii="宋体" w:hAnsi="宋体" w:cs="宋体"/>
          <w:color w:val="auto"/>
          <w:szCs w:val="21"/>
          <w:highlight w:val="none"/>
        </w:rPr>
        <w:t>CA</w:t>
      </w:r>
      <w:r>
        <w:rPr>
          <w:rFonts w:hint="eastAsia" w:ascii="宋体" w:hAnsi="宋体" w:cs="宋体"/>
          <w:color w:val="auto"/>
          <w:szCs w:val="21"/>
          <w:highlight w:val="none"/>
        </w:rPr>
        <w:t>数字证书参与整个采购活动。</w:t>
      </w:r>
      <w:r>
        <w:rPr>
          <w:rFonts w:ascii="宋体" w:hAnsi="宋体" w:cs="宋体"/>
          <w:color w:val="auto"/>
          <w:szCs w:val="21"/>
          <w:highlight w:val="none"/>
        </w:rPr>
        <w:t>2</w:t>
      </w:r>
      <w:r>
        <w:rPr>
          <w:rFonts w:hint="eastAsia" w:ascii="宋体" w:hAnsi="宋体" w:cs="宋体"/>
          <w:color w:val="auto"/>
          <w:szCs w:val="21"/>
          <w:highlight w:val="none"/>
        </w:rPr>
        <w:t>）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6F20153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）供应商需要在具备有摄像头及语音功能且互联网网络状况良好的电脑登录“广西政府采购云平台”远程开标大厅参与本次磋商，否则后果自负。</w:t>
      </w:r>
    </w:p>
    <w:p w14:paraId="7F938B4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）若对项目采购电子交易系统操作有疑问，可登录“广西政府采购云平台”（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），点击右侧咨询小采，获取采小蜜智能服务管家帮助，或拨打广西政府采购云平台服务热线</w:t>
      </w:r>
      <w:r>
        <w:rPr>
          <w:rFonts w:ascii="宋体" w:hAnsi="宋体" w:cs="宋体"/>
          <w:color w:val="auto"/>
          <w:szCs w:val="21"/>
          <w:highlight w:val="none"/>
        </w:rPr>
        <w:t>95763</w:t>
      </w:r>
      <w:r>
        <w:rPr>
          <w:rFonts w:hint="eastAsia" w:ascii="宋体" w:hAnsi="宋体" w:cs="宋体"/>
          <w:color w:val="auto"/>
          <w:szCs w:val="21"/>
          <w:highlight w:val="none"/>
        </w:rPr>
        <w:t>获取热线服务帮助。</w:t>
      </w:r>
    </w:p>
    <w:p w14:paraId="5C41A4D5">
      <w:pPr>
        <w:spacing w:line="360" w:lineRule="auto"/>
        <w:ind w:firstLine="354" w:firstLineChars="147"/>
        <w:rPr>
          <w:rFonts w:asci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10"/>
      <w:bookmarkEnd w:id="11"/>
      <w:bookmarkEnd w:id="12"/>
      <w:bookmarkEnd w:id="13"/>
      <w:bookmarkEnd w:id="14"/>
    </w:p>
    <w:p w14:paraId="1A77645E">
      <w:pPr>
        <w:spacing w:line="360" w:lineRule="auto"/>
        <w:ind w:firstLine="567" w:firstLineChars="270"/>
        <w:rPr>
          <w:rFonts w:hint="eastAsia" w:ascii="宋体" w:hAnsi="宋体" w:cs="宋体"/>
          <w:color w:val="auto"/>
          <w:szCs w:val="21"/>
          <w:highlight w:val="none"/>
        </w:rPr>
      </w:pPr>
      <w:bookmarkStart w:id="15" w:name="_Toc28359086"/>
      <w:bookmarkStart w:id="16" w:name="_Toc28359009"/>
      <w:bookmarkStart w:id="17" w:name="_Toc28359019"/>
      <w:bookmarkStart w:id="18" w:name="_Toc35393637"/>
      <w:bookmarkStart w:id="19" w:name="_Toc35393806"/>
      <w:bookmarkStart w:id="20" w:name="_Toc28359096"/>
      <w:r>
        <w:rPr>
          <w:rFonts w:hint="eastAsia" w:ascii="宋体" w:hAnsi="宋体" w:cs="宋体"/>
          <w:color w:val="auto"/>
          <w:szCs w:val="21"/>
          <w:highlight w:val="none"/>
        </w:rPr>
        <w:t>1.采购人信息</w:t>
      </w:r>
    </w:p>
    <w:p w14:paraId="06557D2E">
      <w:pPr>
        <w:spacing w:line="360" w:lineRule="auto"/>
        <w:ind w:firstLine="567" w:firstLineChars="270"/>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广西壮族自治区水产技术推广站</w:t>
      </w:r>
    </w:p>
    <w:p w14:paraId="67ADBEB7">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地址：南宁市青秀区七星路135-1号</w:t>
      </w:r>
    </w:p>
    <w:p w14:paraId="2F66CBB6">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联系方式：罗工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0771-2869101</w:t>
      </w:r>
      <w:r>
        <w:rPr>
          <w:rFonts w:ascii="宋体" w:hAnsi="宋体" w:cs="宋体"/>
          <w:color w:val="auto"/>
          <w:szCs w:val="21"/>
          <w:highlight w:val="none"/>
        </w:rPr>
        <w:t xml:space="preserve">     </w:t>
      </w:r>
    </w:p>
    <w:p w14:paraId="5319E8A0">
      <w:pPr>
        <w:spacing w:line="360" w:lineRule="auto"/>
        <w:ind w:firstLine="567" w:firstLineChars="27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采购代理机构信息</w:t>
      </w:r>
      <w:bookmarkEnd w:id="15"/>
      <w:bookmarkEnd w:id="16"/>
    </w:p>
    <w:p w14:paraId="54A33D8D">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称：广西国泰招标咨询有限公司</w:t>
      </w:r>
    </w:p>
    <w:p w14:paraId="2253C0BD">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　址：广西南宁市民族大道</w:t>
      </w:r>
      <w:r>
        <w:rPr>
          <w:rFonts w:ascii="宋体" w:hAnsi="宋体" w:cs="宋体"/>
          <w:color w:val="auto"/>
          <w:szCs w:val="21"/>
          <w:highlight w:val="none"/>
        </w:rPr>
        <w:t>141</w:t>
      </w:r>
      <w:r>
        <w:rPr>
          <w:rFonts w:hint="eastAsia" w:ascii="宋体" w:hAnsi="宋体" w:cs="宋体"/>
          <w:color w:val="auto"/>
          <w:szCs w:val="21"/>
          <w:highlight w:val="none"/>
        </w:rPr>
        <w:t>号中鼎万象东方大厦</w:t>
      </w:r>
      <w:r>
        <w:rPr>
          <w:rFonts w:ascii="宋体" w:hAnsi="宋体" w:cs="宋体"/>
          <w:color w:val="auto"/>
          <w:szCs w:val="21"/>
          <w:highlight w:val="none"/>
        </w:rPr>
        <w:t>D</w:t>
      </w:r>
      <w:r>
        <w:rPr>
          <w:rFonts w:hint="eastAsia" w:ascii="宋体" w:hAnsi="宋体" w:cs="宋体"/>
          <w:color w:val="auto"/>
          <w:szCs w:val="21"/>
          <w:highlight w:val="none"/>
        </w:rPr>
        <w:t>区六层</w:t>
      </w:r>
      <w:r>
        <w:rPr>
          <w:rFonts w:ascii="宋体" w:hAnsi="宋体" w:cs="宋体"/>
          <w:color w:val="auto"/>
          <w:szCs w:val="21"/>
          <w:highlight w:val="none"/>
        </w:rPr>
        <w:t>D607</w:t>
      </w:r>
    </w:p>
    <w:p w14:paraId="48AFC93C">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w:t>
      </w:r>
      <w:bookmarkStart w:id="21" w:name="_Toc28359087"/>
      <w:bookmarkStart w:id="22" w:name="_Toc28359010"/>
      <w:r>
        <w:rPr>
          <w:rFonts w:hint="eastAsia" w:ascii="宋体" w:hAnsi="宋体" w:cs="宋体"/>
          <w:color w:val="auto"/>
          <w:szCs w:val="21"/>
          <w:highlight w:val="none"/>
        </w:rPr>
        <w:t>黄</w:t>
      </w:r>
      <w:r>
        <w:rPr>
          <w:rFonts w:hint="eastAsia" w:ascii="宋体" w:hAnsi="宋体" w:cs="宋体"/>
          <w:color w:val="auto"/>
          <w:szCs w:val="21"/>
          <w:highlight w:val="none"/>
          <w:lang w:val="en-US" w:eastAsia="zh-CN"/>
        </w:rPr>
        <w:t>柳娜</w:t>
      </w:r>
      <w:r>
        <w:rPr>
          <w:rFonts w:ascii="宋体" w:hAnsi="宋体" w:cs="宋体"/>
          <w:color w:val="auto"/>
          <w:szCs w:val="21"/>
          <w:highlight w:val="none"/>
        </w:rPr>
        <w:t xml:space="preserve">   0771-2023496</w:t>
      </w:r>
      <w:r>
        <w:rPr>
          <w:rFonts w:hint="eastAsia" w:ascii="宋体" w:hAnsi="宋体" w:cs="宋体"/>
          <w:color w:val="auto"/>
          <w:szCs w:val="21"/>
          <w:highlight w:val="none"/>
        </w:rPr>
        <w:t>　</w:t>
      </w:r>
    </w:p>
    <w:p w14:paraId="59F9AB82">
      <w:pPr>
        <w:spacing w:line="360" w:lineRule="auto"/>
        <w:ind w:firstLine="567" w:firstLineChars="27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项目联系方式</w:t>
      </w:r>
      <w:bookmarkEnd w:id="21"/>
      <w:bookmarkEnd w:id="22"/>
    </w:p>
    <w:p w14:paraId="70E56926">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项目联系人：</w:t>
      </w:r>
      <w:r>
        <w:rPr>
          <w:rFonts w:ascii="宋体" w:hAnsi="宋体" w:cs="宋体"/>
          <w:color w:val="auto"/>
          <w:szCs w:val="21"/>
          <w:highlight w:val="none"/>
        </w:rPr>
        <w:t xml:space="preserve">  </w:t>
      </w:r>
      <w:r>
        <w:rPr>
          <w:rFonts w:hint="eastAsia" w:ascii="宋体" w:hAnsi="宋体" w:cs="宋体"/>
          <w:color w:val="auto"/>
          <w:szCs w:val="21"/>
          <w:highlight w:val="none"/>
        </w:rPr>
        <w:t>黄</w:t>
      </w:r>
      <w:r>
        <w:rPr>
          <w:rFonts w:hint="eastAsia" w:ascii="宋体" w:hAnsi="宋体" w:cs="宋体"/>
          <w:color w:val="auto"/>
          <w:szCs w:val="21"/>
          <w:highlight w:val="none"/>
          <w:lang w:val="en-US" w:eastAsia="zh-CN"/>
        </w:rPr>
        <w:t>柳娜</w:t>
      </w:r>
      <w:r>
        <w:rPr>
          <w:rFonts w:ascii="宋体" w:hAnsi="宋体" w:cs="宋体"/>
          <w:color w:val="auto"/>
          <w:szCs w:val="21"/>
          <w:highlight w:val="none"/>
        </w:rPr>
        <w:t xml:space="preserve">      </w:t>
      </w:r>
    </w:p>
    <w:p w14:paraId="35A5BDD1">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电　话：　</w:t>
      </w:r>
      <w:r>
        <w:rPr>
          <w:rFonts w:ascii="宋体" w:hAnsi="宋体" w:cs="宋体"/>
          <w:color w:val="auto"/>
          <w:szCs w:val="21"/>
          <w:highlight w:val="none"/>
        </w:rPr>
        <w:t>0771-2023496</w:t>
      </w:r>
      <w:r>
        <w:rPr>
          <w:rFonts w:hint="eastAsia" w:ascii="宋体" w:hAnsi="宋体" w:cs="宋体"/>
          <w:color w:val="auto"/>
          <w:szCs w:val="21"/>
          <w:highlight w:val="none"/>
        </w:rPr>
        <w:t>　　</w:t>
      </w:r>
    </w:p>
    <w:p w14:paraId="50E7AB0C">
      <w:pPr>
        <w:spacing w:line="360" w:lineRule="auto"/>
        <w:ind w:firstLine="567" w:firstLineChars="270"/>
        <w:rPr>
          <w:rFonts w:ascii="宋体" w:cs="宋体"/>
          <w:color w:val="auto"/>
          <w:szCs w:val="21"/>
          <w:highlight w:val="none"/>
        </w:rPr>
      </w:pPr>
      <w:r>
        <w:rPr>
          <w:rFonts w:hint="eastAsia" w:ascii="宋体" w:hAnsi="宋体" w:cs="宋体"/>
          <w:color w:val="auto"/>
          <w:szCs w:val="21"/>
          <w:highlight w:val="none"/>
        </w:rPr>
        <w:t>　　</w:t>
      </w:r>
    </w:p>
    <w:p w14:paraId="2DE4A403">
      <w:pPr>
        <w:spacing w:line="360" w:lineRule="auto"/>
        <w:ind w:firstLine="567" w:firstLineChars="270"/>
        <w:rPr>
          <w:rFonts w:ascii="宋体" w:cs="宋体"/>
          <w:color w:val="auto"/>
          <w:szCs w:val="21"/>
          <w:highlight w:val="none"/>
        </w:rPr>
      </w:pPr>
      <w:r>
        <w:rPr>
          <w:rFonts w:hint="eastAsia" w:ascii="宋体" w:hAnsi="宋体" w:cs="宋体"/>
          <w:color w:val="auto"/>
          <w:szCs w:val="21"/>
          <w:highlight w:val="none"/>
        </w:rPr>
        <w:t>　　　　　　　　</w:t>
      </w:r>
    </w:p>
    <w:p w14:paraId="27F79CB5">
      <w:pPr>
        <w:spacing w:line="360" w:lineRule="auto"/>
        <w:ind w:firstLine="6862" w:firstLineChars="3268"/>
        <w:rPr>
          <w:rFonts w:ascii="宋体" w:cs="宋体"/>
          <w:color w:val="auto"/>
          <w:szCs w:val="21"/>
          <w:highlight w:val="none"/>
        </w:rPr>
      </w:pPr>
      <w:r>
        <w:rPr>
          <w:rFonts w:hint="eastAsia" w:ascii="宋体" w:hAnsi="宋体" w:cs="宋体"/>
          <w:color w:val="auto"/>
          <w:szCs w:val="21"/>
          <w:highlight w:val="none"/>
        </w:rPr>
        <w:t>广西国泰招标咨询有限公司</w:t>
      </w:r>
    </w:p>
    <w:p w14:paraId="1250655F">
      <w:pPr>
        <w:spacing w:line="360" w:lineRule="auto"/>
        <w:ind w:firstLine="6652" w:firstLineChars="3168"/>
        <w:jc w:val="center"/>
        <w:rPr>
          <w:rFonts w:ascii="宋体" w:cs="宋体"/>
          <w:color w:val="auto"/>
          <w:sz w:val="32"/>
          <w:szCs w:val="32"/>
          <w:highlight w:val="none"/>
        </w:rPr>
      </w:pPr>
      <w:r>
        <w:rPr>
          <w:rFonts w:ascii="宋体" w:hAnsi="宋体" w:cs="宋体"/>
          <w:color w:val="auto"/>
          <w:szCs w:val="21"/>
          <w:highlight w:val="none"/>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ascii="宋体" w:hAnsi="宋体" w:cs="宋体"/>
          <w:color w:val="auto"/>
          <w:szCs w:val="21"/>
          <w:highlight w:val="none"/>
        </w:rPr>
        <w:t xml:space="preserve">                                           </w:t>
      </w:r>
      <w:bookmarkEnd w:id="2"/>
      <w:bookmarkEnd w:id="17"/>
      <w:bookmarkEnd w:id="18"/>
      <w:bookmarkEnd w:id="19"/>
      <w:bookmarkEnd w:id="20"/>
      <w:r>
        <w:rPr>
          <w:rFonts w:ascii="宋体" w:hAnsi="宋体" w:cs="宋体"/>
          <w:color w:val="auto"/>
          <w:szCs w:val="21"/>
          <w:highlight w:val="none"/>
        </w:rPr>
        <w:br w:type="page"/>
      </w:r>
      <w:bookmarkStart w:id="23" w:name="_Toc23903"/>
      <w:r>
        <w:rPr>
          <w:rStyle w:val="40"/>
          <w:rFonts w:hint="eastAsia"/>
          <w:color w:val="auto"/>
          <w:highlight w:val="none"/>
        </w:rPr>
        <w:t>第二章</w:t>
      </w:r>
      <w:r>
        <w:rPr>
          <w:rStyle w:val="40"/>
          <w:color w:val="auto"/>
          <w:highlight w:val="none"/>
        </w:rPr>
        <w:t xml:space="preserve"> </w:t>
      </w:r>
      <w:r>
        <w:rPr>
          <w:rStyle w:val="40"/>
          <w:rFonts w:hint="eastAsia"/>
          <w:color w:val="auto"/>
          <w:highlight w:val="none"/>
        </w:rPr>
        <w:t>供应商须知</w:t>
      </w:r>
      <w:bookmarkEnd w:id="23"/>
    </w:p>
    <w:p w14:paraId="663CD23A">
      <w:pPr>
        <w:jc w:val="center"/>
        <w:rPr>
          <w:b/>
          <w:bCs/>
          <w:color w:val="auto"/>
          <w:sz w:val="32"/>
          <w:szCs w:val="32"/>
          <w:highlight w:val="none"/>
        </w:rPr>
      </w:pPr>
      <w:r>
        <w:rPr>
          <w:rFonts w:hint="eastAsia"/>
          <w:b/>
          <w:bCs/>
          <w:color w:val="auto"/>
          <w:sz w:val="32"/>
          <w:szCs w:val="32"/>
          <w:highlight w:val="none"/>
        </w:rPr>
        <w:t>供应商须知前附表</w:t>
      </w:r>
    </w:p>
    <w:p w14:paraId="7E0D7842">
      <w:pPr>
        <w:rPr>
          <w:color w:val="auto"/>
          <w:highlight w:val="none"/>
        </w:rPr>
      </w:pPr>
    </w:p>
    <w:tbl>
      <w:tblPr>
        <w:tblStyle w:val="33"/>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5A23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0629B88">
            <w:pPr>
              <w:spacing w:line="360" w:lineRule="auto"/>
              <w:jc w:val="center"/>
              <w:rPr>
                <w:rFonts w:ascii="宋体" w:cs="宋体"/>
                <w:b/>
                <w:color w:val="auto"/>
                <w:szCs w:val="21"/>
                <w:highlight w:val="none"/>
              </w:rPr>
            </w:pPr>
            <w:r>
              <w:rPr>
                <w:rFonts w:hint="eastAsia" w:ascii="宋体" w:hAnsi="宋体" w:cs="宋体"/>
                <w:b/>
                <w:color w:val="auto"/>
                <w:szCs w:val="21"/>
                <w:highlight w:val="none"/>
              </w:rPr>
              <w:t>条款号</w:t>
            </w:r>
          </w:p>
        </w:tc>
        <w:tc>
          <w:tcPr>
            <w:tcW w:w="8627" w:type="dxa"/>
          </w:tcPr>
          <w:p w14:paraId="0A59A547">
            <w:pPr>
              <w:spacing w:line="360" w:lineRule="auto"/>
              <w:jc w:val="center"/>
              <w:rPr>
                <w:rFonts w:ascii="宋体" w:cs="宋体"/>
                <w:b/>
                <w:color w:val="auto"/>
                <w:szCs w:val="21"/>
                <w:highlight w:val="none"/>
              </w:rPr>
            </w:pPr>
            <w:r>
              <w:rPr>
                <w:rFonts w:hint="eastAsia" w:ascii="宋体" w:hAnsi="宋体" w:cs="宋体"/>
                <w:b/>
                <w:color w:val="auto"/>
                <w:szCs w:val="21"/>
                <w:highlight w:val="none"/>
              </w:rPr>
              <w:t>内</w:t>
            </w:r>
            <w:r>
              <w:rPr>
                <w:rFonts w:ascii="宋体" w:hAnsi="宋体" w:cs="宋体"/>
                <w:b/>
                <w:color w:val="auto"/>
                <w:szCs w:val="21"/>
                <w:highlight w:val="none"/>
              </w:rPr>
              <w:t xml:space="preserve">    </w:t>
            </w:r>
            <w:r>
              <w:rPr>
                <w:rFonts w:hint="eastAsia" w:ascii="宋体" w:hAnsi="宋体" w:cs="宋体"/>
                <w:b/>
                <w:color w:val="auto"/>
                <w:szCs w:val="21"/>
                <w:highlight w:val="none"/>
              </w:rPr>
              <w:t>容</w:t>
            </w:r>
          </w:p>
        </w:tc>
      </w:tr>
      <w:tr w14:paraId="0977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2F198F">
            <w:pPr>
              <w:spacing w:line="360" w:lineRule="auto"/>
              <w:jc w:val="center"/>
              <w:rPr>
                <w:rFonts w:ascii="宋体" w:cs="宋体"/>
                <w:color w:val="auto"/>
                <w:szCs w:val="21"/>
                <w:highlight w:val="none"/>
              </w:rPr>
            </w:pPr>
            <w:r>
              <w:rPr>
                <w:rFonts w:ascii="宋体" w:hAnsi="宋体" w:cs="宋体"/>
                <w:color w:val="auto"/>
                <w:szCs w:val="21"/>
                <w:highlight w:val="none"/>
              </w:rPr>
              <w:t>3</w:t>
            </w:r>
          </w:p>
        </w:tc>
        <w:tc>
          <w:tcPr>
            <w:tcW w:w="8627" w:type="dxa"/>
            <w:vAlign w:val="center"/>
          </w:tcPr>
          <w:p w14:paraId="5813BFC0">
            <w:pPr>
              <w:spacing w:line="360" w:lineRule="auto"/>
              <w:rPr>
                <w:rFonts w:asci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588D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033F69">
            <w:pPr>
              <w:spacing w:line="360" w:lineRule="auto"/>
              <w:jc w:val="center"/>
              <w:rPr>
                <w:rFonts w:ascii="宋体" w:cs="宋体"/>
                <w:color w:val="auto"/>
                <w:szCs w:val="21"/>
                <w:highlight w:val="none"/>
              </w:rPr>
            </w:pPr>
            <w:r>
              <w:rPr>
                <w:rFonts w:ascii="宋体" w:hAnsi="宋体" w:cs="宋体"/>
                <w:color w:val="auto"/>
                <w:szCs w:val="21"/>
                <w:highlight w:val="none"/>
              </w:rPr>
              <w:t>5.1</w:t>
            </w:r>
          </w:p>
        </w:tc>
        <w:tc>
          <w:tcPr>
            <w:tcW w:w="8627" w:type="dxa"/>
            <w:vAlign w:val="center"/>
          </w:tcPr>
          <w:p w14:paraId="27C09115">
            <w:pPr>
              <w:spacing w:line="360" w:lineRule="auto"/>
              <w:rPr>
                <w:rFonts w:asci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3B6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995053">
            <w:pPr>
              <w:spacing w:line="360" w:lineRule="auto"/>
              <w:jc w:val="center"/>
              <w:rPr>
                <w:rFonts w:ascii="宋体" w:cs="宋体"/>
                <w:color w:val="auto"/>
                <w:szCs w:val="21"/>
                <w:highlight w:val="none"/>
              </w:rPr>
            </w:pPr>
            <w:r>
              <w:rPr>
                <w:rFonts w:ascii="宋体" w:hAnsi="宋体" w:cs="宋体"/>
                <w:color w:val="auto"/>
                <w:szCs w:val="21"/>
                <w:highlight w:val="none"/>
              </w:rPr>
              <w:t>6.2</w:t>
            </w:r>
          </w:p>
        </w:tc>
        <w:tc>
          <w:tcPr>
            <w:tcW w:w="8627" w:type="dxa"/>
            <w:vAlign w:val="center"/>
          </w:tcPr>
          <w:p w14:paraId="01F31C30">
            <w:pPr>
              <w:pStyle w:val="13"/>
              <w:spacing w:line="400" w:lineRule="exact"/>
              <w:rPr>
                <w:rFonts w:ascii="宋体" w:cs="宋体"/>
                <w:color w:val="auto"/>
                <w:szCs w:val="21"/>
                <w:highlight w:val="none"/>
              </w:rPr>
            </w:pPr>
            <w:r>
              <w:rPr>
                <w:rFonts w:hint="eastAsia" w:ascii="宋体" w:hAnsi="宋体" w:cs="宋体"/>
                <w:color w:val="auto"/>
                <w:szCs w:val="21"/>
                <w:highlight w:val="none"/>
              </w:rPr>
              <w:t>本项目不允许分包。</w:t>
            </w:r>
          </w:p>
        </w:tc>
      </w:tr>
      <w:tr w14:paraId="56D3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9F2F2F">
            <w:pPr>
              <w:spacing w:line="360" w:lineRule="auto"/>
              <w:jc w:val="center"/>
              <w:rPr>
                <w:rFonts w:ascii="宋体" w:cs="宋体"/>
                <w:color w:val="auto"/>
                <w:szCs w:val="21"/>
                <w:highlight w:val="none"/>
              </w:rPr>
            </w:pPr>
            <w:r>
              <w:rPr>
                <w:rFonts w:ascii="宋体" w:hAnsi="宋体" w:cs="宋体"/>
                <w:color w:val="auto"/>
                <w:szCs w:val="21"/>
                <w:highlight w:val="none"/>
              </w:rPr>
              <w:t>12.1.1</w:t>
            </w:r>
          </w:p>
        </w:tc>
        <w:tc>
          <w:tcPr>
            <w:tcW w:w="8627" w:type="dxa"/>
            <w:vAlign w:val="center"/>
          </w:tcPr>
          <w:p w14:paraId="0E4E8BF8">
            <w:pPr>
              <w:snapToGrid w:val="0"/>
              <w:spacing w:line="360" w:lineRule="auto"/>
              <w:jc w:val="left"/>
              <w:rPr>
                <w:rFonts w:ascii="宋体" w:cs="宋体"/>
                <w:b/>
                <w:color w:val="auto"/>
                <w:szCs w:val="21"/>
                <w:highlight w:val="none"/>
              </w:rPr>
            </w:pPr>
            <w:r>
              <w:rPr>
                <w:rFonts w:hint="eastAsia" w:ascii="宋体" w:hAnsi="宋体" w:cs="宋体"/>
                <w:b/>
                <w:color w:val="auto"/>
                <w:szCs w:val="21"/>
                <w:highlight w:val="none"/>
              </w:rPr>
              <w:t>资格证明文件</w:t>
            </w:r>
          </w:p>
          <w:p w14:paraId="489A98F7">
            <w:pPr>
              <w:pStyle w:val="13"/>
              <w:spacing w:line="360" w:lineRule="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CF6FB9">
            <w:pPr>
              <w:spacing w:line="360" w:lineRule="auto"/>
              <w:contextualSpacing/>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、供应商依法缴纳税收的相关材料（</w:t>
            </w:r>
            <w:r>
              <w:rPr>
                <w:rFonts w:ascii="宋体" w:hAnsi="宋体" w:cs="宋体"/>
                <w:color w:val="auto"/>
                <w:szCs w:val="21"/>
                <w:highlight w:val="none"/>
                <w:u w:val="single"/>
              </w:rPr>
              <w:t xml:space="preserve"> 202</w:t>
            </w:r>
            <w:r>
              <w:rPr>
                <w:rFonts w:hint="eastAsia" w:ascii="宋体" w:hAnsi="宋体" w:cs="宋体"/>
                <w:color w:val="auto"/>
                <w:szCs w:val="21"/>
                <w:highlight w:val="none"/>
                <w:u w:val="single"/>
              </w:rPr>
              <w:t>5</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ascii="宋体" w:hAnsi="宋体" w:cs="宋体"/>
                <w:color w:val="auto"/>
                <w:szCs w:val="21"/>
                <w:highlight w:val="none"/>
                <w:u w:val="single"/>
              </w:rPr>
              <w:t xml:space="preserve"> </w:t>
            </w:r>
            <w:r>
              <w:rPr>
                <w:rFonts w:hint="eastAsia" w:ascii="宋体" w:hAnsi="宋体" w:cs="宋体"/>
                <w:color w:val="auto"/>
                <w:szCs w:val="21"/>
                <w:highlight w:val="none"/>
              </w:rPr>
              <w:t>月内连续</w:t>
            </w:r>
            <w:r>
              <w:rPr>
                <w:rFonts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4A9478E">
            <w:pPr>
              <w:spacing w:line="360" w:lineRule="auto"/>
              <w:contextualSpacing/>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、供应商依法缴纳社会保障资金的相关材料</w:t>
            </w:r>
            <w:r>
              <w:rPr>
                <w:rFonts w:ascii="宋体" w:hAnsi="宋体" w:cs="宋体"/>
                <w:color w:val="auto"/>
                <w:szCs w:val="21"/>
                <w:highlight w:val="none"/>
              </w:rPr>
              <w:t>[</w:t>
            </w:r>
            <w:r>
              <w:rPr>
                <w:rFonts w:ascii="宋体" w:hAnsi="宋体" w:cs="宋体"/>
                <w:color w:val="auto"/>
                <w:szCs w:val="21"/>
                <w:highlight w:val="none"/>
                <w:u w:val="single"/>
              </w:rPr>
              <w:t xml:space="preserve">  202</w:t>
            </w:r>
            <w:r>
              <w:rPr>
                <w:rFonts w:hint="eastAsia" w:ascii="宋体" w:hAnsi="宋体" w:cs="宋体"/>
                <w:color w:val="auto"/>
                <w:szCs w:val="21"/>
                <w:highlight w:val="none"/>
                <w:u w:val="single"/>
              </w:rPr>
              <w:t>5</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10 </w:t>
            </w:r>
            <w:r>
              <w:rPr>
                <w:rFonts w:hint="eastAsia" w:ascii="宋体" w:hAnsi="宋体" w:cs="宋体"/>
                <w:color w:val="auto"/>
                <w:szCs w:val="21"/>
                <w:highlight w:val="none"/>
              </w:rPr>
              <w:t>月连续</w:t>
            </w:r>
            <w:r>
              <w:rPr>
                <w:rFonts w:ascii="宋体" w:hAnsi="宋体" w:cs="宋体"/>
                <w:color w:val="auto"/>
                <w:szCs w:val="21"/>
                <w:highlight w:val="none"/>
                <w:u w:val="single"/>
              </w:rPr>
              <w:t xml:space="preserve">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81A3D0">
            <w:pPr>
              <w:spacing w:line="360" w:lineRule="auto"/>
              <w:contextualSpacing/>
              <w:jc w:val="left"/>
              <w:rPr>
                <w:rFonts w:ascii="宋体" w:cs="宋体"/>
                <w:b/>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、供应商财务状况报告（2024年度财务报表复印件或者银行出具的资信证明；供应商属于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除自然人外必须提供，否则响应文件按无效响应处理</w:t>
            </w:r>
            <w:r>
              <w:rPr>
                <w:rFonts w:hint="eastAsia" w:ascii="宋体" w:hAnsi="宋体" w:cs="宋体"/>
                <w:bCs/>
                <w:color w:val="auto"/>
                <w:szCs w:val="21"/>
                <w:highlight w:val="none"/>
              </w:rPr>
              <w:t>）</w:t>
            </w:r>
          </w:p>
          <w:p w14:paraId="76862F4A">
            <w:pPr>
              <w:snapToGrid w:val="0"/>
              <w:spacing w:line="360" w:lineRule="auto"/>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C6759E1">
            <w:pPr>
              <w:snapToGrid w:val="0"/>
              <w:spacing w:line="360" w:lineRule="auto"/>
              <w:jc w:val="lef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5E4DE9">
            <w:pPr>
              <w:snapToGrid w:val="0"/>
              <w:spacing w:line="360" w:lineRule="auto"/>
              <w:jc w:val="left"/>
              <w:rPr>
                <w:rFonts w:ascii="宋体" w:cs="宋体"/>
                <w:b/>
                <w:bCs/>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、中小企业声明函或由省级以上监狱管理局、戒毒管理局（含新疆生产建设兵团）出具的属于监狱企业的证明文件或残疾人福利性单位声明函（格式后附）；（</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1C2A155">
            <w:pPr>
              <w:snapToGrid w:val="0"/>
              <w:spacing w:line="360" w:lineRule="auto"/>
              <w:jc w:val="left"/>
              <w:rPr>
                <w:rFonts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0FA22154">
            <w:pPr>
              <w:snapToGrid w:val="0"/>
              <w:spacing w:line="360" w:lineRule="auto"/>
              <w:ind w:firstLine="422" w:firstLineChars="200"/>
              <w:jc w:val="left"/>
              <w:rPr>
                <w:rFonts w:ascii="宋体" w:cs="宋体"/>
                <w:b/>
                <w:color w:val="auto"/>
                <w:szCs w:val="21"/>
                <w:highlight w:val="none"/>
              </w:rPr>
            </w:pPr>
            <w:r>
              <w:rPr>
                <w:rFonts w:hint="eastAsia" w:ascii="宋体" w:hAnsi="宋体" w:cs="宋体"/>
                <w:b/>
                <w:color w:val="auto"/>
                <w:szCs w:val="21"/>
                <w:highlight w:val="none"/>
              </w:rPr>
              <w:t>注：</w:t>
            </w:r>
          </w:p>
          <w:p w14:paraId="515893A7">
            <w:pPr>
              <w:snapToGrid w:val="0"/>
              <w:spacing w:line="360" w:lineRule="auto"/>
              <w:ind w:firstLine="413" w:firstLineChars="196"/>
              <w:jc w:val="left"/>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、以上标明“必须提供”的材料属于复印件的，必须加盖供应商公章，否则响应文件按无效响应处理。</w:t>
            </w:r>
          </w:p>
          <w:p w14:paraId="7EE2D7FF">
            <w:pPr>
              <w:snapToGrid w:val="0"/>
              <w:spacing w:line="360" w:lineRule="auto"/>
              <w:ind w:firstLine="422" w:firstLineChars="200"/>
              <w:jc w:val="left"/>
              <w:rPr>
                <w:rFonts w:asci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、竞标声明必须由法定代表人在规定签章处签字并加盖供应商公章，否则响应文件按无效响应处理。</w:t>
            </w:r>
          </w:p>
          <w:p w14:paraId="378F6E58">
            <w:pPr>
              <w:snapToGrid w:val="0"/>
              <w:spacing w:line="360" w:lineRule="auto"/>
              <w:ind w:firstLine="422" w:firstLineChars="200"/>
              <w:jc w:val="left"/>
              <w:rPr>
                <w:rFonts w:asci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、供应商直接控股、管理关系信息表必须由法定代表人或者委托代理人在规定签章处签字并加盖供应商公章，否则响应文件按无效响应处理。</w:t>
            </w:r>
          </w:p>
          <w:p w14:paraId="7C52F7BA">
            <w:pPr>
              <w:pStyle w:val="13"/>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w:t>
            </w:r>
            <w:r>
              <w:rPr>
                <w:rFonts w:hint="eastAsia" w:ascii="宋体" w:hAnsi="宋体" w:cs="宋体"/>
                <w:b/>
                <w:bCs/>
                <w:color w:val="auto"/>
                <w:szCs w:val="21"/>
                <w:highlight w:val="none"/>
              </w:rPr>
              <w:t>分公司参加竞标的，应当取得总公司授权，否则响应文件按无效响应处理。</w:t>
            </w:r>
          </w:p>
        </w:tc>
      </w:tr>
      <w:tr w14:paraId="58B6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3799E3">
            <w:pPr>
              <w:spacing w:line="360" w:lineRule="auto"/>
              <w:jc w:val="center"/>
              <w:rPr>
                <w:rFonts w:ascii="宋体" w:cs="宋体"/>
                <w:color w:val="auto"/>
                <w:szCs w:val="21"/>
                <w:highlight w:val="none"/>
              </w:rPr>
            </w:pPr>
            <w:r>
              <w:rPr>
                <w:rFonts w:ascii="宋体" w:hAnsi="宋体" w:cs="宋体"/>
                <w:color w:val="auto"/>
                <w:szCs w:val="21"/>
                <w:highlight w:val="none"/>
              </w:rPr>
              <w:t>12.1.2</w:t>
            </w:r>
          </w:p>
        </w:tc>
        <w:tc>
          <w:tcPr>
            <w:tcW w:w="8627" w:type="dxa"/>
            <w:vAlign w:val="center"/>
          </w:tcPr>
          <w:p w14:paraId="72913532">
            <w:pPr>
              <w:spacing w:line="360" w:lineRule="auto"/>
              <w:rPr>
                <w:rFonts w:ascii="宋体" w:cs="宋体"/>
                <w:b/>
                <w:bCs/>
                <w:color w:val="auto"/>
                <w:szCs w:val="21"/>
                <w:highlight w:val="none"/>
              </w:rPr>
            </w:pPr>
            <w:r>
              <w:rPr>
                <w:rFonts w:hint="eastAsia" w:ascii="宋体" w:hAnsi="宋体" w:cs="宋体"/>
                <w:b/>
                <w:bCs/>
                <w:color w:val="auto"/>
                <w:szCs w:val="21"/>
                <w:highlight w:val="none"/>
              </w:rPr>
              <w:t>报价商务技术文件</w:t>
            </w:r>
          </w:p>
          <w:p w14:paraId="00AE1D55">
            <w:pPr>
              <w:spacing w:line="360" w:lineRule="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22C97F">
            <w:pPr>
              <w:spacing w:line="360" w:lineRule="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6DC43F">
            <w:pPr>
              <w:snapToGrid w:val="0"/>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A245A4B">
            <w:pPr>
              <w:spacing w:line="360" w:lineRule="auto"/>
              <w:rPr>
                <w:rFonts w:ascii="宋体" w:cs="宋体"/>
                <w:b/>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C8F44DF">
            <w:pPr>
              <w:spacing w:line="360" w:lineRule="auto"/>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6A7BB5B">
            <w:pPr>
              <w:spacing w:line="360" w:lineRule="auto"/>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1D38D2E">
            <w:pPr>
              <w:spacing w:line="360" w:lineRule="auto"/>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、服务方案（格式自拟）；（</w:t>
            </w:r>
            <w:r>
              <w:rPr>
                <w:rFonts w:hint="eastAsia" w:ascii="宋体" w:hAnsi="宋体" w:cs="宋体"/>
                <w:b/>
                <w:color w:val="auto"/>
                <w:szCs w:val="21"/>
                <w:highlight w:val="none"/>
              </w:rPr>
              <w:t>根据竞争性磋商文件的要求提供</w:t>
            </w:r>
            <w:r>
              <w:rPr>
                <w:rFonts w:hint="eastAsia" w:ascii="宋体" w:hAnsi="宋体" w:cs="宋体"/>
                <w:color w:val="auto"/>
                <w:szCs w:val="21"/>
                <w:highlight w:val="none"/>
              </w:rPr>
              <w:t>）</w:t>
            </w:r>
          </w:p>
          <w:p w14:paraId="33FA8D3A">
            <w:pPr>
              <w:spacing w:line="360" w:lineRule="auto"/>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1F535E">
            <w:pPr>
              <w:spacing w:line="360" w:lineRule="auto"/>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、服务承诺书（格式自拟）；（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D900D7">
            <w:pPr>
              <w:spacing w:line="360" w:lineRule="auto"/>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2D2AEFAB">
            <w:pPr>
              <w:spacing w:line="360" w:lineRule="auto"/>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、对应采购需求的技术要求、商务要求提供的其他文件资料（格式自拟）；</w:t>
            </w:r>
          </w:p>
          <w:p w14:paraId="28AC7937">
            <w:pPr>
              <w:spacing w:line="360" w:lineRule="auto"/>
              <w:rPr>
                <w:rFonts w:ascii="宋体" w:cs="宋体"/>
                <w:b/>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、供应商认为需要提供的其他有关资料。</w:t>
            </w:r>
          </w:p>
          <w:p w14:paraId="0495ADCA">
            <w:pPr>
              <w:snapToGrid w:val="0"/>
              <w:spacing w:line="360" w:lineRule="auto"/>
              <w:ind w:firstLine="422" w:firstLineChars="200"/>
              <w:jc w:val="left"/>
              <w:rPr>
                <w:rFonts w:asci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4EFE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4CCB6C">
            <w:pPr>
              <w:spacing w:line="360" w:lineRule="auto"/>
              <w:jc w:val="center"/>
              <w:rPr>
                <w:rFonts w:ascii="宋体" w:cs="宋体"/>
                <w:color w:val="auto"/>
                <w:szCs w:val="21"/>
                <w:highlight w:val="none"/>
              </w:rPr>
            </w:pPr>
            <w:r>
              <w:rPr>
                <w:rFonts w:ascii="宋体" w:hAnsi="宋体" w:cs="宋体"/>
                <w:color w:val="auto"/>
                <w:szCs w:val="21"/>
                <w:highlight w:val="none"/>
              </w:rPr>
              <w:t>15.2</w:t>
            </w:r>
          </w:p>
        </w:tc>
        <w:tc>
          <w:tcPr>
            <w:tcW w:w="8627" w:type="dxa"/>
            <w:vAlign w:val="center"/>
          </w:tcPr>
          <w:p w14:paraId="4F76817C">
            <w:pPr>
              <w:snapToGrid w:val="0"/>
              <w:spacing w:line="360" w:lineRule="auto"/>
              <w:jc w:val="left"/>
              <w:rPr>
                <w:rFonts w:asci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即满足全部采购需求所应提供的服务的价格；包括竞标服务的成本、运输（含保险）（如有）、技术服务、培训、税费等所有费用。</w:t>
            </w:r>
            <w:r>
              <w:rPr>
                <w:rFonts w:hint="eastAsia" w:ascii="宋体" w:hAnsi="宋体"/>
                <w:b/>
                <w:color w:val="auto"/>
                <w:szCs w:val="21"/>
                <w:highlight w:val="none"/>
              </w:rPr>
              <w:t>（采购需求另有约定的，从其约定。）</w:t>
            </w:r>
          </w:p>
        </w:tc>
      </w:tr>
      <w:tr w14:paraId="6324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3A2C83">
            <w:pPr>
              <w:spacing w:line="360" w:lineRule="auto"/>
              <w:jc w:val="center"/>
              <w:rPr>
                <w:rFonts w:ascii="宋体" w:cs="宋体"/>
                <w:color w:val="auto"/>
                <w:szCs w:val="21"/>
                <w:highlight w:val="none"/>
              </w:rPr>
            </w:pPr>
            <w:r>
              <w:rPr>
                <w:rFonts w:ascii="宋体" w:hAnsi="宋体" w:cs="宋体"/>
                <w:color w:val="auto"/>
                <w:szCs w:val="21"/>
                <w:highlight w:val="none"/>
              </w:rPr>
              <w:t>16.2</w:t>
            </w:r>
          </w:p>
        </w:tc>
        <w:tc>
          <w:tcPr>
            <w:tcW w:w="8627" w:type="dxa"/>
            <w:vAlign w:val="center"/>
          </w:tcPr>
          <w:p w14:paraId="0383F1A6">
            <w:pPr>
              <w:spacing w:line="360" w:lineRule="auto"/>
              <w:rPr>
                <w:rFonts w:ascii="宋体" w:cs="宋体"/>
                <w:color w:val="auto"/>
                <w:szCs w:val="21"/>
                <w:highlight w:val="none"/>
              </w:rPr>
            </w:pPr>
            <w:r>
              <w:rPr>
                <w:rFonts w:hint="eastAsia" w:ascii="宋体" w:hAnsi="宋体" w:cs="宋体"/>
                <w:color w:val="auto"/>
                <w:szCs w:val="21"/>
                <w:highlight w:val="none"/>
              </w:rPr>
              <w:t>竞标有效期：首次响应文件提交截止之日起</w:t>
            </w:r>
            <w:r>
              <w:rPr>
                <w:rFonts w:ascii="宋体" w:hAnsi="宋体" w:cs="宋体"/>
                <w:color w:val="auto"/>
                <w:szCs w:val="21"/>
                <w:highlight w:val="none"/>
              </w:rPr>
              <w:t>60</w:t>
            </w:r>
            <w:r>
              <w:rPr>
                <w:rFonts w:hint="eastAsia" w:ascii="宋体" w:hAnsi="宋体" w:cs="宋体"/>
                <w:color w:val="auto"/>
                <w:szCs w:val="21"/>
                <w:highlight w:val="none"/>
              </w:rPr>
              <w:t>天内。</w:t>
            </w:r>
          </w:p>
        </w:tc>
      </w:tr>
      <w:tr w14:paraId="42FC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C83F57">
            <w:pPr>
              <w:spacing w:line="360" w:lineRule="auto"/>
              <w:jc w:val="center"/>
              <w:rPr>
                <w:rFonts w:ascii="宋体" w:cs="宋体"/>
                <w:color w:val="auto"/>
                <w:szCs w:val="21"/>
                <w:highlight w:val="none"/>
              </w:rPr>
            </w:pPr>
            <w:r>
              <w:rPr>
                <w:rFonts w:ascii="宋体" w:hAnsi="宋体" w:cs="宋体"/>
                <w:color w:val="auto"/>
                <w:szCs w:val="21"/>
                <w:highlight w:val="none"/>
              </w:rPr>
              <w:t>17.1</w:t>
            </w:r>
          </w:p>
        </w:tc>
        <w:tc>
          <w:tcPr>
            <w:tcW w:w="8627" w:type="dxa"/>
            <w:vAlign w:val="center"/>
          </w:tcPr>
          <w:p w14:paraId="5349ACEE">
            <w:pPr>
              <w:snapToGrid w:val="0"/>
              <w:spacing w:line="360" w:lineRule="auto"/>
              <w:rPr>
                <w:rFonts w:ascii="宋体" w:cs="宋体"/>
                <w:color w:val="auto"/>
                <w:szCs w:val="21"/>
                <w:highlight w:val="none"/>
              </w:rPr>
            </w:pPr>
            <w:r>
              <w:rPr>
                <w:rFonts w:hint="eastAsia" w:ascii="宋体" w:hAnsi="宋体" w:cs="宋体"/>
                <w:color w:val="auto"/>
                <w:szCs w:val="21"/>
                <w:highlight w:val="none"/>
              </w:rPr>
              <w:t>本项目收取磋商保证金，具体规定如下：</w:t>
            </w:r>
          </w:p>
          <w:p w14:paraId="320E15CF">
            <w:pPr>
              <w:widowControl/>
              <w:spacing w:line="360" w:lineRule="auto"/>
              <w:rPr>
                <w:rFonts w:ascii="宋体" w:cs="宋体"/>
                <w:color w:val="auto"/>
                <w:szCs w:val="21"/>
                <w:highlight w:val="none"/>
              </w:rPr>
            </w:pPr>
            <w:r>
              <w:rPr>
                <w:rFonts w:hint="eastAsia" w:ascii="宋体" w:hAnsi="宋体" w:cs="宋体"/>
                <w:color w:val="auto"/>
                <w:szCs w:val="21"/>
                <w:highlight w:val="none"/>
              </w:rPr>
              <w:t>分标</w:t>
            </w:r>
            <w:r>
              <w:rPr>
                <w:rFonts w:ascii="宋体" w:hAnsi="宋体" w:cs="宋体"/>
                <w:color w:val="auto"/>
                <w:szCs w:val="21"/>
                <w:highlight w:val="none"/>
              </w:rPr>
              <w:t>1</w:t>
            </w:r>
            <w:r>
              <w:rPr>
                <w:rFonts w:hint="eastAsia" w:ascii="宋体" w:hAnsi="宋体" w:cs="宋体"/>
                <w:color w:val="auto"/>
                <w:kern w:val="0"/>
                <w:szCs w:val="21"/>
                <w:highlight w:val="none"/>
              </w:rPr>
              <w:t>磋商保证金人民币</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64</w:t>
            </w:r>
            <w:r>
              <w:rPr>
                <w:rFonts w:hint="eastAsia" w:ascii="宋体" w:hAnsi="宋体" w:cs="宋体"/>
                <w:color w:val="auto"/>
                <w:kern w:val="0"/>
                <w:szCs w:val="21"/>
                <w:highlight w:val="none"/>
                <w:u w:val="single"/>
              </w:rPr>
              <w:t>00.00</w:t>
            </w:r>
            <w:r>
              <w:rPr>
                <w:rFonts w:ascii="宋体" w:hAnsi="宋体" w:cs="宋体"/>
                <w:color w:val="auto"/>
                <w:kern w:val="0"/>
                <w:szCs w:val="21"/>
                <w:highlight w:val="none"/>
                <w:u w:val="single"/>
              </w:rPr>
              <w:t xml:space="preserve"> </w:t>
            </w:r>
            <w:r>
              <w:rPr>
                <w:rFonts w:hint="eastAsia" w:ascii="宋体" w:hAnsi="宋体" w:cs="宋体"/>
                <w:color w:val="auto"/>
                <w:szCs w:val="21"/>
                <w:highlight w:val="none"/>
              </w:rPr>
              <w:t>元；</w:t>
            </w:r>
          </w:p>
          <w:p w14:paraId="04DE781C">
            <w:pPr>
              <w:widowControl/>
              <w:spacing w:line="360" w:lineRule="auto"/>
              <w:rPr>
                <w:rFonts w:ascii="宋体" w:cs="宋体"/>
                <w:color w:val="auto"/>
                <w:szCs w:val="21"/>
                <w:highlight w:val="none"/>
              </w:rPr>
            </w:pPr>
            <w:r>
              <w:rPr>
                <w:rFonts w:hint="eastAsia" w:ascii="宋体" w:hAnsi="宋体" w:cs="宋体"/>
                <w:color w:val="auto"/>
                <w:szCs w:val="21"/>
                <w:highlight w:val="none"/>
              </w:rPr>
              <w:t>分标</w:t>
            </w:r>
            <w:r>
              <w:rPr>
                <w:rFonts w:ascii="宋体" w:hAnsi="宋体" w:cs="宋体"/>
                <w:color w:val="auto"/>
                <w:szCs w:val="21"/>
                <w:highlight w:val="none"/>
              </w:rPr>
              <w:t>2</w:t>
            </w:r>
            <w:r>
              <w:rPr>
                <w:rFonts w:hint="eastAsia" w:ascii="宋体" w:hAnsi="宋体" w:cs="宋体"/>
                <w:color w:val="auto"/>
                <w:kern w:val="0"/>
                <w:szCs w:val="21"/>
                <w:highlight w:val="none"/>
              </w:rPr>
              <w:t>磋商保证金人民币</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67</w:t>
            </w:r>
            <w:r>
              <w:rPr>
                <w:rFonts w:hint="eastAsia" w:ascii="宋体" w:hAnsi="宋体" w:cs="宋体"/>
                <w:color w:val="auto"/>
                <w:szCs w:val="21"/>
                <w:highlight w:val="none"/>
                <w:u w:val="single"/>
              </w:rPr>
              <w:t xml:space="preserve">00.00 </w:t>
            </w:r>
            <w:r>
              <w:rPr>
                <w:rFonts w:hint="eastAsia" w:ascii="宋体" w:hAnsi="宋体" w:cs="宋体"/>
                <w:color w:val="auto"/>
                <w:szCs w:val="21"/>
                <w:highlight w:val="none"/>
              </w:rPr>
              <w:t>元；</w:t>
            </w:r>
          </w:p>
          <w:p w14:paraId="55C23FA4">
            <w:pPr>
              <w:widowControl/>
              <w:spacing w:line="360" w:lineRule="auto"/>
              <w:rPr>
                <w:rFonts w:ascii="宋体" w:cs="宋体"/>
                <w:color w:val="auto"/>
                <w:szCs w:val="21"/>
                <w:highlight w:val="none"/>
              </w:rPr>
            </w:pPr>
            <w:r>
              <w:rPr>
                <w:rFonts w:hint="eastAsia" w:ascii="宋体" w:hAnsi="宋体" w:cs="宋体"/>
                <w:color w:val="auto"/>
                <w:szCs w:val="21"/>
                <w:highlight w:val="none"/>
              </w:rPr>
              <w:t>分标3</w:t>
            </w:r>
            <w:r>
              <w:rPr>
                <w:rFonts w:hint="eastAsia" w:ascii="宋体" w:hAnsi="宋体" w:cs="宋体"/>
                <w:color w:val="auto"/>
                <w:kern w:val="0"/>
                <w:szCs w:val="21"/>
                <w:highlight w:val="none"/>
              </w:rPr>
              <w:t>磋商保证金人民币</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3600.00</w:t>
            </w:r>
            <w:r>
              <w:rPr>
                <w:rFonts w:ascii="宋体" w:hAnsi="宋体" w:cs="宋体"/>
                <w:color w:val="auto"/>
                <w:kern w:val="0"/>
                <w:szCs w:val="21"/>
                <w:highlight w:val="none"/>
                <w:u w:val="single"/>
              </w:rPr>
              <w:t xml:space="preserve"> </w:t>
            </w:r>
            <w:r>
              <w:rPr>
                <w:rFonts w:hint="eastAsia" w:ascii="宋体" w:hAnsi="宋体" w:cs="宋体"/>
                <w:color w:val="auto"/>
                <w:szCs w:val="21"/>
                <w:highlight w:val="none"/>
              </w:rPr>
              <w:t>元；</w:t>
            </w:r>
          </w:p>
          <w:p w14:paraId="0AB38DD1">
            <w:pPr>
              <w:widowControl/>
              <w:spacing w:line="360" w:lineRule="auto"/>
              <w:rPr>
                <w:rFonts w:ascii="宋体" w:cs="宋体"/>
                <w:color w:val="auto"/>
                <w:szCs w:val="21"/>
                <w:highlight w:val="none"/>
              </w:rPr>
            </w:pPr>
            <w:r>
              <w:rPr>
                <w:rFonts w:hint="eastAsia" w:ascii="宋体" w:hAnsi="宋体" w:cs="宋体"/>
                <w:color w:val="auto"/>
                <w:szCs w:val="21"/>
                <w:highlight w:val="none"/>
              </w:rPr>
              <w:t>分标4</w:t>
            </w:r>
            <w:r>
              <w:rPr>
                <w:rFonts w:hint="eastAsia" w:ascii="宋体" w:hAnsi="宋体" w:cs="宋体"/>
                <w:color w:val="auto"/>
                <w:kern w:val="0"/>
                <w:szCs w:val="21"/>
                <w:highlight w:val="none"/>
              </w:rPr>
              <w:t>磋商保证金人民币</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1300</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元；</w:t>
            </w:r>
          </w:p>
          <w:p w14:paraId="31B05EA9">
            <w:pPr>
              <w:snapToGrid w:val="0"/>
              <w:spacing w:line="360" w:lineRule="auto"/>
              <w:rPr>
                <w:rFonts w:asci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磋商保证金的交纳方式：银行转账、支票、汇票、本票或者金融、担保金融、担保机构出具的保函，禁止采用现钞方式。采用银行转账方式的，在响应文件提交截止时间前交至指定账户并且到账（开户银行：</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广西北部湾银行股份有限公司南宁分行</w:t>
            </w:r>
            <w:r>
              <w:rPr>
                <w:rFonts w:hint="eastAsia" w:ascii="宋体" w:hAnsi="宋体" w:cs="宋体"/>
                <w:color w:val="auto"/>
                <w:kern w:val="0"/>
                <w:szCs w:val="21"/>
                <w:highlight w:val="none"/>
              </w:rPr>
              <w:t>，开户名称：</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广西国泰招标咨询有限公司</w:t>
            </w:r>
            <w:r>
              <w:rPr>
                <w:rFonts w:hint="eastAsia" w:ascii="宋体" w:hAnsi="宋体" w:cs="宋体"/>
                <w:color w:val="auto"/>
                <w:kern w:val="0"/>
                <w:szCs w:val="21"/>
                <w:highlight w:val="none"/>
              </w:rPr>
              <w:t>，银行账号：</w:t>
            </w:r>
            <w:r>
              <w:rPr>
                <w:rFonts w:ascii="宋体" w:hAnsi="宋体" w:cs="宋体"/>
                <w:color w:val="auto"/>
                <w:kern w:val="0"/>
                <w:szCs w:val="21"/>
                <w:highlight w:val="none"/>
                <w:u w:val="single"/>
              </w:rPr>
              <w:t xml:space="preserve"> 0101012090615711</w:t>
            </w:r>
            <w:r>
              <w:rPr>
                <w:rFonts w:hint="eastAsia" w:ascii="宋体" w:hAnsi="宋体" w:cs="宋体"/>
                <w:color w:val="auto"/>
                <w:kern w:val="0"/>
                <w:szCs w:val="21"/>
                <w:highlight w:val="none"/>
              </w:rPr>
              <w:t>）；采用支票、汇票、本票或者保函等方式的，在响应文件提交截止时间前，供应商必须提交支票、汇票、本票或者保函原件（电子保函的打印保函并加盖供应商公章）。否则视为无效磋商保证金。</w:t>
            </w:r>
          </w:p>
          <w:p w14:paraId="58C3F43E">
            <w:pPr>
              <w:snapToGrid w:val="0"/>
              <w:spacing w:line="360" w:lineRule="auto"/>
              <w:rPr>
                <w:rFonts w:ascii="宋体" w:cs="宋体"/>
                <w:color w:val="auto"/>
                <w:szCs w:val="21"/>
                <w:highlight w:val="none"/>
              </w:rPr>
            </w:pPr>
            <w:r>
              <w:rPr>
                <w:rFonts w:hint="eastAsia" w:ascii="宋体" w:hAnsi="宋体" w:cs="宋体"/>
                <w:color w:val="auto"/>
                <w:szCs w:val="21"/>
                <w:highlight w:val="none"/>
              </w:rPr>
              <w:t>相关要求：</w:t>
            </w:r>
          </w:p>
          <w:p w14:paraId="178A0132">
            <w:pPr>
              <w:snapToGrid w:val="0"/>
              <w:spacing w:line="360" w:lineRule="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89677E7">
            <w:pPr>
              <w:snapToGrid w:val="0"/>
              <w:spacing w:line="360" w:lineRule="auto"/>
              <w:rPr>
                <w:rFonts w:ascii="宋体" w:cs="宋体"/>
                <w:b/>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r>
              <w:rPr>
                <w:rFonts w:hint="eastAsia" w:ascii="宋体" w:hAnsi="宋体" w:cs="宋体"/>
                <w:b/>
                <w:color w:val="auto"/>
                <w:szCs w:val="21"/>
                <w:highlight w:val="none"/>
              </w:rPr>
              <w:t>供应商必须在首次响应文件提交截止时间前将支票、汇票、本票或者金融、</w:t>
            </w:r>
            <w:r>
              <w:rPr>
                <w:rFonts w:hint="eastAsia" w:ascii="宋体" w:hAnsi="宋体"/>
                <w:b/>
                <w:color w:val="auto"/>
                <w:szCs w:val="21"/>
                <w:highlight w:val="none"/>
              </w:rPr>
              <w:t>担保机构出具</w:t>
            </w:r>
            <w:r>
              <w:rPr>
                <w:rFonts w:hint="eastAsia" w:ascii="宋体" w:hAnsi="宋体"/>
                <w:b/>
                <w:bCs/>
                <w:color w:val="auto"/>
                <w:szCs w:val="21"/>
                <w:highlight w:val="none"/>
              </w:rPr>
              <w:t>的保函原件（电子保函的打印保函并加盖供应商公章）等单独密封提交给采购代理机构</w:t>
            </w:r>
            <w:r>
              <w:rPr>
                <w:rFonts w:hint="eastAsia" w:ascii="宋体" w:hAnsi="宋体" w:cs="宋体"/>
                <w:b/>
                <w:color w:val="auto"/>
                <w:szCs w:val="21"/>
                <w:highlight w:val="none"/>
              </w:rPr>
              <w:t>，由采购代理机构向供应商出具回执，并妥善保管，否则响应文件按无效响应处理。联系人：黄柳娜</w:t>
            </w:r>
            <w:r>
              <w:rPr>
                <w:rFonts w:ascii="宋体" w:hAnsi="宋体" w:cs="宋体"/>
                <w:b/>
                <w:color w:val="auto"/>
                <w:szCs w:val="21"/>
                <w:highlight w:val="none"/>
              </w:rPr>
              <w:t xml:space="preserve">  </w:t>
            </w:r>
            <w:r>
              <w:rPr>
                <w:rFonts w:hint="eastAsia" w:ascii="宋体" w:hAnsi="宋体" w:cs="宋体"/>
                <w:b/>
                <w:color w:val="auto"/>
                <w:szCs w:val="21"/>
                <w:highlight w:val="none"/>
              </w:rPr>
              <w:t>联系电话：</w:t>
            </w:r>
            <w:r>
              <w:rPr>
                <w:rFonts w:ascii="宋体" w:hAnsi="宋体" w:cs="宋体"/>
                <w:b/>
                <w:color w:val="auto"/>
                <w:szCs w:val="21"/>
                <w:highlight w:val="none"/>
              </w:rPr>
              <w:t>0771-2023496</w:t>
            </w:r>
            <w:r>
              <w:rPr>
                <w:rFonts w:hint="eastAsia" w:ascii="宋体" w:hAnsi="宋体" w:cs="宋体"/>
                <w:b/>
                <w:color w:val="auto"/>
                <w:szCs w:val="21"/>
                <w:highlight w:val="none"/>
              </w:rPr>
              <w:t>。</w:t>
            </w:r>
          </w:p>
          <w:p w14:paraId="0D61343D">
            <w:pPr>
              <w:snapToGrid w:val="0"/>
              <w:spacing w:line="360" w:lineRule="auto"/>
              <w:rPr>
                <w:rFonts w:ascii="宋体" w:cs="宋体"/>
                <w:b/>
                <w:color w:val="auto"/>
                <w:szCs w:val="21"/>
                <w:highlight w:val="none"/>
              </w:rPr>
            </w:pPr>
            <w:r>
              <w:rPr>
                <w:rFonts w:hint="eastAsia" w:ascii="宋体" w:hAnsi="宋体" w:cs="宋体"/>
                <w:b/>
                <w:color w:val="auto"/>
                <w:szCs w:val="21"/>
                <w:highlight w:val="none"/>
              </w:rPr>
              <w:t>备注：</w:t>
            </w:r>
            <w:r>
              <w:rPr>
                <w:rFonts w:ascii="宋体" w:hAnsi="宋体" w:cs="宋体"/>
                <w:b/>
                <w:color w:val="auto"/>
                <w:szCs w:val="21"/>
                <w:highlight w:val="none"/>
              </w:rPr>
              <w:t xml:space="preserve"> </w:t>
            </w:r>
          </w:p>
          <w:p w14:paraId="7192AB67">
            <w:pPr>
              <w:snapToGrid w:val="0"/>
              <w:spacing w:line="360" w:lineRule="auto"/>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、磋商保证金在响应文件提交截止时间后提交的，或者不按规定交纳方式交纳的，或者未足额交纳的（包含保函额度不足的），视为无效磋商保证金。</w:t>
            </w:r>
          </w:p>
          <w:p w14:paraId="6C9E74EC">
            <w:pPr>
              <w:snapToGrid w:val="0"/>
              <w:spacing w:line="360" w:lineRule="auto"/>
              <w:rPr>
                <w:rFonts w:asci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、供应商采用现钞方式或者从个人账户（自然人竞标除外）转出的磋商保证金，视为无效磋商保证金。</w:t>
            </w:r>
          </w:p>
          <w:p w14:paraId="19B0317F">
            <w:pPr>
              <w:snapToGrid w:val="0"/>
              <w:spacing w:line="360" w:lineRule="auto"/>
              <w:rPr>
                <w:rFonts w:asci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、支票、汇票或者本票出现无效或者背书情形的，视为无效磋商保证金。</w:t>
            </w:r>
          </w:p>
          <w:p w14:paraId="2F0683D1">
            <w:pPr>
              <w:snapToGrid w:val="0"/>
              <w:spacing w:line="360" w:lineRule="auto"/>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、保函有效期低于竞标有效期的，视为无效磋商保证金。</w:t>
            </w:r>
          </w:p>
          <w:p w14:paraId="1B685697">
            <w:pPr>
              <w:snapToGrid w:val="0"/>
              <w:spacing w:line="360" w:lineRule="auto"/>
              <w:rPr>
                <w:rFonts w:ascii="宋体" w:cs="宋体"/>
                <w:b/>
                <w:color w:val="auto"/>
                <w:szCs w:val="21"/>
                <w:highlight w:val="none"/>
              </w:rPr>
            </w:pPr>
            <w:r>
              <w:rPr>
                <w:rFonts w:ascii="宋体" w:hAnsi="宋体" w:cs="宋体"/>
                <w:b/>
                <w:color w:val="auto"/>
                <w:szCs w:val="21"/>
                <w:highlight w:val="none"/>
              </w:rPr>
              <w:t>5</w:t>
            </w:r>
            <w:r>
              <w:rPr>
                <w:rFonts w:hint="eastAsia" w:ascii="宋体" w:hAnsi="宋体" w:cs="宋体"/>
                <w:b/>
                <w:color w:val="auto"/>
                <w:szCs w:val="21"/>
                <w:highlight w:val="none"/>
              </w:rPr>
              <w:t>、采用金融、担保机构出具保函的，必须为无条件保函，否则视为无效磋商保证金。</w:t>
            </w:r>
          </w:p>
          <w:p w14:paraId="599F9B1C">
            <w:pPr>
              <w:snapToGrid w:val="0"/>
              <w:spacing w:line="360" w:lineRule="auto"/>
              <w:rPr>
                <w:rFonts w:ascii="宋体" w:cs="宋体"/>
                <w:color w:val="auto"/>
                <w:szCs w:val="21"/>
                <w:highlight w:val="none"/>
              </w:rPr>
            </w:pPr>
            <w:r>
              <w:rPr>
                <w:rFonts w:ascii="宋体" w:hAnsi="宋体" w:cs="宋体"/>
                <w:b/>
                <w:color w:val="auto"/>
                <w:szCs w:val="21"/>
                <w:highlight w:val="none"/>
              </w:rPr>
              <w:t>6</w:t>
            </w:r>
            <w:r>
              <w:rPr>
                <w:rFonts w:hint="eastAsia" w:ascii="宋体" w:hAnsi="宋体" w:cs="宋体"/>
                <w:b/>
                <w:color w:val="auto"/>
                <w:szCs w:val="21"/>
                <w:highlight w:val="none"/>
              </w:rPr>
              <w:t>、保证金凭证应注明正确的项目编号、分标号（如有）等信息，否则，信息不明确或有误的将可能被视为无效磋商保证金，并有可能影响保证金的及时退付。</w:t>
            </w:r>
          </w:p>
        </w:tc>
      </w:tr>
      <w:tr w14:paraId="707D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6B77B39A">
            <w:pPr>
              <w:spacing w:line="360" w:lineRule="auto"/>
              <w:jc w:val="center"/>
              <w:rPr>
                <w:rFonts w:ascii="宋体" w:cs="宋体"/>
                <w:color w:val="auto"/>
                <w:szCs w:val="21"/>
                <w:highlight w:val="none"/>
              </w:rPr>
            </w:pPr>
            <w:r>
              <w:rPr>
                <w:rFonts w:ascii="宋体" w:hAnsi="宋体" w:cs="宋体"/>
                <w:color w:val="auto"/>
                <w:szCs w:val="21"/>
                <w:highlight w:val="none"/>
              </w:rPr>
              <w:t>18.2</w:t>
            </w:r>
          </w:p>
        </w:tc>
        <w:tc>
          <w:tcPr>
            <w:tcW w:w="8627" w:type="dxa"/>
            <w:vAlign w:val="center"/>
          </w:tcPr>
          <w:p w14:paraId="369C6A50">
            <w:pPr>
              <w:spacing w:line="360" w:lineRule="auto"/>
              <w:rPr>
                <w:rFonts w:ascii="宋体" w:cs="宋体"/>
                <w:color w:val="auto"/>
                <w:szCs w:val="21"/>
                <w:highlight w:val="none"/>
              </w:rPr>
            </w:pPr>
            <w:r>
              <w:rPr>
                <w:rFonts w:hint="eastAsia" w:ascii="宋体" w:hAnsi="宋体" w:cs="宋体"/>
                <w:color w:val="auto"/>
                <w:szCs w:val="21"/>
                <w:highlight w:val="none"/>
              </w:rPr>
              <w:t>响应文件应按资格证明文件、报价商务技术文件分别编制，并按广西政府采购云平台的要求编制、加密、上传。</w:t>
            </w:r>
          </w:p>
        </w:tc>
      </w:tr>
      <w:tr w14:paraId="5890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F11BB7">
            <w:pPr>
              <w:spacing w:line="360" w:lineRule="auto"/>
              <w:jc w:val="center"/>
              <w:rPr>
                <w:rFonts w:ascii="宋体" w:cs="宋体"/>
                <w:color w:val="auto"/>
                <w:szCs w:val="21"/>
                <w:highlight w:val="none"/>
              </w:rPr>
            </w:pPr>
            <w:r>
              <w:rPr>
                <w:rFonts w:ascii="宋体" w:hAnsi="宋体" w:cs="宋体"/>
                <w:color w:val="auto"/>
                <w:szCs w:val="21"/>
                <w:highlight w:val="none"/>
              </w:rPr>
              <w:t>20.1</w:t>
            </w:r>
          </w:p>
        </w:tc>
        <w:tc>
          <w:tcPr>
            <w:tcW w:w="8627" w:type="dxa"/>
            <w:vAlign w:val="center"/>
          </w:tcPr>
          <w:p w14:paraId="3177BA0E">
            <w:pPr>
              <w:spacing w:line="360" w:lineRule="auto"/>
              <w:contextualSpacing/>
              <w:rPr>
                <w:rFonts w:asci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2EE4C7DC">
            <w:pPr>
              <w:spacing w:line="360" w:lineRule="auto"/>
              <w:contextualSpacing/>
              <w:rPr>
                <w:rFonts w:asci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552C7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D2DC4B">
            <w:pPr>
              <w:spacing w:line="360" w:lineRule="auto"/>
              <w:jc w:val="center"/>
              <w:rPr>
                <w:rFonts w:ascii="宋体" w:cs="宋体"/>
                <w:color w:val="auto"/>
                <w:szCs w:val="21"/>
                <w:highlight w:val="none"/>
              </w:rPr>
            </w:pPr>
            <w:r>
              <w:rPr>
                <w:rFonts w:ascii="宋体" w:hAnsi="宋体" w:cs="宋体"/>
                <w:color w:val="auto"/>
                <w:szCs w:val="21"/>
                <w:highlight w:val="none"/>
              </w:rPr>
              <w:t>24.1</w:t>
            </w:r>
          </w:p>
        </w:tc>
        <w:tc>
          <w:tcPr>
            <w:tcW w:w="8627" w:type="dxa"/>
            <w:vAlign w:val="center"/>
          </w:tcPr>
          <w:p w14:paraId="6BC801AF">
            <w:pPr>
              <w:snapToGrid w:val="0"/>
              <w:spacing w:line="360" w:lineRule="auto"/>
              <w:rPr>
                <w:rFonts w:asci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rPr>
              <w:t>3</w:t>
            </w:r>
            <w:r>
              <w:rPr>
                <w:rFonts w:hint="eastAsia" w:ascii="宋体" w:hAnsi="宋体" w:cs="宋体"/>
                <w:color w:val="auto"/>
                <w:szCs w:val="21"/>
                <w:highlight w:val="none"/>
              </w:rPr>
              <w:t>人。</w:t>
            </w:r>
          </w:p>
        </w:tc>
      </w:tr>
      <w:tr w14:paraId="09D0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01C197">
            <w:pPr>
              <w:spacing w:line="360" w:lineRule="auto"/>
              <w:jc w:val="center"/>
              <w:rPr>
                <w:rFonts w:ascii="宋体" w:cs="宋体"/>
                <w:color w:val="auto"/>
                <w:szCs w:val="21"/>
                <w:highlight w:val="none"/>
              </w:rPr>
            </w:pPr>
            <w:r>
              <w:rPr>
                <w:rFonts w:ascii="宋体" w:hAnsi="宋体" w:cs="宋体"/>
                <w:color w:val="auto"/>
                <w:szCs w:val="21"/>
                <w:highlight w:val="none"/>
              </w:rPr>
              <w:t>25.2</w:t>
            </w:r>
          </w:p>
        </w:tc>
        <w:tc>
          <w:tcPr>
            <w:tcW w:w="8627" w:type="dxa"/>
            <w:vAlign w:val="center"/>
          </w:tcPr>
          <w:p w14:paraId="2B459721">
            <w:pPr>
              <w:snapToGrid w:val="0"/>
              <w:spacing w:line="360" w:lineRule="auto"/>
              <w:rPr>
                <w:rFonts w:asci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w:t>
            </w:r>
            <w:r>
              <w:rPr>
                <w:rFonts w:ascii="宋体" w:hAnsi="宋体" w:cs="宋体"/>
                <w:b/>
                <w:color w:val="auto"/>
                <w:szCs w:val="21"/>
                <w:highlight w:val="none"/>
              </w:rPr>
              <w:t>CA</w:t>
            </w:r>
            <w:r>
              <w:rPr>
                <w:rFonts w:hint="eastAsia" w:ascii="宋体" w:hAnsi="宋体" w:cs="宋体"/>
                <w:b/>
                <w:color w:val="auto"/>
                <w:szCs w:val="21"/>
                <w:highlight w:val="none"/>
              </w:rPr>
              <w:t>锁按平台提示和采购文件的规定登录到“广西政府采购云平台”电子开标大厅签到并在发起解密指令之时起</w:t>
            </w:r>
            <w:r>
              <w:rPr>
                <w:rFonts w:ascii="宋体" w:hAnsi="宋体" w:cs="宋体"/>
                <w:b/>
                <w:color w:val="auto"/>
                <w:szCs w:val="21"/>
                <w:highlight w:val="none"/>
              </w:rPr>
              <w:t>30</w:t>
            </w:r>
            <w:r>
              <w:rPr>
                <w:rFonts w:hint="eastAsia" w:ascii="宋体" w:hAnsi="宋体" w:cs="宋体"/>
                <w:b/>
                <w:color w:val="auto"/>
                <w:szCs w:val="21"/>
                <w:highlight w:val="none"/>
              </w:rPr>
              <w:t>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268D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1E145657">
            <w:pPr>
              <w:spacing w:line="360" w:lineRule="auto"/>
              <w:jc w:val="center"/>
              <w:rPr>
                <w:rFonts w:ascii="宋体" w:cs="宋体"/>
                <w:color w:val="auto"/>
                <w:szCs w:val="21"/>
                <w:highlight w:val="none"/>
              </w:rPr>
            </w:pPr>
            <w:r>
              <w:rPr>
                <w:rFonts w:ascii="宋体" w:hAnsi="宋体" w:cs="宋体"/>
                <w:color w:val="auto"/>
                <w:szCs w:val="21"/>
                <w:highlight w:val="none"/>
              </w:rPr>
              <w:t>26</w:t>
            </w:r>
          </w:p>
        </w:tc>
        <w:tc>
          <w:tcPr>
            <w:tcW w:w="8627" w:type="dxa"/>
            <w:vAlign w:val="center"/>
          </w:tcPr>
          <w:p w14:paraId="1B434A05">
            <w:pPr>
              <w:snapToGrid w:val="0"/>
              <w:spacing w:line="360" w:lineRule="auto"/>
              <w:rPr>
                <w:rFonts w:ascii="宋体" w:cs="宋体"/>
                <w:color w:val="auto"/>
                <w:szCs w:val="21"/>
                <w:highlight w:val="none"/>
              </w:rPr>
            </w:pPr>
            <w:r>
              <w:rPr>
                <w:rFonts w:hint="eastAsia" w:ascii="宋体" w:hAnsi="宋体" w:cs="宋体"/>
                <w:color w:val="auto"/>
                <w:szCs w:val="21"/>
                <w:highlight w:val="none"/>
              </w:rPr>
              <w:t>各分标商务要求评审中允许负偏离的条款数为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 xml:space="preserve"> </w:t>
            </w:r>
            <w:r>
              <w:rPr>
                <w:rFonts w:hint="eastAsia" w:ascii="宋体" w:hAnsi="宋体" w:cs="宋体"/>
                <w:color w:val="auto"/>
                <w:szCs w:val="21"/>
                <w:highlight w:val="none"/>
              </w:rPr>
              <w:t>项。</w:t>
            </w:r>
          </w:p>
          <w:p w14:paraId="7DC37D8D">
            <w:pPr>
              <w:snapToGrid w:val="0"/>
              <w:spacing w:line="360" w:lineRule="auto"/>
              <w:rPr>
                <w:rFonts w:ascii="宋体" w:cs="宋体"/>
                <w:color w:val="auto"/>
                <w:szCs w:val="21"/>
                <w:highlight w:val="none"/>
              </w:rPr>
            </w:pPr>
            <w:r>
              <w:rPr>
                <w:rFonts w:hint="eastAsia" w:ascii="宋体" w:hAnsi="宋体" w:cs="宋体"/>
                <w:color w:val="auto"/>
                <w:szCs w:val="21"/>
                <w:highlight w:val="none"/>
              </w:rPr>
              <w:t>各分标技术要求评审中允许负偏离的条款数为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项。</w:t>
            </w:r>
          </w:p>
        </w:tc>
      </w:tr>
      <w:tr w14:paraId="500EC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92" w:type="dxa"/>
            <w:vMerge w:val="continue"/>
            <w:vAlign w:val="center"/>
          </w:tcPr>
          <w:p w14:paraId="19C4726A">
            <w:pPr>
              <w:spacing w:line="360" w:lineRule="auto"/>
              <w:jc w:val="center"/>
              <w:rPr>
                <w:rFonts w:ascii="宋体" w:cs="宋体"/>
                <w:color w:val="auto"/>
                <w:szCs w:val="21"/>
                <w:highlight w:val="none"/>
              </w:rPr>
            </w:pPr>
          </w:p>
        </w:tc>
        <w:tc>
          <w:tcPr>
            <w:tcW w:w="8627" w:type="dxa"/>
            <w:vAlign w:val="center"/>
          </w:tcPr>
          <w:p w14:paraId="2C877FF6">
            <w:pPr>
              <w:pStyle w:val="13"/>
              <w:spacing w:line="320" w:lineRule="exact"/>
              <w:jc w:val="both"/>
              <w:rPr>
                <w:rFonts w:ascii="宋体" w:cs="宋体"/>
                <w:color w:val="auto"/>
                <w:szCs w:val="21"/>
                <w:highlight w:val="none"/>
              </w:rPr>
            </w:pPr>
            <w:r>
              <w:rPr>
                <w:rFonts w:hint="eastAsia" w:ascii="宋体" w:hAnsi="宋体" w:cs="宋体"/>
                <w:color w:val="auto"/>
                <w:szCs w:val="21"/>
                <w:highlight w:val="none"/>
              </w:rPr>
              <w:t>磋商的顺序：按“广西政府采购云平台”系统的编号顺序。</w:t>
            </w:r>
          </w:p>
          <w:p w14:paraId="7D2D3C72">
            <w:pPr>
              <w:pStyle w:val="13"/>
              <w:spacing w:line="360" w:lineRule="auto"/>
              <w:jc w:val="both"/>
              <w:rPr>
                <w:rFonts w:ascii="宋体" w:cs="宋体"/>
                <w:b/>
                <w:color w:val="auto"/>
                <w:szCs w:val="21"/>
                <w:highlight w:val="none"/>
              </w:rPr>
            </w:pPr>
            <w:r>
              <w:rPr>
                <w:rFonts w:hint="eastAsia" w:ascii="宋体" w:hAnsi="宋体" w:cs="宋体"/>
                <w:b/>
                <w:color w:val="auto"/>
                <w:szCs w:val="21"/>
                <w:highlight w:val="none"/>
              </w:rPr>
              <w:t>符合磋商资格的供应商必须在接到磋商通知后规定时间内参加磋商，未在规定时间内参加磋商的视同放弃参加磋商权利，其响应文件按无效响应处理。</w:t>
            </w:r>
          </w:p>
          <w:p w14:paraId="3E1E40F1">
            <w:pPr>
              <w:pStyle w:val="13"/>
              <w:spacing w:line="360" w:lineRule="auto"/>
              <w:jc w:val="both"/>
              <w:rPr>
                <w:rFonts w:ascii="宋体" w:cs="宋体"/>
                <w:b/>
                <w:color w:val="auto"/>
                <w:szCs w:val="21"/>
                <w:highlight w:val="none"/>
              </w:rPr>
            </w:pPr>
            <w:r>
              <w:rPr>
                <w:rFonts w:hint="eastAsia" w:ascii="宋体" w:hAnsi="宋体" w:cs="宋体"/>
                <w:b/>
                <w:color w:val="auto"/>
                <w:szCs w:val="21"/>
                <w:highlight w:val="none"/>
              </w:rPr>
              <w:t>注：参与磋商前，供应商法定代表人或者委托代理人向磋商小组出示本人有效证件原件</w:t>
            </w:r>
            <w:r>
              <w:rPr>
                <w:rFonts w:ascii="宋体" w:hAnsi="宋体" w:cs="宋体"/>
                <w:b/>
                <w:color w:val="auto"/>
                <w:szCs w:val="21"/>
                <w:highlight w:val="none"/>
              </w:rPr>
              <w:t>[</w:t>
            </w:r>
            <w:r>
              <w:rPr>
                <w:rFonts w:hint="eastAsia" w:ascii="宋体" w:hAnsi="宋体" w:cs="宋体"/>
                <w:b/>
                <w:color w:val="auto"/>
                <w:szCs w:val="21"/>
                <w:highlight w:val="none"/>
              </w:rPr>
              <w:t>有效证件可以是身份证（含临时身份证明）或者护照的其中一项</w:t>
            </w:r>
            <w:r>
              <w:rPr>
                <w:rFonts w:ascii="宋体" w:hAnsi="宋体" w:cs="宋体"/>
                <w:b/>
                <w:color w:val="auto"/>
                <w:szCs w:val="21"/>
                <w:highlight w:val="none"/>
              </w:rPr>
              <w:t>]</w:t>
            </w:r>
            <w:r>
              <w:rPr>
                <w:rFonts w:hint="eastAsia" w:ascii="宋体" w:hAnsi="宋体" w:cs="宋体"/>
                <w:b/>
                <w:color w:val="auto"/>
                <w:szCs w:val="21"/>
                <w:highlight w:val="none"/>
              </w:rPr>
              <w:t>。</w:t>
            </w:r>
          </w:p>
        </w:tc>
      </w:tr>
      <w:tr w14:paraId="471EA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4AB61B">
            <w:pPr>
              <w:spacing w:line="360" w:lineRule="auto"/>
              <w:jc w:val="center"/>
              <w:rPr>
                <w:rFonts w:ascii="宋体" w:cs="宋体"/>
                <w:color w:val="auto"/>
                <w:szCs w:val="21"/>
                <w:highlight w:val="none"/>
              </w:rPr>
            </w:pPr>
            <w:r>
              <w:rPr>
                <w:rFonts w:ascii="宋体" w:hAnsi="宋体" w:cs="宋体"/>
                <w:color w:val="auto"/>
                <w:szCs w:val="21"/>
                <w:highlight w:val="none"/>
              </w:rPr>
              <w:t>28.1</w:t>
            </w:r>
          </w:p>
        </w:tc>
        <w:tc>
          <w:tcPr>
            <w:tcW w:w="8627" w:type="dxa"/>
            <w:vAlign w:val="center"/>
          </w:tcPr>
          <w:p w14:paraId="7D085DEC">
            <w:pPr>
              <w:autoSpaceDE w:val="0"/>
              <w:autoSpaceDN w:val="0"/>
              <w:snapToGrid w:val="0"/>
              <w:spacing w:line="400" w:lineRule="exact"/>
              <w:textAlignment w:val="bottom"/>
              <w:rPr>
                <w:rFonts w:ascii="宋体" w:cs="宋体"/>
                <w:color w:val="auto"/>
                <w:szCs w:val="21"/>
                <w:highlight w:val="none"/>
              </w:rPr>
            </w:pPr>
            <w:r>
              <w:rPr>
                <w:rFonts w:hint="eastAsia" w:ascii="宋体" w:hAnsi="宋体" w:cs="宋体"/>
                <w:color w:val="auto"/>
                <w:szCs w:val="21"/>
                <w:highlight w:val="none"/>
              </w:rPr>
              <w:t>本项目不收取履约保证金。</w:t>
            </w:r>
          </w:p>
        </w:tc>
      </w:tr>
      <w:tr w14:paraId="5444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F862CF">
            <w:pPr>
              <w:spacing w:line="360" w:lineRule="auto"/>
              <w:jc w:val="center"/>
              <w:rPr>
                <w:rFonts w:ascii="宋体" w:cs="宋体"/>
                <w:color w:val="auto"/>
                <w:szCs w:val="21"/>
                <w:highlight w:val="none"/>
              </w:rPr>
            </w:pPr>
            <w:r>
              <w:rPr>
                <w:rFonts w:ascii="宋体" w:hAnsi="宋体" w:cs="宋体"/>
                <w:color w:val="auto"/>
                <w:szCs w:val="21"/>
                <w:highlight w:val="none"/>
              </w:rPr>
              <w:t>29.1</w:t>
            </w:r>
          </w:p>
        </w:tc>
        <w:tc>
          <w:tcPr>
            <w:tcW w:w="8627" w:type="dxa"/>
            <w:vAlign w:val="center"/>
          </w:tcPr>
          <w:p w14:paraId="5BC3EDEF">
            <w:pPr>
              <w:autoSpaceDE w:val="0"/>
              <w:autoSpaceDN w:val="0"/>
              <w:snapToGrid w:val="0"/>
              <w:spacing w:line="360" w:lineRule="auto"/>
              <w:textAlignment w:val="bottom"/>
              <w:rPr>
                <w:rFonts w:ascii="宋体" w:cs="宋体"/>
                <w:color w:val="auto"/>
                <w:szCs w:val="21"/>
                <w:highlight w:val="none"/>
              </w:rPr>
            </w:pPr>
            <w:r>
              <w:rPr>
                <w:rFonts w:hint="eastAsia" w:ascii="宋体" w:hAnsi="宋体" w:cs="宋体"/>
                <w:color w:val="auto"/>
                <w:szCs w:val="21"/>
                <w:highlight w:val="none"/>
              </w:rPr>
              <w:t>签订合同携带的证明材料：</w:t>
            </w:r>
            <w:r>
              <w:rPr>
                <w:rFonts w:ascii="宋体" w:hAnsi="宋体" w:cs="宋体"/>
                <w:color w:val="auto"/>
                <w:szCs w:val="21"/>
                <w:highlight w:val="none"/>
              </w:rPr>
              <w:t xml:space="preserve"> </w:t>
            </w:r>
          </w:p>
          <w:p w14:paraId="228A9D58">
            <w:pPr>
              <w:autoSpaceDE w:val="0"/>
              <w:autoSpaceDN w:val="0"/>
              <w:snapToGrid w:val="0"/>
              <w:spacing w:line="360" w:lineRule="auto"/>
              <w:textAlignment w:val="bottom"/>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、委托代理人负责签订合同的，须携带授权委托书及委托代理人身份证原件等其他资格证件。</w:t>
            </w:r>
          </w:p>
          <w:p w14:paraId="1E7CBA1D">
            <w:pPr>
              <w:snapToGrid w:val="0"/>
              <w:spacing w:line="360" w:lineRule="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、法定代表人负责签订合同的，须携带法定代表人身份证明原件及身份证原件等其他证明材料。</w:t>
            </w:r>
          </w:p>
        </w:tc>
      </w:tr>
      <w:tr w14:paraId="47D37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AAC32D">
            <w:pPr>
              <w:spacing w:line="360" w:lineRule="auto"/>
              <w:jc w:val="center"/>
              <w:rPr>
                <w:rFonts w:ascii="宋体" w:cs="宋体"/>
                <w:color w:val="auto"/>
                <w:szCs w:val="21"/>
                <w:highlight w:val="none"/>
              </w:rPr>
            </w:pPr>
            <w:r>
              <w:rPr>
                <w:rFonts w:ascii="宋体" w:hAnsi="宋体" w:cs="宋体"/>
                <w:color w:val="auto"/>
                <w:szCs w:val="21"/>
                <w:highlight w:val="none"/>
              </w:rPr>
              <w:t>31.2</w:t>
            </w:r>
          </w:p>
        </w:tc>
        <w:tc>
          <w:tcPr>
            <w:tcW w:w="8627" w:type="dxa"/>
            <w:vAlign w:val="center"/>
          </w:tcPr>
          <w:p w14:paraId="756653EA">
            <w:pPr>
              <w:pStyle w:val="19"/>
              <w:snapToGrid w:val="0"/>
              <w:spacing w:line="360" w:lineRule="auto"/>
              <w:rPr>
                <w:rFonts w:hAnsi="宋体" w:cs="宋体"/>
                <w:color w:val="auto"/>
                <w:sz w:val="21"/>
                <w:highlight w:val="none"/>
              </w:rPr>
            </w:pPr>
            <w:r>
              <w:rPr>
                <w:rFonts w:hint="eastAsia" w:hAnsi="宋体" w:cs="宋体"/>
                <w:color w:val="auto"/>
                <w:sz w:val="21"/>
                <w:highlight w:val="none"/>
              </w:rPr>
              <w:t>接收质疑函方式：以纸质书面形式。</w:t>
            </w:r>
          </w:p>
          <w:p w14:paraId="7248020F">
            <w:pPr>
              <w:pStyle w:val="19"/>
              <w:snapToGrid w:val="0"/>
              <w:spacing w:line="360" w:lineRule="auto"/>
              <w:rPr>
                <w:rFonts w:hAnsi="宋体" w:cs="宋体"/>
                <w:color w:val="auto"/>
                <w:sz w:val="21"/>
                <w:highlight w:val="none"/>
              </w:rPr>
            </w:pPr>
            <w:r>
              <w:rPr>
                <w:rFonts w:hint="eastAsia" w:hAnsi="宋体" w:cs="宋体"/>
                <w:color w:val="auto"/>
                <w:sz w:val="21"/>
                <w:highlight w:val="none"/>
              </w:rPr>
              <w:t>质疑联系部门及联系方式：广西国泰招标咨询有限公司，质疑联系人：黄柳娜</w:t>
            </w:r>
            <w:r>
              <w:rPr>
                <w:rFonts w:hAnsi="宋体" w:cs="宋体"/>
                <w:color w:val="auto"/>
                <w:sz w:val="21"/>
                <w:highlight w:val="none"/>
              </w:rPr>
              <w:t xml:space="preserve">  </w:t>
            </w:r>
            <w:r>
              <w:rPr>
                <w:rFonts w:hint="eastAsia" w:hAnsi="宋体" w:cs="宋体"/>
                <w:color w:val="auto"/>
                <w:sz w:val="21"/>
                <w:highlight w:val="none"/>
              </w:rPr>
              <w:t>联系电话：</w:t>
            </w:r>
            <w:r>
              <w:rPr>
                <w:rFonts w:hAnsi="宋体" w:cs="宋体"/>
                <w:color w:val="auto"/>
                <w:sz w:val="21"/>
                <w:highlight w:val="none"/>
              </w:rPr>
              <w:t>0771-2023496</w:t>
            </w:r>
            <w:r>
              <w:rPr>
                <w:rFonts w:hint="eastAsia" w:hAnsi="宋体" w:cs="宋体"/>
                <w:color w:val="auto"/>
                <w:sz w:val="21"/>
                <w:highlight w:val="none"/>
              </w:rPr>
              <w:t>，通讯地址：广西南宁市民族大道</w:t>
            </w:r>
            <w:r>
              <w:rPr>
                <w:rFonts w:hAnsi="宋体" w:cs="宋体"/>
                <w:color w:val="auto"/>
                <w:sz w:val="21"/>
                <w:highlight w:val="none"/>
              </w:rPr>
              <w:t>141</w:t>
            </w:r>
            <w:r>
              <w:rPr>
                <w:rFonts w:hint="eastAsia" w:hAnsi="宋体" w:cs="宋体"/>
                <w:color w:val="auto"/>
                <w:sz w:val="21"/>
                <w:highlight w:val="none"/>
              </w:rPr>
              <w:t>号中鼎万象东方大厦</w:t>
            </w:r>
            <w:r>
              <w:rPr>
                <w:rFonts w:hAnsi="宋体" w:cs="宋体"/>
                <w:color w:val="auto"/>
                <w:sz w:val="21"/>
                <w:highlight w:val="none"/>
              </w:rPr>
              <w:t>C</w:t>
            </w:r>
            <w:r>
              <w:rPr>
                <w:rFonts w:hint="eastAsia" w:hAnsi="宋体" w:cs="宋体"/>
                <w:color w:val="auto"/>
                <w:sz w:val="21"/>
                <w:highlight w:val="none"/>
              </w:rPr>
              <w:t>区六层</w:t>
            </w:r>
          </w:p>
          <w:p w14:paraId="24E173EA">
            <w:pPr>
              <w:pStyle w:val="19"/>
              <w:snapToGrid w:val="0"/>
              <w:spacing w:line="360" w:lineRule="auto"/>
              <w:rPr>
                <w:rFonts w:hAnsi="宋体" w:cs="宋体"/>
                <w:color w:val="auto"/>
                <w:highlight w:val="none"/>
              </w:rPr>
            </w:pPr>
            <w:r>
              <w:rPr>
                <w:rFonts w:hint="eastAsia" w:hAnsi="宋体" w:cs="宋体"/>
                <w:color w:val="auto"/>
                <w:sz w:val="21"/>
                <w:highlight w:val="none"/>
              </w:rPr>
              <w:t>现场提交质疑办理业务时间：工作日，上午</w:t>
            </w:r>
            <w:r>
              <w:rPr>
                <w:rFonts w:hAnsi="宋体" w:cs="宋体"/>
                <w:color w:val="auto"/>
                <w:sz w:val="21"/>
                <w:highlight w:val="none"/>
              </w:rPr>
              <w:t>8:00-12:00</w:t>
            </w:r>
            <w:r>
              <w:rPr>
                <w:rFonts w:hint="eastAsia" w:hAnsi="宋体" w:cs="宋体"/>
                <w:color w:val="auto"/>
                <w:sz w:val="21"/>
                <w:highlight w:val="none"/>
              </w:rPr>
              <w:t>；下午</w:t>
            </w:r>
            <w:r>
              <w:rPr>
                <w:rFonts w:hAnsi="宋体" w:cs="宋体"/>
                <w:color w:val="auto"/>
                <w:sz w:val="21"/>
                <w:highlight w:val="none"/>
              </w:rPr>
              <w:t>15:00-18:00</w:t>
            </w:r>
            <w:r>
              <w:rPr>
                <w:rFonts w:hint="eastAsia" w:hAnsi="宋体" w:cs="宋体"/>
                <w:color w:val="auto"/>
                <w:sz w:val="21"/>
                <w:highlight w:val="none"/>
              </w:rPr>
              <w:t>（北京时间）</w:t>
            </w:r>
          </w:p>
        </w:tc>
      </w:tr>
      <w:tr w14:paraId="4D0F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59422253">
            <w:pPr>
              <w:spacing w:line="360" w:lineRule="auto"/>
              <w:jc w:val="center"/>
              <w:rPr>
                <w:rFonts w:ascii="宋体" w:cs="宋体"/>
                <w:color w:val="auto"/>
                <w:szCs w:val="21"/>
                <w:highlight w:val="none"/>
              </w:rPr>
            </w:pPr>
            <w:r>
              <w:rPr>
                <w:rFonts w:ascii="宋体" w:hAnsi="宋体" w:cs="宋体"/>
                <w:color w:val="auto"/>
                <w:szCs w:val="21"/>
                <w:highlight w:val="none"/>
              </w:rPr>
              <w:t>32.1</w:t>
            </w:r>
          </w:p>
        </w:tc>
        <w:tc>
          <w:tcPr>
            <w:tcW w:w="8627" w:type="dxa"/>
            <w:vAlign w:val="center"/>
          </w:tcPr>
          <w:p w14:paraId="4634A690">
            <w:pPr>
              <w:pStyle w:val="19"/>
              <w:snapToGrid w:val="0"/>
              <w:spacing w:line="400" w:lineRule="exact"/>
              <w:rPr>
                <w:rFonts w:hAnsi="宋体" w:cs="宋体"/>
                <w:color w:val="auto"/>
                <w:sz w:val="21"/>
                <w:highlight w:val="none"/>
              </w:rPr>
            </w:pPr>
            <w:r>
              <w:rPr>
                <w:rFonts w:hAnsi="宋体" w:cs="宋体"/>
                <w:color w:val="auto"/>
                <w:sz w:val="21"/>
                <w:highlight w:val="none"/>
              </w:rPr>
              <w:t>1</w:t>
            </w:r>
            <w:r>
              <w:rPr>
                <w:rFonts w:hint="eastAsia" w:hAnsi="宋体" w:cs="宋体"/>
                <w:color w:val="auto"/>
                <w:sz w:val="21"/>
                <w:highlight w:val="none"/>
              </w:rPr>
              <w:t>、采购代理服务费支付方式：</w:t>
            </w:r>
            <w:r>
              <w:rPr>
                <w:rFonts w:hint="eastAsia" w:hAnsi="宋体"/>
                <w:color w:val="auto"/>
                <w:sz w:val="21"/>
                <w:highlight w:val="none"/>
              </w:rPr>
              <w:t>本项目的招标代理服务费按以下收费标准向</w:t>
            </w:r>
            <w:r>
              <w:rPr>
                <w:rFonts w:hint="eastAsia" w:hAnsi="宋体" w:cs="宋体"/>
                <w:color w:val="auto"/>
                <w:sz w:val="21"/>
                <w:highlight w:val="none"/>
              </w:rPr>
              <w:t>成交供应商</w:t>
            </w:r>
            <w:r>
              <w:rPr>
                <w:rFonts w:hint="eastAsia" w:hAnsi="宋体"/>
                <w:color w:val="auto"/>
                <w:sz w:val="21"/>
                <w:highlight w:val="none"/>
              </w:rPr>
              <w:t>收取，领取成交通知书前，</w:t>
            </w:r>
            <w:r>
              <w:rPr>
                <w:rFonts w:hint="eastAsia" w:hAnsi="宋体" w:cs="宋体"/>
                <w:color w:val="auto"/>
                <w:sz w:val="21"/>
                <w:highlight w:val="none"/>
              </w:rPr>
              <w:t>成交供应商</w:t>
            </w:r>
            <w:r>
              <w:rPr>
                <w:rFonts w:hint="eastAsia" w:hAnsi="宋体"/>
                <w:color w:val="auto"/>
                <w:sz w:val="21"/>
                <w:highlight w:val="none"/>
              </w:rPr>
              <w:t>应向采购代理机构一次付清招标代理服务费，否则采购代理机构有权不予以办理。</w:t>
            </w:r>
          </w:p>
          <w:p w14:paraId="0DBE0BE2">
            <w:pPr>
              <w:pStyle w:val="19"/>
              <w:snapToGrid w:val="0"/>
              <w:spacing w:line="400" w:lineRule="exact"/>
              <w:rPr>
                <w:rFonts w:hAnsi="宋体" w:cs="宋体"/>
                <w:color w:val="auto"/>
                <w:sz w:val="21"/>
                <w:highlight w:val="none"/>
              </w:rPr>
            </w:pPr>
            <w:r>
              <w:rPr>
                <w:rFonts w:hAnsi="宋体" w:cs="宋体"/>
                <w:color w:val="auto"/>
                <w:sz w:val="21"/>
                <w:highlight w:val="none"/>
              </w:rPr>
              <w:t>2</w:t>
            </w:r>
            <w:r>
              <w:rPr>
                <w:rFonts w:hint="eastAsia" w:hAnsi="宋体" w:cs="宋体"/>
                <w:color w:val="auto"/>
                <w:sz w:val="21"/>
                <w:highlight w:val="none"/>
              </w:rPr>
              <w:t>、采购代理服务费收取标准：以各分标成交金额为计费额，按本须知正文第</w:t>
            </w:r>
            <w:r>
              <w:rPr>
                <w:rFonts w:hAnsi="宋体" w:cs="宋体"/>
                <w:color w:val="auto"/>
                <w:sz w:val="21"/>
                <w:highlight w:val="none"/>
              </w:rPr>
              <w:t>32.2</w:t>
            </w:r>
            <w:r>
              <w:rPr>
                <w:rFonts w:hint="eastAsia" w:hAnsi="宋体" w:cs="宋体"/>
                <w:color w:val="auto"/>
                <w:sz w:val="21"/>
                <w:highlight w:val="none"/>
              </w:rPr>
              <w:t>条规定的收费计算标准（</w:t>
            </w:r>
            <w:r>
              <w:rPr>
                <w:rFonts w:hint="eastAsia" w:hAnsi="宋体" w:cs="宋体"/>
                <w:b/>
                <w:color w:val="auto"/>
                <w:sz w:val="21"/>
                <w:highlight w:val="none"/>
              </w:rPr>
              <w:t>服务类</w:t>
            </w:r>
            <w:r>
              <w:rPr>
                <w:rFonts w:hint="eastAsia" w:hAnsi="宋体" w:cs="宋体"/>
                <w:color w:val="auto"/>
                <w:sz w:val="21"/>
                <w:highlight w:val="none"/>
              </w:rPr>
              <w:t>）采用差额定率累进法计算出收费基准价格，采购代理服务费收费按收费基准价格收取。</w:t>
            </w:r>
          </w:p>
          <w:p w14:paraId="663A5847">
            <w:pPr>
              <w:pStyle w:val="19"/>
              <w:snapToGrid w:val="0"/>
              <w:spacing w:line="400" w:lineRule="exact"/>
              <w:rPr>
                <w:rFonts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rPr>
              <w:t>、代理服务费缴费账户信息：</w:t>
            </w:r>
          </w:p>
          <w:p w14:paraId="45194CCD">
            <w:pPr>
              <w:pStyle w:val="19"/>
              <w:snapToGrid w:val="0"/>
              <w:spacing w:line="400" w:lineRule="exact"/>
              <w:rPr>
                <w:rFonts w:hAnsi="宋体" w:cs="宋体"/>
                <w:color w:val="auto"/>
                <w:sz w:val="21"/>
                <w:highlight w:val="none"/>
              </w:rPr>
            </w:pPr>
            <w:r>
              <w:rPr>
                <w:rFonts w:hint="eastAsia" w:hAnsi="宋体" w:cs="宋体"/>
                <w:color w:val="auto"/>
                <w:sz w:val="21"/>
                <w:highlight w:val="none"/>
              </w:rPr>
              <w:t>开户名称：广西国泰招标咨询有限公司南宁第五分公司</w:t>
            </w:r>
          </w:p>
          <w:p w14:paraId="04820C06">
            <w:pPr>
              <w:pStyle w:val="19"/>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0F5D1403">
            <w:pPr>
              <w:pStyle w:val="19"/>
              <w:snapToGrid w:val="0"/>
              <w:spacing w:line="400" w:lineRule="exact"/>
              <w:rPr>
                <w:rFonts w:hAnsi="宋体" w:cs="宋体"/>
                <w:color w:val="auto"/>
                <w:sz w:val="21"/>
                <w:highlight w:val="none"/>
              </w:rPr>
            </w:pPr>
            <w:r>
              <w:rPr>
                <w:rFonts w:hint="eastAsia" w:hAnsi="宋体" w:cs="宋体"/>
                <w:color w:val="auto"/>
                <w:sz w:val="21"/>
                <w:highlight w:val="none"/>
              </w:rPr>
              <w:t>银行账号：</w:t>
            </w:r>
            <w:r>
              <w:rPr>
                <w:rFonts w:hAnsi="宋体" w:cs="宋体"/>
                <w:color w:val="auto"/>
                <w:sz w:val="21"/>
                <w:highlight w:val="none"/>
              </w:rPr>
              <w:t>805022302700001</w:t>
            </w:r>
          </w:p>
        </w:tc>
      </w:tr>
      <w:tr w14:paraId="04DA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E2BEAB">
            <w:pPr>
              <w:spacing w:line="360" w:lineRule="auto"/>
              <w:jc w:val="center"/>
              <w:rPr>
                <w:rFonts w:ascii="宋体" w:cs="宋体"/>
                <w:color w:val="auto"/>
                <w:szCs w:val="21"/>
                <w:highlight w:val="none"/>
              </w:rPr>
            </w:pPr>
            <w:r>
              <w:rPr>
                <w:rFonts w:ascii="宋体" w:hAnsi="宋体" w:cs="宋体"/>
                <w:color w:val="auto"/>
                <w:szCs w:val="21"/>
                <w:highlight w:val="none"/>
              </w:rPr>
              <w:t>33.1</w:t>
            </w:r>
          </w:p>
        </w:tc>
        <w:tc>
          <w:tcPr>
            <w:tcW w:w="8627" w:type="dxa"/>
            <w:vAlign w:val="center"/>
          </w:tcPr>
          <w:p w14:paraId="2E17F00A">
            <w:pPr>
              <w:pStyle w:val="19"/>
              <w:snapToGrid w:val="0"/>
              <w:spacing w:line="360" w:lineRule="auto"/>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C1A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EDDFD6D">
            <w:pPr>
              <w:spacing w:line="360" w:lineRule="auto"/>
              <w:jc w:val="center"/>
              <w:rPr>
                <w:rFonts w:ascii="宋体" w:cs="宋体"/>
                <w:color w:val="auto"/>
                <w:szCs w:val="21"/>
                <w:highlight w:val="none"/>
              </w:rPr>
            </w:pPr>
            <w:r>
              <w:rPr>
                <w:rFonts w:ascii="宋体" w:hAnsi="宋体" w:cs="宋体"/>
                <w:color w:val="auto"/>
                <w:szCs w:val="21"/>
                <w:highlight w:val="none"/>
              </w:rPr>
              <w:t>33.2</w:t>
            </w:r>
          </w:p>
        </w:tc>
        <w:tc>
          <w:tcPr>
            <w:tcW w:w="8627" w:type="dxa"/>
            <w:vAlign w:val="center"/>
          </w:tcPr>
          <w:p w14:paraId="16BDA555">
            <w:pPr>
              <w:pStyle w:val="19"/>
              <w:snapToGrid w:val="0"/>
              <w:spacing w:line="360" w:lineRule="auto"/>
              <w:rPr>
                <w:rFonts w:hAnsi="宋体" w:cs="宋体"/>
                <w:color w:val="auto"/>
                <w:sz w:val="21"/>
                <w:highlight w:val="none"/>
              </w:rPr>
            </w:pPr>
            <w:r>
              <w:rPr>
                <w:rFonts w:hAnsi="宋体" w:cs="宋体"/>
                <w:color w:val="auto"/>
                <w:sz w:val="21"/>
                <w:highlight w:val="none"/>
              </w:rPr>
              <w:t>1</w:t>
            </w:r>
            <w:r>
              <w:rPr>
                <w:rFonts w:hint="eastAsia" w:hAnsi="宋体" w:cs="宋体"/>
                <w:color w:val="auto"/>
                <w:sz w:val="21"/>
                <w:highlight w:val="none"/>
              </w:rPr>
              <w:t>、本磋商文件中描述供应商的“公章”是指根据我国对公章的管理规定，用供应商法定主体行为名称制作的印章（含电子印章），除本磋商文件有特殊规定外，供应商的财务章、部门章、分公司章、工会章、合同章、竞标</w:t>
            </w:r>
            <w:r>
              <w:rPr>
                <w:rFonts w:hAnsi="宋体" w:cs="宋体"/>
                <w:color w:val="auto"/>
                <w:sz w:val="21"/>
                <w:highlight w:val="none"/>
              </w:rPr>
              <w:t>/</w:t>
            </w:r>
            <w:r>
              <w:rPr>
                <w:rFonts w:hint="eastAsia" w:hAnsi="宋体" w:cs="宋体"/>
                <w:color w:val="auto"/>
                <w:sz w:val="21"/>
                <w:highlight w:val="none"/>
              </w:rPr>
              <w:t>投标专用章、业务专用章及银行的转账章、现金收讫章、现金付讫章等其他形式印章均不能代替公章。</w:t>
            </w:r>
          </w:p>
          <w:p w14:paraId="78376A09">
            <w:pPr>
              <w:pStyle w:val="19"/>
              <w:snapToGrid w:val="0"/>
              <w:spacing w:line="360" w:lineRule="auto"/>
              <w:rPr>
                <w:rFonts w:hAnsi="宋体" w:cs="宋体"/>
                <w:color w:val="auto"/>
                <w:sz w:val="21"/>
                <w:highlight w:val="none"/>
              </w:rPr>
            </w:pPr>
            <w:r>
              <w:rPr>
                <w:rFonts w:hAnsi="宋体" w:cs="宋体"/>
                <w:color w:val="auto"/>
                <w:sz w:val="21"/>
                <w:highlight w:val="none"/>
              </w:rPr>
              <w:t>2</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w:t>
            </w:r>
            <w:r>
              <w:rPr>
                <w:rFonts w:hAnsi="宋体" w:cs="宋体"/>
                <w:bCs/>
                <w:color w:val="auto"/>
                <w:sz w:val="21"/>
                <w:highlight w:val="none"/>
              </w:rPr>
              <w:t>18</w:t>
            </w:r>
            <w:r>
              <w:rPr>
                <w:rFonts w:hint="eastAsia" w:hAnsi="宋体" w:cs="宋体"/>
                <w:bCs/>
                <w:color w:val="auto"/>
                <w:sz w:val="21"/>
                <w:highlight w:val="none"/>
              </w:rPr>
              <w:t>岁以上成年人（十六周岁以上的未成年人，以自己的劳动收入为主要生活来源的，视为完全民事行为能力人）。</w:t>
            </w:r>
          </w:p>
          <w:p w14:paraId="29656E89">
            <w:pPr>
              <w:pStyle w:val="13"/>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在文件规定签署处签名（含电子签名）的行为，法定代表人的私章、印鉴（含电子私章、电子印鉴）法律效力与法定代表人签字等同。</w:t>
            </w:r>
          </w:p>
          <w:p w14:paraId="72F2EF2A">
            <w:pPr>
              <w:pStyle w:val="19"/>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0142FC05">
            <w:pPr>
              <w:pStyle w:val="19"/>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、本磋商文件所称的“以上”“以下”“以内”“届满”，包括本数；所称的“不满”“超</w:t>
            </w:r>
          </w:p>
          <w:p w14:paraId="2E30D295">
            <w:pPr>
              <w:pStyle w:val="19"/>
              <w:snapToGrid w:val="0"/>
              <w:spacing w:line="360" w:lineRule="auto"/>
              <w:rPr>
                <w:rFonts w:hAnsi="宋体" w:cs="宋体"/>
                <w:color w:val="auto"/>
                <w:sz w:val="21"/>
                <w:highlight w:val="none"/>
              </w:rPr>
            </w:pPr>
            <w:r>
              <w:rPr>
                <w:rFonts w:hint="eastAsia" w:hAnsi="宋体" w:cs="宋体"/>
                <w:color w:val="auto"/>
                <w:sz w:val="21"/>
                <w:highlight w:val="none"/>
              </w:rPr>
              <w:t>过”“以外”，不包括本数。</w:t>
            </w:r>
          </w:p>
        </w:tc>
      </w:tr>
      <w:tr w14:paraId="475FE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38778C09">
            <w:pPr>
              <w:spacing w:line="360" w:lineRule="auto"/>
              <w:jc w:val="center"/>
              <w:rPr>
                <w:rFonts w:ascii="宋体" w:cs="宋体"/>
                <w:color w:val="auto"/>
                <w:szCs w:val="21"/>
                <w:highlight w:val="none"/>
              </w:rPr>
            </w:pPr>
          </w:p>
        </w:tc>
        <w:tc>
          <w:tcPr>
            <w:tcW w:w="8627" w:type="dxa"/>
            <w:vAlign w:val="center"/>
          </w:tcPr>
          <w:p w14:paraId="7DFF5DEB">
            <w:pPr>
              <w:spacing w:line="400" w:lineRule="exact"/>
              <w:jc w:val="left"/>
              <w:rPr>
                <w:rFonts w:ascii="宋体" w:cs="宋体"/>
                <w:b/>
                <w:bCs/>
                <w:color w:val="auto"/>
                <w:szCs w:val="21"/>
                <w:highlight w:val="none"/>
              </w:rPr>
            </w:pPr>
            <w:r>
              <w:rPr>
                <w:rFonts w:hint="eastAsia" w:ascii="宋体" w:hAnsi="宋体" w:cs="宋体"/>
                <w:b/>
                <w:bCs/>
                <w:color w:val="auto"/>
                <w:szCs w:val="21"/>
                <w:highlight w:val="none"/>
              </w:rPr>
              <w:t>供应商提供的响应文件资料必须是真实有效的，如存在提供虚假材料的情况，竞标无效，并没收竞标保证金；并按照中华人民共和国政府采购法及相关规定处理。给采购人造成损失的</w:t>
            </w:r>
            <w:r>
              <w:rPr>
                <w:rFonts w:ascii="宋体" w:cs="宋体"/>
                <w:b/>
                <w:bCs/>
                <w:color w:val="auto"/>
                <w:szCs w:val="21"/>
                <w:highlight w:val="none"/>
              </w:rPr>
              <w:t>,</w:t>
            </w:r>
            <w:r>
              <w:rPr>
                <w:rFonts w:hint="eastAsia" w:ascii="宋体" w:hAnsi="宋体" w:cs="宋体"/>
                <w:b/>
                <w:bCs/>
                <w:color w:val="auto"/>
                <w:szCs w:val="21"/>
                <w:highlight w:val="none"/>
              </w:rPr>
              <w:t>依法承担赔偿责任；构成犯罪的，依法追究刑事责任。</w:t>
            </w:r>
          </w:p>
        </w:tc>
      </w:tr>
    </w:tbl>
    <w:p w14:paraId="1BD30DEC">
      <w:pPr>
        <w:spacing w:line="400" w:lineRule="exact"/>
        <w:jc w:val="center"/>
        <w:rPr>
          <w:rFonts w:ascii="宋体" w:cs="宋体"/>
          <w:b/>
          <w:color w:val="auto"/>
          <w:sz w:val="32"/>
          <w:szCs w:val="32"/>
          <w:highlight w:val="none"/>
        </w:rPr>
      </w:pPr>
      <w:r>
        <w:rPr>
          <w:rFonts w:asci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180658C3">
      <w:pPr>
        <w:spacing w:line="400" w:lineRule="exact"/>
        <w:jc w:val="center"/>
        <w:rPr>
          <w:rFonts w:ascii="宋体" w:cs="宋体"/>
          <w:b/>
          <w:color w:val="auto"/>
          <w:sz w:val="32"/>
          <w:szCs w:val="32"/>
          <w:highlight w:val="none"/>
        </w:rPr>
      </w:pPr>
    </w:p>
    <w:p w14:paraId="0459383E">
      <w:pPr>
        <w:spacing w:line="360" w:lineRule="auto"/>
        <w:jc w:val="center"/>
        <w:rPr>
          <w:rFonts w:ascii="宋体" w:cs="宋体"/>
          <w:b/>
          <w:bCs/>
          <w:color w:val="auto"/>
          <w:sz w:val="32"/>
          <w:szCs w:val="32"/>
          <w:highlight w:val="none"/>
        </w:rPr>
      </w:pPr>
      <w:r>
        <w:rPr>
          <w:rFonts w:hint="eastAsia" w:ascii="宋体" w:hAnsi="宋体" w:cs="宋体"/>
          <w:b/>
          <w:bCs/>
          <w:color w:val="auto"/>
          <w:sz w:val="32"/>
          <w:szCs w:val="32"/>
          <w:highlight w:val="none"/>
        </w:rPr>
        <w:t>一、总则</w:t>
      </w:r>
    </w:p>
    <w:p w14:paraId="2D56D7F0">
      <w:pPr>
        <w:spacing w:line="400" w:lineRule="exact"/>
        <w:rPr>
          <w:rFonts w:ascii="宋体" w:cs="宋体"/>
          <w:color w:val="auto"/>
          <w:szCs w:val="21"/>
          <w:highlight w:val="none"/>
        </w:rPr>
      </w:pPr>
    </w:p>
    <w:p w14:paraId="7206D998">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适用范围</w:t>
      </w:r>
    </w:p>
    <w:p w14:paraId="0B58EAB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1DB59E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8C1CD41">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定义</w:t>
      </w:r>
    </w:p>
    <w:p w14:paraId="3E2CF06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“采购人”是指依法进行政府采购的国家机关、事业单位、团体组织。</w:t>
      </w:r>
    </w:p>
    <w:p w14:paraId="26E69D29">
      <w:pPr>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2.2</w:t>
      </w:r>
      <w:r>
        <w:rPr>
          <w:rFonts w:hint="eastAsia" w:ascii="宋体" w:hAnsi="宋体" w:cs="宋体"/>
          <w:color w:val="auto"/>
          <w:szCs w:val="21"/>
          <w:highlight w:val="none"/>
        </w:rPr>
        <w:t>“采购代理机构”是指政府采购集中采购机构和集中采购机构以外的采购代理机构。</w:t>
      </w:r>
    </w:p>
    <w:p w14:paraId="0B7BB08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“供应商”是指向采购人提供货物、工程或者服务的法人、其他组织或者自然人。</w:t>
      </w:r>
    </w:p>
    <w:p w14:paraId="241EE15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“服务”是指除货物和工程以外的其他政府采购对象。</w:t>
      </w:r>
    </w:p>
    <w:p w14:paraId="42AA203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563EE757">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14:paraId="78C98210">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4EBAF769">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15D543BE">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“正偏离”，是指响应文件对磋商文件“采购需求”中有关条款作出的响应优于条款要求并有利于采购人的情形。</w:t>
      </w:r>
    </w:p>
    <w:p w14:paraId="36D38CD8">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14:paraId="3EF0786A">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2.11</w:t>
      </w:r>
      <w:r>
        <w:rPr>
          <w:rFonts w:hint="eastAsia" w:ascii="宋体" w:hAnsi="宋体" w:cs="宋体"/>
          <w:color w:val="auto"/>
          <w:szCs w:val="21"/>
          <w:highlight w:val="none"/>
        </w:rPr>
        <w:t>“允许负偏离的条款”是指采购需求中的不属于“实质性要求”的条款。</w:t>
      </w:r>
    </w:p>
    <w:p w14:paraId="0BECF156">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2.12</w:t>
      </w:r>
      <w:r>
        <w:rPr>
          <w:rFonts w:hint="eastAsia" w:ascii="宋体" w:hAnsi="宋体" w:cs="宋体"/>
          <w:color w:val="auto"/>
          <w:szCs w:val="21"/>
          <w:highlight w:val="none"/>
        </w:rPr>
        <w:t>“首次报价”是指供应商提交的首次响应文件中的报价。</w:t>
      </w:r>
    </w:p>
    <w:p w14:paraId="42C93C4E">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3.</w:t>
      </w:r>
      <w:r>
        <w:rPr>
          <w:rFonts w:hint="eastAsia" w:ascii="宋体" w:hAnsi="宋体" w:cs="宋体"/>
          <w:b/>
          <w:bCs/>
          <w:color w:val="auto"/>
          <w:sz w:val="24"/>
          <w:highlight w:val="none"/>
        </w:rPr>
        <w:t>供应商的资格条件</w:t>
      </w:r>
    </w:p>
    <w:p w14:paraId="49DB96A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供应商的资格条件详见“供应商须知前附表”。</w:t>
      </w:r>
    </w:p>
    <w:p w14:paraId="659B399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4.</w:t>
      </w:r>
      <w:r>
        <w:rPr>
          <w:rFonts w:hint="eastAsia" w:ascii="宋体" w:hAnsi="宋体" w:cs="宋体"/>
          <w:b/>
          <w:bCs/>
          <w:color w:val="auto"/>
          <w:sz w:val="24"/>
          <w:highlight w:val="none"/>
        </w:rPr>
        <w:t>竞标费用</w:t>
      </w:r>
    </w:p>
    <w:p w14:paraId="6D02E5F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489E057">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5.</w:t>
      </w:r>
      <w:r>
        <w:rPr>
          <w:rFonts w:hint="eastAsia" w:ascii="宋体" w:hAnsi="宋体" w:cs="宋体"/>
          <w:b/>
          <w:bCs/>
          <w:color w:val="auto"/>
          <w:sz w:val="24"/>
          <w:highlight w:val="none"/>
        </w:rPr>
        <w:t>联合体竞标</w:t>
      </w:r>
    </w:p>
    <w:p w14:paraId="74B27A1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本项目是否接受联合体竞标，详见“供应商须知前附表”。</w:t>
      </w:r>
    </w:p>
    <w:p w14:paraId="20428746">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6.</w:t>
      </w:r>
      <w:r>
        <w:rPr>
          <w:rFonts w:hint="eastAsia" w:ascii="宋体" w:hAnsi="宋体" w:cs="宋体"/>
          <w:b/>
          <w:bCs/>
          <w:color w:val="auto"/>
          <w:sz w:val="24"/>
          <w:highlight w:val="none"/>
        </w:rPr>
        <w:t>转包与分包</w:t>
      </w:r>
      <w:r>
        <w:rPr>
          <w:rFonts w:ascii="宋体" w:hAnsi="宋体" w:cs="宋体"/>
          <w:b/>
          <w:bCs/>
          <w:color w:val="auto"/>
          <w:sz w:val="24"/>
          <w:highlight w:val="none"/>
        </w:rPr>
        <w:t xml:space="preserve">             </w:t>
      </w:r>
    </w:p>
    <w:p w14:paraId="67AF9E04">
      <w:pPr>
        <w:pStyle w:val="6"/>
        <w:keepNext w:val="0"/>
        <w:keepLines w:val="0"/>
        <w:spacing w:before="0" w:after="0" w:line="360" w:lineRule="auto"/>
        <w:ind w:left="420" w:leftChars="200"/>
        <w:rPr>
          <w:rFonts w:ascii="宋体" w:cs="宋体"/>
          <w:b w:val="0"/>
          <w:color w:val="auto"/>
          <w:sz w:val="21"/>
          <w:szCs w:val="21"/>
          <w:highlight w:val="none"/>
        </w:rPr>
      </w:pPr>
      <w:bookmarkStart w:id="24" w:name="_Toc254970673"/>
      <w:bookmarkStart w:id="25" w:name="_Toc254970532"/>
      <w:r>
        <w:rPr>
          <w:rFonts w:ascii="宋体" w:hAnsi="宋体" w:cs="宋体"/>
          <w:b w:val="0"/>
          <w:color w:val="auto"/>
          <w:sz w:val="21"/>
          <w:szCs w:val="21"/>
          <w:highlight w:val="none"/>
        </w:rPr>
        <w:t>6.1</w:t>
      </w:r>
      <w:r>
        <w:rPr>
          <w:rFonts w:hint="eastAsia" w:ascii="宋体" w:hAnsi="宋体" w:cs="宋体"/>
          <w:b w:val="0"/>
          <w:color w:val="auto"/>
          <w:sz w:val="21"/>
          <w:szCs w:val="21"/>
          <w:highlight w:val="none"/>
        </w:rPr>
        <w:t>本项目不允许转包。</w:t>
      </w:r>
    </w:p>
    <w:p w14:paraId="397946CE">
      <w:pPr>
        <w:pStyle w:val="6"/>
        <w:keepNext w:val="0"/>
        <w:keepLines w:val="0"/>
        <w:spacing w:before="0" w:after="0" w:line="360" w:lineRule="auto"/>
        <w:ind w:firstLine="315" w:firstLineChars="150"/>
        <w:rPr>
          <w:rFonts w:ascii="宋体" w:cs="宋体"/>
          <w:b w:val="0"/>
          <w:color w:val="auto"/>
          <w:sz w:val="21"/>
          <w:szCs w:val="21"/>
          <w:highlight w:val="none"/>
        </w:rPr>
      </w:pPr>
      <w:r>
        <w:rPr>
          <w:rFonts w:ascii="宋体" w:hAnsi="宋体" w:cs="宋体"/>
          <w:b w:val="0"/>
          <w:color w:val="auto"/>
          <w:sz w:val="21"/>
          <w:szCs w:val="21"/>
          <w:highlight w:val="none"/>
        </w:rPr>
        <w:t xml:space="preserve"> 6.2</w:t>
      </w:r>
      <w:r>
        <w:rPr>
          <w:rFonts w:hint="eastAsia" w:ascii="宋体" w:hAnsi="宋体" w:cs="宋体"/>
          <w:b w:val="0"/>
          <w:color w:val="auto"/>
          <w:sz w:val="21"/>
          <w:szCs w:val="21"/>
          <w:highlight w:val="none"/>
        </w:rPr>
        <w:t>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ECB5430">
      <w:pPr>
        <w:pStyle w:val="6"/>
        <w:keepNext w:val="0"/>
        <w:keepLines w:val="0"/>
        <w:spacing w:before="0" w:after="0" w:line="360" w:lineRule="auto"/>
        <w:ind w:firstLine="315" w:firstLineChars="150"/>
        <w:rPr>
          <w:rFonts w:ascii="宋体" w:cs="宋体"/>
          <w:b w:val="0"/>
          <w:color w:val="auto"/>
          <w:sz w:val="21"/>
          <w:szCs w:val="21"/>
          <w:highlight w:val="none"/>
        </w:rPr>
      </w:pPr>
      <w:r>
        <w:rPr>
          <w:rFonts w:ascii="宋体" w:hAnsi="宋体" w:cs="宋体"/>
          <w:b w:val="0"/>
          <w:color w:val="auto"/>
          <w:sz w:val="21"/>
          <w:szCs w:val="21"/>
          <w:highlight w:val="none"/>
        </w:rPr>
        <w:t xml:space="preserve"> 6.3</w:t>
      </w:r>
      <w:r>
        <w:rPr>
          <w:rFonts w:hint="eastAsia" w:ascii="宋体" w:hAnsi="宋体" w:cs="宋体"/>
          <w:b w:val="0"/>
          <w:color w:val="auto"/>
          <w:sz w:val="21"/>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5AF3284A">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特别说明</w:t>
      </w:r>
      <w:bookmarkEnd w:id="24"/>
      <w:bookmarkEnd w:id="25"/>
    </w:p>
    <w:p w14:paraId="6038B1D1">
      <w:pPr>
        <w:spacing w:line="360" w:lineRule="auto"/>
        <w:ind w:firstLine="420" w:firstLineChars="200"/>
        <w:rPr>
          <w:rFonts w:ascii="宋体" w:cs="宋体"/>
          <w:color w:val="auto"/>
          <w:szCs w:val="21"/>
          <w:highlight w:val="none"/>
        </w:rPr>
      </w:pPr>
      <w:bookmarkStart w:id="26" w:name="_8.1提供相同品牌产品且通过资格审查、符合性审查的不同投标人参加同一合"/>
      <w:bookmarkEnd w:id="26"/>
      <w:r>
        <w:rPr>
          <w:rFonts w:ascii="宋体" w:hAnsi="宋体" w:cs="宋体"/>
          <w:color w:val="auto"/>
          <w:szCs w:val="21"/>
          <w:highlight w:val="none"/>
        </w:rPr>
        <w:t>7.1</w:t>
      </w:r>
      <w:bookmarkStart w:id="2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ascii="宋体" w:hAnsi="宋体" w:cs="宋体"/>
          <w:color w:val="auto"/>
          <w:szCs w:val="21"/>
          <w:highlight w:val="none"/>
        </w:rPr>
        <w:t xml:space="preserve"> </w:t>
      </w:r>
      <w:r>
        <w:rPr>
          <w:rFonts w:hint="eastAsia" w:ascii="宋体" w:hAnsi="宋体" w:cs="宋体"/>
          <w:color w:val="auto"/>
          <w:szCs w:val="21"/>
          <w:highlight w:val="none"/>
        </w:rPr>
        <w:t>。</w:t>
      </w:r>
    </w:p>
    <w:bookmarkEnd w:id="27"/>
    <w:p w14:paraId="0DC3FDF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73B0B1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2340EB2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7.4</w:t>
      </w:r>
      <w:r>
        <w:rPr>
          <w:rFonts w:hint="eastAsia" w:ascii="宋体" w:hAnsi="宋体" w:cs="宋体"/>
          <w:color w:val="auto"/>
          <w:szCs w:val="21"/>
          <w:highlight w:val="none"/>
        </w:rPr>
        <w:t>在政府采购活动中，采购人员及相关人员与供应商有下列利害关系之一的，应当回避：</w:t>
      </w:r>
    </w:p>
    <w:p w14:paraId="1A963F2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）参加采购活动前</w:t>
      </w:r>
      <w:r>
        <w:rPr>
          <w:rFonts w:ascii="宋体" w:hAnsi="宋体" w:cs="宋体"/>
          <w:color w:val="auto"/>
          <w:szCs w:val="21"/>
          <w:highlight w:val="none"/>
        </w:rPr>
        <w:t>3</w:t>
      </w:r>
      <w:r>
        <w:rPr>
          <w:rFonts w:hint="eastAsia" w:ascii="宋体" w:hAnsi="宋体" w:cs="宋体"/>
          <w:color w:val="auto"/>
          <w:szCs w:val="21"/>
          <w:highlight w:val="none"/>
        </w:rPr>
        <w:t>年内与供应商存在劳动关系；</w:t>
      </w:r>
    </w:p>
    <w:p w14:paraId="0F2E770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）参加采购活动前</w:t>
      </w:r>
      <w:r>
        <w:rPr>
          <w:rFonts w:ascii="宋体" w:hAnsi="宋体" w:cs="宋体"/>
          <w:color w:val="auto"/>
          <w:szCs w:val="21"/>
          <w:highlight w:val="none"/>
        </w:rPr>
        <w:t>3</w:t>
      </w:r>
      <w:r>
        <w:rPr>
          <w:rFonts w:hint="eastAsia" w:ascii="宋体" w:hAnsi="宋体" w:cs="宋体"/>
          <w:color w:val="auto"/>
          <w:szCs w:val="21"/>
          <w:highlight w:val="none"/>
        </w:rPr>
        <w:t>年内担任供应商的董事、监事；</w:t>
      </w:r>
    </w:p>
    <w:p w14:paraId="4BF3808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）参加采购活动前</w:t>
      </w:r>
      <w:r>
        <w:rPr>
          <w:rFonts w:ascii="宋体" w:hAnsi="宋体" w:cs="宋体"/>
          <w:color w:val="auto"/>
          <w:szCs w:val="21"/>
          <w:highlight w:val="none"/>
        </w:rPr>
        <w:t>3</w:t>
      </w:r>
      <w:r>
        <w:rPr>
          <w:rFonts w:hint="eastAsia" w:ascii="宋体" w:hAnsi="宋体" w:cs="宋体"/>
          <w:color w:val="auto"/>
          <w:szCs w:val="21"/>
          <w:highlight w:val="none"/>
        </w:rPr>
        <w:t>年内是供应商的控股股东或者实际控制人；</w:t>
      </w:r>
    </w:p>
    <w:p w14:paraId="552796A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）与供应商的法定代表人或者负责人有夫妻、直系血亲、三代以内旁系血亲或者近姻亲关系；</w:t>
      </w:r>
    </w:p>
    <w:p w14:paraId="7AECBD5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）与供应商有其他可能影响政府采购活动公平、公正进行的关系。</w:t>
      </w:r>
    </w:p>
    <w:p w14:paraId="310CDBE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C7764F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7.5</w:t>
      </w:r>
      <w:r>
        <w:rPr>
          <w:rFonts w:hint="eastAsia" w:ascii="宋体" w:hAnsi="宋体" w:cs="宋体"/>
          <w:color w:val="auto"/>
          <w:szCs w:val="21"/>
          <w:highlight w:val="none"/>
        </w:rPr>
        <w:t>有下列情形之一的视为供应商相互串通竞标，响应文件将被视为无效：</w:t>
      </w:r>
    </w:p>
    <w:p w14:paraId="0C8C499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）不同供应商的响应文件由同一单位或者个人编制；</w:t>
      </w:r>
      <w:r>
        <w:rPr>
          <w:rFonts w:ascii="宋体" w:hAnsi="宋体" w:cs="宋体"/>
          <w:color w:val="auto"/>
          <w:szCs w:val="21"/>
          <w:highlight w:val="none"/>
        </w:rPr>
        <w:t xml:space="preserve"> </w:t>
      </w:r>
    </w:p>
    <w:p w14:paraId="37E1852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）不同供应商委托同一单位或者个人办理竞标事宜；</w:t>
      </w:r>
    </w:p>
    <w:p w14:paraId="0ADCF65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）不同的供应商的响应文件载明的项目管理员为同一个人；</w:t>
      </w:r>
    </w:p>
    <w:p w14:paraId="48C3775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）不同供应商的响应文件异常一致或者报价呈规律性差异；</w:t>
      </w:r>
    </w:p>
    <w:p w14:paraId="39AC92E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）不同供应商报名的IP地址一致；</w:t>
      </w:r>
    </w:p>
    <w:p w14:paraId="621F2B97">
      <w:pPr>
        <w:tabs>
          <w:tab w:val="left" w:pos="6931"/>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）不同供应商的磋商保证金从同一单位或者个人账户转出。</w:t>
      </w:r>
      <w:r>
        <w:rPr>
          <w:rFonts w:ascii="宋体" w:cs="宋体"/>
          <w:color w:val="auto"/>
          <w:szCs w:val="21"/>
          <w:highlight w:val="none"/>
        </w:rPr>
        <w:tab/>
      </w:r>
    </w:p>
    <w:p w14:paraId="16914A8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7.6</w:t>
      </w:r>
      <w:r>
        <w:rPr>
          <w:rFonts w:hint="eastAsia" w:ascii="宋体" w:hAnsi="宋体" w:cs="宋体"/>
          <w:color w:val="auto"/>
          <w:szCs w:val="21"/>
          <w:highlight w:val="none"/>
        </w:rPr>
        <w:t>供应商有下列情形之一的，属于恶意串通行为，将报同级监督管理部门：</w:t>
      </w:r>
    </w:p>
    <w:p w14:paraId="03F8F03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）供应商直接或者间接从采购人或者采购代理机构处获得其他供应商的相关信息并修改其响应文件；</w:t>
      </w:r>
    </w:p>
    <w:p w14:paraId="0D45021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）供应商按照采购人或者采购代理机构的授意撤换、修改响应文件；</w:t>
      </w:r>
    </w:p>
    <w:p w14:paraId="1C813B2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）供应商之间协商报价、技术方案等响应文件或者响应文件的实质性内容；</w:t>
      </w:r>
    </w:p>
    <w:p w14:paraId="5C2CFAA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）属于同一集团、协会、商会等组织成员的供应商按照该组织要求协同参加政府采购活动；</w:t>
      </w:r>
    </w:p>
    <w:p w14:paraId="67E985F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700968A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）供应商之间商定部分供应商放弃参加政府采购活动或者放弃成交；</w:t>
      </w:r>
    </w:p>
    <w:p w14:paraId="6054FD4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）供应商与采购人或者采购代理机构之间、供应商相互之间，为谋求特定供应商成交或者排斥其他供应商的其他串通行为。</w:t>
      </w:r>
    </w:p>
    <w:p w14:paraId="12D92C26">
      <w:pPr>
        <w:spacing w:line="360" w:lineRule="auto"/>
        <w:ind w:firstLine="420" w:firstLineChars="200"/>
        <w:rPr>
          <w:rFonts w:ascii="宋体" w:cs="宋体"/>
          <w:color w:val="auto"/>
          <w:szCs w:val="21"/>
          <w:highlight w:val="none"/>
        </w:rPr>
      </w:pPr>
    </w:p>
    <w:p w14:paraId="6A2A6EBF">
      <w:pPr>
        <w:spacing w:line="360" w:lineRule="auto"/>
        <w:ind w:left="1" w:firstLine="417" w:firstLineChars="199"/>
        <w:jc w:val="center"/>
        <w:rPr>
          <w:rFonts w:ascii="宋体" w:cs="宋体"/>
          <w:color w:val="auto"/>
          <w:highlight w:val="none"/>
        </w:rPr>
      </w:pPr>
      <w:bookmarkStart w:id="28" w:name="_Toc254970534"/>
      <w:bookmarkStart w:id="29" w:name="_Toc254970675"/>
    </w:p>
    <w:p w14:paraId="382B67C9">
      <w:pPr>
        <w:spacing w:line="360" w:lineRule="auto"/>
        <w:jc w:val="center"/>
        <w:rPr>
          <w:rFonts w:ascii="宋体" w:cs="宋体"/>
          <w:b/>
          <w:bCs/>
          <w:color w:val="auto"/>
          <w:sz w:val="32"/>
          <w:szCs w:val="32"/>
          <w:highlight w:val="none"/>
        </w:rPr>
      </w:pPr>
      <w:r>
        <w:rPr>
          <w:rFonts w:hint="eastAsia" w:ascii="宋体" w:hAnsi="宋体" w:cs="宋体"/>
          <w:b/>
          <w:bCs/>
          <w:color w:val="auto"/>
          <w:sz w:val="32"/>
          <w:szCs w:val="32"/>
          <w:highlight w:val="none"/>
        </w:rPr>
        <w:t>二、磋商文件</w:t>
      </w:r>
      <w:bookmarkEnd w:id="28"/>
      <w:bookmarkEnd w:id="29"/>
    </w:p>
    <w:p w14:paraId="3AD44A44">
      <w:pPr>
        <w:spacing w:line="360" w:lineRule="auto"/>
        <w:ind w:firstLine="482" w:firstLineChars="200"/>
        <w:rPr>
          <w:rFonts w:ascii="宋体" w:cs="宋体"/>
          <w:b/>
          <w:bCs/>
          <w:color w:val="auto"/>
          <w:sz w:val="24"/>
          <w:highlight w:val="none"/>
        </w:rPr>
      </w:pPr>
    </w:p>
    <w:p w14:paraId="0FE9C079">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8.</w:t>
      </w:r>
      <w:r>
        <w:rPr>
          <w:rFonts w:hint="eastAsia" w:ascii="宋体" w:hAnsi="宋体" w:cs="宋体"/>
          <w:b/>
          <w:bCs/>
          <w:color w:val="auto"/>
          <w:sz w:val="24"/>
          <w:highlight w:val="none"/>
        </w:rPr>
        <w:t>磋商文件的构成</w:t>
      </w:r>
    </w:p>
    <w:p w14:paraId="0B5C882B">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）竞争性磋商公告；</w:t>
      </w:r>
    </w:p>
    <w:p w14:paraId="5AE25558">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）供应商须知；</w:t>
      </w:r>
      <w:r>
        <w:rPr>
          <w:rFonts w:ascii="宋体" w:hAnsi="宋体" w:cs="宋体"/>
          <w:color w:val="auto"/>
          <w:szCs w:val="21"/>
          <w:highlight w:val="none"/>
        </w:rPr>
        <w:t xml:space="preserve"> </w:t>
      </w:r>
    </w:p>
    <w:p w14:paraId="5B3D658F">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）采购需求；</w:t>
      </w:r>
    </w:p>
    <w:p w14:paraId="530A6482">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）评审程序、评审方法和评审标准；</w:t>
      </w:r>
    </w:p>
    <w:p w14:paraId="7C07B892">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）响应文件格式；</w:t>
      </w:r>
    </w:p>
    <w:p w14:paraId="5AD10855">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）合同文本。</w:t>
      </w:r>
    </w:p>
    <w:p w14:paraId="1E4A53FC">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9.</w:t>
      </w:r>
      <w:r>
        <w:rPr>
          <w:rFonts w:hint="eastAsia" w:ascii="宋体" w:hAnsi="宋体" w:cs="宋体"/>
          <w:b/>
          <w:bCs/>
          <w:color w:val="auto"/>
          <w:sz w:val="24"/>
          <w:highlight w:val="none"/>
        </w:rPr>
        <w:t>供应商的询问</w:t>
      </w:r>
    </w:p>
    <w:p w14:paraId="4ADDBC3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16356406">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10.</w:t>
      </w:r>
      <w:r>
        <w:rPr>
          <w:rFonts w:hint="eastAsia" w:ascii="宋体" w:hAnsi="宋体" w:cs="宋体"/>
          <w:b/>
          <w:bCs/>
          <w:color w:val="auto"/>
          <w:sz w:val="24"/>
          <w:highlight w:val="none"/>
        </w:rPr>
        <w:t>磋商文件的澄清和修改</w:t>
      </w:r>
    </w:p>
    <w:p w14:paraId="5B95A8B3">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10.1</w:t>
      </w: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2BBF040D">
      <w:pPr>
        <w:spacing w:line="400" w:lineRule="exact"/>
        <w:ind w:firstLine="420" w:firstLineChars="200"/>
        <w:rPr>
          <w:rFonts w:ascii="宋体" w:cs="宋体"/>
          <w:color w:val="auto"/>
          <w:szCs w:val="21"/>
          <w:highlight w:val="none"/>
        </w:rPr>
      </w:pPr>
      <w:r>
        <w:rPr>
          <w:rFonts w:ascii="宋体" w:hAnsi="宋体" w:cs="宋体"/>
          <w:color w:val="auto"/>
          <w:highlight w:val="none"/>
        </w:rPr>
        <w:t>10.2</w:t>
      </w:r>
      <w:r>
        <w:rPr>
          <w:rFonts w:hint="eastAsia" w:ascii="宋体" w:hAnsi="宋体" w:cs="宋体"/>
          <w:color w:val="auto"/>
          <w:highlight w:val="none"/>
        </w:rPr>
        <w:t>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，并</w:t>
      </w:r>
      <w:r>
        <w:rPr>
          <w:rFonts w:hint="eastAsia" w:ascii="宋体" w:hAnsi="宋体" w:cs="宋体"/>
          <w:color w:val="auto"/>
          <w:szCs w:val="21"/>
          <w:highlight w:val="none"/>
        </w:rPr>
        <w:t>在原公告发布媒体上发布更正公告。</w:t>
      </w:r>
    </w:p>
    <w:p w14:paraId="37CAF30D">
      <w:pPr>
        <w:spacing w:line="400" w:lineRule="exact"/>
        <w:ind w:firstLine="420" w:firstLineChars="200"/>
        <w:rPr>
          <w:rFonts w:ascii="宋体" w:cs="宋体"/>
          <w:color w:val="auto"/>
          <w:highlight w:val="none"/>
        </w:rPr>
      </w:pPr>
      <w:r>
        <w:rPr>
          <w:rFonts w:ascii="宋体" w:hAnsi="宋体" w:cs="宋体"/>
          <w:color w:val="auto"/>
          <w:highlight w:val="none"/>
        </w:rPr>
        <w:t>10.3</w:t>
      </w:r>
      <w:r>
        <w:rPr>
          <w:rFonts w:hint="eastAsia" w:ascii="宋体" w:hAnsi="宋体" w:cs="宋体"/>
          <w:color w:val="auto"/>
          <w:szCs w:val="21"/>
          <w:highlight w:val="none"/>
        </w:rPr>
        <w:t>磋商文件澄清、答复、修改、补充的内容为磋商文件的组成部分。</w:t>
      </w:r>
      <w:r>
        <w:rPr>
          <w:rFonts w:hint="eastAsia" w:ascii="宋体" w:hAnsi="宋体" w:cs="宋体"/>
          <w:b/>
          <w:color w:val="auto"/>
          <w:szCs w:val="21"/>
          <w:highlight w:val="none"/>
        </w:rPr>
        <w:t>当磋商文件与磋商文件的澄清、答复、修改、补充通知就同一内容的表述不一致时，以最后发出的文件为准。</w:t>
      </w:r>
    </w:p>
    <w:p w14:paraId="604D1576">
      <w:pPr>
        <w:spacing w:line="400" w:lineRule="exact"/>
        <w:ind w:firstLine="422" w:firstLineChars="200"/>
        <w:rPr>
          <w:rFonts w:ascii="宋体" w:cs="宋体"/>
          <w:b/>
          <w:color w:val="auto"/>
          <w:szCs w:val="21"/>
          <w:highlight w:val="none"/>
        </w:rPr>
      </w:pPr>
      <w:r>
        <w:rPr>
          <w:rFonts w:ascii="宋体" w:hAnsi="宋体" w:cs="宋体"/>
          <w:b/>
          <w:color w:val="auto"/>
          <w:highlight w:val="none"/>
        </w:rPr>
        <w:t>10.4</w:t>
      </w:r>
      <w:r>
        <w:rPr>
          <w:rFonts w:hint="eastAsia" w:ascii="宋体" w:hAnsi="宋体" w:cs="宋体"/>
          <w:b/>
          <w:color w:val="auto"/>
          <w:szCs w:val="21"/>
          <w:highlight w:val="none"/>
        </w:rPr>
        <w:t>响应文件未按磋商文件的澄清、修改后的内容编制的，其响应文件作无效响应处理。</w:t>
      </w:r>
    </w:p>
    <w:p w14:paraId="1D47A67F">
      <w:pPr>
        <w:spacing w:line="400" w:lineRule="exact"/>
        <w:ind w:firstLine="422" w:firstLineChars="200"/>
        <w:rPr>
          <w:rFonts w:ascii="宋体" w:cs="宋体"/>
          <w:b/>
          <w:color w:val="auto"/>
          <w:szCs w:val="21"/>
          <w:highlight w:val="none"/>
        </w:rPr>
      </w:pPr>
    </w:p>
    <w:p w14:paraId="07D09A5E">
      <w:pPr>
        <w:spacing w:line="360" w:lineRule="auto"/>
        <w:jc w:val="center"/>
        <w:rPr>
          <w:rFonts w:ascii="宋体" w:cs="宋体"/>
          <w:b/>
          <w:bCs/>
          <w:color w:val="auto"/>
          <w:sz w:val="32"/>
          <w:szCs w:val="32"/>
          <w:highlight w:val="none"/>
        </w:rPr>
      </w:pPr>
      <w:r>
        <w:rPr>
          <w:rFonts w:hint="eastAsia" w:ascii="宋体" w:hAnsi="宋体" w:cs="宋体"/>
          <w:b/>
          <w:bCs/>
          <w:color w:val="auto"/>
          <w:sz w:val="32"/>
          <w:szCs w:val="32"/>
          <w:highlight w:val="none"/>
        </w:rPr>
        <w:t>三、响应文件的编制</w:t>
      </w:r>
    </w:p>
    <w:p w14:paraId="7892E13B">
      <w:pPr>
        <w:spacing w:line="360" w:lineRule="auto"/>
        <w:ind w:firstLine="482" w:firstLineChars="200"/>
        <w:rPr>
          <w:rFonts w:ascii="宋体" w:cs="宋体"/>
          <w:b/>
          <w:bCs/>
          <w:color w:val="auto"/>
          <w:sz w:val="24"/>
          <w:highlight w:val="none"/>
        </w:rPr>
      </w:pPr>
    </w:p>
    <w:p w14:paraId="41FA8723">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11.</w:t>
      </w:r>
      <w:r>
        <w:rPr>
          <w:rFonts w:hint="eastAsia" w:ascii="宋体" w:hAnsi="宋体" w:cs="宋体"/>
          <w:b/>
          <w:bCs/>
          <w:color w:val="auto"/>
          <w:sz w:val="24"/>
          <w:highlight w:val="none"/>
        </w:rPr>
        <w:t>响应文件的编制原则</w:t>
      </w:r>
    </w:p>
    <w:p w14:paraId="096BB9F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1D1FBE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12.</w:t>
      </w:r>
      <w:r>
        <w:rPr>
          <w:rFonts w:hint="eastAsia" w:ascii="宋体" w:hAnsi="宋体" w:cs="宋体"/>
          <w:b/>
          <w:bCs/>
          <w:color w:val="auto"/>
          <w:sz w:val="24"/>
          <w:highlight w:val="none"/>
        </w:rPr>
        <w:t>响应文件的组成</w:t>
      </w:r>
    </w:p>
    <w:p w14:paraId="5D1AAC3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12.1</w:t>
      </w:r>
      <w:r>
        <w:rPr>
          <w:rFonts w:hint="eastAsia" w:ascii="宋体" w:hAnsi="宋体" w:cs="宋体"/>
          <w:color w:val="auto"/>
          <w:szCs w:val="21"/>
          <w:highlight w:val="none"/>
        </w:rPr>
        <w:t>响应文件由资格证明文件、报价商务技术文件两部分组成。</w:t>
      </w:r>
    </w:p>
    <w:p w14:paraId="0915DD44">
      <w:pPr>
        <w:spacing w:line="360" w:lineRule="auto"/>
        <w:ind w:left="840" w:leftChars="200" w:hanging="420" w:hangingChars="200"/>
        <w:rPr>
          <w:rFonts w:ascii="宋体" w:cs="宋体"/>
          <w:color w:val="auto"/>
          <w:szCs w:val="21"/>
          <w:highlight w:val="none"/>
        </w:rPr>
      </w:pPr>
      <w:r>
        <w:rPr>
          <w:rFonts w:ascii="宋体" w:hAnsi="宋体" w:cs="宋体"/>
          <w:color w:val="auto"/>
          <w:szCs w:val="21"/>
          <w:highlight w:val="none"/>
        </w:rPr>
        <w:t>12.1.1</w:t>
      </w:r>
      <w:r>
        <w:rPr>
          <w:rFonts w:hint="eastAsia" w:ascii="宋体" w:hAnsi="宋体" w:cs="宋体"/>
          <w:color w:val="auto"/>
          <w:szCs w:val="21"/>
          <w:highlight w:val="none"/>
        </w:rPr>
        <w:t>资格证明文件：详见须知前附表</w:t>
      </w:r>
    </w:p>
    <w:p w14:paraId="1D78D15D">
      <w:pPr>
        <w:spacing w:line="360" w:lineRule="auto"/>
        <w:ind w:left="840" w:leftChars="200" w:hanging="420" w:hangingChars="200"/>
        <w:rPr>
          <w:rFonts w:ascii="宋体" w:cs="宋体"/>
          <w:color w:val="auto"/>
          <w:szCs w:val="21"/>
          <w:highlight w:val="none"/>
        </w:rPr>
      </w:pPr>
      <w:r>
        <w:rPr>
          <w:rFonts w:ascii="宋体" w:hAnsi="宋体" w:cs="宋体"/>
          <w:color w:val="auto"/>
          <w:szCs w:val="21"/>
          <w:highlight w:val="none"/>
        </w:rPr>
        <w:t>12.1.2</w:t>
      </w:r>
      <w:r>
        <w:rPr>
          <w:rFonts w:hint="eastAsia" w:ascii="宋体" w:hAnsi="宋体" w:cs="宋体"/>
          <w:color w:val="auto"/>
          <w:szCs w:val="21"/>
          <w:highlight w:val="none"/>
        </w:rPr>
        <w:t>报价商务技术文件：详见须知前附表</w:t>
      </w:r>
    </w:p>
    <w:p w14:paraId="1E9DEF95">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计量单位</w:t>
      </w:r>
    </w:p>
    <w:p w14:paraId="4B172AC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C32E97D">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14.</w:t>
      </w:r>
      <w:r>
        <w:rPr>
          <w:rFonts w:hint="eastAsia" w:ascii="宋体" w:hAnsi="宋体" w:cs="宋体"/>
          <w:b/>
          <w:bCs/>
          <w:color w:val="auto"/>
          <w:sz w:val="24"/>
          <w:highlight w:val="none"/>
        </w:rPr>
        <w:t>竞标的风险</w:t>
      </w:r>
    </w:p>
    <w:p w14:paraId="2FEADA2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60EDE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15.</w:t>
      </w:r>
      <w:r>
        <w:rPr>
          <w:rFonts w:hint="eastAsia" w:ascii="宋体" w:hAnsi="宋体" w:cs="宋体"/>
          <w:b/>
          <w:bCs/>
          <w:color w:val="auto"/>
          <w:sz w:val="24"/>
          <w:highlight w:val="none"/>
        </w:rPr>
        <w:t>竞标报价</w:t>
      </w:r>
    </w:p>
    <w:p w14:paraId="1AD780FF">
      <w:pPr>
        <w:tabs>
          <w:tab w:val="left" w:pos="2492"/>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15.1</w:t>
      </w:r>
      <w:r>
        <w:rPr>
          <w:rFonts w:hint="eastAsia" w:ascii="宋体" w:hAnsi="宋体" w:cs="宋体"/>
          <w:color w:val="auto"/>
          <w:szCs w:val="21"/>
          <w:highlight w:val="none"/>
        </w:rPr>
        <w:t>竞标报价应按磋商文件中“竞标报价表”格式填写。</w:t>
      </w:r>
    </w:p>
    <w:p w14:paraId="3F3F94F4">
      <w:pPr>
        <w:tabs>
          <w:tab w:val="left" w:pos="2492"/>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15.2</w:t>
      </w:r>
      <w:r>
        <w:rPr>
          <w:rFonts w:hint="eastAsia" w:ascii="宋体" w:hAnsi="宋体" w:cs="宋体"/>
          <w:color w:val="auto"/>
          <w:szCs w:val="21"/>
          <w:highlight w:val="none"/>
        </w:rPr>
        <w:t>竞标报价的内容见“供应商须知前附表”。</w:t>
      </w:r>
    </w:p>
    <w:p w14:paraId="3860F0DA">
      <w:pPr>
        <w:spacing w:line="360" w:lineRule="auto"/>
        <w:ind w:left="426" w:leftChars="203"/>
        <w:rPr>
          <w:rFonts w:ascii="宋体" w:cs="宋体"/>
          <w:color w:val="auto"/>
          <w:szCs w:val="21"/>
          <w:highlight w:val="none"/>
        </w:rPr>
      </w:pPr>
      <w:r>
        <w:rPr>
          <w:rFonts w:ascii="宋体" w:hAnsi="宋体" w:cs="宋体"/>
          <w:color w:val="auto"/>
          <w:szCs w:val="21"/>
          <w:highlight w:val="none"/>
        </w:rPr>
        <w:t>15.3</w:t>
      </w:r>
      <w:r>
        <w:rPr>
          <w:rFonts w:hint="eastAsia" w:ascii="宋体" w:hAnsi="宋体" w:cs="宋体"/>
          <w:color w:val="auto"/>
          <w:szCs w:val="21"/>
          <w:highlight w:val="none"/>
        </w:rPr>
        <w:t>竞标报价要求</w:t>
      </w:r>
    </w:p>
    <w:p w14:paraId="624B8864">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15.3.1</w:t>
      </w:r>
      <w:r>
        <w:rPr>
          <w:rFonts w:hint="eastAsia" w:ascii="宋体" w:hAnsi="宋体" w:cs="宋体"/>
          <w:b/>
          <w:color w:val="auto"/>
          <w:szCs w:val="21"/>
          <w:highlight w:val="none"/>
        </w:rPr>
        <w:t>供应商的竞标报价应符合以下要求，否则响应文件按无效响应处理：</w:t>
      </w:r>
    </w:p>
    <w:p w14:paraId="1583E9B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）供应商必须就“采购需求”中所竞标的每个分标的全部内容分别作完整唯一总价报价，不得存在漏项报价；</w:t>
      </w:r>
    </w:p>
    <w:p w14:paraId="1AC552F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529DAA2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15.3.2</w:t>
      </w:r>
      <w:r>
        <w:rPr>
          <w:rFonts w:hint="eastAsia" w:ascii="宋体" w:hAnsi="宋体" w:cs="宋体"/>
          <w:color w:val="auto"/>
          <w:szCs w:val="21"/>
          <w:highlight w:val="none"/>
        </w:rPr>
        <w:t>最后报价超过所竞标规定的采购预算金额或者最高限价的，其响应文件将按无效响应处理。</w:t>
      </w:r>
      <w:bookmarkStart w:id="30" w:name="_Hlk42592874"/>
    </w:p>
    <w:bookmarkEnd w:id="30"/>
    <w:p w14:paraId="1DBACC17">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16.</w:t>
      </w:r>
      <w:r>
        <w:rPr>
          <w:rFonts w:hint="eastAsia" w:ascii="宋体" w:hAnsi="宋体" w:cs="宋体"/>
          <w:b/>
          <w:bCs/>
          <w:color w:val="auto"/>
          <w:sz w:val="24"/>
          <w:highlight w:val="none"/>
        </w:rPr>
        <w:t>竞标有效期</w:t>
      </w:r>
    </w:p>
    <w:p w14:paraId="225251B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16.1</w:t>
      </w:r>
      <w:r>
        <w:rPr>
          <w:rFonts w:hint="eastAsia" w:ascii="宋体" w:hAnsi="宋体" w:cs="宋体"/>
          <w:color w:val="auto"/>
          <w:szCs w:val="21"/>
          <w:highlight w:val="none"/>
        </w:rPr>
        <w:t>竞标有效期是指为保证采购人有足够的时间在提交响应文件后完成评审、确定成交供应商、合同签订等工作而要求供应商提交的响应文件在一定时间内保持有效的期限。</w:t>
      </w:r>
    </w:p>
    <w:p w14:paraId="17F2769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16.2 </w:t>
      </w:r>
      <w:r>
        <w:rPr>
          <w:rFonts w:hint="eastAsia" w:ascii="宋体" w:hAnsi="宋体" w:cs="宋体"/>
          <w:color w:val="auto"/>
          <w:szCs w:val="21"/>
          <w:highlight w:val="none"/>
        </w:rPr>
        <w:t>竞标有效期应由供应商按“供应商须知前附表”规定的期限作出响应。</w:t>
      </w:r>
    </w:p>
    <w:p w14:paraId="32C556B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16.3</w:t>
      </w:r>
      <w:r>
        <w:rPr>
          <w:rFonts w:hint="eastAsia" w:ascii="宋体" w:hAnsi="宋体" w:cs="宋体"/>
          <w:color w:val="auto"/>
          <w:szCs w:val="21"/>
          <w:highlight w:val="none"/>
        </w:rPr>
        <w:t>供应商的响应文件在竞标有效期内均保持有效。</w:t>
      </w:r>
    </w:p>
    <w:p w14:paraId="1347CED5">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17.</w:t>
      </w:r>
      <w:r>
        <w:rPr>
          <w:rFonts w:hint="eastAsia" w:ascii="宋体" w:hAnsi="宋体" w:cs="宋体"/>
          <w:b/>
          <w:bCs/>
          <w:color w:val="auto"/>
          <w:sz w:val="24"/>
          <w:highlight w:val="none"/>
        </w:rPr>
        <w:t>磋商保证金</w:t>
      </w:r>
    </w:p>
    <w:p w14:paraId="063360B1">
      <w:pPr>
        <w:spacing w:line="360" w:lineRule="auto"/>
        <w:ind w:left="420" w:leftChars="200"/>
        <w:rPr>
          <w:rFonts w:ascii="宋体" w:cs="宋体"/>
          <w:color w:val="auto"/>
          <w:szCs w:val="21"/>
          <w:highlight w:val="none"/>
        </w:rPr>
      </w:pPr>
      <w:r>
        <w:rPr>
          <w:rFonts w:ascii="宋体" w:hAnsi="宋体" w:cs="宋体"/>
          <w:color w:val="auto"/>
          <w:szCs w:val="21"/>
          <w:highlight w:val="none"/>
        </w:rPr>
        <w:t>17.1</w:t>
      </w:r>
      <w:r>
        <w:rPr>
          <w:rFonts w:hint="eastAsia" w:ascii="宋体" w:hAnsi="宋体" w:cs="宋体"/>
          <w:color w:val="auto"/>
          <w:szCs w:val="21"/>
          <w:highlight w:val="none"/>
        </w:rPr>
        <w:t>供应商须按“供应商须知前附表”的规定提交磋商保证金。</w:t>
      </w:r>
    </w:p>
    <w:p w14:paraId="6F790893">
      <w:pPr>
        <w:spacing w:line="360" w:lineRule="auto"/>
        <w:ind w:left="420" w:leftChars="200"/>
        <w:rPr>
          <w:rFonts w:ascii="宋体" w:cs="宋体"/>
          <w:color w:val="auto"/>
          <w:szCs w:val="21"/>
          <w:highlight w:val="none"/>
        </w:rPr>
      </w:pPr>
      <w:r>
        <w:rPr>
          <w:rFonts w:ascii="宋体" w:hAnsi="宋体" w:cs="宋体"/>
          <w:color w:val="auto"/>
          <w:szCs w:val="21"/>
          <w:highlight w:val="none"/>
        </w:rPr>
        <w:t>17.2</w:t>
      </w:r>
      <w:r>
        <w:rPr>
          <w:rFonts w:hint="eastAsia" w:ascii="宋体" w:hAnsi="宋体" w:cs="宋体"/>
          <w:color w:val="auto"/>
          <w:szCs w:val="21"/>
          <w:highlight w:val="none"/>
        </w:rPr>
        <w:t>磋商保证金的退还</w:t>
      </w:r>
    </w:p>
    <w:p w14:paraId="2E22AA06">
      <w:pPr>
        <w:spacing w:line="360" w:lineRule="auto"/>
        <w:ind w:firstLine="420" w:firstLineChars="200"/>
        <w:rPr>
          <w:rFonts w:ascii="宋体" w:cs="宋体"/>
          <w:color w:val="auto"/>
          <w:szCs w:val="21"/>
          <w:highlight w:val="none"/>
        </w:rPr>
      </w:pPr>
      <w:bookmarkStart w:id="31"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w:t>
      </w:r>
      <w:r>
        <w:rPr>
          <w:rFonts w:ascii="宋体" w:hAnsi="宋体" w:cs="宋体"/>
          <w:color w:val="auto"/>
          <w:spacing w:val="-6"/>
          <w:szCs w:val="21"/>
          <w:highlight w:val="none"/>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ascii="宋体" w:hAnsi="宋体" w:cs="宋体"/>
          <w:color w:val="auto"/>
          <w:szCs w:val="21"/>
          <w:highlight w:val="none"/>
        </w:rPr>
        <w:t>5</w:t>
      </w:r>
      <w:r>
        <w:rPr>
          <w:rFonts w:hint="eastAsia" w:ascii="宋体" w:hAnsi="宋体" w:cs="宋体"/>
          <w:color w:val="auto"/>
          <w:szCs w:val="21"/>
          <w:highlight w:val="none"/>
        </w:rPr>
        <w:t>个工作日内退还。</w:t>
      </w:r>
      <w:bookmarkEnd w:id="31"/>
      <w:r>
        <w:rPr>
          <w:rFonts w:ascii="宋体" w:hAnsi="宋体" w:cs="宋体"/>
          <w:color w:val="auto"/>
          <w:szCs w:val="21"/>
          <w:highlight w:val="none"/>
        </w:rPr>
        <w:t xml:space="preserve"> </w:t>
      </w:r>
    </w:p>
    <w:p w14:paraId="590E6068">
      <w:pPr>
        <w:spacing w:line="360" w:lineRule="auto"/>
        <w:ind w:left="420" w:leftChars="200"/>
        <w:rPr>
          <w:rFonts w:ascii="宋体" w:cs="宋体"/>
          <w:color w:val="auto"/>
          <w:szCs w:val="21"/>
          <w:highlight w:val="none"/>
        </w:rPr>
      </w:pPr>
      <w:r>
        <w:rPr>
          <w:rFonts w:ascii="宋体" w:hAnsi="宋体" w:cs="宋体"/>
          <w:color w:val="auto"/>
          <w:szCs w:val="21"/>
          <w:highlight w:val="none"/>
        </w:rPr>
        <w:t>17.3</w:t>
      </w:r>
      <w:r>
        <w:rPr>
          <w:rFonts w:hint="eastAsia" w:ascii="宋体" w:hAnsi="宋体" w:cs="宋体"/>
          <w:color w:val="auto"/>
          <w:szCs w:val="21"/>
          <w:highlight w:val="none"/>
        </w:rPr>
        <w:t>磋商保证金不计息。</w:t>
      </w:r>
    </w:p>
    <w:p w14:paraId="71A4964D">
      <w:pPr>
        <w:spacing w:line="360" w:lineRule="auto"/>
        <w:ind w:left="420" w:leftChars="200"/>
        <w:rPr>
          <w:rFonts w:ascii="宋体" w:cs="宋体"/>
          <w:color w:val="auto"/>
          <w:szCs w:val="21"/>
          <w:highlight w:val="none"/>
        </w:rPr>
      </w:pPr>
      <w:r>
        <w:rPr>
          <w:rFonts w:ascii="宋体" w:hAnsi="宋体" w:cs="宋体"/>
          <w:color w:val="auto"/>
          <w:szCs w:val="21"/>
          <w:highlight w:val="none"/>
        </w:rPr>
        <w:t>17.4</w:t>
      </w:r>
      <w:r>
        <w:rPr>
          <w:rFonts w:hint="eastAsia" w:ascii="宋体" w:hAnsi="宋体" w:cs="宋体"/>
          <w:color w:val="auto"/>
          <w:szCs w:val="21"/>
          <w:highlight w:val="none"/>
        </w:rPr>
        <w:t>供应商有下列情形之一的，磋商保证金将不予退还：</w:t>
      </w:r>
      <w:r>
        <w:rPr>
          <w:rFonts w:ascii="宋体" w:hAnsi="宋体" w:cs="宋体"/>
          <w:color w:val="auto"/>
          <w:szCs w:val="21"/>
          <w:highlight w:val="none"/>
        </w:rPr>
        <w:t xml:space="preserve"> </w:t>
      </w:r>
    </w:p>
    <w:p w14:paraId="114F6384">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）供应商在提交首次响应文件截止时间后撤回响应文件的；</w:t>
      </w:r>
    </w:p>
    <w:p w14:paraId="31CD77A3">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）未按规定提交履约保证金的；</w:t>
      </w:r>
    </w:p>
    <w:p w14:paraId="02E03B1E">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）供应商在响应文件中提供虚假材料的；</w:t>
      </w:r>
    </w:p>
    <w:p w14:paraId="67175AE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）除因不可抗力或者磋商文件认可的情形以外，成交供应商不与采购人签订合同的；</w:t>
      </w:r>
    </w:p>
    <w:p w14:paraId="3D5D2D31">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）供应商与采购人、其他供应商或者采购代理机构恶意串通的；</w:t>
      </w:r>
    </w:p>
    <w:p w14:paraId="20A20C8A">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）法律法规规定的其他情形。</w:t>
      </w:r>
    </w:p>
    <w:p w14:paraId="16161F95">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18.</w:t>
      </w:r>
      <w:r>
        <w:rPr>
          <w:rFonts w:hint="eastAsia" w:ascii="宋体" w:hAnsi="宋体" w:cs="宋体"/>
          <w:b/>
          <w:bCs/>
          <w:color w:val="auto"/>
          <w:sz w:val="24"/>
          <w:highlight w:val="none"/>
        </w:rPr>
        <w:t>响应文件编制的要求</w:t>
      </w:r>
    </w:p>
    <w:p w14:paraId="291CD879">
      <w:pPr>
        <w:spacing w:line="360" w:lineRule="auto"/>
        <w:ind w:firstLine="420" w:firstLineChars="200"/>
        <w:rPr>
          <w:rFonts w:ascii="宋体" w:cs="宋体"/>
          <w:color w:val="auto"/>
          <w:spacing w:val="-6"/>
          <w:szCs w:val="21"/>
          <w:highlight w:val="none"/>
        </w:rPr>
      </w:pPr>
      <w:r>
        <w:rPr>
          <w:rFonts w:ascii="宋体" w:hAnsi="宋体" w:cs="宋体"/>
          <w:color w:val="auto"/>
          <w:szCs w:val="21"/>
          <w:highlight w:val="none"/>
        </w:rPr>
        <w:t>18.1</w:t>
      </w:r>
      <w:r>
        <w:rPr>
          <w:rFonts w:hint="eastAsia" w:ascii="宋体" w:hAnsi="宋体" w:cs="宋体"/>
          <w:color w:val="auto"/>
          <w:szCs w:val="21"/>
          <w:highlight w:val="none"/>
        </w:rPr>
        <w:t>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78D5D89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18.2</w:t>
      </w:r>
      <w:r>
        <w:rPr>
          <w:rFonts w:hint="eastAsia" w:ascii="宋体" w:hAnsi="宋体" w:cs="宋体"/>
          <w:color w:val="auto"/>
          <w:szCs w:val="21"/>
          <w:highlight w:val="none"/>
        </w:rPr>
        <w:t>响应文件应按资格证明文件、报价商务技术文件分别编制电子文件，并按“广西政府采购云平台”的要求编制、加密、上传。</w:t>
      </w:r>
    </w:p>
    <w:p w14:paraId="0539E21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w:t>
      </w:r>
      <w:bookmarkStart w:id="32" w:name="_Hlk65832699"/>
      <w:r>
        <w:rPr>
          <w:rFonts w:ascii="宋体" w:hAnsi="宋体" w:cs="宋体"/>
          <w:color w:val="auto"/>
          <w:szCs w:val="21"/>
          <w:highlight w:val="none"/>
        </w:rPr>
        <w:t>3</w:t>
      </w:r>
      <w:r>
        <w:rPr>
          <w:rFonts w:hint="eastAsia" w:ascii="宋体" w:hAnsi="宋体" w:cs="宋体"/>
          <w:color w:val="auto"/>
          <w:szCs w:val="21"/>
          <w:highlight w:val="none"/>
        </w:rPr>
        <w:t>响应文件须由供应商在规定位置盖公章并签字</w:t>
      </w:r>
      <w:bookmarkStart w:id="33" w:name="_Hlk65832569"/>
      <w:r>
        <w:rPr>
          <w:rFonts w:hint="eastAsia" w:ascii="宋体" w:hAnsi="宋体" w:cs="宋体"/>
          <w:color w:val="auto"/>
          <w:szCs w:val="21"/>
          <w:highlight w:val="none"/>
        </w:rPr>
        <w:t>（具体以供应商须知前附表或响应文件格式规定为准）</w:t>
      </w:r>
      <w:bookmarkEnd w:id="32"/>
      <w:bookmarkEnd w:id="33"/>
      <w:r>
        <w:rPr>
          <w:rFonts w:hint="eastAsia" w:ascii="宋体" w:hAnsi="宋体" w:cs="宋体"/>
          <w:color w:val="auto"/>
          <w:szCs w:val="21"/>
          <w:highlight w:val="none"/>
        </w:rPr>
        <w:t>，否则其响应文件按无效响应处理。</w:t>
      </w:r>
    </w:p>
    <w:p w14:paraId="7FF722C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18.4</w:t>
      </w:r>
      <w:r>
        <w:rPr>
          <w:rFonts w:hint="eastAsia" w:ascii="宋体" w:hAnsi="宋体" w:cs="宋体"/>
          <w:color w:val="auto"/>
          <w:szCs w:val="21"/>
          <w:highlight w:val="none"/>
        </w:rPr>
        <w:t>响应文件中标注的供应商名称应与营业执照（事业单位法人证书、执业许可证、自然人身份证）及公章一致，否则其响应文件按无效响应处理。</w:t>
      </w:r>
    </w:p>
    <w:p w14:paraId="41D5D6A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18.5</w:t>
      </w:r>
      <w:r>
        <w:rPr>
          <w:rFonts w:hint="eastAsia" w:ascii="宋体" w:hAnsi="宋体" w:cs="宋体"/>
          <w:color w:val="auto"/>
          <w:szCs w:val="21"/>
          <w:highlight w:val="none"/>
        </w:rPr>
        <w:t>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8ECC6E6">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19.</w:t>
      </w:r>
      <w:r>
        <w:rPr>
          <w:rFonts w:hint="eastAsia" w:ascii="宋体" w:hAnsi="宋体" w:cs="宋体"/>
          <w:b/>
          <w:bCs/>
          <w:color w:val="auto"/>
          <w:sz w:val="24"/>
          <w:highlight w:val="none"/>
        </w:rPr>
        <w:t>响应文件的加密、解密</w:t>
      </w:r>
    </w:p>
    <w:p w14:paraId="1B0FF12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19.1</w:t>
      </w:r>
      <w:r>
        <w:rPr>
          <w:rFonts w:hint="eastAsia" w:ascii="宋体" w:hAnsi="宋体" w:cs="宋体"/>
          <w:color w:val="auto"/>
          <w:szCs w:val="21"/>
          <w:highlight w:val="none"/>
        </w:rPr>
        <w:t>电子响应文件编制完成后，供应商应按“广西政府采购云平台”的要求进行加密，并在规定时间内解密，否则，由此产生的后果由供应商自行负责。</w:t>
      </w:r>
    </w:p>
    <w:p w14:paraId="1AE2E3E3">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20.</w:t>
      </w:r>
      <w:r>
        <w:rPr>
          <w:rFonts w:hint="eastAsia" w:ascii="宋体" w:hAnsi="宋体" w:cs="宋体"/>
          <w:b/>
          <w:bCs/>
          <w:color w:val="auto"/>
          <w:sz w:val="24"/>
          <w:highlight w:val="none"/>
        </w:rPr>
        <w:t>响应文件的提交</w:t>
      </w:r>
    </w:p>
    <w:p w14:paraId="658BCCF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20.1</w:t>
      </w:r>
      <w:r>
        <w:rPr>
          <w:rFonts w:hint="eastAsia" w:ascii="宋体" w:hAnsi="宋体" w:cs="宋体"/>
          <w:color w:val="auto"/>
          <w:szCs w:val="21"/>
          <w:highlight w:val="none"/>
        </w:rPr>
        <w:t>供应商必须在“供应商须知前附表”规定的时间和地点提交响应文件。</w:t>
      </w:r>
    </w:p>
    <w:p w14:paraId="41DE24D7">
      <w:pPr>
        <w:widowControl/>
        <w:spacing w:line="360" w:lineRule="auto"/>
        <w:ind w:firstLine="420" w:firstLineChars="200"/>
        <w:rPr>
          <w:rFonts w:ascii="宋体" w:cs="宋体"/>
          <w:b/>
          <w:color w:val="auto"/>
          <w:szCs w:val="21"/>
          <w:highlight w:val="none"/>
        </w:rPr>
      </w:pPr>
      <w:r>
        <w:rPr>
          <w:rFonts w:ascii="宋体" w:hAnsi="宋体" w:cs="宋体"/>
          <w:color w:val="auto"/>
          <w:szCs w:val="21"/>
          <w:highlight w:val="none"/>
        </w:rPr>
        <w:t>20.2</w:t>
      </w:r>
      <w:r>
        <w:rPr>
          <w:rFonts w:hint="eastAsia" w:ascii="宋体" w:hAnsi="宋体" w:cs="宋体"/>
          <w:color w:val="auto"/>
          <w:szCs w:val="21"/>
          <w:highlight w:val="none"/>
        </w:rPr>
        <w:t>本项目为全流程电子化采购项目，通过“广西政府采购云平台”（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）实行在线电子竞标，供应商应先安装“广西政府采购云平台新版客户端”（新版客户端下载路径：请自行前往“广西政府采购云平台”（访问地址</w:t>
      </w:r>
      <w:r>
        <w:rPr>
          <w:rFonts w:ascii="宋体" w:hAnsi="宋体" w:cs="宋体"/>
          <w:color w:val="auto"/>
          <w:szCs w:val="21"/>
          <w:highlight w:val="none"/>
        </w:rPr>
        <w:t>http://zfcg.gxzf.gov.cn/</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办事服务</w:t>
      </w:r>
      <w:r>
        <w:rPr>
          <w:rFonts w:ascii="宋体" w:hAnsi="宋体" w:cs="宋体"/>
          <w:color w:val="auto"/>
          <w:szCs w:val="21"/>
          <w:highlight w:val="none"/>
        </w:rPr>
        <w:t>—</w:t>
      </w:r>
      <w:r>
        <w:rPr>
          <w:rFonts w:hint="eastAsia" w:ascii="宋体" w:hAnsi="宋体" w:cs="宋体"/>
          <w:color w:val="auto"/>
          <w:szCs w:val="21"/>
          <w:highlight w:val="none"/>
        </w:rPr>
        <w:t>下载专区），并按照本项目竞争性磋商文件和“广西政府采购云平台”的要求编制、加密后在竞标截止时间前通过网络上传至</w:t>
      </w:r>
      <w:r>
        <w:rPr>
          <w:rFonts w:ascii="宋体" w:hAnsi="宋体" w:cs="宋体"/>
          <w:color w:val="auto"/>
          <w:szCs w:val="21"/>
          <w:highlight w:val="none"/>
        </w:rPr>
        <w:t xml:space="preserve"> </w:t>
      </w:r>
      <w:r>
        <w:rPr>
          <w:rFonts w:hint="eastAsia" w:ascii="宋体" w:hAnsi="宋体" w:cs="宋体"/>
          <w:color w:val="auto"/>
          <w:szCs w:val="21"/>
          <w:highlight w:val="none"/>
        </w:rPr>
        <w:t>“广西政府采购云平台”，供应商在“广西政府采购云平台”提交电子响应文件时，请填写参加远程开标活动经办人联系方式。供应商登录“广西政府采购云平台”，依次进入“服务中心</w:t>
      </w:r>
      <w:r>
        <w:rPr>
          <w:rFonts w:ascii="宋体" w:cs="宋体"/>
          <w:color w:val="auto"/>
          <w:szCs w:val="21"/>
          <w:highlight w:val="none"/>
        </w:rPr>
        <w:t>-</w:t>
      </w:r>
      <w:r>
        <w:rPr>
          <w:rFonts w:hint="eastAsia" w:ascii="宋体" w:hAnsi="宋体" w:cs="宋体"/>
          <w:color w:val="auto"/>
          <w:szCs w:val="21"/>
          <w:highlight w:val="none"/>
        </w:rPr>
        <w:t>项目采购</w:t>
      </w:r>
      <w:r>
        <w:rPr>
          <w:rFonts w:ascii="宋体" w:cs="宋体"/>
          <w:color w:val="auto"/>
          <w:szCs w:val="21"/>
          <w:highlight w:val="none"/>
        </w:rPr>
        <w:t>-</w:t>
      </w:r>
      <w:r>
        <w:rPr>
          <w:rFonts w:hint="eastAsia" w:ascii="宋体" w:hAnsi="宋体" w:cs="宋体"/>
          <w:color w:val="auto"/>
          <w:szCs w:val="21"/>
          <w:highlight w:val="none"/>
        </w:rPr>
        <w:t>操作流程</w:t>
      </w:r>
      <w:r>
        <w:rPr>
          <w:rFonts w:ascii="宋体" w:cs="宋体"/>
          <w:color w:val="auto"/>
          <w:szCs w:val="21"/>
          <w:highlight w:val="none"/>
        </w:rPr>
        <w:t>-</w:t>
      </w:r>
      <w:r>
        <w:rPr>
          <w:rFonts w:hint="eastAsia" w:ascii="宋体" w:hAnsi="宋体" w:cs="宋体"/>
          <w:color w:val="auto"/>
          <w:szCs w:val="21"/>
          <w:highlight w:val="none"/>
        </w:rPr>
        <w:t>电子招投标</w:t>
      </w:r>
      <w:r>
        <w:rPr>
          <w:rFonts w:ascii="宋体" w:cs="宋体"/>
          <w:color w:val="auto"/>
          <w:szCs w:val="21"/>
          <w:highlight w:val="none"/>
        </w:rPr>
        <w:t>-</w:t>
      </w:r>
      <w:r>
        <w:rPr>
          <w:rFonts w:hint="eastAsia" w:ascii="宋体" w:hAnsi="宋体" w:cs="宋体"/>
          <w:color w:val="auto"/>
          <w:szCs w:val="21"/>
          <w:highlight w:val="none"/>
        </w:rPr>
        <w:t>政府采购项目电子交易管理操作指南</w:t>
      </w:r>
      <w:r>
        <w:rPr>
          <w:rFonts w:ascii="宋体" w:cs="宋体"/>
          <w:color w:val="auto"/>
          <w:szCs w:val="21"/>
          <w:highlight w:val="none"/>
        </w:rPr>
        <w:t>-</w:t>
      </w:r>
      <w:r>
        <w:rPr>
          <w:rFonts w:hint="eastAsia" w:ascii="宋体" w:hAnsi="宋体" w:cs="宋体"/>
          <w:color w:val="auto"/>
          <w:szCs w:val="21"/>
          <w:highlight w:val="none"/>
        </w:rPr>
        <w:t>供应商”查看电子竞标具体操作流程。</w:t>
      </w:r>
    </w:p>
    <w:p w14:paraId="4DAA5584">
      <w:pPr>
        <w:pStyle w:val="6"/>
        <w:keepNext w:val="0"/>
        <w:keepLines w:val="0"/>
        <w:spacing w:before="0" w:after="0" w:line="360" w:lineRule="auto"/>
        <w:ind w:firstLine="420" w:firstLineChars="200"/>
        <w:jc w:val="left"/>
        <w:rPr>
          <w:rFonts w:ascii="宋体" w:cs="宋体"/>
          <w:b w:val="0"/>
          <w:color w:val="auto"/>
          <w:sz w:val="21"/>
          <w:szCs w:val="21"/>
          <w:highlight w:val="none"/>
        </w:rPr>
      </w:pPr>
      <w:r>
        <w:rPr>
          <w:rFonts w:ascii="宋体" w:hAnsi="宋体" w:cs="宋体"/>
          <w:b w:val="0"/>
          <w:color w:val="auto"/>
          <w:sz w:val="21"/>
          <w:szCs w:val="21"/>
          <w:highlight w:val="none"/>
        </w:rPr>
        <w:t>20.3</w:t>
      </w:r>
      <w:r>
        <w:rPr>
          <w:rFonts w:hint="eastAsia" w:ascii="宋体" w:hAnsi="宋体" w:cs="宋体"/>
          <w:b w:val="0"/>
          <w:color w:val="auto"/>
          <w:sz w:val="21"/>
          <w:szCs w:val="21"/>
          <w:highlight w:val="none"/>
        </w:rPr>
        <w:t>未在规定时间内上传或者未按“广西政府采购云平台”的要求编制、加密的电子响应文件，“广西政府采购云平台”将拒收。</w:t>
      </w:r>
    </w:p>
    <w:p w14:paraId="7F17D8A9">
      <w:pPr>
        <w:pStyle w:val="7"/>
        <w:rPr>
          <w:rFonts w:ascii="宋体" w:cs="宋体"/>
          <w:color w:val="auto"/>
          <w:szCs w:val="21"/>
          <w:highlight w:val="none"/>
        </w:rPr>
      </w:pPr>
      <w:r>
        <w:rPr>
          <w:rFonts w:ascii="宋体" w:hAnsi="宋体" w:cs="宋体"/>
          <w:color w:val="auto"/>
          <w:szCs w:val="21"/>
          <w:highlight w:val="none"/>
        </w:rPr>
        <w:t>20.4</w:t>
      </w:r>
      <w:r>
        <w:rPr>
          <w:rFonts w:hint="eastAsia" w:ascii="宋体" w:hAnsi="宋体" w:cs="宋体"/>
          <w:color w:val="auto"/>
          <w:szCs w:val="21"/>
          <w:highlight w:val="none"/>
        </w:rPr>
        <w:t>电子响应文件提交方</w:t>
      </w:r>
      <w:r>
        <w:rPr>
          <w:rFonts w:hint="eastAsia" w:ascii="宋体" w:hAnsi="宋体" w:cs="宋体"/>
          <w:bCs/>
          <w:color w:val="auto"/>
          <w:szCs w:val="21"/>
          <w:highlight w:val="none"/>
        </w:rPr>
        <w:t>式见“竞争性磋商公告”</w:t>
      </w:r>
      <w:r>
        <w:rPr>
          <w:rFonts w:hint="eastAsia" w:ascii="宋体" w:hAnsi="宋体" w:cs="宋体"/>
          <w:color w:val="auto"/>
          <w:szCs w:val="21"/>
          <w:highlight w:val="none"/>
        </w:rPr>
        <w:t>中“四、响应文件提交”。</w:t>
      </w:r>
    </w:p>
    <w:p w14:paraId="5570DF28">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21.</w:t>
      </w:r>
      <w:r>
        <w:rPr>
          <w:rFonts w:hint="eastAsia" w:ascii="宋体" w:hAnsi="宋体" w:cs="宋体"/>
          <w:b/>
          <w:bCs/>
          <w:color w:val="auto"/>
          <w:sz w:val="24"/>
          <w:highlight w:val="none"/>
        </w:rPr>
        <w:t>首次响应文件的补充、修改与撤回</w:t>
      </w:r>
    </w:p>
    <w:p w14:paraId="40C94A5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21.1</w:t>
      </w:r>
      <w:r>
        <w:rPr>
          <w:rFonts w:hint="eastAsia" w:ascii="宋体" w:hAnsi="宋体" w:cs="宋体"/>
          <w:bCs/>
          <w:color w:val="auto"/>
          <w:szCs w:val="21"/>
          <w:highlight w:val="none"/>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4D73088D">
      <w:pPr>
        <w:spacing w:line="360" w:lineRule="auto"/>
        <w:ind w:firstLine="482" w:firstLineChars="200"/>
        <w:rPr>
          <w:rFonts w:ascii="宋体" w:cs="宋体"/>
          <w:b/>
          <w:bCs/>
          <w:color w:val="auto"/>
          <w:sz w:val="24"/>
          <w:highlight w:val="none"/>
        </w:rPr>
      </w:pPr>
      <w:bookmarkStart w:id="34" w:name="_Hlk45702405"/>
      <w:r>
        <w:rPr>
          <w:rFonts w:ascii="宋体" w:hAnsi="宋体" w:cs="宋体"/>
          <w:b/>
          <w:bCs/>
          <w:color w:val="auto"/>
          <w:sz w:val="24"/>
          <w:highlight w:val="none"/>
        </w:rPr>
        <w:t xml:space="preserve">22. </w:t>
      </w:r>
      <w:r>
        <w:rPr>
          <w:rFonts w:hint="eastAsia" w:ascii="宋体" w:hAnsi="宋体" w:cs="宋体"/>
          <w:b/>
          <w:bCs/>
          <w:color w:val="auto"/>
          <w:sz w:val="24"/>
          <w:highlight w:val="none"/>
        </w:rPr>
        <w:t>首次响应文件的退回</w:t>
      </w:r>
    </w:p>
    <w:p w14:paraId="78808083">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22.1</w:t>
      </w:r>
      <w:r>
        <w:rPr>
          <w:rFonts w:hint="eastAsia" w:ascii="宋体" w:hAnsi="宋体" w:cs="宋体"/>
          <w:color w:val="auto"/>
          <w:szCs w:val="21"/>
          <w:highlight w:val="none"/>
        </w:rPr>
        <w:t>在首次响应文件提交截止时间止提交响应文件的供应商不足</w:t>
      </w:r>
      <w:r>
        <w:rPr>
          <w:rFonts w:ascii="宋体" w:hAnsi="宋体" w:cs="宋体"/>
          <w:color w:val="auto"/>
          <w:szCs w:val="21"/>
          <w:highlight w:val="none"/>
        </w:rPr>
        <w:t>3</w:t>
      </w:r>
      <w:r>
        <w:rPr>
          <w:rFonts w:hint="eastAsia" w:ascii="宋体" w:hAnsi="宋体" w:cs="宋体"/>
          <w:color w:val="auto"/>
          <w:szCs w:val="21"/>
          <w:highlight w:val="none"/>
        </w:rPr>
        <w:t>家时，采购代理机构将根据“广西政府采购云平台”的操作将电子版响应文件退回，除此之外采购人和采购代理机构对已提交的电子响应文件概不退回。</w:t>
      </w:r>
    </w:p>
    <w:p w14:paraId="237E818E">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 xml:space="preserve">23. </w:t>
      </w:r>
      <w:r>
        <w:rPr>
          <w:rFonts w:hint="eastAsia" w:ascii="宋体" w:hAnsi="宋体" w:cs="宋体"/>
          <w:b/>
          <w:bCs/>
          <w:color w:val="auto"/>
          <w:sz w:val="24"/>
          <w:highlight w:val="none"/>
        </w:rPr>
        <w:t>截止时间后的撤回</w:t>
      </w:r>
    </w:p>
    <w:p w14:paraId="6D79952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23.1</w:t>
      </w:r>
      <w:r>
        <w:rPr>
          <w:rFonts w:hint="eastAsia" w:ascii="宋体" w:hAnsi="宋体" w:cs="宋体"/>
          <w:color w:val="auto"/>
          <w:szCs w:val="21"/>
          <w:highlight w:val="none"/>
        </w:rPr>
        <w:t>供应商在首次响应文件提交截止时间后书面通知采购人、采购代理机构书面撤回响应文件的，将根据本须知正文</w:t>
      </w:r>
      <w:r>
        <w:rPr>
          <w:rFonts w:ascii="宋体" w:hAnsi="宋体" w:cs="宋体"/>
          <w:color w:val="auto"/>
          <w:szCs w:val="21"/>
          <w:highlight w:val="none"/>
        </w:rPr>
        <w:t>17.4</w:t>
      </w:r>
      <w:r>
        <w:rPr>
          <w:rFonts w:hint="eastAsia" w:ascii="宋体" w:hAnsi="宋体" w:cs="宋体"/>
          <w:color w:val="auto"/>
          <w:szCs w:val="21"/>
          <w:highlight w:val="none"/>
        </w:rPr>
        <w:t>的规定不予退还其磋商保证金。</w:t>
      </w:r>
    </w:p>
    <w:bookmarkEnd w:id="34"/>
    <w:p w14:paraId="0576E556">
      <w:pPr>
        <w:spacing w:line="360" w:lineRule="auto"/>
        <w:rPr>
          <w:rFonts w:ascii="宋体" w:cs="宋体"/>
          <w:color w:val="auto"/>
          <w:szCs w:val="21"/>
          <w:highlight w:val="none"/>
        </w:rPr>
      </w:pPr>
    </w:p>
    <w:p w14:paraId="45480FDE">
      <w:pPr>
        <w:spacing w:line="360" w:lineRule="auto"/>
        <w:jc w:val="center"/>
        <w:rPr>
          <w:rFonts w:ascii="宋体" w:cs="宋体"/>
          <w:b/>
          <w:bCs/>
          <w:color w:val="auto"/>
          <w:sz w:val="32"/>
          <w:szCs w:val="32"/>
          <w:highlight w:val="none"/>
        </w:rPr>
      </w:pPr>
      <w:r>
        <w:rPr>
          <w:rFonts w:hint="eastAsia" w:ascii="宋体" w:hAnsi="宋体" w:cs="宋体"/>
          <w:b/>
          <w:bCs/>
          <w:color w:val="auto"/>
          <w:sz w:val="32"/>
          <w:szCs w:val="32"/>
          <w:highlight w:val="none"/>
        </w:rPr>
        <w:t>四、评审及磋商</w:t>
      </w:r>
    </w:p>
    <w:p w14:paraId="270DDE68">
      <w:pPr>
        <w:spacing w:line="360" w:lineRule="auto"/>
        <w:ind w:firstLine="482" w:firstLineChars="200"/>
        <w:rPr>
          <w:rFonts w:ascii="宋体" w:cs="宋体"/>
          <w:b/>
          <w:bCs/>
          <w:color w:val="auto"/>
          <w:sz w:val="24"/>
          <w:highlight w:val="none"/>
        </w:rPr>
      </w:pPr>
    </w:p>
    <w:p w14:paraId="34F6B732">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24.</w:t>
      </w:r>
      <w:r>
        <w:rPr>
          <w:rFonts w:hint="eastAsia" w:ascii="宋体" w:hAnsi="宋体" w:cs="宋体"/>
          <w:b/>
          <w:bCs/>
          <w:color w:val="auto"/>
          <w:sz w:val="24"/>
          <w:highlight w:val="none"/>
        </w:rPr>
        <w:t>磋商小组成立</w:t>
      </w:r>
    </w:p>
    <w:p w14:paraId="16A49DD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磋商小组由采购人代表和评审专家共</w:t>
      </w:r>
      <w:r>
        <w:rPr>
          <w:rFonts w:ascii="宋体" w:hAnsi="宋体" w:cs="宋体"/>
          <w:color w:val="auto"/>
          <w:szCs w:val="21"/>
          <w:highlight w:val="none"/>
        </w:rPr>
        <w:t>3</w:t>
      </w:r>
      <w:r>
        <w:rPr>
          <w:rFonts w:hint="eastAsia" w:ascii="宋体" w:hAnsi="宋体" w:cs="宋体"/>
          <w:color w:val="auto"/>
          <w:szCs w:val="21"/>
          <w:highlight w:val="none"/>
        </w:rPr>
        <w:t>人以上单数组成，具体人数见“供应商须知前附表”，其中评审专家人数不得少于磋商小组成员总数的</w:t>
      </w:r>
      <w:r>
        <w:rPr>
          <w:rFonts w:ascii="宋体" w:hAnsi="宋体" w:cs="宋体"/>
          <w:color w:val="auto"/>
          <w:szCs w:val="21"/>
          <w:highlight w:val="none"/>
        </w:rPr>
        <w:t>2/3</w:t>
      </w:r>
      <w:r>
        <w:rPr>
          <w:rFonts w:hint="eastAsia" w:ascii="宋体" w:hAnsi="宋体" w:cs="宋体"/>
          <w:color w:val="auto"/>
          <w:szCs w:val="21"/>
          <w:highlight w:val="none"/>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color w:val="auto"/>
          <w:szCs w:val="21"/>
          <w:highlight w:val="none"/>
        </w:rPr>
        <w:t>5</w:t>
      </w:r>
      <w:r>
        <w:rPr>
          <w:rFonts w:hint="eastAsia" w:ascii="宋体" w:hAnsi="宋体" w:cs="宋体"/>
          <w:color w:val="auto"/>
          <w:szCs w:val="21"/>
          <w:highlight w:val="none"/>
        </w:rPr>
        <w:t>人以上单数组成。</w:t>
      </w:r>
    </w:p>
    <w:p w14:paraId="45D6C87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24.2</w:t>
      </w:r>
      <w:r>
        <w:rPr>
          <w:rFonts w:hint="eastAsia" w:ascii="宋体" w:hAnsi="宋体" w:cs="宋体"/>
          <w:color w:val="auto"/>
          <w:szCs w:val="21"/>
          <w:highlight w:val="none"/>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auto"/>
          <w:szCs w:val="21"/>
          <w:highlight w:val="none"/>
        </w:rPr>
        <w:t>1</w:t>
      </w:r>
      <w:r>
        <w:rPr>
          <w:rFonts w:hint="eastAsia" w:ascii="宋体" w:hAnsi="宋体" w:cs="宋体"/>
          <w:color w:val="auto"/>
          <w:szCs w:val="21"/>
          <w:highlight w:val="none"/>
        </w:rPr>
        <w:t>名法律专家。</w:t>
      </w:r>
    </w:p>
    <w:p w14:paraId="48CA32D8">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25.</w:t>
      </w:r>
      <w:r>
        <w:rPr>
          <w:rFonts w:hint="eastAsia" w:ascii="宋体" w:hAnsi="宋体" w:cs="宋体"/>
          <w:b/>
          <w:bCs/>
          <w:color w:val="auto"/>
          <w:sz w:val="24"/>
          <w:highlight w:val="none"/>
        </w:rPr>
        <w:t>首次响应文件的开启</w:t>
      </w:r>
    </w:p>
    <w:p w14:paraId="2707D0B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25.1</w:t>
      </w:r>
      <w:r>
        <w:rPr>
          <w:rFonts w:hint="eastAsia" w:ascii="宋体" w:hAnsi="宋体" w:cs="宋体"/>
          <w:color w:val="auto"/>
          <w:szCs w:val="21"/>
          <w:highlight w:val="none"/>
        </w:rPr>
        <w:t>首次响应文件由磋商小组或者采购代理机构在“供应商须知前附表”规定的时间开启。</w:t>
      </w:r>
    </w:p>
    <w:p w14:paraId="6063BBC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25.2 </w:t>
      </w:r>
      <w:r>
        <w:rPr>
          <w:rFonts w:hint="eastAsia" w:ascii="宋体" w:hAnsi="宋体" w:cs="宋体"/>
          <w:color w:val="auto"/>
          <w:szCs w:val="21"/>
          <w:highlight w:val="none"/>
        </w:rPr>
        <w:t>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w:t>
      </w:r>
      <w:r>
        <w:rPr>
          <w:rFonts w:ascii="宋体" w:hAnsi="宋体" w:cs="宋体"/>
          <w:b/>
          <w:color w:val="auto"/>
          <w:szCs w:val="21"/>
          <w:highlight w:val="none"/>
        </w:rPr>
        <w:t>CA</w:t>
      </w:r>
      <w:r>
        <w:rPr>
          <w:rFonts w:hint="eastAsia" w:ascii="宋体" w:hAnsi="宋体" w:cs="宋体"/>
          <w:b/>
          <w:color w:val="auto"/>
          <w:szCs w:val="21"/>
          <w:highlight w:val="none"/>
        </w:rPr>
        <w:t>锁按平台提示和采购文件的规定登录到“广西政府采购云平台”电子开标大厅签到并在发起解密指令之时起</w:t>
      </w:r>
      <w:r>
        <w:rPr>
          <w:rFonts w:ascii="宋体" w:hAnsi="宋体" w:cs="宋体"/>
          <w:b/>
          <w:color w:val="auto"/>
          <w:szCs w:val="21"/>
          <w:highlight w:val="none"/>
        </w:rPr>
        <w:t>30</w:t>
      </w:r>
      <w:r>
        <w:rPr>
          <w:rFonts w:hint="eastAsia" w:ascii="宋体" w:hAnsi="宋体" w:cs="宋体"/>
          <w:b/>
          <w:color w:val="auto"/>
          <w:szCs w:val="21"/>
          <w:highlight w:val="none"/>
        </w:rPr>
        <w:t>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w:t>
      </w:r>
      <w:r>
        <w:rPr>
          <w:rFonts w:ascii="宋体" w:hAnsi="宋体" w:cs="宋体"/>
          <w:color w:val="auto"/>
          <w:szCs w:val="21"/>
          <w:highlight w:val="none"/>
        </w:rPr>
        <w:t>26.2</w:t>
      </w:r>
      <w:r>
        <w:rPr>
          <w:rFonts w:hint="eastAsia" w:ascii="宋体" w:hAnsi="宋体" w:cs="宋体"/>
          <w:color w:val="auto"/>
          <w:szCs w:val="21"/>
          <w:highlight w:val="none"/>
        </w:rPr>
        <w:t>电子交易活动的中止。）</w:t>
      </w:r>
    </w:p>
    <w:p w14:paraId="40B2533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25.3</w:t>
      </w:r>
      <w:r>
        <w:rPr>
          <w:rFonts w:hint="eastAsia" w:ascii="宋体" w:hAnsi="宋体" w:cs="宋体"/>
          <w:color w:val="auto"/>
          <w:szCs w:val="21"/>
          <w:highlight w:val="none"/>
        </w:rPr>
        <w:t>成功解密响应文件的供应商不足</w:t>
      </w:r>
      <w:r>
        <w:rPr>
          <w:rFonts w:ascii="宋体" w:hAnsi="宋体" w:cs="宋体"/>
          <w:color w:val="auto"/>
          <w:szCs w:val="21"/>
          <w:highlight w:val="none"/>
        </w:rPr>
        <w:t>3</w:t>
      </w:r>
      <w:r>
        <w:rPr>
          <w:rFonts w:hint="eastAsia" w:ascii="宋体" w:hAnsi="宋体" w:cs="宋体"/>
          <w:color w:val="auto"/>
          <w:szCs w:val="21"/>
          <w:highlight w:val="none"/>
        </w:rPr>
        <w:t>家的，不得磋商。</w:t>
      </w:r>
    </w:p>
    <w:p w14:paraId="3EE770C7">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26.</w:t>
      </w:r>
      <w:r>
        <w:rPr>
          <w:rFonts w:hint="eastAsia" w:ascii="宋体" w:hAnsi="宋体" w:cs="宋体"/>
          <w:b/>
          <w:bCs/>
          <w:color w:val="auto"/>
          <w:sz w:val="24"/>
          <w:highlight w:val="none"/>
        </w:rPr>
        <w:t>评审程序、评审方法和评审标准</w:t>
      </w:r>
    </w:p>
    <w:p w14:paraId="238A0A0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磋商小组按照“第四章</w:t>
      </w:r>
      <w:r>
        <w:rPr>
          <w:rFonts w:ascii="宋体" w:hAnsi="宋体" w:cs="宋体"/>
          <w:color w:val="auto"/>
          <w:szCs w:val="21"/>
          <w:highlight w:val="none"/>
        </w:rPr>
        <w:t xml:space="preserve"> </w:t>
      </w:r>
      <w:r>
        <w:rPr>
          <w:rFonts w:hint="eastAsia" w:ascii="宋体" w:hAnsi="宋体" w:cs="宋体"/>
          <w:color w:val="auto"/>
          <w:szCs w:val="21"/>
          <w:highlight w:val="none"/>
        </w:rPr>
        <w:t>评审程序、评审方法和评审标准”规定的方法、评审因素、标准和程序对响应文件进行评审。</w:t>
      </w:r>
    </w:p>
    <w:p w14:paraId="76BBD487">
      <w:pPr>
        <w:spacing w:line="400" w:lineRule="exact"/>
        <w:ind w:firstLine="420" w:firstLineChars="200"/>
        <w:rPr>
          <w:rFonts w:ascii="宋体" w:cs="宋体"/>
          <w:color w:val="auto"/>
          <w:highlight w:val="none"/>
        </w:rPr>
      </w:pPr>
      <w:r>
        <w:rPr>
          <w:rFonts w:ascii="宋体" w:hAnsi="宋体" w:cs="宋体"/>
          <w:color w:val="auto"/>
          <w:highlight w:val="none"/>
        </w:rPr>
        <w:t>26.2</w:t>
      </w:r>
      <w:r>
        <w:rPr>
          <w:rFonts w:hint="eastAsia" w:ascii="宋体" w:hAnsi="宋体" w:cs="宋体"/>
          <w:color w:val="auto"/>
          <w:highlight w:val="none"/>
        </w:rPr>
        <w:t>电子交易活动的中止。采购过程中出现以下情形，导致电子交易平台无法正常运行，或者无法保证电子交易的公平、公正和安全时，采购机构可中止电子交易活动：</w:t>
      </w:r>
    </w:p>
    <w:p w14:paraId="2F8DB6DD">
      <w:pPr>
        <w:spacing w:line="40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）电子交易平台发生故障而无法登录访问的；</w:t>
      </w:r>
      <w:r>
        <w:rPr>
          <w:rFonts w:ascii="宋体" w:hAnsi="宋体" w:cs="宋体"/>
          <w:color w:val="auto"/>
          <w:highlight w:val="none"/>
        </w:rPr>
        <w:t xml:space="preserve"> </w:t>
      </w:r>
    </w:p>
    <w:p w14:paraId="4261E2DA">
      <w:pPr>
        <w:spacing w:line="40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）电子交易平台应用或数据库出现错误，不能进行正常操作的；</w:t>
      </w:r>
    </w:p>
    <w:p w14:paraId="21D234FC">
      <w:pPr>
        <w:spacing w:line="40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）电子交易平台发现严重安全漏洞，有潜在泄密危险的；</w:t>
      </w:r>
    </w:p>
    <w:p w14:paraId="41C81EF7">
      <w:pPr>
        <w:spacing w:line="40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）病毒发作导致不能进行正常操作的；</w:t>
      </w:r>
      <w:r>
        <w:rPr>
          <w:rFonts w:ascii="宋体" w:hAnsi="宋体" w:cs="宋体"/>
          <w:color w:val="auto"/>
          <w:highlight w:val="none"/>
        </w:rPr>
        <w:t xml:space="preserve"> </w:t>
      </w:r>
    </w:p>
    <w:p w14:paraId="20D6DE1A">
      <w:pPr>
        <w:spacing w:line="40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）其他无法保证电子交易的公平、公正和安全的情况。</w:t>
      </w:r>
    </w:p>
    <w:p w14:paraId="30087F9F">
      <w:pPr>
        <w:spacing w:line="400" w:lineRule="exact"/>
        <w:ind w:firstLine="420" w:firstLineChars="200"/>
        <w:rPr>
          <w:rFonts w:ascii="宋体" w:cs="宋体"/>
          <w:color w:val="auto"/>
          <w:szCs w:val="21"/>
          <w:highlight w:val="none"/>
        </w:rPr>
      </w:pPr>
      <w:r>
        <w:rPr>
          <w:rFonts w:ascii="宋体" w:hAnsi="宋体" w:cs="宋体"/>
          <w:color w:val="auto"/>
          <w:highlight w:val="none"/>
        </w:rPr>
        <w:t>26.3</w:t>
      </w:r>
      <w:r>
        <w:rPr>
          <w:rFonts w:hint="eastAsia" w:ascii="宋体" w:hAnsi="宋体" w:cs="宋体"/>
          <w:color w:val="auto"/>
          <w:highlight w:val="none"/>
        </w:rPr>
        <w:t>出现以上情形，不影响采购公平、公正性的，采购代理机构可以待上述情形消除后继续组织电子交易活动；影响或可能影响采购公平、公正性的，经采购代理机构确认后，应当重新采购。</w:t>
      </w:r>
    </w:p>
    <w:p w14:paraId="3475AB0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27.</w:t>
      </w:r>
      <w:r>
        <w:rPr>
          <w:rFonts w:hint="eastAsia" w:ascii="宋体" w:hAnsi="宋体" w:cs="宋体"/>
          <w:b/>
          <w:bCs/>
          <w:color w:val="auto"/>
          <w:sz w:val="24"/>
          <w:highlight w:val="none"/>
        </w:rPr>
        <w:t>确定成交供应商及结果公告</w:t>
      </w:r>
    </w:p>
    <w:p w14:paraId="0E4F54E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27.1</w:t>
      </w:r>
      <w:r>
        <w:rPr>
          <w:rFonts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w:t>
      </w:r>
      <w:r>
        <w:rPr>
          <w:rFonts w:ascii="宋体" w:hAnsi="宋体" w:cs="宋体"/>
          <w:color w:val="auto"/>
          <w:szCs w:val="21"/>
          <w:highlight w:val="none"/>
        </w:rPr>
        <w:t>2</w:t>
      </w:r>
      <w:r>
        <w:rPr>
          <w:rFonts w:hint="eastAsia" w:ascii="宋体" w:hAnsi="宋体" w:cs="宋体"/>
          <w:color w:val="auto"/>
          <w:szCs w:val="21"/>
          <w:highlight w:val="none"/>
        </w:rPr>
        <w:t>个工作日内将评审报告送采购人确认。采购人应当在收到评审报告后</w:t>
      </w:r>
      <w:r>
        <w:rPr>
          <w:rFonts w:ascii="宋体" w:hAnsi="宋体" w:cs="宋体"/>
          <w:color w:val="auto"/>
          <w:szCs w:val="21"/>
          <w:highlight w:val="none"/>
        </w:rPr>
        <w:t>5</w:t>
      </w:r>
      <w:r>
        <w:rPr>
          <w:rFonts w:hint="eastAsia" w:ascii="宋体" w:hAnsi="宋体" w:cs="宋体"/>
          <w:color w:val="auto"/>
          <w:szCs w:val="21"/>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FD562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27.2</w:t>
      </w:r>
      <w:r>
        <w:rPr>
          <w:rFonts w:hint="eastAsia" w:ascii="宋体" w:hAnsi="宋体" w:cs="宋体"/>
          <w:color w:val="auto"/>
          <w:szCs w:val="21"/>
          <w:highlight w:val="none"/>
        </w:rPr>
        <w:t>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w:t>
      </w:r>
      <w:r>
        <w:rPr>
          <w:rFonts w:ascii="宋体" w:hAnsi="宋体" w:cs="宋体"/>
          <w:color w:val="auto"/>
          <w:szCs w:val="21"/>
          <w:highlight w:val="none"/>
        </w:rPr>
        <w:t>2</w:t>
      </w:r>
      <w:r>
        <w:rPr>
          <w:rFonts w:hint="eastAsia" w:ascii="宋体" w:hAnsi="宋体" w:cs="宋体"/>
          <w:color w:val="auto"/>
          <w:szCs w:val="21"/>
          <w:highlight w:val="none"/>
        </w:rPr>
        <w:t>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5" w:name="_Hlk66782294"/>
      <w:r>
        <w:rPr>
          <w:rFonts w:hint="eastAsia" w:ascii="宋体" w:hAnsi="宋体" w:cs="宋体"/>
          <w:color w:val="auto"/>
          <w:szCs w:val="21"/>
          <w:highlight w:val="none"/>
        </w:rPr>
        <w:t>成交供应商享受《政府采购促进中小企业发展管理办法》（财库〔</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46</w:t>
      </w:r>
      <w:r>
        <w:rPr>
          <w:rFonts w:hint="eastAsia" w:ascii="宋体" w:hAnsi="宋体" w:cs="宋体"/>
          <w:color w:val="auto"/>
          <w:szCs w:val="21"/>
          <w:highlight w:val="none"/>
        </w:rPr>
        <w:t>号）规定的中小企业扶持政策的，采购人、采购代理机构应当随成交结果公开成交供应商的《中小企业声明函》。</w:t>
      </w:r>
      <w:bookmarkEnd w:id="35"/>
    </w:p>
    <w:p w14:paraId="39C167A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BC5BE7E">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28.</w:t>
      </w:r>
      <w:r>
        <w:rPr>
          <w:rFonts w:hint="eastAsia" w:ascii="宋体" w:hAnsi="宋体" w:cs="宋体"/>
          <w:b/>
          <w:bCs/>
          <w:color w:val="auto"/>
          <w:sz w:val="24"/>
          <w:highlight w:val="none"/>
        </w:rPr>
        <w:t>履约保证金</w:t>
      </w:r>
    </w:p>
    <w:p w14:paraId="79D1705F">
      <w:pPr>
        <w:spacing w:line="360" w:lineRule="auto"/>
        <w:ind w:firstLine="424" w:firstLineChars="202"/>
        <w:rPr>
          <w:rFonts w:ascii="宋体" w:cs="宋体"/>
          <w:color w:val="auto"/>
          <w:szCs w:val="21"/>
          <w:highlight w:val="none"/>
        </w:rPr>
      </w:pPr>
      <w:r>
        <w:rPr>
          <w:rFonts w:ascii="宋体" w:hAnsi="宋体" w:cs="宋体"/>
          <w:color w:val="auto"/>
          <w:szCs w:val="21"/>
          <w:highlight w:val="none"/>
        </w:rPr>
        <w:t xml:space="preserve">28.1 </w:t>
      </w:r>
      <w:r>
        <w:rPr>
          <w:rFonts w:hint="eastAsia" w:ascii="宋体" w:hAnsi="宋体" w:cs="宋体"/>
          <w:color w:val="auto"/>
          <w:szCs w:val="21"/>
          <w:highlight w:val="none"/>
        </w:rPr>
        <w:t>履约保证金的金额、提交方式、退付的时间和条件详见</w:t>
      </w:r>
      <w:r>
        <w:rPr>
          <w:rFonts w:ascii="宋体" w:hAnsi="宋体" w:cs="宋体"/>
          <w:color w:val="auto"/>
          <w:szCs w:val="21"/>
          <w:highlight w:val="none"/>
        </w:rPr>
        <w:t xml:space="preserve"> </w:t>
      </w:r>
      <w:r>
        <w:rPr>
          <w:rFonts w:hint="eastAsia" w:ascii="宋体" w:hAnsi="宋体" w:cs="宋体"/>
          <w:color w:val="auto"/>
          <w:szCs w:val="21"/>
          <w:highlight w:val="none"/>
        </w:rPr>
        <w:t>“供应商须知前附表”。成交供应商未按规定提交履约保证金的，视为拒绝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34F8F491">
      <w:pPr>
        <w:spacing w:line="360" w:lineRule="auto"/>
        <w:ind w:firstLine="424" w:firstLineChars="202"/>
        <w:rPr>
          <w:rFonts w:ascii="宋体" w:cs="宋体"/>
          <w:color w:val="auto"/>
          <w:szCs w:val="21"/>
          <w:highlight w:val="none"/>
        </w:rPr>
      </w:pPr>
      <w:r>
        <w:rPr>
          <w:rFonts w:ascii="宋体" w:hAnsi="宋体" w:cs="宋体"/>
          <w:color w:val="auto"/>
          <w:szCs w:val="21"/>
          <w:highlight w:val="none"/>
        </w:rPr>
        <w:t>28.2</w:t>
      </w:r>
      <w:r>
        <w:rPr>
          <w:rFonts w:hint="eastAsia" w:ascii="宋体" w:hAnsi="宋体" w:cs="宋体"/>
          <w:color w:val="auto"/>
          <w:szCs w:val="21"/>
          <w:highlight w:val="none"/>
        </w:rPr>
        <w:t>在履约保证金退还日期前，若成交供应商的开户名称、开户银行、帐号有变动的，请以书面形式通知履约保证金收取单位，否则由此产生的后果由成交供应商自行承担。</w:t>
      </w:r>
    </w:p>
    <w:p w14:paraId="4857B0A8">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29.</w:t>
      </w:r>
      <w:r>
        <w:rPr>
          <w:rFonts w:hint="eastAsia" w:ascii="宋体" w:hAnsi="宋体" w:cs="宋体"/>
          <w:b/>
          <w:bCs/>
          <w:color w:val="auto"/>
          <w:sz w:val="24"/>
          <w:highlight w:val="none"/>
        </w:rPr>
        <w:t>签订合同</w:t>
      </w:r>
    </w:p>
    <w:p w14:paraId="3E269E9A">
      <w:pPr>
        <w:spacing w:line="360" w:lineRule="auto"/>
        <w:ind w:firstLine="424" w:firstLineChars="202"/>
        <w:rPr>
          <w:rFonts w:asci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成交供应商在收到成交通知书（书面或电子）后，应当在签订合同时向采购人出示相关证明材料，具体内容详见</w:t>
      </w:r>
      <w:r>
        <w:rPr>
          <w:rFonts w:ascii="宋体" w:hAnsi="宋体" w:cs="宋体"/>
          <w:color w:val="auto"/>
          <w:szCs w:val="21"/>
          <w:highlight w:val="none"/>
        </w:rPr>
        <w:t xml:space="preserve"> </w:t>
      </w:r>
      <w:r>
        <w:rPr>
          <w:rFonts w:hint="eastAsia" w:ascii="宋体" w:hAnsi="宋体" w:cs="宋体"/>
          <w:color w:val="auto"/>
          <w:szCs w:val="21"/>
          <w:highlight w:val="none"/>
        </w:rPr>
        <w:t>“供应商须知前附表”，经采购人核验合格后方可签订合同（书面或电子）。</w:t>
      </w:r>
    </w:p>
    <w:p w14:paraId="4A054C68">
      <w:pPr>
        <w:spacing w:line="360" w:lineRule="auto"/>
        <w:ind w:firstLine="424" w:firstLineChars="202"/>
        <w:rPr>
          <w:rFonts w:ascii="宋体" w:cs="宋体"/>
          <w:color w:val="auto"/>
          <w:szCs w:val="21"/>
          <w:highlight w:val="none"/>
        </w:rPr>
      </w:pPr>
      <w:r>
        <w:rPr>
          <w:rFonts w:ascii="宋体" w:hAnsi="宋体" w:cs="宋体"/>
          <w:color w:val="auto"/>
          <w:szCs w:val="21"/>
          <w:highlight w:val="none"/>
        </w:rPr>
        <w:t xml:space="preserve">29.2 </w:t>
      </w:r>
      <w:r>
        <w:rPr>
          <w:rFonts w:hint="eastAsia" w:ascii="宋体" w:hAnsi="宋体" w:cs="宋体"/>
          <w:color w:val="auto"/>
          <w:szCs w:val="21"/>
          <w:highlight w:val="none"/>
        </w:rPr>
        <w:t>签订合同时间：按成交通知书规定的时间与采购人签订政府采购合同（最长不能超过</w:t>
      </w:r>
      <w:r>
        <w:rPr>
          <w:rFonts w:ascii="宋体" w:hAnsi="宋体" w:cs="宋体"/>
          <w:color w:val="auto"/>
          <w:szCs w:val="21"/>
          <w:highlight w:val="none"/>
        </w:rPr>
        <w:t>25</w:t>
      </w:r>
      <w:r>
        <w:rPr>
          <w:rFonts w:hint="eastAsia" w:ascii="宋体" w:hAnsi="宋体" w:cs="宋体"/>
          <w:color w:val="auto"/>
          <w:szCs w:val="21"/>
          <w:highlight w:val="none"/>
        </w:rPr>
        <w:t>日）。</w:t>
      </w:r>
    </w:p>
    <w:p w14:paraId="1F2F4C6C">
      <w:pPr>
        <w:spacing w:line="360" w:lineRule="auto"/>
        <w:ind w:firstLine="424" w:firstLineChars="202"/>
        <w:rPr>
          <w:rFonts w:ascii="宋体" w:cs="宋体"/>
          <w:color w:val="auto"/>
          <w:szCs w:val="21"/>
          <w:highlight w:val="none"/>
        </w:rPr>
      </w:pPr>
      <w:r>
        <w:rPr>
          <w:rFonts w:ascii="宋体" w:hAnsi="宋体" w:cs="宋体"/>
          <w:color w:val="auto"/>
          <w:szCs w:val="21"/>
          <w:highlight w:val="none"/>
        </w:rPr>
        <w:t>29.3</w:t>
      </w:r>
      <w:r>
        <w:rPr>
          <w:rFonts w:hint="eastAsia" w:ascii="宋体" w:hAnsi="宋体" w:cs="宋体"/>
          <w:color w:val="auto"/>
          <w:szCs w:val="21"/>
          <w:highlight w:val="none"/>
        </w:rPr>
        <w:t>成交供应商拒绝与采购人签订合同的，按照本须知正文第</w:t>
      </w:r>
      <w:r>
        <w:rPr>
          <w:rFonts w:ascii="宋体" w:hAnsi="宋体" w:cs="宋体"/>
          <w:color w:val="auto"/>
          <w:szCs w:val="21"/>
          <w:highlight w:val="none"/>
        </w:rPr>
        <w:t>27.3</w:t>
      </w:r>
      <w:r>
        <w:rPr>
          <w:rFonts w:hint="eastAsia" w:ascii="宋体" w:hAnsi="宋体" w:cs="宋体"/>
          <w:color w:val="auto"/>
          <w:szCs w:val="21"/>
          <w:highlight w:val="none"/>
        </w:rPr>
        <w:t>条的规定执行。</w:t>
      </w:r>
    </w:p>
    <w:p w14:paraId="2BAB774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30.</w:t>
      </w:r>
      <w:r>
        <w:rPr>
          <w:rFonts w:hint="eastAsia" w:ascii="宋体" w:hAnsi="宋体" w:cs="宋体"/>
          <w:b/>
          <w:bCs/>
          <w:color w:val="auto"/>
          <w:sz w:val="24"/>
          <w:highlight w:val="none"/>
        </w:rPr>
        <w:t>政府采购合同公告</w:t>
      </w:r>
    </w:p>
    <w:p w14:paraId="6502138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w:t>
      </w:r>
      <w:r>
        <w:rPr>
          <w:rFonts w:ascii="宋体" w:hAnsi="宋体" w:cs="宋体"/>
          <w:color w:val="auto"/>
          <w:szCs w:val="21"/>
          <w:highlight w:val="none"/>
        </w:rPr>
        <w:t>2</w:t>
      </w:r>
      <w:r>
        <w:rPr>
          <w:rFonts w:hint="eastAsia" w:ascii="宋体" w:hAnsi="宋体" w:cs="宋体"/>
          <w:color w:val="auto"/>
          <w:szCs w:val="21"/>
          <w:highlight w:val="none"/>
        </w:rPr>
        <w:t>个工作日内，将政府采购合同在省级以上人民政府财政部门指定的媒体上公告，但政府采购合同中涉及国家秘密、商业秘密的内容除外。</w:t>
      </w:r>
    </w:p>
    <w:p w14:paraId="65F05FCF">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 xml:space="preserve">31. </w:t>
      </w:r>
      <w:r>
        <w:rPr>
          <w:rFonts w:hint="eastAsia" w:ascii="宋体" w:hAnsi="宋体" w:cs="宋体"/>
          <w:b/>
          <w:bCs/>
          <w:color w:val="auto"/>
          <w:sz w:val="24"/>
          <w:highlight w:val="none"/>
        </w:rPr>
        <w:t>询问、质疑和投诉</w:t>
      </w:r>
    </w:p>
    <w:p w14:paraId="4307C7DC">
      <w:pPr>
        <w:pStyle w:val="7"/>
        <w:spacing w:line="360" w:lineRule="auto"/>
        <w:rPr>
          <w:rFonts w:ascii="宋体" w:cs="宋体"/>
          <w:color w:val="auto"/>
          <w:szCs w:val="21"/>
          <w:highlight w:val="none"/>
        </w:rPr>
      </w:pPr>
      <w:r>
        <w:rPr>
          <w:rFonts w:ascii="宋体" w:hAnsi="宋体" w:cs="宋体"/>
          <w:color w:val="auto"/>
          <w:highlight w:val="none"/>
        </w:rPr>
        <w:t>31.1</w:t>
      </w:r>
      <w:r>
        <w:rPr>
          <w:rFonts w:hint="eastAsia" w:ascii="宋体" w:hAnsi="宋体" w:cs="宋体"/>
          <w:color w:val="auto"/>
          <w:highlight w:val="none"/>
        </w:rPr>
        <w:t>供应商对政府采购活动事项有疑问的，可以向采购人、采购代理机构提出询问，采购人或者采购代理机构应当在</w:t>
      </w:r>
      <w:r>
        <w:rPr>
          <w:rFonts w:ascii="宋体" w:hAnsi="宋体" w:cs="宋体"/>
          <w:color w:val="auto"/>
          <w:highlight w:val="none"/>
        </w:rPr>
        <w:t>3</w:t>
      </w:r>
      <w:r>
        <w:rPr>
          <w:rFonts w:hint="eastAsia" w:ascii="宋体" w:hAnsi="宋体" w:cs="宋体"/>
          <w:color w:val="auto"/>
          <w:highlight w:val="none"/>
        </w:rPr>
        <w:t>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12A6A11C">
      <w:pPr>
        <w:spacing w:line="360" w:lineRule="auto"/>
        <w:ind w:firstLine="420" w:firstLineChars="200"/>
        <w:rPr>
          <w:rFonts w:ascii="宋体" w:cs="宋体"/>
          <w:color w:val="auto"/>
          <w:highlight w:val="none"/>
        </w:rPr>
      </w:pPr>
      <w:r>
        <w:rPr>
          <w:rFonts w:ascii="宋体" w:hAnsi="宋体" w:cs="宋体"/>
          <w:color w:val="auto"/>
          <w:highlight w:val="none"/>
        </w:rPr>
        <w:t>31.2</w:t>
      </w:r>
      <w:r>
        <w:rPr>
          <w:rFonts w:hint="eastAsia" w:ascii="宋体" w:hAnsi="宋体" w:cs="宋体"/>
          <w:color w:val="auto"/>
          <w:highlight w:val="none"/>
        </w:rPr>
        <w:t>供应商认为磋商文件、采购过程或者成交结果使自己的合法权益受到损害的，应当在知道或者应知其权益受到损害之日起</w:t>
      </w:r>
      <w:r>
        <w:rPr>
          <w:rFonts w:ascii="宋体" w:hAnsi="宋体" w:cs="宋体"/>
          <w:color w:val="auto"/>
          <w:highlight w:val="none"/>
        </w:rPr>
        <w:t>7</w:t>
      </w:r>
      <w:r>
        <w:rPr>
          <w:rFonts w:hint="eastAsia" w:ascii="宋体" w:hAnsi="宋体" w:cs="宋体"/>
          <w:color w:val="auto"/>
          <w:highlight w:val="none"/>
        </w:rPr>
        <w:t>个工作日内，以纸质书面形式向采购人、采购代理机构提出质疑，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D5F8C08">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）对可以质疑的磋商文件提出质疑的，为收到磋商文件之日或者竞争性磋商公告期限届满之日；</w:t>
      </w:r>
    </w:p>
    <w:p w14:paraId="0E7E7EF4">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）对采购过程提出质疑的，为各采购程序环节结束之日；</w:t>
      </w:r>
    </w:p>
    <w:p w14:paraId="44C24405">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）对成交结果提出质疑的，为成交结果公告期限届满之日。</w:t>
      </w:r>
    </w:p>
    <w:p w14:paraId="26BFE57D">
      <w:pPr>
        <w:spacing w:line="360" w:lineRule="auto"/>
        <w:ind w:firstLine="420" w:firstLineChars="200"/>
        <w:rPr>
          <w:rFonts w:ascii="宋体" w:cs="宋体"/>
          <w:color w:val="auto"/>
          <w:highlight w:val="none"/>
        </w:rPr>
      </w:pPr>
      <w:r>
        <w:rPr>
          <w:rFonts w:ascii="宋体" w:hAnsi="宋体" w:cs="宋体"/>
          <w:color w:val="auto"/>
          <w:highlight w:val="none"/>
        </w:rPr>
        <w:t>31.3</w:t>
      </w:r>
      <w:r>
        <w:rPr>
          <w:rFonts w:hint="eastAsia" w:ascii="宋体" w:hAnsi="宋体" w:cs="宋体"/>
          <w:color w:val="auto"/>
          <w:highlight w:val="none"/>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71033BD2">
      <w:pPr>
        <w:spacing w:line="360" w:lineRule="auto"/>
        <w:ind w:firstLine="420" w:firstLineChars="200"/>
        <w:rPr>
          <w:rFonts w:ascii="宋体" w:cs="宋体"/>
          <w:color w:val="auto"/>
          <w:highlight w:val="none"/>
        </w:rPr>
      </w:pPr>
      <w:r>
        <w:rPr>
          <w:rFonts w:ascii="宋体" w:hAnsi="宋体" w:cs="宋体"/>
          <w:color w:val="auto"/>
          <w:highlight w:val="none"/>
        </w:rPr>
        <w:t xml:space="preserve">31.4 </w:t>
      </w:r>
      <w:r>
        <w:rPr>
          <w:rFonts w:hint="eastAsia" w:ascii="宋体" w:hAnsi="宋体" w:cs="宋体"/>
          <w:color w:val="auto"/>
          <w:highlight w:val="none"/>
        </w:rPr>
        <w:t>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B14B6F1">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）供应商的姓名或者名称、地址、邮编、联系人及联系电话；</w:t>
      </w:r>
    </w:p>
    <w:p w14:paraId="14FF930F">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）质疑项目的名称、编号；</w:t>
      </w:r>
    </w:p>
    <w:p w14:paraId="72A48E6B">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）具体、明确的质疑事项和与质疑事项相关的请求；</w:t>
      </w:r>
    </w:p>
    <w:p w14:paraId="3AAAE367">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）事实依据；</w:t>
      </w:r>
    </w:p>
    <w:p w14:paraId="1F7FAC08">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）必要的法律依据；</w:t>
      </w:r>
    </w:p>
    <w:p w14:paraId="74BBB783">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）提出质疑的日期。</w:t>
      </w:r>
    </w:p>
    <w:p w14:paraId="5B2712A1">
      <w:pPr>
        <w:spacing w:line="360" w:lineRule="auto"/>
        <w:ind w:firstLine="420" w:firstLineChars="200"/>
        <w:rPr>
          <w:rFonts w:asci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574308">
      <w:pPr>
        <w:spacing w:line="360" w:lineRule="auto"/>
        <w:ind w:firstLine="420" w:firstLineChars="200"/>
        <w:rPr>
          <w:rFonts w:ascii="宋体" w:cs="宋体"/>
          <w:color w:val="auto"/>
          <w:highlight w:val="none"/>
        </w:rPr>
      </w:pPr>
      <w:r>
        <w:rPr>
          <w:rFonts w:ascii="宋体" w:hAnsi="宋体" w:cs="宋体"/>
          <w:color w:val="auto"/>
          <w:highlight w:val="none"/>
        </w:rPr>
        <w:t>31.5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5B81F0A">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）对采购文件提出的质疑，依法通过澄清或者修改可以继续开展采购活动的，澄清或者修改采购文件后继续开展采购活动；否则应当修改采购文件后重新开展采购活动。</w:t>
      </w:r>
    </w:p>
    <w:p w14:paraId="235DA1CD">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）对采购过程或者成交结果提出的质疑，合格供应商符合法定数量时，可以从合格的成交候选人中另行确定成交供应商的，应当依法另行确定成交供应商；否则应当重新开展采购活动。</w:t>
      </w:r>
    </w:p>
    <w:p w14:paraId="7CC78AAD">
      <w:pPr>
        <w:spacing w:line="360" w:lineRule="auto"/>
        <w:ind w:firstLine="420" w:firstLineChars="200"/>
        <w:rPr>
          <w:rFonts w:asci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26F3A25">
      <w:pPr>
        <w:spacing w:line="360" w:lineRule="auto"/>
        <w:ind w:firstLine="420" w:firstLineChars="200"/>
        <w:rPr>
          <w:rFonts w:ascii="宋体" w:cs="宋体"/>
          <w:color w:val="auto"/>
          <w:szCs w:val="21"/>
          <w:highlight w:val="none"/>
        </w:rPr>
      </w:pPr>
      <w:r>
        <w:rPr>
          <w:rFonts w:ascii="宋体" w:hAnsi="宋体" w:cs="宋体"/>
          <w:color w:val="auto"/>
          <w:highlight w:val="none"/>
        </w:rPr>
        <w:t>31.6</w:t>
      </w:r>
      <w:r>
        <w:rPr>
          <w:rFonts w:hint="eastAsia" w:ascii="宋体" w:hAnsi="宋体" w:cs="宋体"/>
          <w:color w:val="auto"/>
          <w:highlight w:val="none"/>
        </w:rPr>
        <w:t>质疑供应商对采购人、采购代理机构的答复不满意，或者采购人、采购代理机构未在规定时间内作出答复的，可以在答复期满后</w:t>
      </w:r>
      <w:r>
        <w:rPr>
          <w:rFonts w:ascii="宋体" w:hAnsi="宋体" w:cs="宋体"/>
          <w:color w:val="auto"/>
          <w:highlight w:val="none"/>
        </w:rPr>
        <w:t>15</w:t>
      </w:r>
      <w:r>
        <w:rPr>
          <w:rFonts w:hint="eastAsia" w:ascii="宋体" w:hAnsi="宋体" w:cs="宋体"/>
          <w:color w:val="auto"/>
          <w:highlight w:val="none"/>
        </w:rPr>
        <w:t>个工作日内向《政府采购质疑和投诉办法》（财政部令第</w:t>
      </w:r>
      <w:r>
        <w:rPr>
          <w:rFonts w:ascii="宋体" w:hAnsi="宋体" w:cs="宋体"/>
          <w:color w:val="auto"/>
          <w:highlight w:val="none"/>
        </w:rPr>
        <w:t>94</w:t>
      </w:r>
      <w:r>
        <w:rPr>
          <w:rFonts w:hint="eastAsia" w:ascii="宋体" w:hAnsi="宋体" w:cs="宋体"/>
          <w:color w:val="auto"/>
          <w:highlight w:val="none"/>
        </w:rPr>
        <w:t>号）第六条规定的财政部门提起投诉（投诉书格式后附）。</w:t>
      </w:r>
    </w:p>
    <w:p w14:paraId="50132E60">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32.</w:t>
      </w:r>
      <w:r>
        <w:rPr>
          <w:rFonts w:hint="eastAsia" w:ascii="宋体" w:hAnsi="宋体" w:cs="宋体"/>
          <w:b/>
          <w:bCs/>
          <w:color w:val="auto"/>
          <w:sz w:val="24"/>
          <w:highlight w:val="none"/>
        </w:rPr>
        <w:t>其他内容</w:t>
      </w:r>
    </w:p>
    <w:p w14:paraId="00EAFFCB">
      <w:pPr>
        <w:tabs>
          <w:tab w:val="left" w:pos="2835"/>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32.1</w:t>
      </w:r>
      <w:r>
        <w:rPr>
          <w:rFonts w:hint="eastAsia" w:ascii="宋体" w:hAnsi="宋体" w:cs="宋体"/>
          <w:color w:val="auto"/>
          <w:szCs w:val="21"/>
          <w:highlight w:val="none"/>
        </w:rPr>
        <w:t>代理服务费：代理服务收取标准及缴费账户详见“供应商须知前附表”。</w:t>
      </w:r>
    </w:p>
    <w:p w14:paraId="6150B7C1">
      <w:pPr>
        <w:tabs>
          <w:tab w:val="left" w:pos="2835"/>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3F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FAB67BF">
            <w:pPr>
              <w:spacing w:line="360" w:lineRule="auto"/>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服务类型</w:t>
            </w:r>
          </w:p>
          <w:p w14:paraId="6DDD0DDF">
            <w:pPr>
              <w:spacing w:line="360" w:lineRule="auto"/>
              <w:rPr>
                <w:rFonts w:asci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1DF26BC6">
            <w:pPr>
              <w:spacing w:line="360" w:lineRule="auto"/>
              <w:ind w:firstLine="105" w:firstLineChars="50"/>
              <w:jc w:val="center"/>
              <w:rPr>
                <w:rFonts w:asci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3CB57ECC">
            <w:pPr>
              <w:spacing w:line="360" w:lineRule="auto"/>
              <w:jc w:val="center"/>
              <w:rPr>
                <w:rFonts w:asci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690B7FB9">
            <w:pPr>
              <w:spacing w:line="360" w:lineRule="auto"/>
              <w:jc w:val="center"/>
              <w:rPr>
                <w:rFonts w:ascii="宋体" w:cs="宋体"/>
                <w:color w:val="auto"/>
                <w:szCs w:val="21"/>
                <w:highlight w:val="none"/>
              </w:rPr>
            </w:pPr>
            <w:r>
              <w:rPr>
                <w:rFonts w:hint="eastAsia" w:ascii="宋体" w:hAnsi="宋体" w:cs="宋体"/>
                <w:color w:val="auto"/>
                <w:szCs w:val="21"/>
                <w:highlight w:val="none"/>
              </w:rPr>
              <w:t>工程类</w:t>
            </w:r>
          </w:p>
        </w:tc>
      </w:tr>
      <w:tr w14:paraId="0F3E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B1BCDB">
            <w:pPr>
              <w:spacing w:line="360" w:lineRule="auto"/>
              <w:rPr>
                <w:rFonts w:asci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万元以下</w:t>
            </w:r>
          </w:p>
        </w:tc>
        <w:tc>
          <w:tcPr>
            <w:tcW w:w="1659" w:type="dxa"/>
          </w:tcPr>
          <w:p w14:paraId="2D5EF028">
            <w:pPr>
              <w:spacing w:line="360" w:lineRule="auto"/>
              <w:rPr>
                <w:rFonts w:ascii="宋体" w:cs="宋体"/>
                <w:color w:val="auto"/>
                <w:szCs w:val="21"/>
                <w:highlight w:val="none"/>
              </w:rPr>
            </w:pPr>
            <w:r>
              <w:rPr>
                <w:rFonts w:ascii="宋体" w:hAnsi="宋体" w:cs="宋体"/>
                <w:color w:val="auto"/>
                <w:kern w:val="0"/>
                <w:szCs w:val="21"/>
                <w:highlight w:val="none"/>
              </w:rPr>
              <w:t xml:space="preserve">  1.5%                </w:t>
            </w:r>
          </w:p>
        </w:tc>
        <w:tc>
          <w:tcPr>
            <w:tcW w:w="1532" w:type="dxa"/>
          </w:tcPr>
          <w:p w14:paraId="5274787C">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1.5%</w:t>
            </w:r>
          </w:p>
        </w:tc>
        <w:tc>
          <w:tcPr>
            <w:tcW w:w="1546" w:type="dxa"/>
          </w:tcPr>
          <w:p w14:paraId="1B83555C">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1.0% </w:t>
            </w:r>
          </w:p>
        </w:tc>
      </w:tr>
      <w:tr w14:paraId="6D94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1C1B691">
            <w:pPr>
              <w:spacing w:line="360" w:lineRule="auto"/>
              <w:rPr>
                <w:rFonts w:asci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w:t>
            </w:r>
            <w:r>
              <w:rPr>
                <w:rFonts w:hint="eastAsia" w:ascii="宋体" w:hAnsi="宋体" w:cs="宋体"/>
                <w:color w:val="auto"/>
                <w:szCs w:val="21"/>
                <w:highlight w:val="none"/>
              </w:rPr>
              <w:t>万元</w:t>
            </w:r>
          </w:p>
        </w:tc>
        <w:tc>
          <w:tcPr>
            <w:tcW w:w="1659" w:type="dxa"/>
          </w:tcPr>
          <w:p w14:paraId="0C0AFDF3">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1.1%                 </w:t>
            </w:r>
          </w:p>
        </w:tc>
        <w:tc>
          <w:tcPr>
            <w:tcW w:w="1532" w:type="dxa"/>
          </w:tcPr>
          <w:p w14:paraId="45346D3E">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0.8%</w:t>
            </w:r>
          </w:p>
        </w:tc>
        <w:tc>
          <w:tcPr>
            <w:tcW w:w="1546" w:type="dxa"/>
          </w:tcPr>
          <w:p w14:paraId="2F261595">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0.7% </w:t>
            </w:r>
          </w:p>
        </w:tc>
      </w:tr>
      <w:tr w14:paraId="7263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22FC7B">
            <w:pPr>
              <w:spacing w:line="360" w:lineRule="auto"/>
              <w:rPr>
                <w:rFonts w:asci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w:t>
            </w:r>
            <w:r>
              <w:rPr>
                <w:rFonts w:hint="eastAsia" w:ascii="宋体" w:hAnsi="宋体" w:cs="宋体"/>
                <w:color w:val="auto"/>
                <w:szCs w:val="21"/>
                <w:highlight w:val="none"/>
              </w:rPr>
              <w:t>万元</w:t>
            </w:r>
          </w:p>
        </w:tc>
        <w:tc>
          <w:tcPr>
            <w:tcW w:w="1659" w:type="dxa"/>
          </w:tcPr>
          <w:p w14:paraId="369C9F83">
            <w:pPr>
              <w:spacing w:line="360" w:lineRule="auto"/>
              <w:rPr>
                <w:rFonts w:ascii="宋体" w:cs="宋体"/>
                <w:color w:val="auto"/>
                <w:szCs w:val="21"/>
                <w:highlight w:val="none"/>
              </w:rPr>
            </w:pPr>
            <w:r>
              <w:rPr>
                <w:rFonts w:ascii="宋体" w:hAnsi="宋体" w:cs="宋体"/>
                <w:color w:val="auto"/>
                <w:kern w:val="0"/>
                <w:szCs w:val="21"/>
                <w:highlight w:val="none"/>
              </w:rPr>
              <w:t xml:space="preserve">  0.8%                </w:t>
            </w:r>
          </w:p>
        </w:tc>
        <w:tc>
          <w:tcPr>
            <w:tcW w:w="1532" w:type="dxa"/>
          </w:tcPr>
          <w:p w14:paraId="5B5C8D1A">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0.45%</w:t>
            </w:r>
          </w:p>
        </w:tc>
        <w:tc>
          <w:tcPr>
            <w:tcW w:w="1546" w:type="dxa"/>
          </w:tcPr>
          <w:p w14:paraId="4326D47F">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0.55%</w:t>
            </w:r>
          </w:p>
        </w:tc>
      </w:tr>
      <w:tr w14:paraId="1A59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12DDC6">
            <w:pPr>
              <w:spacing w:line="360" w:lineRule="auto"/>
              <w:rPr>
                <w:rFonts w:asci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w:t>
            </w:r>
            <w:r>
              <w:rPr>
                <w:rFonts w:hint="eastAsia" w:ascii="宋体" w:hAnsi="宋体" w:cs="宋体"/>
                <w:color w:val="auto"/>
                <w:szCs w:val="21"/>
                <w:highlight w:val="none"/>
              </w:rPr>
              <w:t>万元</w:t>
            </w:r>
          </w:p>
        </w:tc>
        <w:tc>
          <w:tcPr>
            <w:tcW w:w="1659" w:type="dxa"/>
          </w:tcPr>
          <w:p w14:paraId="6F53EF47">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0.5%                </w:t>
            </w:r>
          </w:p>
        </w:tc>
        <w:tc>
          <w:tcPr>
            <w:tcW w:w="1532" w:type="dxa"/>
          </w:tcPr>
          <w:p w14:paraId="1369062C">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0.25%</w:t>
            </w:r>
          </w:p>
        </w:tc>
        <w:tc>
          <w:tcPr>
            <w:tcW w:w="1546" w:type="dxa"/>
          </w:tcPr>
          <w:p w14:paraId="06930DD8">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0.35% </w:t>
            </w:r>
          </w:p>
        </w:tc>
      </w:tr>
      <w:tr w14:paraId="7A70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FE08D5A">
            <w:pPr>
              <w:spacing w:line="360" w:lineRule="auto"/>
              <w:rPr>
                <w:rFonts w:ascii="宋体" w:cs="宋体"/>
                <w:color w:val="auto"/>
                <w:szCs w:val="21"/>
                <w:highlight w:val="none"/>
              </w:rPr>
            </w:pPr>
            <w:r>
              <w:rPr>
                <w:rFonts w:ascii="宋体" w:hAnsi="宋体" w:cs="宋体"/>
                <w:color w:val="auto"/>
                <w:szCs w:val="21"/>
                <w:highlight w:val="none"/>
              </w:rPr>
              <w:t>5000</w:t>
            </w:r>
            <w:r>
              <w:rPr>
                <w:rFonts w:hint="eastAsia" w:ascii="宋体" w:hAnsi="宋体" w:cs="宋体"/>
                <w:color w:val="auto"/>
                <w:szCs w:val="21"/>
                <w:highlight w:val="none"/>
              </w:rPr>
              <w:t>万元～</w:t>
            </w:r>
            <w:r>
              <w:rPr>
                <w:rFonts w:ascii="宋体" w:hAnsi="宋体" w:cs="宋体"/>
                <w:color w:val="auto"/>
                <w:szCs w:val="21"/>
                <w:highlight w:val="none"/>
              </w:rPr>
              <w:t>1</w:t>
            </w:r>
            <w:r>
              <w:rPr>
                <w:rFonts w:hint="eastAsia" w:ascii="宋体" w:hAnsi="宋体" w:cs="宋体"/>
                <w:color w:val="auto"/>
                <w:szCs w:val="21"/>
                <w:highlight w:val="none"/>
              </w:rPr>
              <w:t>亿元</w:t>
            </w:r>
          </w:p>
        </w:tc>
        <w:tc>
          <w:tcPr>
            <w:tcW w:w="1659" w:type="dxa"/>
          </w:tcPr>
          <w:p w14:paraId="1E10559C">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 xml:space="preserve">0.25%                 </w:t>
            </w:r>
          </w:p>
        </w:tc>
        <w:tc>
          <w:tcPr>
            <w:tcW w:w="1532" w:type="dxa"/>
          </w:tcPr>
          <w:p w14:paraId="4A828568">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0.1%</w:t>
            </w:r>
          </w:p>
        </w:tc>
        <w:tc>
          <w:tcPr>
            <w:tcW w:w="1546" w:type="dxa"/>
          </w:tcPr>
          <w:p w14:paraId="326AAC1B">
            <w:pPr>
              <w:spacing w:line="360" w:lineRule="auto"/>
              <w:ind w:firstLine="210" w:firstLineChars="100"/>
              <w:rPr>
                <w:rFonts w:ascii="宋体" w:cs="宋体"/>
                <w:color w:val="auto"/>
                <w:szCs w:val="21"/>
                <w:highlight w:val="none"/>
              </w:rPr>
            </w:pPr>
            <w:r>
              <w:rPr>
                <w:rFonts w:ascii="宋体" w:hAnsi="宋体" w:cs="宋体"/>
                <w:color w:val="auto"/>
                <w:kern w:val="0"/>
                <w:szCs w:val="21"/>
                <w:highlight w:val="none"/>
              </w:rPr>
              <w:t>0.2%</w:t>
            </w:r>
          </w:p>
        </w:tc>
      </w:tr>
      <w:tr w14:paraId="1026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A58B82">
            <w:pPr>
              <w:spacing w:line="360" w:lineRule="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亿元</w:t>
            </w:r>
          </w:p>
        </w:tc>
        <w:tc>
          <w:tcPr>
            <w:tcW w:w="1659" w:type="dxa"/>
          </w:tcPr>
          <w:p w14:paraId="0F89F141">
            <w:pPr>
              <w:spacing w:line="360" w:lineRule="auto"/>
              <w:ind w:firstLine="210" w:firstLineChars="100"/>
              <w:rPr>
                <w:rFonts w:ascii="宋体" w:cs="宋体"/>
                <w:color w:val="auto"/>
                <w:szCs w:val="21"/>
                <w:highlight w:val="none"/>
              </w:rPr>
            </w:pPr>
            <w:r>
              <w:rPr>
                <w:rFonts w:ascii="宋体" w:hAnsi="宋体" w:cs="宋体"/>
                <w:color w:val="auto"/>
                <w:szCs w:val="21"/>
                <w:highlight w:val="none"/>
              </w:rPr>
              <w:t>0.05%</w:t>
            </w:r>
          </w:p>
        </w:tc>
        <w:tc>
          <w:tcPr>
            <w:tcW w:w="1532" w:type="dxa"/>
          </w:tcPr>
          <w:p w14:paraId="0F8210BD">
            <w:pPr>
              <w:spacing w:line="360" w:lineRule="auto"/>
              <w:rPr>
                <w:rFonts w:ascii="宋体" w:cs="宋体"/>
                <w:color w:val="auto"/>
                <w:szCs w:val="21"/>
                <w:highlight w:val="none"/>
              </w:rPr>
            </w:pPr>
            <w:r>
              <w:rPr>
                <w:rFonts w:ascii="宋体" w:hAnsi="宋体" w:cs="宋体"/>
                <w:color w:val="auto"/>
                <w:szCs w:val="21"/>
                <w:highlight w:val="none"/>
              </w:rPr>
              <w:t xml:space="preserve">  0.05%</w:t>
            </w:r>
          </w:p>
        </w:tc>
        <w:tc>
          <w:tcPr>
            <w:tcW w:w="1546" w:type="dxa"/>
          </w:tcPr>
          <w:p w14:paraId="57216917">
            <w:pPr>
              <w:spacing w:line="360" w:lineRule="auto"/>
              <w:rPr>
                <w:rFonts w:ascii="宋体" w:cs="宋体"/>
                <w:color w:val="auto"/>
                <w:szCs w:val="21"/>
                <w:highlight w:val="none"/>
              </w:rPr>
            </w:pPr>
            <w:r>
              <w:rPr>
                <w:rFonts w:ascii="宋体" w:hAnsi="宋体" w:cs="宋体"/>
                <w:color w:val="auto"/>
                <w:szCs w:val="21"/>
                <w:highlight w:val="none"/>
              </w:rPr>
              <w:t xml:space="preserve">  0.05%</w:t>
            </w:r>
          </w:p>
        </w:tc>
      </w:tr>
      <w:tr w14:paraId="746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1B546F">
            <w:pPr>
              <w:spacing w:line="360" w:lineRule="auto"/>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亿元</w:t>
            </w:r>
          </w:p>
        </w:tc>
        <w:tc>
          <w:tcPr>
            <w:tcW w:w="1659" w:type="dxa"/>
          </w:tcPr>
          <w:p w14:paraId="4D5F117E">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0.035%</w:t>
            </w:r>
          </w:p>
        </w:tc>
        <w:tc>
          <w:tcPr>
            <w:tcW w:w="1532" w:type="dxa"/>
          </w:tcPr>
          <w:p w14:paraId="2C71AD64">
            <w:pPr>
              <w:spacing w:line="360" w:lineRule="auto"/>
              <w:rPr>
                <w:rFonts w:ascii="宋体" w:cs="宋体"/>
                <w:color w:val="auto"/>
                <w:szCs w:val="21"/>
                <w:highlight w:val="none"/>
              </w:rPr>
            </w:pPr>
            <w:r>
              <w:rPr>
                <w:rFonts w:ascii="宋体" w:hAnsi="宋体" w:cs="宋体"/>
                <w:color w:val="auto"/>
                <w:szCs w:val="21"/>
                <w:highlight w:val="none"/>
              </w:rPr>
              <w:t xml:space="preserve">  0.035%</w:t>
            </w:r>
          </w:p>
        </w:tc>
        <w:tc>
          <w:tcPr>
            <w:tcW w:w="1546" w:type="dxa"/>
          </w:tcPr>
          <w:p w14:paraId="40C4A127">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0.035%</w:t>
            </w:r>
          </w:p>
        </w:tc>
      </w:tr>
      <w:tr w14:paraId="50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BA248F7">
            <w:pPr>
              <w:spacing w:line="360" w:lineRule="auto"/>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ascii="宋体" w:hAnsi="宋体" w:cs="宋体"/>
                <w:color w:val="auto"/>
                <w:szCs w:val="21"/>
                <w:highlight w:val="none"/>
              </w:rPr>
              <w:t>50</w:t>
            </w:r>
            <w:r>
              <w:rPr>
                <w:rFonts w:hint="eastAsia" w:ascii="宋体" w:hAnsi="宋体" w:cs="宋体"/>
                <w:color w:val="auto"/>
                <w:szCs w:val="21"/>
                <w:highlight w:val="none"/>
              </w:rPr>
              <w:t>亿元</w:t>
            </w:r>
          </w:p>
        </w:tc>
        <w:tc>
          <w:tcPr>
            <w:tcW w:w="1659" w:type="dxa"/>
          </w:tcPr>
          <w:p w14:paraId="7324198D">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0.008%</w:t>
            </w:r>
          </w:p>
        </w:tc>
        <w:tc>
          <w:tcPr>
            <w:tcW w:w="1532" w:type="dxa"/>
          </w:tcPr>
          <w:p w14:paraId="4D013B43">
            <w:pPr>
              <w:spacing w:line="360" w:lineRule="auto"/>
              <w:ind w:firstLine="210" w:firstLineChars="100"/>
              <w:rPr>
                <w:rFonts w:ascii="宋体" w:cs="宋体"/>
                <w:color w:val="auto"/>
                <w:szCs w:val="21"/>
                <w:highlight w:val="none"/>
              </w:rPr>
            </w:pPr>
            <w:r>
              <w:rPr>
                <w:rFonts w:ascii="宋体" w:hAnsi="宋体" w:cs="宋体"/>
                <w:color w:val="auto"/>
                <w:szCs w:val="21"/>
                <w:highlight w:val="none"/>
              </w:rPr>
              <w:t>0.008%</w:t>
            </w:r>
          </w:p>
        </w:tc>
        <w:tc>
          <w:tcPr>
            <w:tcW w:w="1546" w:type="dxa"/>
          </w:tcPr>
          <w:p w14:paraId="5477D292">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0.008%</w:t>
            </w:r>
          </w:p>
        </w:tc>
      </w:tr>
      <w:tr w14:paraId="5B17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D5A6B07">
            <w:pPr>
              <w:spacing w:line="360" w:lineRule="auto"/>
              <w:rPr>
                <w:rFonts w:ascii="宋体" w:cs="宋体"/>
                <w:color w:val="auto"/>
                <w:szCs w:val="21"/>
                <w:highlight w:val="none"/>
              </w:rPr>
            </w:pPr>
            <w:r>
              <w:rPr>
                <w:rFonts w:ascii="宋体" w:hAnsi="宋体" w:cs="宋体"/>
                <w:color w:val="auto"/>
                <w:szCs w:val="21"/>
                <w:highlight w:val="none"/>
              </w:rPr>
              <w:t>50</w:t>
            </w:r>
            <w:r>
              <w:rPr>
                <w:rFonts w:hint="eastAsia" w:ascii="宋体" w:hAnsi="宋体" w:cs="宋体"/>
                <w:color w:val="auto"/>
                <w:szCs w:val="21"/>
                <w:highlight w:val="none"/>
              </w:rPr>
              <w:t>～</w:t>
            </w:r>
            <w:r>
              <w:rPr>
                <w:rFonts w:ascii="宋体" w:hAnsi="宋体" w:cs="宋体"/>
                <w:color w:val="auto"/>
                <w:szCs w:val="21"/>
                <w:highlight w:val="none"/>
              </w:rPr>
              <w:t>100</w:t>
            </w:r>
            <w:r>
              <w:rPr>
                <w:rFonts w:hint="eastAsia" w:ascii="宋体" w:hAnsi="宋体" w:cs="宋体"/>
                <w:color w:val="auto"/>
                <w:szCs w:val="21"/>
                <w:highlight w:val="none"/>
              </w:rPr>
              <w:t>亿元</w:t>
            </w:r>
          </w:p>
        </w:tc>
        <w:tc>
          <w:tcPr>
            <w:tcW w:w="1659" w:type="dxa"/>
          </w:tcPr>
          <w:p w14:paraId="65E2B197">
            <w:pPr>
              <w:spacing w:line="360" w:lineRule="auto"/>
              <w:rPr>
                <w:rFonts w:ascii="宋体" w:cs="宋体"/>
                <w:color w:val="auto"/>
                <w:szCs w:val="21"/>
                <w:highlight w:val="none"/>
              </w:rPr>
            </w:pPr>
            <w:r>
              <w:rPr>
                <w:rFonts w:ascii="宋体" w:hAnsi="宋体" w:cs="宋体"/>
                <w:color w:val="auto"/>
                <w:szCs w:val="21"/>
                <w:highlight w:val="none"/>
              </w:rPr>
              <w:t xml:space="preserve"> 0.006%</w:t>
            </w:r>
          </w:p>
        </w:tc>
        <w:tc>
          <w:tcPr>
            <w:tcW w:w="1532" w:type="dxa"/>
          </w:tcPr>
          <w:p w14:paraId="6E5FC437">
            <w:pPr>
              <w:spacing w:line="360" w:lineRule="auto"/>
              <w:ind w:firstLine="210" w:firstLineChars="100"/>
              <w:rPr>
                <w:rFonts w:ascii="宋体" w:cs="宋体"/>
                <w:color w:val="auto"/>
                <w:szCs w:val="21"/>
                <w:highlight w:val="none"/>
              </w:rPr>
            </w:pPr>
            <w:r>
              <w:rPr>
                <w:rFonts w:ascii="宋体" w:hAnsi="宋体" w:cs="宋体"/>
                <w:color w:val="auto"/>
                <w:szCs w:val="21"/>
                <w:highlight w:val="none"/>
              </w:rPr>
              <w:t>0.006%</w:t>
            </w:r>
          </w:p>
        </w:tc>
        <w:tc>
          <w:tcPr>
            <w:tcW w:w="1546" w:type="dxa"/>
          </w:tcPr>
          <w:p w14:paraId="4DCA7D45">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0.006%</w:t>
            </w:r>
          </w:p>
        </w:tc>
      </w:tr>
      <w:tr w14:paraId="4B64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C0F1EFA">
            <w:pPr>
              <w:spacing w:line="360" w:lineRule="auto"/>
              <w:rPr>
                <w:rFonts w:asci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亿以上</w:t>
            </w:r>
          </w:p>
        </w:tc>
        <w:tc>
          <w:tcPr>
            <w:tcW w:w="1659" w:type="dxa"/>
          </w:tcPr>
          <w:p w14:paraId="39B0CA39">
            <w:pPr>
              <w:spacing w:line="360" w:lineRule="auto"/>
              <w:rPr>
                <w:rFonts w:ascii="宋体" w:cs="宋体"/>
                <w:color w:val="auto"/>
                <w:szCs w:val="21"/>
                <w:highlight w:val="none"/>
              </w:rPr>
            </w:pPr>
            <w:r>
              <w:rPr>
                <w:rFonts w:ascii="宋体" w:hAnsi="宋体" w:cs="宋体"/>
                <w:color w:val="auto"/>
                <w:szCs w:val="21"/>
                <w:highlight w:val="none"/>
              </w:rPr>
              <w:t xml:space="preserve"> 0.004%</w:t>
            </w:r>
          </w:p>
        </w:tc>
        <w:tc>
          <w:tcPr>
            <w:tcW w:w="1532" w:type="dxa"/>
          </w:tcPr>
          <w:p w14:paraId="05BE7A60">
            <w:pPr>
              <w:spacing w:line="360" w:lineRule="auto"/>
              <w:ind w:firstLine="210" w:firstLineChars="100"/>
              <w:rPr>
                <w:rFonts w:ascii="宋体" w:cs="宋体"/>
                <w:color w:val="auto"/>
                <w:szCs w:val="21"/>
                <w:highlight w:val="none"/>
              </w:rPr>
            </w:pPr>
            <w:r>
              <w:rPr>
                <w:rFonts w:ascii="宋体" w:hAnsi="宋体" w:cs="宋体"/>
                <w:color w:val="auto"/>
                <w:szCs w:val="21"/>
                <w:highlight w:val="none"/>
              </w:rPr>
              <w:t>0.004%</w:t>
            </w:r>
          </w:p>
        </w:tc>
        <w:tc>
          <w:tcPr>
            <w:tcW w:w="1546" w:type="dxa"/>
          </w:tcPr>
          <w:p w14:paraId="506796F9">
            <w:pPr>
              <w:spacing w:line="360" w:lineRule="auto"/>
              <w:ind w:firstLine="105" w:firstLineChars="50"/>
              <w:rPr>
                <w:rFonts w:ascii="宋体" w:cs="宋体"/>
                <w:color w:val="auto"/>
                <w:szCs w:val="21"/>
                <w:highlight w:val="none"/>
              </w:rPr>
            </w:pPr>
            <w:r>
              <w:rPr>
                <w:rFonts w:ascii="宋体" w:hAnsi="宋体" w:cs="宋体"/>
                <w:color w:val="auto"/>
                <w:szCs w:val="21"/>
                <w:highlight w:val="none"/>
              </w:rPr>
              <w:t>0.004%</w:t>
            </w:r>
          </w:p>
        </w:tc>
      </w:tr>
    </w:tbl>
    <w:p w14:paraId="71D09966">
      <w:pPr>
        <w:spacing w:line="360" w:lineRule="auto"/>
        <w:ind w:firstLine="420" w:firstLineChars="200"/>
        <w:rPr>
          <w:rFonts w:ascii="宋体" w:cs="宋体"/>
          <w:color w:val="auto"/>
          <w:highlight w:val="none"/>
        </w:rPr>
      </w:pPr>
    </w:p>
    <w:p w14:paraId="4957ED08">
      <w:pPr>
        <w:spacing w:line="360" w:lineRule="auto"/>
        <w:ind w:firstLine="420" w:firstLineChars="200"/>
        <w:rPr>
          <w:rFonts w:ascii="宋体" w:cs="宋体"/>
          <w:color w:val="auto"/>
          <w:highlight w:val="none"/>
        </w:rPr>
      </w:pPr>
    </w:p>
    <w:p w14:paraId="26AEDE81">
      <w:pPr>
        <w:spacing w:line="360" w:lineRule="auto"/>
        <w:ind w:firstLine="420" w:firstLineChars="200"/>
        <w:rPr>
          <w:rFonts w:ascii="宋体" w:cs="宋体"/>
          <w:color w:val="auto"/>
          <w:highlight w:val="none"/>
        </w:rPr>
      </w:pPr>
      <w:r>
        <w:rPr>
          <w:rFonts w:hint="eastAsia" w:ascii="宋体" w:hAnsi="宋体" w:cs="宋体"/>
          <w:color w:val="auto"/>
          <w:highlight w:val="none"/>
        </w:rPr>
        <w:t>注：</w:t>
      </w:r>
    </w:p>
    <w:p w14:paraId="1C66F881">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）按本表</w:t>
      </w:r>
      <w:r>
        <w:rPr>
          <w:rFonts w:hint="eastAsia" w:ascii="宋体" w:hAnsi="宋体" w:cs="宋体"/>
          <w:color w:val="auto"/>
          <w:szCs w:val="21"/>
          <w:highlight w:val="none"/>
        </w:rPr>
        <w:t>金额</w:t>
      </w:r>
      <w:r>
        <w:rPr>
          <w:rFonts w:hint="eastAsia" w:ascii="宋体" w:hAnsi="宋体" w:cs="宋体"/>
          <w:color w:val="auto"/>
          <w:highlight w:val="none"/>
        </w:rPr>
        <w:t>计算的收费为采购代理的收费基准价格；</w:t>
      </w:r>
    </w:p>
    <w:p w14:paraId="1E1ADEC2">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）采购代理收费按差额定率累进法计算。</w:t>
      </w:r>
    </w:p>
    <w:p w14:paraId="39438F21">
      <w:pPr>
        <w:spacing w:line="360" w:lineRule="auto"/>
        <w:ind w:firstLine="420" w:firstLineChars="200"/>
        <w:rPr>
          <w:rFonts w:ascii="宋体" w:cs="宋体"/>
          <w:color w:val="auto"/>
          <w:highlight w:val="none"/>
        </w:rPr>
      </w:pPr>
      <w:r>
        <w:rPr>
          <w:rFonts w:hint="eastAsia" w:ascii="宋体" w:hAnsi="宋体" w:cs="宋体"/>
          <w:color w:val="auto"/>
          <w:highlight w:val="none"/>
        </w:rPr>
        <w:t>例如：某服务采购代理业务成交金额或者暂定价为</w:t>
      </w:r>
      <w:r>
        <w:rPr>
          <w:rFonts w:ascii="宋体" w:hAnsi="宋体" w:cs="宋体"/>
          <w:color w:val="auto"/>
          <w:highlight w:val="none"/>
        </w:rPr>
        <w:t>150</w:t>
      </w:r>
      <w:r>
        <w:rPr>
          <w:rFonts w:hint="eastAsia" w:ascii="宋体" w:hAnsi="宋体" w:cs="宋体"/>
          <w:color w:val="auto"/>
          <w:highlight w:val="none"/>
        </w:rPr>
        <w:t>万元，计算采购代理收费额如下：</w:t>
      </w:r>
    </w:p>
    <w:p w14:paraId="2D54A371">
      <w:pPr>
        <w:spacing w:line="360" w:lineRule="auto"/>
        <w:ind w:firstLine="420" w:firstLineChars="200"/>
        <w:rPr>
          <w:rFonts w:ascii="宋体" w:cs="宋体"/>
          <w:color w:val="auto"/>
          <w:highlight w:val="none"/>
        </w:rPr>
      </w:pPr>
      <w:r>
        <w:rPr>
          <w:rFonts w:ascii="宋体" w:hAnsi="宋体" w:cs="宋体"/>
          <w:color w:val="auto"/>
          <w:highlight w:val="none"/>
        </w:rPr>
        <w:t xml:space="preserve">100 </w:t>
      </w:r>
      <w:r>
        <w:rPr>
          <w:rFonts w:hint="eastAsia" w:ascii="宋体" w:hAnsi="宋体" w:cs="宋体"/>
          <w:color w:val="auto"/>
          <w:highlight w:val="none"/>
        </w:rPr>
        <w:t>万元</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l.5 %</w:t>
      </w:r>
      <w:r>
        <w:rPr>
          <w:rFonts w:hint="eastAsia" w:ascii="宋体" w:hAnsi="宋体" w:cs="宋体"/>
          <w:color w:val="auto"/>
          <w:highlight w:val="none"/>
        </w:rPr>
        <w:t>＝</w:t>
      </w:r>
      <w:r>
        <w:rPr>
          <w:rFonts w:ascii="宋体" w:hAnsi="宋体" w:cs="宋体"/>
          <w:color w:val="auto"/>
          <w:highlight w:val="none"/>
        </w:rPr>
        <w:t xml:space="preserve"> 1.5 </w:t>
      </w:r>
      <w:r>
        <w:rPr>
          <w:rFonts w:hint="eastAsia" w:ascii="宋体" w:hAnsi="宋体" w:cs="宋体"/>
          <w:color w:val="auto"/>
          <w:highlight w:val="none"/>
        </w:rPr>
        <w:t>万元</w:t>
      </w:r>
    </w:p>
    <w:p w14:paraId="24FD3470">
      <w:pPr>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150 </w:t>
      </w:r>
      <w:r>
        <w:rPr>
          <w:rFonts w:hint="eastAsia" w:ascii="宋体" w:hAnsi="宋体" w:cs="宋体"/>
          <w:color w:val="auto"/>
          <w:highlight w:val="none"/>
        </w:rPr>
        <w:t>－</w:t>
      </w:r>
      <w:r>
        <w:rPr>
          <w:rFonts w:ascii="宋体" w:hAnsi="宋体" w:cs="宋体"/>
          <w:color w:val="auto"/>
          <w:highlight w:val="none"/>
        </w:rPr>
        <w:t xml:space="preserve"> 100 </w:t>
      </w:r>
      <w:r>
        <w:rPr>
          <w:rFonts w:hint="eastAsia" w:ascii="宋体" w:hAnsi="宋体" w:cs="宋体"/>
          <w:color w:val="auto"/>
          <w:highlight w:val="none"/>
        </w:rPr>
        <w:t>）万元</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0.8%</w:t>
      </w:r>
      <w:r>
        <w:rPr>
          <w:rFonts w:hint="eastAsia" w:ascii="宋体" w:hAnsi="宋体" w:cs="宋体"/>
          <w:color w:val="auto"/>
          <w:highlight w:val="none"/>
        </w:rPr>
        <w:t>＝</w:t>
      </w:r>
      <w:r>
        <w:rPr>
          <w:rFonts w:ascii="宋体" w:hAnsi="宋体" w:cs="宋体"/>
          <w:color w:val="auto"/>
          <w:highlight w:val="none"/>
        </w:rPr>
        <w:t xml:space="preserve"> 0.4</w:t>
      </w:r>
      <w:r>
        <w:rPr>
          <w:rFonts w:hint="eastAsia" w:ascii="宋体" w:hAnsi="宋体" w:cs="宋体"/>
          <w:color w:val="auto"/>
          <w:highlight w:val="none"/>
        </w:rPr>
        <w:t>万元</w:t>
      </w:r>
    </w:p>
    <w:p w14:paraId="43214838">
      <w:pPr>
        <w:spacing w:line="360" w:lineRule="auto"/>
        <w:ind w:firstLine="420" w:firstLineChars="200"/>
        <w:rPr>
          <w:rFonts w:ascii="宋体" w:cs="宋体"/>
          <w:color w:val="auto"/>
          <w:highlight w:val="none"/>
        </w:rPr>
      </w:pPr>
      <w:r>
        <w:rPr>
          <w:rFonts w:hint="eastAsia" w:ascii="宋体" w:hAnsi="宋体" w:cs="宋体"/>
          <w:color w:val="auto"/>
          <w:highlight w:val="none"/>
        </w:rPr>
        <w:t>合计收费＝</w:t>
      </w:r>
      <w:r>
        <w:rPr>
          <w:rFonts w:ascii="宋体" w:hAnsi="宋体" w:cs="宋体"/>
          <w:color w:val="auto"/>
          <w:highlight w:val="none"/>
        </w:rPr>
        <w:t xml:space="preserve"> 1.5 </w:t>
      </w:r>
      <w:r>
        <w:rPr>
          <w:rFonts w:hint="eastAsia" w:ascii="宋体" w:hAnsi="宋体" w:cs="宋体"/>
          <w:color w:val="auto"/>
          <w:highlight w:val="none"/>
        </w:rPr>
        <w:t>＋</w:t>
      </w:r>
      <w:r>
        <w:rPr>
          <w:rFonts w:ascii="宋体" w:hAnsi="宋体" w:cs="宋体"/>
          <w:color w:val="auto"/>
          <w:highlight w:val="none"/>
        </w:rPr>
        <w:t xml:space="preserve"> 0.4</w:t>
      </w:r>
      <w:r>
        <w:rPr>
          <w:rFonts w:hint="eastAsia" w:ascii="宋体" w:hAnsi="宋体" w:cs="宋体"/>
          <w:color w:val="auto"/>
          <w:highlight w:val="none"/>
        </w:rPr>
        <w:t>＝</w:t>
      </w:r>
      <w:r>
        <w:rPr>
          <w:rFonts w:ascii="宋体" w:hAnsi="宋体" w:cs="宋体"/>
          <w:color w:val="auto"/>
          <w:highlight w:val="none"/>
        </w:rPr>
        <w:t xml:space="preserve"> 1.9 </w:t>
      </w:r>
      <w:r>
        <w:rPr>
          <w:rFonts w:hint="eastAsia" w:ascii="宋体" w:hAnsi="宋体" w:cs="宋体"/>
          <w:color w:val="auto"/>
          <w:highlight w:val="none"/>
        </w:rPr>
        <w:t>万元</w:t>
      </w:r>
    </w:p>
    <w:p w14:paraId="34D7553E">
      <w:pPr>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32.3</w:t>
      </w:r>
      <w:r>
        <w:rPr>
          <w:rFonts w:hint="eastAsia" w:ascii="宋体" w:hAnsi="宋体" w:cs="宋体"/>
          <w:color w:val="auto"/>
          <w:kern w:val="0"/>
          <w:szCs w:val="21"/>
          <w:highlight w:val="none"/>
        </w:rPr>
        <w:t>代理服务费交纳银行帐号信息</w:t>
      </w:r>
    </w:p>
    <w:p w14:paraId="0EEC64A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开户名称：广西国泰招标咨询有限公司南宁第五分公司</w:t>
      </w:r>
    </w:p>
    <w:p w14:paraId="34F968B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开户银行：广西北部湾银行股份有限公司南宁市云景支行</w:t>
      </w:r>
    </w:p>
    <w:p w14:paraId="14BA87FD">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银行账号：</w:t>
      </w:r>
      <w:r>
        <w:rPr>
          <w:rFonts w:ascii="宋体" w:hAnsi="宋体" w:cs="宋体"/>
          <w:color w:val="auto"/>
          <w:kern w:val="0"/>
          <w:szCs w:val="21"/>
          <w:highlight w:val="none"/>
        </w:rPr>
        <w:t>805022302700001</w:t>
      </w:r>
    </w:p>
    <w:p w14:paraId="2AC19548">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33.</w:t>
      </w:r>
      <w:r>
        <w:rPr>
          <w:rFonts w:hint="eastAsia" w:ascii="宋体" w:hAnsi="宋体" w:cs="宋体"/>
          <w:b/>
          <w:bCs/>
          <w:color w:val="auto"/>
          <w:sz w:val="24"/>
          <w:highlight w:val="none"/>
        </w:rPr>
        <w:t>需要补充的其他内容</w:t>
      </w:r>
    </w:p>
    <w:p w14:paraId="430CD51D">
      <w:pPr>
        <w:pStyle w:val="19"/>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33.1</w:t>
      </w:r>
      <w:r>
        <w:rPr>
          <w:rFonts w:hint="eastAsia" w:hAnsi="宋体" w:cs="宋体"/>
          <w:color w:val="auto"/>
          <w:kern w:val="2"/>
          <w:sz w:val="21"/>
          <w:highlight w:val="none"/>
        </w:rPr>
        <w:t>本磋商文件解释规则详见“供应商须知前附表”。</w:t>
      </w:r>
    </w:p>
    <w:p w14:paraId="6FD31DDE">
      <w:pPr>
        <w:pStyle w:val="19"/>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 xml:space="preserve">33.2 </w:t>
      </w:r>
      <w:r>
        <w:rPr>
          <w:rFonts w:hint="eastAsia" w:hAnsi="宋体" w:cs="宋体"/>
          <w:color w:val="auto"/>
          <w:kern w:val="2"/>
          <w:sz w:val="21"/>
          <w:highlight w:val="none"/>
        </w:rPr>
        <w:t>其他事项详见“供应商须知前附表”。</w:t>
      </w:r>
    </w:p>
    <w:p w14:paraId="596C5F25">
      <w:pPr>
        <w:pStyle w:val="19"/>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D2837C1">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1</w:t>
      </w:r>
      <w:r>
        <w:rPr>
          <w:rFonts w:hint="eastAsia" w:hAnsi="宋体" w:cs="宋体"/>
          <w:color w:val="auto"/>
          <w:sz w:val="21"/>
          <w:highlight w:val="none"/>
        </w:rPr>
        <w:t>）在货物采购项目中，货物由中小企业制造，即货物由中小企业生产且使用该中小企业商号或者注册商标，不对其中涉及的工程承建商和服务的承接商作出要求；</w:t>
      </w:r>
    </w:p>
    <w:p w14:paraId="0040BDD0">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）在工程采购项目中，工程由中小企业承建，即工程施工单位为中小企业，不对其中涉及的货物的制造商和服务的承接商作出要求；</w:t>
      </w:r>
    </w:p>
    <w:p w14:paraId="2CBBCB9B">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w:t>
      </w:r>
      <w:r>
        <w:rPr>
          <w:rFonts w:hAnsi="宋体" w:cs="宋体"/>
          <w:color w:val="auto"/>
          <w:sz w:val="21"/>
          <w:highlight w:val="none"/>
        </w:rPr>
        <w:t>3</w:t>
      </w:r>
      <w:r>
        <w:rPr>
          <w:rFonts w:hint="eastAsia" w:hAnsi="宋体" w:cs="宋体"/>
          <w:color w:val="auto"/>
          <w:sz w:val="21"/>
          <w:highlight w:val="none"/>
        </w:rPr>
        <w:t>）在服务采购项目中，服务由中小企业承接，即提供服务的人员为中小企业依照《中华人民共和国劳动合同法》订立劳动合同的从业人员，不对其中涉及的货物的制造商和工程承建商作出要求。</w:t>
      </w:r>
    </w:p>
    <w:p w14:paraId="67116FDE">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03BEDD6">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5873B6EB">
      <w:pPr>
        <w:pStyle w:val="2"/>
        <w:spacing w:line="360" w:lineRule="auto"/>
        <w:rPr>
          <w:rFonts w:ascii="宋体" w:cs="宋体"/>
          <w:color w:val="auto"/>
          <w:highlight w:val="none"/>
        </w:rPr>
      </w:pPr>
      <w:r>
        <w:rPr>
          <w:rFonts w:ascii="宋体" w:cs="宋体"/>
          <w:color w:val="auto"/>
          <w:highlight w:val="none"/>
        </w:rPr>
        <w:br w:type="page"/>
      </w:r>
      <w:bookmarkStart w:id="36" w:name="_Toc8379"/>
      <w:bookmarkStart w:id="37" w:name="_Toc14902"/>
      <w:r>
        <w:rPr>
          <w:rFonts w:hint="eastAsia" w:ascii="宋体" w:hAnsi="宋体" w:cs="宋体"/>
          <w:color w:val="auto"/>
          <w:highlight w:val="none"/>
        </w:rPr>
        <w:t>第三章</w:t>
      </w:r>
      <w:r>
        <w:rPr>
          <w:rFonts w:ascii="宋体" w:hAnsi="宋体" w:cs="宋体"/>
          <w:color w:val="auto"/>
          <w:highlight w:val="none"/>
        </w:rPr>
        <w:t xml:space="preserve"> </w:t>
      </w:r>
      <w:r>
        <w:rPr>
          <w:rFonts w:hint="eastAsia" w:ascii="宋体" w:hAnsi="宋体" w:cs="宋体"/>
          <w:color w:val="auto"/>
          <w:highlight w:val="none"/>
        </w:rPr>
        <w:t>采购需求</w:t>
      </w:r>
      <w:bookmarkEnd w:id="36"/>
      <w:bookmarkEnd w:id="37"/>
    </w:p>
    <w:p w14:paraId="746D95A9">
      <w:pPr>
        <w:spacing w:line="440" w:lineRule="exact"/>
        <w:jc w:val="center"/>
        <w:rPr>
          <w:rFonts w:ascii="宋体" w:cs="宋体"/>
          <w:b/>
          <w:color w:val="auto"/>
          <w:sz w:val="32"/>
          <w:szCs w:val="32"/>
          <w:highlight w:val="none"/>
        </w:rPr>
      </w:pPr>
    </w:p>
    <w:p w14:paraId="33B6C969">
      <w:pPr>
        <w:spacing w:line="360" w:lineRule="auto"/>
        <w:jc w:val="left"/>
        <w:rPr>
          <w:rFonts w:ascii="宋体" w:cs="宋体"/>
          <w:b/>
          <w:color w:val="auto"/>
          <w:szCs w:val="21"/>
          <w:highlight w:val="none"/>
        </w:rPr>
      </w:pPr>
      <w:r>
        <w:rPr>
          <w:rFonts w:hint="eastAsia" w:ascii="宋体" w:hAnsi="宋体" w:cs="宋体"/>
          <w:b/>
          <w:color w:val="auto"/>
          <w:szCs w:val="21"/>
          <w:highlight w:val="none"/>
        </w:rPr>
        <w:t>说明：</w:t>
      </w:r>
    </w:p>
    <w:p w14:paraId="122CE2FC">
      <w:pPr>
        <w:spacing w:line="360" w:lineRule="exact"/>
        <w:ind w:left="-10" w:leftChars="-5" w:right="2" w:rightChars="1" w:firstLine="422" w:firstLineChars="200"/>
        <w:rPr>
          <w:rFonts w:ascii="宋体" w:cs="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rPr>
        <w:t>、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7B712200">
      <w:pPr>
        <w:spacing w:line="360" w:lineRule="exact"/>
        <w:ind w:left="-10" w:leftChars="-5" w:right="2" w:rightChars="1" w:firstLine="422" w:firstLineChars="200"/>
        <w:rPr>
          <w:rFonts w:ascii="宋体" w:cs="宋体"/>
          <w:b/>
          <w:bCs/>
          <w:color w:val="auto"/>
          <w:highlight w:val="none"/>
        </w:rPr>
      </w:pPr>
      <w:r>
        <w:rPr>
          <w:rFonts w:ascii="宋体" w:hAnsi="宋体" w:cs="宋体"/>
          <w:b/>
          <w:bCs/>
          <w:color w:val="auto"/>
          <w:highlight w:val="none"/>
        </w:rPr>
        <w:t>2</w:t>
      </w:r>
      <w:r>
        <w:rPr>
          <w:rFonts w:hint="eastAsia" w:ascii="宋体" w:hAnsi="宋体" w:cs="宋体"/>
          <w:b/>
          <w:bCs/>
          <w:color w:val="auto"/>
          <w:highlight w:val="none"/>
        </w:rPr>
        <w:t>、根据《财政部</w:t>
      </w:r>
      <w:r>
        <w:rPr>
          <w:rFonts w:ascii="宋体" w:hAnsi="宋体" w:cs="宋体"/>
          <w:b/>
          <w:bCs/>
          <w:color w:val="auto"/>
          <w:highlight w:val="none"/>
        </w:rPr>
        <w:t xml:space="preserve"> </w:t>
      </w:r>
      <w:r>
        <w:rPr>
          <w:rFonts w:hint="eastAsia" w:ascii="宋体" w:hAnsi="宋体" w:cs="宋体"/>
          <w:b/>
          <w:bCs/>
          <w:color w:val="auto"/>
          <w:highlight w:val="none"/>
        </w:rPr>
        <w:t>发展改革委</w:t>
      </w:r>
      <w:r>
        <w:rPr>
          <w:rFonts w:ascii="宋体" w:hAnsi="宋体" w:cs="宋体"/>
          <w:b/>
          <w:bCs/>
          <w:color w:val="auto"/>
          <w:highlight w:val="none"/>
        </w:rPr>
        <w:t xml:space="preserve"> </w:t>
      </w:r>
      <w:r>
        <w:rPr>
          <w:rFonts w:hint="eastAsia" w:ascii="宋体" w:hAnsi="宋体" w:cs="宋体"/>
          <w:b/>
          <w:bCs/>
          <w:color w:val="auto"/>
          <w:highlight w:val="none"/>
        </w:rPr>
        <w:t>生态环境部</w:t>
      </w:r>
      <w:r>
        <w:rPr>
          <w:rFonts w:ascii="宋体" w:hAnsi="宋体" w:cs="宋体"/>
          <w:b/>
          <w:bCs/>
          <w:color w:val="auto"/>
          <w:highlight w:val="none"/>
        </w:rPr>
        <w:t xml:space="preserve"> </w:t>
      </w:r>
      <w:r>
        <w:rPr>
          <w:rFonts w:hint="eastAsia" w:ascii="宋体" w:hAnsi="宋体" w:cs="宋体"/>
          <w:b/>
          <w:bCs/>
          <w:color w:val="auto"/>
          <w:highlight w:val="none"/>
        </w:rPr>
        <w:t>市场监管总局关于调整优化节能产品、环境标志产品政府采购执行机制的通知》（财库〔</w:t>
      </w:r>
      <w:r>
        <w:rPr>
          <w:rFonts w:ascii="宋体" w:hAnsi="宋体" w:cs="宋体"/>
          <w:b/>
          <w:bCs/>
          <w:color w:val="auto"/>
          <w:highlight w:val="none"/>
        </w:rPr>
        <w:t>2019</w:t>
      </w:r>
      <w:r>
        <w:rPr>
          <w:rFonts w:hint="eastAsia" w:ascii="宋体" w:hAnsi="宋体" w:cs="宋体"/>
          <w:b/>
          <w:bCs/>
          <w:color w:val="auto"/>
          <w:highlight w:val="none"/>
        </w:rPr>
        <w:t>〕</w:t>
      </w:r>
      <w:r>
        <w:rPr>
          <w:rFonts w:ascii="宋体" w:hAnsi="宋体" w:cs="宋体"/>
          <w:b/>
          <w:bCs/>
          <w:color w:val="auto"/>
          <w:highlight w:val="none"/>
        </w:rPr>
        <w:t xml:space="preserve">9 </w:t>
      </w:r>
      <w:r>
        <w:rPr>
          <w:rFonts w:hint="eastAsia" w:ascii="宋体" w:hAnsi="宋体" w:cs="宋体"/>
          <w:b/>
          <w:bCs/>
          <w:color w:val="auto"/>
          <w:highlight w:val="none"/>
        </w:rPr>
        <w:t>号）和《关于印发节能产品政府采购品目清单的通知》（财库〔</w:t>
      </w:r>
      <w:r>
        <w:rPr>
          <w:rFonts w:ascii="宋体" w:hAnsi="宋体" w:cs="宋体"/>
          <w:b/>
          <w:bCs/>
          <w:color w:val="auto"/>
          <w:highlight w:val="none"/>
        </w:rPr>
        <w:t>2019</w:t>
      </w:r>
      <w:r>
        <w:rPr>
          <w:rFonts w:hint="eastAsia" w:ascii="宋体" w:hAnsi="宋体" w:cs="宋体"/>
          <w:b/>
          <w:bCs/>
          <w:color w:val="auto"/>
          <w:highlight w:val="none"/>
        </w:rPr>
        <w:t>〕</w:t>
      </w:r>
      <w:r>
        <w:rPr>
          <w:rFonts w:ascii="宋体" w:hAnsi="宋体" w:cs="宋体"/>
          <w:b/>
          <w:bCs/>
          <w:color w:val="auto"/>
          <w:highlight w:val="none"/>
        </w:rPr>
        <w:t xml:space="preserve">19 </w:t>
      </w:r>
      <w:r>
        <w:rPr>
          <w:rFonts w:hint="eastAsia" w:ascii="宋体" w:hAnsi="宋体" w:cs="宋体"/>
          <w:b/>
          <w:bCs/>
          <w:color w:val="auto"/>
          <w:highlight w:val="none"/>
        </w:rPr>
        <w:t>号）的规定，采购需求中如有货物产品，且货物产品属于节能产品政府采购品目清单内标注“★”的，供应商的竞标货物必须使用政府强制采购的节能产品，否则响应文件作无效响应处理。</w:t>
      </w:r>
    </w:p>
    <w:p w14:paraId="3668A137">
      <w:pPr>
        <w:spacing w:line="360" w:lineRule="exact"/>
        <w:ind w:left="-10" w:leftChars="-5" w:right="2" w:rightChars="1" w:firstLine="422" w:firstLineChars="200"/>
        <w:rPr>
          <w:rFonts w:ascii="宋体" w:cs="宋体"/>
          <w:b/>
          <w:bCs/>
          <w:color w:val="auto"/>
          <w:highlight w:val="none"/>
        </w:rPr>
      </w:pPr>
      <w:r>
        <w:rPr>
          <w:rFonts w:ascii="宋体" w:hAnsi="宋体" w:cs="宋体"/>
          <w:b/>
          <w:bCs/>
          <w:color w:val="auto"/>
          <w:highlight w:val="none"/>
        </w:rPr>
        <w:t>3</w:t>
      </w:r>
      <w:r>
        <w:rPr>
          <w:rFonts w:hint="eastAsia" w:ascii="宋体" w:hAnsi="宋体" w:cs="宋体"/>
          <w:b/>
          <w:bCs/>
          <w:color w:val="auto"/>
          <w:highlight w:val="none"/>
        </w:rPr>
        <w:t>、如供应商竞标产品存在侵犯他人的知识产权或者专利成果行为的，由供应商自行承担相应法律责任。</w:t>
      </w:r>
    </w:p>
    <w:p w14:paraId="7A6B9FE2">
      <w:pPr>
        <w:spacing w:line="360" w:lineRule="exact"/>
        <w:ind w:left="-10" w:leftChars="-5" w:right="2" w:rightChars="1" w:firstLine="422" w:firstLineChars="200"/>
        <w:rPr>
          <w:rFonts w:ascii="宋体" w:cs="宋体"/>
          <w:b/>
          <w:bCs/>
          <w:color w:val="auto"/>
          <w:highlight w:val="none"/>
        </w:rPr>
      </w:pPr>
      <w:r>
        <w:rPr>
          <w:rFonts w:ascii="宋体" w:hAnsi="宋体" w:cs="宋体"/>
          <w:b/>
          <w:bCs/>
          <w:color w:val="auto"/>
          <w:highlight w:val="none"/>
        </w:rPr>
        <w:t>4</w:t>
      </w:r>
      <w:r>
        <w:rPr>
          <w:rFonts w:hint="eastAsia" w:ascii="宋体" w:hAnsi="宋体" w:cs="宋体"/>
          <w:b/>
          <w:bCs/>
          <w:color w:val="auto"/>
          <w:highlight w:val="none"/>
        </w:rPr>
        <w:t>、“实质性要求”是指竞争性磋商文件中已经指明不满足则响应无效的条款，或者不能负偏离的条款，或者采购需求中带“▲”的条款。</w:t>
      </w:r>
    </w:p>
    <w:p w14:paraId="5ABB6A96">
      <w:pPr>
        <w:spacing w:line="360" w:lineRule="auto"/>
        <w:ind w:firstLine="310" w:firstLineChars="147"/>
        <w:jc w:val="left"/>
        <w:rPr>
          <w:rFonts w:ascii="宋体" w:cs="宋体"/>
          <w:b/>
          <w:color w:val="auto"/>
          <w:szCs w:val="21"/>
          <w:highlight w:val="none"/>
        </w:rPr>
      </w:pPr>
    </w:p>
    <w:p w14:paraId="57A6C8CA">
      <w:pPr>
        <w:spacing w:line="360" w:lineRule="auto"/>
        <w:ind w:firstLine="310" w:firstLineChars="147"/>
        <w:jc w:val="left"/>
        <w:rPr>
          <w:rFonts w:ascii="宋体" w:cs="宋体"/>
          <w:bCs/>
          <w:color w:val="auto"/>
          <w:szCs w:val="21"/>
          <w:highlight w:val="none"/>
          <w:u w:val="single"/>
        </w:rPr>
      </w:pPr>
      <w:r>
        <w:rPr>
          <w:rFonts w:hint="eastAsia" w:ascii="宋体" w:hAnsi="宋体" w:cs="宋体"/>
          <w:b/>
          <w:color w:val="auto"/>
          <w:szCs w:val="21"/>
          <w:highlight w:val="none"/>
        </w:rPr>
        <w:t>分标</w:t>
      </w:r>
      <w:r>
        <w:rPr>
          <w:rFonts w:ascii="宋体" w:hAnsi="宋体" w:cs="宋体"/>
          <w:b/>
          <w:color w:val="auto"/>
          <w:szCs w:val="21"/>
          <w:highlight w:val="none"/>
        </w:rPr>
        <w:t xml:space="preserve">1     </w:t>
      </w:r>
      <w:r>
        <w:rPr>
          <w:rFonts w:hint="eastAsia" w:ascii="宋体" w:hAnsi="宋体" w:cs="宋体"/>
          <w:b/>
          <w:color w:val="auto"/>
          <w:szCs w:val="21"/>
          <w:highlight w:val="none"/>
        </w:rPr>
        <w:t>采购预算：</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64</w:t>
      </w:r>
      <w:r>
        <w:rPr>
          <w:rFonts w:hint="eastAsia" w:ascii="宋体" w:hAnsi="宋体"/>
          <w:b/>
          <w:bCs/>
          <w:color w:val="auto"/>
          <w:szCs w:val="21"/>
          <w:highlight w:val="none"/>
          <w:u w:val="single"/>
        </w:rPr>
        <w:t>.00万元</w:t>
      </w:r>
      <w:r>
        <w:rPr>
          <w:rFonts w:ascii="宋体" w:hAnsi="宋体" w:cs="宋体"/>
          <w:b/>
          <w:bCs/>
          <w:color w:val="auto"/>
          <w:szCs w:val="21"/>
          <w:highlight w:val="none"/>
          <w:u w:val="single"/>
        </w:rPr>
        <w:t xml:space="preserve"> </w:t>
      </w:r>
      <w:r>
        <w:rPr>
          <w:rFonts w:ascii="宋体" w:hAnsi="宋体" w:cs="宋体"/>
          <w:b/>
          <w:color w:val="auto"/>
          <w:szCs w:val="21"/>
          <w:highlight w:val="none"/>
        </w:rPr>
        <w:t xml:space="preserve">      </w:t>
      </w:r>
    </w:p>
    <w:tbl>
      <w:tblPr>
        <w:tblStyle w:val="33"/>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71"/>
        <w:gridCol w:w="1050"/>
        <w:gridCol w:w="1077"/>
        <w:gridCol w:w="5416"/>
      </w:tblGrid>
      <w:tr w14:paraId="6259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022E26BA">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516" w:type="dxa"/>
            <w:gridSpan w:val="2"/>
            <w:vAlign w:val="center"/>
          </w:tcPr>
          <w:p w14:paraId="17F619BE">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标的名称</w:t>
            </w:r>
          </w:p>
        </w:tc>
        <w:tc>
          <w:tcPr>
            <w:tcW w:w="1050" w:type="dxa"/>
            <w:vAlign w:val="center"/>
          </w:tcPr>
          <w:p w14:paraId="01A9A685">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数量及单位</w:t>
            </w:r>
          </w:p>
        </w:tc>
        <w:tc>
          <w:tcPr>
            <w:tcW w:w="1077" w:type="dxa"/>
            <w:vAlign w:val="center"/>
          </w:tcPr>
          <w:p w14:paraId="39BBE2E5">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所属</w:t>
            </w:r>
          </w:p>
          <w:p w14:paraId="7B81D721">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行业</w:t>
            </w:r>
          </w:p>
        </w:tc>
        <w:tc>
          <w:tcPr>
            <w:tcW w:w="5416" w:type="dxa"/>
            <w:vAlign w:val="center"/>
          </w:tcPr>
          <w:p w14:paraId="33C2BE84">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技术要求</w:t>
            </w:r>
          </w:p>
        </w:tc>
      </w:tr>
      <w:tr w14:paraId="545F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6397B859">
            <w:pPr>
              <w:tabs>
                <w:tab w:val="left" w:pos="180"/>
                <w:tab w:val="left" w:pos="1620"/>
              </w:tabs>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1516" w:type="dxa"/>
            <w:gridSpan w:val="2"/>
            <w:vAlign w:val="center"/>
          </w:tcPr>
          <w:p w14:paraId="6BA04EF3">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2025年第七届广西稻渔丰收节开幕式</w:t>
            </w:r>
          </w:p>
        </w:tc>
        <w:tc>
          <w:tcPr>
            <w:tcW w:w="1050" w:type="dxa"/>
            <w:vAlign w:val="center"/>
          </w:tcPr>
          <w:p w14:paraId="5BED66B8">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0E39EE3E">
            <w:pPr>
              <w:tabs>
                <w:tab w:val="left" w:pos="180"/>
                <w:tab w:val="left" w:pos="1620"/>
              </w:tabs>
              <w:spacing w:line="360" w:lineRule="auto"/>
              <w:jc w:val="center"/>
              <w:rPr>
                <w:rFonts w:ascii="宋体" w:cs="宋体"/>
                <w:color w:val="auto"/>
                <w:szCs w:val="21"/>
                <w:highlight w:val="none"/>
              </w:rPr>
            </w:pPr>
            <w:r>
              <w:rPr>
                <w:rFonts w:hint="eastAsia" w:ascii="宋体" w:hAnsi="Times New Roman" w:cs="宋体"/>
                <w:color w:val="auto"/>
                <w:szCs w:val="21"/>
                <w:highlight w:val="none"/>
              </w:rPr>
              <w:t>其他未列明行业</w:t>
            </w:r>
          </w:p>
        </w:tc>
        <w:tc>
          <w:tcPr>
            <w:tcW w:w="5416" w:type="dxa"/>
            <w:vAlign w:val="center"/>
          </w:tcPr>
          <w:p w14:paraId="091105DA">
            <w:pPr>
              <w:pStyle w:val="31"/>
              <w:spacing w:after="0" w:line="360" w:lineRule="auto"/>
              <w:ind w:firstLineChars="200"/>
              <w:rPr>
                <w:color w:val="auto"/>
              </w:rPr>
            </w:pPr>
            <w:r>
              <w:rPr>
                <w:rFonts w:hint="eastAsia"/>
                <w:color w:val="auto"/>
                <w:lang w:val="en-US" w:eastAsia="zh-CN"/>
              </w:rPr>
              <w:t>完成</w:t>
            </w:r>
            <w:r>
              <w:rPr>
                <w:rFonts w:hint="eastAsia"/>
                <w:color w:val="auto"/>
              </w:rPr>
              <w:t>开幕式及稻渔文化情景剧节目。</w:t>
            </w:r>
            <w:r>
              <w:rPr>
                <w:rFonts w:hint="eastAsia"/>
                <w:color w:val="auto"/>
                <w:lang w:val="en-US" w:eastAsia="zh-CN"/>
              </w:rPr>
              <w:t>包括</w:t>
            </w:r>
            <w:r>
              <w:rPr>
                <w:rFonts w:hint="eastAsia"/>
                <w:color w:val="auto"/>
              </w:rPr>
              <w:t>：</w:t>
            </w:r>
          </w:p>
          <w:p w14:paraId="0D945EFE">
            <w:pPr>
              <w:pStyle w:val="31"/>
              <w:spacing w:after="0" w:line="360" w:lineRule="auto"/>
              <w:ind w:firstLineChars="200"/>
              <w:rPr>
                <w:color w:val="auto"/>
              </w:rPr>
            </w:pPr>
            <w:r>
              <w:rPr>
                <w:rFonts w:hint="eastAsia"/>
                <w:color w:val="auto"/>
              </w:rPr>
              <w:fldChar w:fldCharType="begin"/>
            </w:r>
            <w:r>
              <w:rPr>
                <w:rFonts w:hint="eastAsia"/>
                <w:color w:val="auto"/>
              </w:rPr>
              <w:instrText xml:space="preserve"> = 1 \* GB3 \* MERGEFORMAT </w:instrText>
            </w:r>
            <w:r>
              <w:rPr>
                <w:rFonts w:hint="eastAsia"/>
                <w:color w:val="auto"/>
              </w:rPr>
              <w:fldChar w:fldCharType="separate"/>
            </w:r>
            <w:r>
              <w:rPr>
                <w:color w:val="auto"/>
              </w:rPr>
              <w:t>①</w:t>
            </w:r>
            <w:r>
              <w:rPr>
                <w:rFonts w:hint="eastAsia"/>
                <w:color w:val="auto"/>
              </w:rPr>
              <w:fldChar w:fldCharType="end"/>
            </w:r>
            <w:r>
              <w:rPr>
                <w:rFonts w:hint="eastAsia"/>
                <w:color w:val="auto"/>
              </w:rPr>
              <w:t>开幕式主舞台整体活动视觉设计、</w:t>
            </w:r>
            <w:r>
              <w:rPr>
                <w:rFonts w:hint="eastAsia"/>
                <w:color w:val="auto"/>
                <w:lang w:val="en-US" w:eastAsia="zh-CN"/>
              </w:rPr>
              <w:t>LED屏幕、</w:t>
            </w:r>
            <w:r>
              <w:rPr>
                <w:rFonts w:hint="eastAsia"/>
                <w:color w:val="auto"/>
              </w:rPr>
              <w:t>灯光音响等舞台搭建布置费</w:t>
            </w:r>
            <w:r>
              <w:rPr>
                <w:color w:val="auto"/>
              </w:rPr>
              <w:t>；</w:t>
            </w:r>
          </w:p>
          <w:p w14:paraId="1B5C525D">
            <w:pPr>
              <w:pStyle w:val="31"/>
              <w:spacing w:after="0" w:line="360" w:lineRule="auto"/>
              <w:ind w:firstLineChars="200"/>
              <w:rPr>
                <w:color w:val="auto"/>
              </w:rPr>
            </w:pPr>
            <w:r>
              <w:rPr>
                <w:rFonts w:hint="eastAsia"/>
                <w:color w:val="auto"/>
              </w:rPr>
              <w:fldChar w:fldCharType="begin"/>
            </w:r>
            <w:r>
              <w:rPr>
                <w:rFonts w:hint="eastAsia"/>
                <w:color w:val="auto"/>
              </w:rPr>
              <w:instrText xml:space="preserve"> = 2 \* GB3 \* MERGEFORMAT </w:instrText>
            </w:r>
            <w:r>
              <w:rPr>
                <w:rFonts w:hint="eastAsia"/>
                <w:color w:val="auto"/>
              </w:rPr>
              <w:fldChar w:fldCharType="separate"/>
            </w:r>
            <w:r>
              <w:rPr>
                <w:color w:val="auto"/>
              </w:rPr>
              <w:t>②</w:t>
            </w:r>
            <w:r>
              <w:rPr>
                <w:rFonts w:hint="eastAsia"/>
                <w:color w:val="auto"/>
              </w:rPr>
              <w:fldChar w:fldCharType="end"/>
            </w:r>
            <w:r>
              <w:rPr>
                <w:rFonts w:hint="eastAsia"/>
                <w:color w:val="auto"/>
              </w:rPr>
              <w:t>长条桌及椅子布置、场地气氛营造（印制并张贴会标、地贴、指示等）</w:t>
            </w:r>
            <w:r>
              <w:rPr>
                <w:rFonts w:hint="eastAsia"/>
                <w:color w:val="auto"/>
                <w:lang w:eastAsia="zh-CN"/>
              </w:rPr>
              <w:t>，</w:t>
            </w:r>
            <w:r>
              <w:rPr>
                <w:rFonts w:hint="eastAsia"/>
                <w:color w:val="auto"/>
                <w:lang w:val="en-US" w:eastAsia="zh-CN"/>
              </w:rPr>
              <w:t>350张椅子，桌子按需布置</w:t>
            </w:r>
            <w:r>
              <w:rPr>
                <w:rFonts w:hint="eastAsia"/>
                <w:color w:val="auto"/>
              </w:rPr>
              <w:t>；</w:t>
            </w:r>
          </w:p>
          <w:p w14:paraId="79DE2B0B">
            <w:pPr>
              <w:pStyle w:val="31"/>
              <w:spacing w:after="0" w:line="360" w:lineRule="auto"/>
              <w:ind w:firstLineChars="200"/>
              <w:rPr>
                <w:rFonts w:hint="eastAsia" w:eastAsia="宋体"/>
                <w:color w:val="auto"/>
                <w:lang w:eastAsia="zh-CN"/>
              </w:rPr>
            </w:pPr>
            <w:r>
              <w:rPr>
                <w:rFonts w:hint="eastAsia"/>
                <w:color w:val="auto"/>
              </w:rPr>
              <w:fldChar w:fldCharType="begin"/>
            </w:r>
            <w:r>
              <w:rPr>
                <w:rFonts w:hint="eastAsia"/>
                <w:color w:val="auto"/>
              </w:rPr>
              <w:instrText xml:space="preserve"> = 3 \* GB3 \* MERGEFORMAT </w:instrText>
            </w:r>
            <w:r>
              <w:rPr>
                <w:rFonts w:hint="eastAsia"/>
                <w:color w:val="auto"/>
              </w:rPr>
              <w:fldChar w:fldCharType="separate"/>
            </w:r>
            <w:r>
              <w:rPr>
                <w:color w:val="auto"/>
              </w:rPr>
              <w:t>③</w:t>
            </w:r>
            <w:r>
              <w:rPr>
                <w:rFonts w:hint="eastAsia"/>
                <w:color w:val="auto"/>
              </w:rPr>
              <w:fldChar w:fldCharType="end"/>
            </w:r>
            <w:r>
              <w:rPr>
                <w:rFonts w:hint="eastAsia"/>
                <w:color w:val="auto"/>
              </w:rPr>
              <w:t>开幕式展演节目</w:t>
            </w:r>
            <w:r>
              <w:rPr>
                <w:rFonts w:hint="eastAsia"/>
                <w:color w:val="auto"/>
                <w:lang w:eastAsia="zh-CN"/>
              </w:rPr>
              <w:t>，</w:t>
            </w:r>
            <w:r>
              <w:rPr>
                <w:rFonts w:hint="eastAsia"/>
                <w:color w:val="auto"/>
                <w:lang w:val="en-US" w:eastAsia="zh-CN"/>
              </w:rPr>
              <w:t>要求30分钟，含稻渔文化、民族特色等6个节目以上</w:t>
            </w:r>
            <w:r>
              <w:rPr>
                <w:rFonts w:hint="eastAsia"/>
                <w:color w:val="auto"/>
                <w:lang w:eastAsia="zh-CN"/>
              </w:rPr>
              <w:t>；</w:t>
            </w:r>
          </w:p>
          <w:p w14:paraId="68FA709A">
            <w:pPr>
              <w:pStyle w:val="25"/>
              <w:ind w:left="0" w:leftChars="0" w:firstLine="420" w:firstLineChars="200"/>
              <w:rPr>
                <w:rFonts w:hint="default" w:eastAsia="宋体"/>
                <w:color w:val="auto"/>
                <w:lang w:val="en-US" w:eastAsia="zh-CN"/>
              </w:rPr>
            </w:pPr>
            <w:r>
              <w:rPr>
                <w:color w:val="auto"/>
              </w:rPr>
              <w:fldChar w:fldCharType="begin"/>
            </w:r>
            <w:r>
              <w:rPr>
                <w:color w:val="auto"/>
              </w:rPr>
              <w:instrText xml:space="preserve"> = 4 \* GB3 \* MERGEFORMAT </w:instrText>
            </w:r>
            <w:r>
              <w:rPr>
                <w:color w:val="auto"/>
              </w:rPr>
              <w:fldChar w:fldCharType="separate"/>
            </w:r>
            <w:r>
              <w:rPr>
                <w:color w:val="auto"/>
              </w:rPr>
              <w:t>④</w:t>
            </w:r>
            <w:r>
              <w:rPr>
                <w:color w:val="auto"/>
              </w:rPr>
              <w:fldChar w:fldCharType="end"/>
            </w:r>
            <w:r>
              <w:rPr>
                <w:rFonts w:hint="eastAsia"/>
                <w:color w:val="auto"/>
                <w:lang w:val="en-US" w:eastAsia="zh-CN"/>
              </w:rPr>
              <w:t>聘请专业主持人1名</w:t>
            </w:r>
            <w:r>
              <w:rPr>
                <w:rFonts w:hint="eastAsia"/>
                <w:color w:val="auto"/>
                <w:lang w:val="en-US" w:eastAsia="zh-CN"/>
              </w:rPr>
              <w:t>。</w:t>
            </w:r>
          </w:p>
        </w:tc>
      </w:tr>
      <w:tr w14:paraId="38FA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3D8D1BC6">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516" w:type="dxa"/>
            <w:gridSpan w:val="2"/>
            <w:vAlign w:val="center"/>
          </w:tcPr>
          <w:p w14:paraId="1BD2086C">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举办大水面产业交流与库库魚</w:t>
            </w:r>
            <w:r>
              <w:rPr>
                <w:rFonts w:hint="eastAsia" w:ascii="宋体" w:cs="宋体"/>
                <w:color w:val="auto"/>
                <w:szCs w:val="21"/>
                <w:highlight w:val="none"/>
                <w:lang w:val="en-US" w:eastAsia="zh-CN"/>
              </w:rPr>
              <w:t>区域公用</w:t>
            </w:r>
            <w:r>
              <w:rPr>
                <w:rFonts w:hint="eastAsia" w:ascii="宋体" w:cs="宋体"/>
                <w:color w:val="auto"/>
                <w:szCs w:val="21"/>
                <w:highlight w:val="none"/>
              </w:rPr>
              <w:t>品牌发布会</w:t>
            </w:r>
            <w:r>
              <w:rPr>
                <w:rFonts w:hint="eastAsia" w:ascii="宋体" w:cs="宋体"/>
                <w:color w:val="auto"/>
                <w:szCs w:val="21"/>
                <w:highlight w:val="none"/>
                <w:lang w:val="en-US" w:eastAsia="zh-CN"/>
              </w:rPr>
              <w:t>主会场</w:t>
            </w:r>
          </w:p>
        </w:tc>
        <w:tc>
          <w:tcPr>
            <w:tcW w:w="1050" w:type="dxa"/>
            <w:vAlign w:val="center"/>
          </w:tcPr>
          <w:p w14:paraId="149ECEEA">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1A079125">
            <w:pPr>
              <w:tabs>
                <w:tab w:val="left" w:pos="180"/>
                <w:tab w:val="left" w:pos="1620"/>
              </w:tabs>
              <w:spacing w:line="360" w:lineRule="auto"/>
              <w:jc w:val="center"/>
              <w:rPr>
                <w:rFonts w:ascii="宋体" w:cs="宋体"/>
                <w:color w:val="auto"/>
                <w:szCs w:val="21"/>
                <w:highlight w:val="none"/>
              </w:rPr>
            </w:pPr>
            <w:r>
              <w:rPr>
                <w:rFonts w:hint="eastAsia" w:ascii="宋体" w:hAnsi="宋体" w:cs="宋体"/>
                <w:color w:val="auto"/>
                <w:szCs w:val="21"/>
                <w:highlight w:val="none"/>
              </w:rPr>
              <w:t>其他未列明行业</w:t>
            </w:r>
          </w:p>
        </w:tc>
        <w:tc>
          <w:tcPr>
            <w:tcW w:w="5416" w:type="dxa"/>
            <w:vAlign w:val="center"/>
          </w:tcPr>
          <w:p w14:paraId="41A8BFC0">
            <w:pPr>
              <w:spacing w:line="360" w:lineRule="auto"/>
              <w:ind w:firstLine="420" w:firstLineChars="200"/>
              <w:rPr>
                <w:rFonts w:hint="eastAsia" w:ascii="宋体" w:hAnsi="宋体" w:cs="宋体"/>
                <w:color w:val="auto"/>
                <w:szCs w:val="21"/>
                <w:highlight w:val="none"/>
              </w:rPr>
            </w:pPr>
            <w:r>
              <w:rPr>
                <w:rFonts w:hint="default" w:ascii="宋体" w:hAnsi="宋体" w:cs="宋体"/>
                <w:color w:val="auto"/>
                <w:szCs w:val="21"/>
                <w:highlight w:val="none"/>
                <w:lang w:val="en-US" w:eastAsia="zh-CN"/>
              </w:rPr>
              <w:t>①</w:t>
            </w:r>
            <w:r>
              <w:rPr>
                <w:rFonts w:hint="eastAsia" w:ascii="宋体" w:hAnsi="宋体" w:cs="宋体"/>
                <w:color w:val="auto"/>
                <w:szCs w:val="21"/>
                <w:highlight w:val="none"/>
                <w:lang w:val="en-US" w:eastAsia="zh-CN"/>
              </w:rPr>
              <w:t>整个活动的策划与设计；</w:t>
            </w:r>
          </w:p>
          <w:p w14:paraId="08EAC82D">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②美陈物料</w:t>
            </w:r>
            <w:r>
              <w:rPr>
                <w:rFonts w:hint="eastAsia" w:ascii="宋体" w:hAnsi="宋体" w:cs="宋体"/>
                <w:color w:val="auto"/>
                <w:szCs w:val="21"/>
                <w:highlight w:val="none"/>
                <w:lang w:val="en-US" w:eastAsia="zh-CN"/>
              </w:rPr>
              <w:t>，包括</w:t>
            </w:r>
            <w:r>
              <w:rPr>
                <w:rFonts w:hint="default" w:ascii="宋体" w:hAnsi="宋体" w:cs="宋体"/>
                <w:color w:val="auto"/>
                <w:szCs w:val="21"/>
                <w:highlight w:val="none"/>
                <w:lang w:val="en-US" w:eastAsia="zh-CN"/>
              </w:rPr>
              <w:t>场地常规门头+元素雕刻、主形象小品造型展板、舞台 LED 幕墙包装造型、美陈打卡造型物料</w:t>
            </w:r>
            <w:r>
              <w:rPr>
                <w:rFonts w:hint="eastAsia" w:ascii="宋体" w:hAnsi="宋体" w:cs="宋体"/>
                <w:color w:val="auto"/>
                <w:szCs w:val="21"/>
                <w:highlight w:val="none"/>
                <w:lang w:val="en-US" w:eastAsia="zh-CN"/>
              </w:rPr>
              <w:t>等；</w:t>
            </w:r>
          </w:p>
          <w:p w14:paraId="5088E1C4">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③品牌发布会场搭建布置，钢木结构80㎡，包括LED大屏租赁、音响、灯光、控台、鲜花、讲台围挡、麦克风等；</w:t>
            </w:r>
          </w:p>
          <w:p w14:paraId="786505C0">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fldChar w:fldCharType="begin"/>
            </w:r>
            <w:r>
              <w:rPr>
                <w:rFonts w:hint="default" w:ascii="宋体" w:hAnsi="宋体" w:cs="宋体"/>
                <w:color w:val="auto"/>
                <w:szCs w:val="21"/>
                <w:highlight w:val="none"/>
                <w:lang w:val="en-US" w:eastAsia="zh-CN"/>
              </w:rPr>
              <w:instrText xml:space="preserve"> = 4 \* GB3 \* MERGEFORMAT </w:instrText>
            </w:r>
            <w:r>
              <w:rPr>
                <w:rFonts w:hint="default" w:ascii="宋体" w:hAnsi="宋体" w:cs="宋体"/>
                <w:color w:val="auto"/>
                <w:szCs w:val="21"/>
                <w:highlight w:val="none"/>
                <w:lang w:val="en-US" w:eastAsia="zh-CN"/>
              </w:rPr>
              <w:fldChar w:fldCharType="separate"/>
            </w:r>
            <w:r>
              <w:rPr>
                <w:rFonts w:ascii="宋体" w:hAnsi="宋体" w:cs="宋体"/>
                <w:color w:val="auto"/>
                <w:szCs w:val="21"/>
                <w:highlight w:val="none"/>
              </w:rPr>
              <w:t>④</w:t>
            </w:r>
            <w:r>
              <w:rPr>
                <w:rFonts w:hint="default" w:ascii="宋体" w:hAnsi="宋体" w:cs="宋体"/>
                <w:color w:val="auto"/>
                <w:szCs w:val="21"/>
                <w:highlight w:val="none"/>
                <w:lang w:val="en-US" w:eastAsia="zh-CN"/>
              </w:rPr>
              <w:fldChar w:fldCharType="end"/>
            </w:r>
            <w:r>
              <w:rPr>
                <w:rFonts w:hint="default" w:ascii="宋体" w:hAnsi="宋体" w:cs="宋体"/>
                <w:color w:val="auto"/>
                <w:szCs w:val="21"/>
                <w:highlight w:val="none"/>
                <w:lang w:val="en-US" w:eastAsia="zh-CN"/>
              </w:rPr>
              <w:t>活动资料制作。包括整个</w:t>
            </w:r>
            <w:r>
              <w:rPr>
                <w:rFonts w:hint="eastAsia" w:ascii="宋体" w:hAnsi="宋体" w:cs="宋体"/>
                <w:color w:val="auto"/>
                <w:szCs w:val="21"/>
                <w:highlight w:val="none"/>
                <w:lang w:val="en-US" w:eastAsia="zh-CN"/>
              </w:rPr>
              <w:t>活动的</w:t>
            </w:r>
            <w:r>
              <w:rPr>
                <w:rFonts w:hint="default" w:ascii="宋体" w:hAnsi="宋体" w:cs="宋体"/>
                <w:color w:val="auto"/>
                <w:szCs w:val="21"/>
                <w:highlight w:val="none"/>
                <w:lang w:val="en-US" w:eastAsia="zh-CN"/>
              </w:rPr>
              <w:t>资料袋+节目单、桌签、嘉宾证、工作证设计制作，350份；协助签到工作等</w:t>
            </w:r>
            <w:r>
              <w:rPr>
                <w:rFonts w:hint="eastAsia" w:ascii="宋体" w:hAnsi="宋体" w:cs="宋体"/>
                <w:color w:val="auto"/>
                <w:szCs w:val="21"/>
                <w:highlight w:val="none"/>
                <w:lang w:val="en-US" w:eastAsia="zh-CN"/>
              </w:rPr>
              <w:t>；</w:t>
            </w:r>
          </w:p>
          <w:p w14:paraId="02181775">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fldChar w:fldCharType="begin"/>
            </w:r>
            <w:r>
              <w:rPr>
                <w:rFonts w:hint="default" w:ascii="宋体" w:hAnsi="宋体" w:cs="宋体"/>
                <w:color w:val="auto"/>
                <w:szCs w:val="21"/>
                <w:highlight w:val="none"/>
                <w:lang w:val="en-US" w:eastAsia="zh-CN"/>
              </w:rPr>
              <w:instrText xml:space="preserve"> = 5 \* GB3 \* MERGEFORMAT </w:instrText>
            </w:r>
            <w:r>
              <w:rPr>
                <w:rFonts w:hint="default" w:ascii="宋体" w:hAnsi="宋体" w:cs="宋体"/>
                <w:color w:val="auto"/>
                <w:szCs w:val="21"/>
                <w:highlight w:val="none"/>
                <w:lang w:val="en-US" w:eastAsia="zh-CN"/>
              </w:rPr>
              <w:fldChar w:fldCharType="separate"/>
            </w:r>
            <w:r>
              <w:rPr>
                <w:rFonts w:ascii="宋体" w:hAnsi="宋体" w:cs="宋体"/>
                <w:color w:val="auto"/>
                <w:szCs w:val="21"/>
                <w:highlight w:val="none"/>
              </w:rPr>
              <w:t>⑤</w:t>
            </w:r>
            <w:r>
              <w:rPr>
                <w:rFonts w:hint="default" w:ascii="宋体" w:hAnsi="宋体" w:cs="宋体"/>
                <w:color w:val="auto"/>
                <w:szCs w:val="21"/>
                <w:highlight w:val="none"/>
                <w:lang w:val="en-US" w:eastAsia="zh-CN"/>
              </w:rPr>
              <w:fldChar w:fldCharType="end"/>
            </w:r>
            <w:r>
              <w:rPr>
                <w:rFonts w:hint="default" w:ascii="宋体" w:hAnsi="宋体" w:cs="宋体"/>
                <w:color w:val="auto"/>
                <w:szCs w:val="21"/>
                <w:highlight w:val="none"/>
                <w:lang w:val="en-US" w:eastAsia="zh-CN"/>
              </w:rPr>
              <w:t>嘉宾席、听众区布置。包含前排嘉宾席桌椅(30人)、桌布、矿泉水、观众区座椅(350个)</w:t>
            </w:r>
            <w:r>
              <w:rPr>
                <w:rFonts w:hint="eastAsia" w:ascii="宋体" w:hAnsi="宋体" w:cs="宋体"/>
                <w:color w:val="auto"/>
                <w:szCs w:val="21"/>
                <w:highlight w:val="none"/>
                <w:lang w:val="en-US" w:eastAsia="zh-CN"/>
              </w:rPr>
              <w:t>；</w:t>
            </w:r>
          </w:p>
          <w:p w14:paraId="7906D739">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fldChar w:fldCharType="begin"/>
            </w:r>
            <w:r>
              <w:rPr>
                <w:rFonts w:hint="default" w:ascii="宋体" w:hAnsi="宋体" w:cs="宋体"/>
                <w:color w:val="auto"/>
                <w:szCs w:val="21"/>
                <w:highlight w:val="none"/>
                <w:lang w:val="en-US" w:eastAsia="zh-CN"/>
              </w:rPr>
              <w:instrText xml:space="preserve"> = 6 \* GB3 \* MERGEFORMAT </w:instrText>
            </w:r>
            <w:r>
              <w:rPr>
                <w:rFonts w:hint="default" w:ascii="宋体" w:hAnsi="宋体" w:cs="宋体"/>
                <w:color w:val="auto"/>
                <w:szCs w:val="21"/>
                <w:highlight w:val="none"/>
                <w:lang w:val="en-US" w:eastAsia="zh-CN"/>
              </w:rPr>
              <w:fldChar w:fldCharType="separate"/>
            </w:r>
            <w:r>
              <w:rPr>
                <w:rFonts w:ascii="宋体" w:hAnsi="宋体" w:cs="宋体"/>
                <w:color w:val="auto"/>
                <w:szCs w:val="21"/>
                <w:highlight w:val="none"/>
              </w:rPr>
              <w:t>⑥</w:t>
            </w:r>
            <w:r>
              <w:rPr>
                <w:rFonts w:hint="default" w:ascii="宋体" w:hAnsi="宋体" w:cs="宋体"/>
                <w:color w:val="auto"/>
                <w:szCs w:val="21"/>
                <w:highlight w:val="none"/>
                <w:lang w:val="en-US" w:eastAsia="zh-CN"/>
              </w:rPr>
              <w:fldChar w:fldCharType="end"/>
            </w:r>
            <w:r>
              <w:rPr>
                <w:rFonts w:hint="default" w:ascii="宋体" w:hAnsi="宋体" w:cs="宋体"/>
                <w:color w:val="auto"/>
                <w:szCs w:val="21"/>
                <w:highlight w:val="none"/>
                <w:lang w:val="en-US" w:eastAsia="zh-CN"/>
              </w:rPr>
              <w:t>远程视频连线系统</w:t>
            </w:r>
            <w:r>
              <w:rPr>
                <w:rFonts w:hint="eastAsia" w:ascii="宋体" w:hAnsi="宋体" w:cs="宋体"/>
                <w:color w:val="auto"/>
                <w:szCs w:val="21"/>
                <w:highlight w:val="none"/>
                <w:lang w:val="en-US" w:eastAsia="zh-CN"/>
              </w:rPr>
              <w:t>，连线分会场；</w:t>
            </w:r>
          </w:p>
          <w:p w14:paraId="78506042">
            <w:pPr>
              <w:spacing w:line="360" w:lineRule="auto"/>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fldChar w:fldCharType="begin"/>
            </w:r>
            <w:r>
              <w:rPr>
                <w:rFonts w:hint="default" w:ascii="宋体" w:hAnsi="宋体" w:cs="宋体"/>
                <w:color w:val="auto"/>
                <w:szCs w:val="21"/>
                <w:highlight w:val="none"/>
                <w:lang w:val="en-US" w:eastAsia="zh-CN"/>
              </w:rPr>
              <w:instrText xml:space="preserve"> = 7 \* GB3 \* MERGEFORMAT </w:instrText>
            </w:r>
            <w:r>
              <w:rPr>
                <w:rFonts w:hint="default" w:ascii="宋体" w:hAnsi="宋体" w:cs="宋体"/>
                <w:color w:val="auto"/>
                <w:szCs w:val="21"/>
                <w:highlight w:val="none"/>
                <w:lang w:val="en-US" w:eastAsia="zh-CN"/>
              </w:rPr>
              <w:fldChar w:fldCharType="separate"/>
            </w:r>
            <w:r>
              <w:rPr>
                <w:rFonts w:ascii="宋体" w:hAnsi="宋体" w:cs="宋体"/>
                <w:color w:val="auto"/>
                <w:szCs w:val="21"/>
                <w:highlight w:val="none"/>
              </w:rPr>
              <w:t>⑦</w:t>
            </w:r>
            <w:r>
              <w:rPr>
                <w:rFonts w:hint="default" w:ascii="宋体" w:hAnsi="宋体" w:cs="宋体"/>
                <w:color w:val="auto"/>
                <w:szCs w:val="21"/>
                <w:highlight w:val="none"/>
                <w:lang w:val="en-US" w:eastAsia="zh-CN"/>
              </w:rPr>
              <w:fldChar w:fldCharType="end"/>
            </w:r>
            <w:r>
              <w:rPr>
                <w:rFonts w:hint="default" w:ascii="宋体" w:hAnsi="宋体" w:cs="宋体"/>
                <w:color w:val="auto"/>
                <w:szCs w:val="21"/>
                <w:highlight w:val="none"/>
                <w:lang w:val="en-US" w:eastAsia="zh-CN"/>
              </w:rPr>
              <w:t>嘉宾接送租车</w:t>
            </w:r>
            <w:r>
              <w:rPr>
                <w:rFonts w:hint="eastAsia" w:ascii="宋体" w:hAnsi="宋体" w:cs="宋体"/>
                <w:color w:val="auto"/>
                <w:szCs w:val="21"/>
                <w:highlight w:val="none"/>
                <w:lang w:val="en-US" w:eastAsia="zh-CN"/>
              </w:rPr>
              <w:t>，需根据实际嘉宾人员情况而定；</w:t>
            </w:r>
          </w:p>
          <w:p w14:paraId="52B27EAD">
            <w:pPr>
              <w:spacing w:line="360" w:lineRule="auto"/>
              <w:ind w:firstLine="420" w:firstLineChars="200"/>
              <w:rPr>
                <w:rFonts w:hint="eastAsia" w:ascii="宋体" w:hAnsi="宋体" w:cs="宋体"/>
                <w:color w:val="auto"/>
                <w:szCs w:val="21"/>
                <w:highlight w:val="none"/>
                <w:lang w:val="en-US" w:eastAsia="zh-CN"/>
              </w:rPr>
            </w:pPr>
            <w:r>
              <w:rPr>
                <w:rFonts w:hint="default" w:ascii="宋体" w:hAnsi="宋体" w:cs="宋体"/>
                <w:color w:val="auto"/>
                <w:szCs w:val="21"/>
                <w:highlight w:val="none"/>
                <w:lang w:val="en-US" w:eastAsia="zh-CN"/>
              </w:rPr>
              <w:t>⑧嘉宾代表与工作人员</w:t>
            </w:r>
            <w:r>
              <w:rPr>
                <w:rFonts w:hint="eastAsia" w:ascii="宋体" w:hAnsi="宋体" w:cs="宋体"/>
                <w:color w:val="auto"/>
                <w:szCs w:val="21"/>
                <w:highlight w:val="none"/>
                <w:lang w:val="en-US" w:eastAsia="zh-CN"/>
              </w:rPr>
              <w:t>活动期间的用餐，约360人；</w:t>
            </w:r>
          </w:p>
          <w:p w14:paraId="5967F754">
            <w:pPr>
              <w:spacing w:line="360" w:lineRule="auto"/>
              <w:ind w:firstLine="420" w:firstLineChars="200"/>
              <w:rPr>
                <w:rFonts w:hint="eastAsia"/>
                <w:color w:val="auto"/>
                <w:lang w:val="en-US" w:eastAsia="zh-CN"/>
              </w:rPr>
            </w:pPr>
            <w:r>
              <w:rPr>
                <w:rFonts w:hint="eastAsia"/>
                <w:color w:val="auto"/>
                <w:lang w:val="en-US" w:eastAsia="zh-CN"/>
              </w:rPr>
              <w:fldChar w:fldCharType="begin"/>
            </w:r>
            <w:r>
              <w:rPr>
                <w:rFonts w:hint="eastAsia"/>
                <w:color w:val="auto"/>
                <w:lang w:val="en-US" w:eastAsia="zh-CN"/>
              </w:rPr>
              <w:instrText xml:space="preserve"> = 9 \* GB3 \* MERGEFORMAT </w:instrText>
            </w:r>
            <w:r>
              <w:rPr>
                <w:rFonts w:hint="eastAsia"/>
                <w:color w:val="auto"/>
                <w:lang w:val="en-US" w:eastAsia="zh-CN"/>
              </w:rPr>
              <w:fldChar w:fldCharType="separate"/>
            </w:r>
            <w:r>
              <w:rPr>
                <w:color w:val="auto"/>
              </w:rPr>
              <w:t>⑨</w:t>
            </w:r>
            <w:r>
              <w:rPr>
                <w:rFonts w:hint="eastAsia"/>
                <w:color w:val="auto"/>
                <w:lang w:val="en-US" w:eastAsia="zh-CN"/>
              </w:rPr>
              <w:fldChar w:fldCharType="end"/>
            </w:r>
            <w:r>
              <w:rPr>
                <w:rFonts w:hint="eastAsia"/>
                <w:color w:val="auto"/>
                <w:lang w:val="en-US" w:eastAsia="zh-CN"/>
              </w:rPr>
              <w:t>聘请专业主持人1名；</w:t>
            </w:r>
          </w:p>
          <w:p w14:paraId="0775AC38">
            <w:pPr>
              <w:spacing w:line="360" w:lineRule="auto"/>
              <w:ind w:firstLine="420" w:firstLineChars="200"/>
              <w:rPr>
                <w:rFonts w:hint="default"/>
                <w:color w:val="auto"/>
                <w:lang w:val="en-US" w:eastAsia="zh-CN"/>
              </w:rPr>
            </w:pPr>
            <w:r>
              <w:rPr>
                <w:rFonts w:hint="eastAsia"/>
                <w:color w:val="auto"/>
                <w:lang w:val="en-US" w:eastAsia="zh-CN"/>
              </w:rPr>
              <w:fldChar w:fldCharType="begin"/>
            </w:r>
            <w:r>
              <w:rPr>
                <w:rFonts w:hint="eastAsia"/>
                <w:color w:val="auto"/>
                <w:lang w:val="en-US" w:eastAsia="zh-CN"/>
              </w:rPr>
              <w:instrText xml:space="preserve"> = 10 \* GB3 \* MERGEFORMAT </w:instrText>
            </w:r>
            <w:r>
              <w:rPr>
                <w:rFonts w:hint="eastAsia"/>
                <w:color w:val="auto"/>
                <w:lang w:val="en-US" w:eastAsia="zh-CN"/>
              </w:rPr>
              <w:fldChar w:fldCharType="separate"/>
            </w:r>
            <w:r>
              <w:rPr>
                <w:color w:val="auto"/>
              </w:rPr>
              <w:t>⑩</w:t>
            </w:r>
            <w:r>
              <w:rPr>
                <w:rFonts w:hint="eastAsia"/>
                <w:color w:val="auto"/>
                <w:lang w:val="en-US" w:eastAsia="zh-CN"/>
              </w:rPr>
              <w:fldChar w:fldCharType="end"/>
            </w:r>
            <w:r>
              <w:rPr>
                <w:rFonts w:hint="eastAsia"/>
                <w:color w:val="auto"/>
                <w:lang w:val="en-US" w:eastAsia="zh-CN"/>
              </w:rPr>
              <w:t>签约台和签约本布置。</w:t>
            </w:r>
          </w:p>
        </w:tc>
      </w:tr>
      <w:tr w14:paraId="4CCE7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bottom w:val="single" w:color="auto" w:sz="4" w:space="0"/>
            </w:tcBorders>
          </w:tcPr>
          <w:p w14:paraId="2B5DE7A9">
            <w:pPr>
              <w:spacing w:line="360" w:lineRule="auto"/>
              <w:rPr>
                <w:rFonts w:ascii="宋体" w:cs="宋体"/>
                <w:color w:val="auto"/>
                <w:szCs w:val="21"/>
                <w:highlight w:val="none"/>
              </w:rPr>
            </w:pPr>
            <w:r>
              <w:rPr>
                <w:rFonts w:hint="eastAsia" w:ascii="宋体" w:hAnsi="宋体" w:cs="宋体"/>
                <w:b/>
                <w:color w:val="auto"/>
                <w:szCs w:val="21"/>
                <w:highlight w:val="none"/>
              </w:rPr>
              <w:t>商务要求</w:t>
            </w:r>
          </w:p>
        </w:tc>
      </w:tr>
      <w:tr w14:paraId="32AA9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537A0AFC">
            <w:pPr>
              <w:spacing w:line="360" w:lineRule="auto"/>
              <w:jc w:val="center"/>
              <w:rPr>
                <w:rFonts w:asci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磋商报价要求</w:t>
            </w:r>
          </w:p>
        </w:tc>
        <w:tc>
          <w:tcPr>
            <w:tcW w:w="7614" w:type="dxa"/>
            <w:gridSpan w:val="4"/>
            <w:tcBorders>
              <w:top w:val="single" w:color="auto" w:sz="4" w:space="0"/>
              <w:left w:val="single" w:color="auto" w:sz="4" w:space="0"/>
              <w:bottom w:val="single" w:color="auto" w:sz="4" w:space="0"/>
            </w:tcBorders>
            <w:vAlign w:val="center"/>
          </w:tcPr>
          <w:p w14:paraId="240D8874">
            <w:pPr>
              <w:pStyle w:val="15"/>
              <w:spacing w:line="360" w:lineRule="auto"/>
              <w:rPr>
                <w:rFonts w:ascii="宋体" w:cs="宋体"/>
                <w:b/>
                <w:bCs/>
                <w:color w:val="auto"/>
                <w:szCs w:val="21"/>
                <w:highlight w:val="none"/>
              </w:rPr>
            </w:pPr>
            <w:r>
              <w:rPr>
                <w:rFonts w:hint="eastAsia" w:ascii="宋体" w:hAnsi="宋体" w:cs="宋体"/>
                <w:color w:val="auto"/>
                <w:highlight w:val="none"/>
              </w:rPr>
              <w:t>本项目实行总承包报价，报价包括场地布置、</w:t>
            </w:r>
            <w:r>
              <w:rPr>
                <w:rFonts w:hint="eastAsia" w:ascii="宋体" w:hAnsi="宋体" w:cs="宋体"/>
                <w:color w:val="auto"/>
                <w:highlight w:val="none"/>
                <w:lang w:val="en-US" w:eastAsia="zh-CN"/>
              </w:rPr>
              <w:t>物资</w:t>
            </w:r>
            <w:r>
              <w:rPr>
                <w:rFonts w:hint="eastAsia" w:ascii="宋体" w:hAnsi="宋体" w:cs="宋体"/>
                <w:color w:val="auto"/>
                <w:highlight w:val="none"/>
              </w:rPr>
              <w:t>、交通费、餐饮费、验收</w:t>
            </w:r>
            <w:r>
              <w:rPr>
                <w:rFonts w:hint="eastAsia" w:ascii="宋体" w:hAnsi="宋体" w:cs="宋体"/>
                <w:color w:val="auto"/>
                <w:highlight w:val="none"/>
                <w:lang w:eastAsia="zh-CN"/>
              </w:rPr>
              <w:t>、</w:t>
            </w:r>
            <w:r>
              <w:rPr>
                <w:rFonts w:hint="eastAsia" w:ascii="宋体" w:hAnsi="宋体" w:cs="宋体"/>
                <w:color w:val="auto"/>
                <w:highlight w:val="none"/>
              </w:rPr>
              <w:t>活动策划执行费以及实施过程中的应预见和不可预见的费用等。供应商必须考虑本项目在实施期间的一切可能产生费用。在本项目实施过程中，磋商总价不予调整，采购人不再支付成交价格以外的任何费用。</w:t>
            </w:r>
          </w:p>
        </w:tc>
      </w:tr>
      <w:tr w14:paraId="47BA9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71584E7F">
            <w:pPr>
              <w:spacing w:line="300" w:lineRule="exact"/>
              <w:jc w:val="center"/>
              <w:rPr>
                <w:rFonts w:ascii="宋体" w:cs="宋体"/>
                <w:b/>
                <w:bCs/>
                <w:color w:val="auto"/>
                <w:szCs w:val="21"/>
                <w:highlight w:val="none"/>
              </w:rPr>
            </w:pPr>
            <w:r>
              <w:rPr>
                <w:rFonts w:hint="eastAsia" w:ascii="宋体" w:hAnsi="宋体" w:cs="宋体"/>
                <w:color w:val="auto"/>
                <w:szCs w:val="21"/>
                <w:highlight w:val="none"/>
              </w:rPr>
              <w:t>▲合同履约期限和地点</w:t>
            </w:r>
          </w:p>
        </w:tc>
        <w:tc>
          <w:tcPr>
            <w:tcW w:w="7614" w:type="dxa"/>
            <w:gridSpan w:val="4"/>
            <w:tcBorders>
              <w:top w:val="single" w:color="auto" w:sz="4" w:space="0"/>
              <w:left w:val="single" w:color="auto" w:sz="4" w:space="0"/>
              <w:bottom w:val="single" w:color="auto" w:sz="4" w:space="0"/>
            </w:tcBorders>
            <w:vAlign w:val="center"/>
          </w:tcPr>
          <w:p w14:paraId="058B2D63">
            <w:pPr>
              <w:spacing w:line="360" w:lineRule="auto"/>
              <w:rPr>
                <w:rFonts w:hint="eastAsia"/>
                <w:color w:val="auto"/>
                <w:lang w:val="en-US" w:eastAsia="zh-CN"/>
              </w:rPr>
            </w:pPr>
            <w:r>
              <w:rPr>
                <w:rFonts w:hint="eastAsia"/>
                <w:color w:val="auto"/>
              </w:rPr>
              <w:t>合同履约期限</w:t>
            </w:r>
            <w:r>
              <w:rPr>
                <w:rFonts w:hint="eastAsia"/>
                <w:color w:val="auto"/>
                <w:lang w:eastAsia="zh-CN"/>
              </w:rPr>
              <w:t>：</w:t>
            </w:r>
            <w:r>
              <w:rPr>
                <w:rFonts w:hint="eastAsia"/>
                <w:color w:val="auto"/>
                <w:lang w:val="en-US" w:eastAsia="zh-CN"/>
              </w:rPr>
              <w:t>自合同签订之日起至本项目活动结束（本项目活动时间暂定2025年10月17日-10月18日，具体由采购人另行通知）。</w:t>
            </w:r>
          </w:p>
          <w:p w14:paraId="0EC10B9D">
            <w:pPr>
              <w:spacing w:line="360" w:lineRule="auto"/>
              <w:rPr>
                <w:rFonts w:hint="default" w:ascii="宋体" w:eastAsia="宋体" w:cs="宋体"/>
                <w:b/>
                <w:bCs/>
                <w:color w:val="auto"/>
                <w:szCs w:val="21"/>
                <w:highlight w:val="none"/>
                <w:lang w:val="en-US" w:eastAsia="zh-CN"/>
              </w:rPr>
            </w:pPr>
            <w:r>
              <w:rPr>
                <w:rFonts w:hint="eastAsia"/>
                <w:color w:val="auto"/>
                <w:lang w:val="en-US" w:eastAsia="zh-CN"/>
              </w:rPr>
              <w:t>地点：南宁市、柳州市融水县。</w:t>
            </w:r>
          </w:p>
        </w:tc>
      </w:tr>
      <w:tr w14:paraId="1E569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2100" w:type="dxa"/>
            <w:gridSpan w:val="2"/>
            <w:tcBorders>
              <w:top w:val="single" w:color="auto" w:sz="4" w:space="0"/>
              <w:bottom w:val="single" w:color="auto" w:sz="4" w:space="0"/>
              <w:right w:val="single" w:color="auto" w:sz="4" w:space="0"/>
            </w:tcBorders>
            <w:vAlign w:val="center"/>
          </w:tcPr>
          <w:p w14:paraId="211A5F09">
            <w:pPr>
              <w:spacing w:line="360" w:lineRule="auto"/>
              <w:jc w:val="center"/>
              <w:rPr>
                <w:rFonts w:ascii="宋体" w:cs="宋体"/>
                <w:b/>
                <w:bCs/>
                <w:color w:val="auto"/>
                <w:szCs w:val="21"/>
                <w:highlight w:val="none"/>
              </w:rPr>
            </w:pPr>
            <w:r>
              <w:rPr>
                <w:rFonts w:hint="eastAsia" w:ascii="宋体" w:hAnsi="宋体" w:cs="宋体"/>
                <w:color w:val="auto"/>
                <w:szCs w:val="21"/>
                <w:highlight w:val="none"/>
              </w:rPr>
              <w:t>▲付款条件</w:t>
            </w:r>
          </w:p>
        </w:tc>
        <w:tc>
          <w:tcPr>
            <w:tcW w:w="7614" w:type="dxa"/>
            <w:gridSpan w:val="4"/>
            <w:tcBorders>
              <w:top w:val="single" w:color="auto" w:sz="4" w:space="0"/>
              <w:left w:val="single" w:color="auto" w:sz="4" w:space="0"/>
              <w:bottom w:val="single" w:color="auto" w:sz="4" w:space="0"/>
            </w:tcBorders>
            <w:vAlign w:val="center"/>
          </w:tcPr>
          <w:p w14:paraId="09BF867D">
            <w:pPr>
              <w:spacing w:line="360" w:lineRule="auto"/>
              <w:rPr>
                <w:rFonts w:ascii="宋体" w:cs="宋体"/>
                <w:b/>
                <w:bCs/>
                <w:color w:val="auto"/>
                <w:szCs w:val="21"/>
                <w:highlight w:val="none"/>
              </w:rPr>
            </w:pPr>
            <w:r>
              <w:rPr>
                <w:rFonts w:hint="eastAsia" w:ascii="宋体" w:hAnsi="宋体" w:cs="宋体"/>
                <w:color w:val="auto"/>
                <w:highlight w:val="none"/>
              </w:rPr>
              <w:t>自合同签订之日起10个工作日内，采购人向成交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rPr>
              <w:t>支付</w:t>
            </w:r>
            <w:r>
              <w:rPr>
                <w:rFonts w:hint="eastAsia" w:ascii="宋体" w:hAnsi="宋体" w:cs="宋体"/>
                <w:color w:val="auto"/>
                <w:highlight w:val="none"/>
                <w:lang w:val="en-US" w:eastAsia="zh-CN"/>
              </w:rPr>
              <w:t>4</w:t>
            </w:r>
            <w:r>
              <w:rPr>
                <w:rFonts w:hint="eastAsia" w:ascii="宋体" w:hAnsi="宋体" w:cs="宋体"/>
                <w:color w:val="auto"/>
                <w:highlight w:val="none"/>
              </w:rPr>
              <w:t>0%合同预付款</w:t>
            </w:r>
            <w:r>
              <w:rPr>
                <w:rFonts w:hint="eastAsia" w:ascii="宋体" w:hAnsi="宋体" w:cs="宋体"/>
                <w:color w:val="auto"/>
                <w:highlight w:val="none"/>
                <w:lang w:eastAsia="zh-CN"/>
              </w:rPr>
              <w:t>，成交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按采购人要求完成服务工作，经采购人验收通过后，采购人向成交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支付剩余</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0%合同款</w:t>
            </w:r>
            <w:r>
              <w:rPr>
                <w:rFonts w:hint="eastAsia" w:ascii="宋体" w:hAnsi="宋体" w:cs="宋体"/>
                <w:color w:val="auto"/>
                <w:highlight w:val="none"/>
                <w:lang w:val="en-US" w:eastAsia="zh-CN"/>
              </w:rPr>
              <w:t>。采购人每次向成交供应商付款前，成交供应商开具正式等额增值税发票给采购人。</w:t>
            </w:r>
          </w:p>
        </w:tc>
      </w:tr>
      <w:tr w14:paraId="79355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2100" w:type="dxa"/>
            <w:gridSpan w:val="2"/>
            <w:tcBorders>
              <w:top w:val="single" w:color="auto" w:sz="4" w:space="0"/>
              <w:bottom w:val="single" w:color="auto" w:sz="4" w:space="0"/>
              <w:right w:val="single" w:color="auto" w:sz="4" w:space="0"/>
            </w:tcBorders>
            <w:vAlign w:val="center"/>
          </w:tcPr>
          <w:p w14:paraId="36C7DE7B">
            <w:pPr>
              <w:pStyle w:val="13"/>
              <w:spacing w:line="360" w:lineRule="auto"/>
              <w:jc w:val="both"/>
              <w:rPr>
                <w:rFonts w:ascii="宋体" w:cs="宋体"/>
                <w:b/>
                <w:bCs/>
                <w:color w:val="auto"/>
                <w:szCs w:val="21"/>
                <w:highlight w:val="none"/>
              </w:rPr>
            </w:pPr>
            <w:r>
              <w:rPr>
                <w:rFonts w:hint="eastAsia" w:ascii="宋体" w:hAnsi="宋体"/>
                <w:color w:val="auto"/>
                <w:szCs w:val="21"/>
                <w:highlight w:val="none"/>
              </w:rPr>
              <w:t>服务及其他要求</w:t>
            </w:r>
          </w:p>
        </w:tc>
        <w:tc>
          <w:tcPr>
            <w:tcW w:w="7614" w:type="dxa"/>
            <w:gridSpan w:val="4"/>
            <w:tcBorders>
              <w:top w:val="single" w:color="auto" w:sz="4" w:space="0"/>
              <w:left w:val="single" w:color="auto" w:sz="4" w:space="0"/>
              <w:bottom w:val="single" w:color="auto" w:sz="4" w:space="0"/>
            </w:tcBorders>
            <w:vAlign w:val="center"/>
          </w:tcPr>
          <w:p w14:paraId="23383219">
            <w:pPr>
              <w:spacing w:line="360" w:lineRule="auto"/>
              <w:rPr>
                <w:rFonts w:hint="eastAsia" w:ascii="宋体" w:hAnsi="宋体" w:cs="宋体"/>
                <w:color w:val="auto"/>
                <w:highlight w:val="none"/>
              </w:rPr>
            </w:pPr>
            <w:r>
              <w:rPr>
                <w:rFonts w:hint="eastAsia" w:ascii="宋体" w:hAnsi="宋体" w:cs="宋体"/>
                <w:color w:val="auto"/>
                <w:highlight w:val="none"/>
              </w:rPr>
              <w:t>▲1、供应商请在响应文件中提供针对本项目制定的实施方案。</w:t>
            </w:r>
          </w:p>
          <w:p w14:paraId="7581699D">
            <w:pPr>
              <w:spacing w:line="360" w:lineRule="auto"/>
              <w:rPr>
                <w:rFonts w:hint="eastAsia" w:ascii="宋体" w:hAnsi="宋体" w:cs="宋体"/>
                <w:color w:val="auto"/>
                <w:highlight w:val="none"/>
              </w:rPr>
            </w:pPr>
            <w:r>
              <w:rPr>
                <w:rFonts w:hint="eastAsia" w:ascii="宋体" w:hAnsi="宋体" w:cs="宋体"/>
                <w:color w:val="auto"/>
                <w:highlight w:val="none"/>
              </w:rPr>
              <w:t>2、成交供应商自行承担在组织项目服务过程中因侵犯他人知识产权或自身原因产生的法律纠纷和责任并妥善处理，采购人不承担任何责任。</w:t>
            </w:r>
          </w:p>
          <w:p w14:paraId="2427EEF4">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供应商须确保响应文件中的人员信息真实、有效。成交供应商不得将项目非法分包或转包给任何单位和个人，否则釆购人有权即刻终止合同，并要求成交供应商赔偿相应损失。</w:t>
            </w:r>
          </w:p>
          <w:p w14:paraId="490AAC3E">
            <w:pPr>
              <w:spacing w:line="360" w:lineRule="auto"/>
              <w:rPr>
                <w:rFonts w:ascii="宋体" w:cs="宋体"/>
                <w:b/>
                <w:bCs/>
                <w:color w:val="auto"/>
                <w:szCs w:val="21"/>
                <w:highlight w:val="none"/>
              </w:rPr>
            </w:pPr>
            <w:r>
              <w:rPr>
                <w:rFonts w:hint="eastAsia" w:ascii="宋体" w:hAnsi="宋体" w:cs="宋体"/>
                <w:color w:val="auto"/>
                <w:highlight w:val="none"/>
                <w:lang w:val="en-US" w:eastAsia="zh-CN"/>
              </w:rPr>
              <w:t>4、供应商须为本项目服务实施投入充足的服务人员，并确保响应文件中的人员信息真实、有效。</w:t>
            </w:r>
          </w:p>
        </w:tc>
      </w:tr>
    </w:tbl>
    <w:p w14:paraId="7CC6783D">
      <w:pPr>
        <w:spacing w:line="240" w:lineRule="auto"/>
        <w:ind w:firstLine="0" w:firstLineChars="0"/>
        <w:jc w:val="left"/>
        <w:rPr>
          <w:rFonts w:hint="eastAsia" w:ascii="宋体" w:hAnsi="宋体" w:cs="宋体"/>
          <w:b/>
          <w:color w:val="auto"/>
          <w:szCs w:val="21"/>
          <w:highlight w:val="none"/>
        </w:rPr>
      </w:pPr>
    </w:p>
    <w:p w14:paraId="1C358284">
      <w:pPr>
        <w:spacing w:line="240" w:lineRule="auto"/>
        <w:ind w:firstLine="0" w:firstLineChars="0"/>
        <w:jc w:val="left"/>
        <w:rPr>
          <w:rFonts w:hint="eastAsia" w:ascii="宋体" w:hAnsi="宋体" w:cs="宋体"/>
          <w:b/>
          <w:color w:val="auto"/>
          <w:szCs w:val="21"/>
          <w:highlight w:val="none"/>
        </w:rPr>
      </w:pPr>
    </w:p>
    <w:p w14:paraId="72124B77">
      <w:pPr>
        <w:spacing w:line="240" w:lineRule="auto"/>
        <w:ind w:firstLine="0" w:firstLineChars="0"/>
        <w:jc w:val="left"/>
        <w:rPr>
          <w:rFonts w:ascii="宋体" w:cs="宋体"/>
          <w:bCs/>
          <w:color w:val="auto"/>
          <w:szCs w:val="21"/>
          <w:highlight w:val="none"/>
          <w:u w:val="single"/>
        </w:rPr>
      </w:pPr>
      <w:r>
        <w:rPr>
          <w:rFonts w:hint="eastAsia" w:ascii="宋体" w:hAnsi="宋体" w:cs="宋体"/>
          <w:b/>
          <w:color w:val="auto"/>
          <w:szCs w:val="21"/>
          <w:highlight w:val="none"/>
        </w:rPr>
        <w:t>分标</w:t>
      </w:r>
      <w:r>
        <w:rPr>
          <w:rFonts w:ascii="宋体" w:hAnsi="宋体" w:cs="宋体"/>
          <w:b/>
          <w:color w:val="auto"/>
          <w:szCs w:val="21"/>
          <w:highlight w:val="none"/>
        </w:rPr>
        <w:t xml:space="preserve">2        </w:t>
      </w:r>
      <w:r>
        <w:rPr>
          <w:rFonts w:hint="eastAsia" w:ascii="宋体" w:hAnsi="宋体" w:cs="宋体"/>
          <w:b/>
          <w:color w:val="auto"/>
          <w:szCs w:val="21"/>
          <w:highlight w:val="none"/>
        </w:rPr>
        <w:t>采购预算：</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67.00</w:t>
      </w:r>
      <w:r>
        <w:rPr>
          <w:rFonts w:hint="eastAsia" w:ascii="宋体" w:hAnsi="宋体"/>
          <w:b/>
          <w:bCs/>
          <w:color w:val="auto"/>
          <w:szCs w:val="21"/>
          <w:highlight w:val="none"/>
          <w:u w:val="single"/>
        </w:rPr>
        <w:t>万元</w:t>
      </w:r>
      <w:r>
        <w:rPr>
          <w:rFonts w:ascii="宋体" w:hAnsi="宋体" w:cs="宋体"/>
          <w:b/>
          <w:bCs/>
          <w:color w:val="auto"/>
          <w:szCs w:val="21"/>
          <w:highlight w:val="none"/>
          <w:u w:val="single"/>
        </w:rPr>
        <w:t xml:space="preserve"> </w:t>
      </w:r>
      <w:r>
        <w:rPr>
          <w:rFonts w:ascii="宋体" w:hAnsi="宋体" w:cs="宋体"/>
          <w:b/>
          <w:color w:val="auto"/>
          <w:szCs w:val="21"/>
          <w:highlight w:val="none"/>
        </w:rPr>
        <w:t xml:space="preserve">      </w:t>
      </w:r>
    </w:p>
    <w:tbl>
      <w:tblPr>
        <w:tblStyle w:val="33"/>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71"/>
        <w:gridCol w:w="1050"/>
        <w:gridCol w:w="1077"/>
        <w:gridCol w:w="5416"/>
      </w:tblGrid>
      <w:tr w14:paraId="2717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4647E873">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516" w:type="dxa"/>
            <w:gridSpan w:val="2"/>
            <w:vAlign w:val="center"/>
          </w:tcPr>
          <w:p w14:paraId="691368B6">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标的名称</w:t>
            </w:r>
          </w:p>
        </w:tc>
        <w:tc>
          <w:tcPr>
            <w:tcW w:w="1050" w:type="dxa"/>
            <w:vAlign w:val="center"/>
          </w:tcPr>
          <w:p w14:paraId="02416365">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数量及单位</w:t>
            </w:r>
          </w:p>
        </w:tc>
        <w:tc>
          <w:tcPr>
            <w:tcW w:w="1077" w:type="dxa"/>
            <w:vAlign w:val="center"/>
          </w:tcPr>
          <w:p w14:paraId="56215EDB">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所属</w:t>
            </w:r>
          </w:p>
          <w:p w14:paraId="30E6982C">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行业</w:t>
            </w:r>
          </w:p>
        </w:tc>
        <w:tc>
          <w:tcPr>
            <w:tcW w:w="5416" w:type="dxa"/>
            <w:vAlign w:val="center"/>
          </w:tcPr>
          <w:p w14:paraId="6DB7A04D">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技术要求</w:t>
            </w:r>
          </w:p>
        </w:tc>
      </w:tr>
      <w:tr w14:paraId="2627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077C215D">
            <w:pPr>
              <w:tabs>
                <w:tab w:val="left" w:pos="180"/>
                <w:tab w:val="left" w:pos="1620"/>
              </w:tabs>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1516" w:type="dxa"/>
            <w:gridSpan w:val="2"/>
            <w:vAlign w:val="center"/>
          </w:tcPr>
          <w:p w14:paraId="6E60E330">
            <w:pPr>
              <w:widowControl/>
              <w:spacing w:line="360" w:lineRule="auto"/>
              <w:jc w:val="center"/>
              <w:rPr>
                <w:rFonts w:ascii="宋体" w:cs="宋体"/>
                <w:color w:val="auto"/>
                <w:szCs w:val="21"/>
                <w:highlight w:val="none"/>
              </w:rPr>
            </w:pPr>
            <w:r>
              <w:rPr>
                <w:rFonts w:hint="eastAsia" w:ascii="宋体" w:cs="宋体"/>
                <w:color w:val="auto"/>
                <w:szCs w:val="21"/>
                <w:highlight w:val="none"/>
              </w:rPr>
              <w:t>稻渔遗产文化展览、文创作品展示、渔文旅线路宣发</w:t>
            </w:r>
          </w:p>
        </w:tc>
        <w:tc>
          <w:tcPr>
            <w:tcW w:w="1050" w:type="dxa"/>
            <w:vAlign w:val="center"/>
          </w:tcPr>
          <w:p w14:paraId="437B0230">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3CB86AFB">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6B25AE5B">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①农遗文化展区总体整体策</w:t>
            </w:r>
            <w:r>
              <w:rPr>
                <w:rFonts w:hint="default" w:ascii="宋体" w:cs="宋体"/>
                <w:color w:val="auto"/>
                <w:szCs w:val="21"/>
                <w:highlight w:val="none"/>
                <w:lang w:val="en-US" w:eastAsia="zh-CN"/>
              </w:rPr>
              <w:t>划设计</w:t>
            </w:r>
          </w:p>
          <w:p w14:paraId="7040C71B">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②展示区搭建150㎡；</w:t>
            </w:r>
          </w:p>
          <w:p w14:paraId="18F9C0A8">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③文创作品制作40个；</w:t>
            </w:r>
          </w:p>
          <w:p w14:paraId="354A8E83">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④全国与广西稻渔农遗文化展板制作；</w:t>
            </w:r>
          </w:p>
          <w:p w14:paraId="2A51DBB0">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⑤农遗展示区灯光租赁与搭建；</w:t>
            </w:r>
          </w:p>
          <w:p w14:paraId="35F25797">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⑥全国与广西稻渔农遗文化资料收集整理</w:t>
            </w:r>
            <w:r>
              <w:rPr>
                <w:rFonts w:hint="eastAsia" w:ascii="宋体" w:cs="宋体"/>
                <w:color w:val="auto"/>
                <w:szCs w:val="21"/>
                <w:highlight w:val="none"/>
                <w:lang w:val="en-US" w:eastAsia="zh-CN"/>
              </w:rPr>
              <w:t>；</w:t>
            </w:r>
          </w:p>
          <w:p w14:paraId="694989CF">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⑦宣传物料制作</w:t>
            </w:r>
            <w:r>
              <w:rPr>
                <w:rFonts w:hint="eastAsia" w:ascii="宋体" w:cs="宋体"/>
                <w:color w:val="auto"/>
                <w:szCs w:val="21"/>
                <w:highlight w:val="none"/>
                <w:lang w:val="en-US" w:eastAsia="zh-CN"/>
              </w:rPr>
              <w:t>；</w:t>
            </w:r>
          </w:p>
          <w:p w14:paraId="02F72337">
            <w:pPr>
              <w:spacing w:line="360" w:lineRule="auto"/>
              <w:ind w:firstLine="420"/>
              <w:jc w:val="left"/>
              <w:rPr>
                <w:rFonts w:ascii="宋体" w:cs="宋体"/>
                <w:color w:val="auto"/>
                <w:szCs w:val="21"/>
                <w:highlight w:val="none"/>
              </w:rPr>
            </w:pPr>
            <w:r>
              <w:rPr>
                <w:rFonts w:hint="default" w:ascii="宋体" w:cs="宋体"/>
                <w:color w:val="auto"/>
                <w:szCs w:val="21"/>
                <w:highlight w:val="none"/>
                <w:lang w:val="en-US" w:eastAsia="zh-CN"/>
              </w:rPr>
              <w:t>⑧旅游线路的踩点、发布与推广；邀请旅游线路推荐官；线路策划设计。</w:t>
            </w:r>
          </w:p>
        </w:tc>
      </w:tr>
      <w:tr w14:paraId="2E0C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22A0ABEA">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16" w:type="dxa"/>
            <w:gridSpan w:val="2"/>
            <w:vAlign w:val="center"/>
          </w:tcPr>
          <w:p w14:paraId="0F8CC628">
            <w:pPr>
              <w:widowControl/>
              <w:spacing w:line="360" w:lineRule="auto"/>
              <w:jc w:val="center"/>
              <w:rPr>
                <w:rFonts w:ascii="宋体" w:cs="宋体"/>
                <w:color w:val="auto"/>
                <w:szCs w:val="21"/>
                <w:highlight w:val="none"/>
              </w:rPr>
            </w:pPr>
            <w:r>
              <w:rPr>
                <w:rFonts w:hint="eastAsia" w:ascii="宋体" w:cs="宋体"/>
                <w:color w:val="auto"/>
                <w:szCs w:val="21"/>
                <w:highlight w:val="none"/>
                <w:lang w:val="en-US" w:eastAsia="zh-CN"/>
              </w:rPr>
              <w:t>全国和全区</w:t>
            </w:r>
            <w:r>
              <w:rPr>
                <w:rFonts w:hint="eastAsia" w:ascii="宋体" w:cs="宋体"/>
                <w:color w:val="auto"/>
                <w:szCs w:val="21"/>
                <w:highlight w:val="none"/>
              </w:rPr>
              <w:t>稻渔精品</w:t>
            </w:r>
            <w:r>
              <w:rPr>
                <w:rFonts w:hint="eastAsia" w:ascii="宋体" w:cs="宋体"/>
                <w:color w:val="auto"/>
                <w:szCs w:val="21"/>
                <w:highlight w:val="none"/>
                <w:lang w:val="en-US" w:eastAsia="zh-CN"/>
              </w:rPr>
              <w:t>推介展位搭建</w:t>
            </w:r>
          </w:p>
        </w:tc>
        <w:tc>
          <w:tcPr>
            <w:tcW w:w="1050" w:type="dxa"/>
            <w:vAlign w:val="center"/>
          </w:tcPr>
          <w:p w14:paraId="106C893A">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441170B4">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7007C1FD">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①展位搭建，包括展区设计及</w:t>
            </w:r>
            <w:r>
              <w:rPr>
                <w:rFonts w:hint="eastAsia" w:ascii="宋体" w:cs="宋体"/>
                <w:color w:val="auto"/>
                <w:szCs w:val="21"/>
                <w:highlight w:val="none"/>
                <w:lang w:val="en-US" w:eastAsia="zh-CN"/>
              </w:rPr>
              <w:t>30</w:t>
            </w:r>
            <w:r>
              <w:rPr>
                <w:rFonts w:hint="default" w:ascii="宋体" w:cs="宋体"/>
                <w:color w:val="auto"/>
                <w:szCs w:val="21"/>
                <w:highlight w:val="none"/>
                <w:lang w:val="en-US" w:eastAsia="zh-CN"/>
              </w:rPr>
              <w:t>个展位图设计排版、背景图喷绘、展区搭建、遮阳布、地毯、1桌2椅、射灯等，每个展位规格3m×3m）；</w:t>
            </w:r>
          </w:p>
          <w:p w14:paraId="14DA7187">
            <w:pPr>
              <w:spacing w:line="360" w:lineRule="auto"/>
              <w:ind w:firstLine="420"/>
              <w:jc w:val="left"/>
              <w:rPr>
                <w:rFonts w:ascii="宋体" w:cs="宋体"/>
                <w:color w:val="auto"/>
                <w:szCs w:val="21"/>
                <w:highlight w:val="none"/>
              </w:rPr>
            </w:pPr>
            <w:r>
              <w:rPr>
                <w:rFonts w:hint="default" w:ascii="宋体" w:cs="宋体"/>
                <w:color w:val="auto"/>
                <w:szCs w:val="21"/>
                <w:highlight w:val="none"/>
                <w:lang w:val="en-US" w:eastAsia="zh-CN"/>
              </w:rPr>
              <w:t>②临时电路铺设与管理。</w:t>
            </w:r>
          </w:p>
        </w:tc>
      </w:tr>
      <w:tr w14:paraId="1D2E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311B2C29">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16" w:type="dxa"/>
            <w:gridSpan w:val="2"/>
            <w:vAlign w:val="center"/>
          </w:tcPr>
          <w:p w14:paraId="7B69D0EA">
            <w:pPr>
              <w:widowControl/>
              <w:spacing w:line="360" w:lineRule="auto"/>
              <w:jc w:val="center"/>
              <w:rPr>
                <w:rFonts w:ascii="宋体" w:cs="宋体"/>
                <w:color w:val="auto"/>
                <w:szCs w:val="21"/>
                <w:highlight w:val="none"/>
              </w:rPr>
            </w:pPr>
            <w:r>
              <w:rPr>
                <w:rFonts w:hint="eastAsia" w:ascii="宋体" w:cs="宋体"/>
                <w:color w:val="auto"/>
                <w:szCs w:val="21"/>
                <w:highlight w:val="none"/>
              </w:rPr>
              <w:t>融水地方特色产品推介</w:t>
            </w:r>
            <w:r>
              <w:rPr>
                <w:rFonts w:hint="eastAsia" w:ascii="宋体" w:cs="宋体"/>
                <w:color w:val="auto"/>
                <w:szCs w:val="21"/>
                <w:highlight w:val="none"/>
                <w:lang w:val="en-US" w:eastAsia="zh-CN"/>
              </w:rPr>
              <w:t>展位搭建</w:t>
            </w:r>
          </w:p>
        </w:tc>
        <w:tc>
          <w:tcPr>
            <w:tcW w:w="1050" w:type="dxa"/>
            <w:vAlign w:val="center"/>
          </w:tcPr>
          <w:p w14:paraId="59E930F6">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41EF6743">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36EFF2AB">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①展位搭建，包括展区设计及</w:t>
            </w:r>
            <w:r>
              <w:rPr>
                <w:rFonts w:hint="eastAsia" w:ascii="宋体" w:cs="宋体"/>
                <w:color w:val="auto"/>
                <w:szCs w:val="21"/>
                <w:highlight w:val="none"/>
                <w:lang w:val="en-US" w:eastAsia="zh-CN"/>
              </w:rPr>
              <w:t>20</w:t>
            </w:r>
            <w:r>
              <w:rPr>
                <w:rFonts w:hint="default" w:ascii="宋体" w:cs="宋体"/>
                <w:color w:val="auto"/>
                <w:szCs w:val="21"/>
                <w:highlight w:val="none"/>
                <w:lang w:val="en-US" w:eastAsia="zh-CN"/>
              </w:rPr>
              <w:t>个展位图设计排版、背景图喷绘、展区搭建、遮阳布、地毯、1桌2椅、射灯等，每个展位规格3m×3m）；</w:t>
            </w:r>
          </w:p>
          <w:p w14:paraId="1F5D6724">
            <w:pPr>
              <w:spacing w:line="360" w:lineRule="auto"/>
              <w:ind w:firstLine="420"/>
              <w:jc w:val="left"/>
              <w:rPr>
                <w:rFonts w:ascii="宋体" w:cs="宋体"/>
                <w:color w:val="auto"/>
                <w:szCs w:val="21"/>
                <w:highlight w:val="none"/>
              </w:rPr>
            </w:pPr>
            <w:r>
              <w:rPr>
                <w:rFonts w:hint="default" w:ascii="宋体" w:cs="宋体"/>
                <w:color w:val="auto"/>
                <w:szCs w:val="21"/>
                <w:highlight w:val="none"/>
                <w:lang w:val="en-US" w:eastAsia="zh-CN"/>
              </w:rPr>
              <w:t>②临时电路铺设与管理。</w:t>
            </w:r>
          </w:p>
        </w:tc>
      </w:tr>
      <w:tr w14:paraId="4B9D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254C3B6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16" w:type="dxa"/>
            <w:gridSpan w:val="2"/>
            <w:vAlign w:val="center"/>
          </w:tcPr>
          <w:p w14:paraId="292A72F5">
            <w:pPr>
              <w:widowControl/>
              <w:spacing w:line="360" w:lineRule="auto"/>
              <w:jc w:val="center"/>
              <w:rPr>
                <w:rFonts w:ascii="宋体" w:cs="宋体"/>
                <w:color w:val="auto"/>
                <w:szCs w:val="21"/>
                <w:highlight w:val="none"/>
              </w:rPr>
            </w:pPr>
            <w:r>
              <w:rPr>
                <w:rFonts w:hint="eastAsia" w:ascii="宋体" w:cs="宋体"/>
                <w:color w:val="auto"/>
                <w:szCs w:val="21"/>
                <w:highlight w:val="none"/>
              </w:rPr>
              <w:t>粤桂协作专场</w:t>
            </w:r>
            <w:r>
              <w:rPr>
                <w:rFonts w:hint="eastAsia" w:ascii="宋体" w:cs="宋体"/>
                <w:color w:val="auto"/>
                <w:szCs w:val="21"/>
                <w:highlight w:val="none"/>
                <w:lang w:val="en-US" w:eastAsia="zh-CN"/>
              </w:rPr>
              <w:t>展位搭建</w:t>
            </w:r>
          </w:p>
        </w:tc>
        <w:tc>
          <w:tcPr>
            <w:tcW w:w="1050" w:type="dxa"/>
            <w:vAlign w:val="center"/>
          </w:tcPr>
          <w:p w14:paraId="1455511E">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39D31340">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5E0CD111">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①</w:t>
            </w:r>
            <w:r>
              <w:rPr>
                <w:rFonts w:hint="eastAsia" w:ascii="宋体" w:cs="宋体"/>
                <w:color w:val="auto"/>
                <w:szCs w:val="21"/>
                <w:highlight w:val="none"/>
                <w:lang w:val="en-US" w:eastAsia="zh-CN"/>
              </w:rPr>
              <w:t>特装展示区</w:t>
            </w:r>
            <w:r>
              <w:rPr>
                <w:rFonts w:hint="default" w:ascii="宋体" w:cs="宋体"/>
                <w:color w:val="auto"/>
                <w:szCs w:val="21"/>
                <w:highlight w:val="none"/>
                <w:lang w:val="en-US" w:eastAsia="zh-CN"/>
              </w:rPr>
              <w:t>搭建（</w:t>
            </w:r>
            <w:r>
              <w:rPr>
                <w:rFonts w:hint="eastAsia" w:ascii="宋体" w:cs="宋体"/>
                <w:color w:val="auto"/>
                <w:szCs w:val="21"/>
                <w:highlight w:val="none"/>
                <w:lang w:val="en-US" w:eastAsia="zh-CN"/>
              </w:rPr>
              <w:t>面积8</w:t>
            </w:r>
            <w:r>
              <w:rPr>
                <w:rFonts w:hint="default" w:ascii="宋体" w:cs="宋体"/>
                <w:color w:val="auto"/>
                <w:szCs w:val="21"/>
                <w:highlight w:val="none"/>
                <w:lang w:val="en-US" w:eastAsia="zh-CN"/>
              </w:rPr>
              <w:t>0㎡，包括展区设计及展位图设计排版、背景图喷绘、展区搭建、遮阳布、地毯、1桌2椅、射灯等）；</w:t>
            </w:r>
          </w:p>
          <w:p w14:paraId="495376D6">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②宣传物料制作；</w:t>
            </w:r>
          </w:p>
          <w:p w14:paraId="52299238">
            <w:pPr>
              <w:spacing w:line="360" w:lineRule="auto"/>
              <w:ind w:firstLine="420"/>
              <w:jc w:val="left"/>
              <w:rPr>
                <w:rFonts w:ascii="宋体" w:cs="宋体"/>
                <w:color w:val="auto"/>
                <w:szCs w:val="21"/>
                <w:highlight w:val="none"/>
              </w:rPr>
            </w:pPr>
            <w:r>
              <w:rPr>
                <w:rFonts w:hint="default" w:ascii="宋体" w:cs="宋体"/>
                <w:color w:val="auto"/>
                <w:szCs w:val="21"/>
                <w:highlight w:val="none"/>
                <w:lang w:val="en-US" w:eastAsia="zh-CN"/>
              </w:rPr>
              <w:t>③</w:t>
            </w:r>
            <w:r>
              <w:rPr>
                <w:rFonts w:hint="eastAsia" w:ascii="宋体" w:cs="宋体"/>
                <w:color w:val="auto"/>
                <w:szCs w:val="21"/>
                <w:highlight w:val="none"/>
                <w:lang w:val="en-US" w:eastAsia="zh-CN"/>
              </w:rPr>
              <w:t>粤桂协作企业</w:t>
            </w:r>
            <w:r>
              <w:rPr>
                <w:rFonts w:hint="default" w:ascii="宋体" w:cs="宋体"/>
                <w:color w:val="auto"/>
                <w:szCs w:val="21"/>
                <w:highlight w:val="none"/>
                <w:lang w:val="en-US" w:eastAsia="zh-CN"/>
              </w:rPr>
              <w:t>邀约</w:t>
            </w:r>
            <w:r>
              <w:rPr>
                <w:rFonts w:hint="eastAsia" w:ascii="宋体" w:cs="宋体"/>
                <w:color w:val="auto"/>
                <w:szCs w:val="21"/>
                <w:highlight w:val="none"/>
                <w:lang w:val="en-US" w:eastAsia="zh-CN"/>
              </w:rPr>
              <w:t>。</w:t>
            </w:r>
          </w:p>
        </w:tc>
      </w:tr>
      <w:tr w14:paraId="6849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36C9099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16" w:type="dxa"/>
            <w:gridSpan w:val="2"/>
            <w:vAlign w:val="center"/>
          </w:tcPr>
          <w:p w14:paraId="7B396830">
            <w:pPr>
              <w:widowControl/>
              <w:spacing w:line="360" w:lineRule="auto"/>
              <w:jc w:val="center"/>
              <w:rPr>
                <w:rFonts w:ascii="宋体" w:cs="宋体"/>
                <w:color w:val="auto"/>
                <w:szCs w:val="21"/>
                <w:highlight w:val="none"/>
              </w:rPr>
            </w:pPr>
            <w:r>
              <w:rPr>
                <w:rFonts w:hint="eastAsia" w:ascii="宋体" w:cs="宋体"/>
                <w:color w:val="auto"/>
                <w:szCs w:val="21"/>
                <w:highlight w:val="none"/>
              </w:rPr>
              <w:t>“赋码上市”与宣传物料</w:t>
            </w:r>
          </w:p>
        </w:tc>
        <w:tc>
          <w:tcPr>
            <w:tcW w:w="1050" w:type="dxa"/>
            <w:vAlign w:val="center"/>
          </w:tcPr>
          <w:p w14:paraId="3DACD2CC">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44858342">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2E449333">
            <w:pPr>
              <w:spacing w:line="360" w:lineRule="auto"/>
              <w:ind w:firstLine="420"/>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①“赋码上市”及质量安全检测；</w:t>
            </w:r>
          </w:p>
          <w:p w14:paraId="5D8F731C">
            <w:pPr>
              <w:spacing w:line="360" w:lineRule="auto"/>
              <w:ind w:firstLine="420"/>
              <w:jc w:val="left"/>
              <w:rPr>
                <w:rFonts w:ascii="宋体" w:cs="宋体"/>
                <w:color w:val="auto"/>
                <w:szCs w:val="21"/>
                <w:highlight w:val="none"/>
              </w:rPr>
            </w:pPr>
            <w:r>
              <w:rPr>
                <w:rFonts w:hint="default" w:ascii="宋体" w:cs="宋体"/>
                <w:color w:val="auto"/>
                <w:szCs w:val="21"/>
                <w:highlight w:val="none"/>
                <w:lang w:val="en-US" w:eastAsia="zh-CN"/>
              </w:rPr>
              <w:t>②物料宣传（3</w:t>
            </w:r>
            <w:r>
              <w:rPr>
                <w:rFonts w:hint="eastAsia" w:ascii="宋体" w:cs="宋体"/>
                <w:color w:val="auto"/>
                <w:szCs w:val="21"/>
                <w:highlight w:val="none"/>
                <w:lang w:val="en-US" w:eastAsia="zh-CN"/>
              </w:rPr>
              <w:t>5</w:t>
            </w:r>
            <w:r>
              <w:rPr>
                <w:rFonts w:hint="default" w:ascii="宋体" w:cs="宋体"/>
                <w:color w:val="auto"/>
                <w:szCs w:val="21"/>
                <w:highlight w:val="none"/>
                <w:lang w:val="en-US" w:eastAsia="zh-CN"/>
              </w:rPr>
              <w:t>0份）</w:t>
            </w:r>
            <w:r>
              <w:rPr>
                <w:rFonts w:hint="eastAsia" w:ascii="宋体" w:cs="宋体"/>
                <w:color w:val="auto"/>
                <w:szCs w:val="21"/>
                <w:highlight w:val="none"/>
                <w:lang w:val="en-US" w:eastAsia="zh-CN"/>
              </w:rPr>
              <w:t>。</w:t>
            </w:r>
          </w:p>
        </w:tc>
      </w:tr>
      <w:tr w14:paraId="07FB7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bottom w:val="single" w:color="auto" w:sz="4" w:space="0"/>
            </w:tcBorders>
          </w:tcPr>
          <w:p w14:paraId="7B900D3A">
            <w:pPr>
              <w:spacing w:line="360" w:lineRule="auto"/>
              <w:rPr>
                <w:rFonts w:ascii="宋体" w:cs="宋体"/>
                <w:color w:val="auto"/>
                <w:szCs w:val="21"/>
                <w:highlight w:val="none"/>
              </w:rPr>
            </w:pPr>
            <w:r>
              <w:rPr>
                <w:rFonts w:hint="eastAsia" w:ascii="宋体" w:hAnsi="宋体" w:cs="宋体"/>
                <w:b/>
                <w:color w:val="auto"/>
                <w:szCs w:val="21"/>
                <w:highlight w:val="none"/>
              </w:rPr>
              <w:t>商务要求</w:t>
            </w:r>
          </w:p>
        </w:tc>
      </w:tr>
      <w:tr w14:paraId="2A3F6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026C57CD">
            <w:pPr>
              <w:spacing w:line="360" w:lineRule="auto"/>
              <w:jc w:val="center"/>
              <w:rPr>
                <w:rFonts w:ascii="宋体" w:cs="宋体"/>
                <w:color w:val="auto"/>
                <w:kern w:val="0"/>
                <w:sz w:val="28"/>
                <w:szCs w:val="28"/>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磋商报价要求</w:t>
            </w:r>
          </w:p>
        </w:tc>
        <w:tc>
          <w:tcPr>
            <w:tcW w:w="7614" w:type="dxa"/>
            <w:gridSpan w:val="4"/>
            <w:tcBorders>
              <w:top w:val="single" w:color="auto" w:sz="4" w:space="0"/>
              <w:left w:val="single" w:color="auto" w:sz="4" w:space="0"/>
              <w:bottom w:val="single" w:color="auto" w:sz="4" w:space="0"/>
            </w:tcBorders>
            <w:vAlign w:val="center"/>
          </w:tcPr>
          <w:p w14:paraId="5CEE9D1B">
            <w:pPr>
              <w:pStyle w:val="15"/>
              <w:spacing w:line="360" w:lineRule="auto"/>
              <w:rPr>
                <w:rFonts w:ascii="宋体" w:cs="宋体"/>
                <w:color w:val="auto"/>
                <w:kern w:val="0"/>
                <w:szCs w:val="21"/>
                <w:highlight w:val="none"/>
              </w:rPr>
            </w:pPr>
            <w:r>
              <w:rPr>
                <w:rFonts w:hint="eastAsia" w:ascii="宋体" w:hAnsi="宋体" w:cs="宋体"/>
                <w:color w:val="auto"/>
                <w:highlight w:val="none"/>
              </w:rPr>
              <w:t>本项目实行总承包报价，报价包括场地布置、</w:t>
            </w:r>
            <w:r>
              <w:rPr>
                <w:rFonts w:hint="eastAsia" w:ascii="宋体" w:hAnsi="宋体" w:cs="宋体"/>
                <w:color w:val="auto"/>
                <w:highlight w:val="none"/>
                <w:lang w:val="en-US" w:eastAsia="zh-CN"/>
              </w:rPr>
              <w:t>物资</w:t>
            </w:r>
            <w:r>
              <w:rPr>
                <w:rFonts w:hint="eastAsia" w:ascii="宋体" w:hAnsi="宋体" w:cs="宋体"/>
                <w:color w:val="auto"/>
                <w:highlight w:val="none"/>
              </w:rPr>
              <w:t>、验收</w:t>
            </w:r>
            <w:r>
              <w:rPr>
                <w:rFonts w:hint="eastAsia" w:ascii="宋体" w:hAnsi="宋体" w:cs="宋体"/>
                <w:color w:val="auto"/>
                <w:highlight w:val="none"/>
                <w:lang w:eastAsia="zh-CN"/>
              </w:rPr>
              <w:t>、</w:t>
            </w:r>
            <w:r>
              <w:rPr>
                <w:rFonts w:hint="eastAsia" w:ascii="宋体" w:hAnsi="宋体" w:cs="宋体"/>
                <w:color w:val="auto"/>
                <w:highlight w:val="none"/>
              </w:rPr>
              <w:t>活动策划执行费以及实施过程中的应预见和不可预见的费用等。供应商必须考虑本项目在实施期间的一切可能产生费用。在本项目实施过程中，磋商总价不予调整，采购人不再支付成交价格以外的任何费用。</w:t>
            </w:r>
          </w:p>
        </w:tc>
      </w:tr>
      <w:tr w14:paraId="0D618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6E5DFE39">
            <w:pPr>
              <w:spacing w:line="300" w:lineRule="exact"/>
              <w:jc w:val="center"/>
              <w:rPr>
                <w:rFonts w:ascii="宋体" w:cs="宋体"/>
                <w:color w:val="auto"/>
                <w:szCs w:val="21"/>
                <w:highlight w:val="none"/>
              </w:rPr>
            </w:pPr>
            <w:r>
              <w:rPr>
                <w:rFonts w:hint="eastAsia" w:ascii="宋体" w:hAnsi="宋体" w:cs="宋体"/>
                <w:color w:val="auto"/>
                <w:szCs w:val="21"/>
                <w:highlight w:val="none"/>
              </w:rPr>
              <w:t>▲合同履约期限和地点</w:t>
            </w:r>
          </w:p>
        </w:tc>
        <w:tc>
          <w:tcPr>
            <w:tcW w:w="7614" w:type="dxa"/>
            <w:gridSpan w:val="4"/>
            <w:tcBorders>
              <w:top w:val="single" w:color="auto" w:sz="4" w:space="0"/>
              <w:left w:val="single" w:color="auto" w:sz="4" w:space="0"/>
              <w:bottom w:val="single" w:color="auto" w:sz="4" w:space="0"/>
            </w:tcBorders>
            <w:vAlign w:val="center"/>
          </w:tcPr>
          <w:p w14:paraId="561D588F">
            <w:pPr>
              <w:spacing w:line="360" w:lineRule="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合同履约期限：自合同签订之日起至本项目活动结束（本项目活动时间暂定2025年10月17日-10月18日，具体由采购人另行通知）。</w:t>
            </w:r>
          </w:p>
          <w:p w14:paraId="48A61D16">
            <w:pPr>
              <w:spacing w:line="360" w:lineRule="auto"/>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地点：南宁市、柳州市融水县。</w:t>
            </w:r>
          </w:p>
        </w:tc>
      </w:tr>
      <w:tr w14:paraId="1883A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1BBD32E3">
            <w:pPr>
              <w:spacing w:line="360" w:lineRule="auto"/>
              <w:jc w:val="center"/>
              <w:rPr>
                <w:rFonts w:ascii="宋体" w:cs="宋体"/>
                <w:b/>
                <w:color w:val="auto"/>
                <w:szCs w:val="21"/>
                <w:highlight w:val="none"/>
              </w:rPr>
            </w:pPr>
            <w:r>
              <w:rPr>
                <w:rFonts w:hint="eastAsia" w:ascii="宋体" w:hAnsi="宋体" w:cs="宋体"/>
                <w:color w:val="auto"/>
                <w:szCs w:val="21"/>
                <w:highlight w:val="none"/>
              </w:rPr>
              <w:t>▲付款条件</w:t>
            </w:r>
          </w:p>
        </w:tc>
        <w:tc>
          <w:tcPr>
            <w:tcW w:w="7614" w:type="dxa"/>
            <w:gridSpan w:val="4"/>
            <w:tcBorders>
              <w:top w:val="single" w:color="auto" w:sz="4" w:space="0"/>
              <w:left w:val="single" w:color="auto" w:sz="4" w:space="0"/>
              <w:bottom w:val="single" w:color="auto" w:sz="4" w:space="0"/>
            </w:tcBorders>
            <w:vAlign w:val="center"/>
          </w:tcPr>
          <w:p w14:paraId="1B6B7C17">
            <w:pPr>
              <w:spacing w:line="360" w:lineRule="auto"/>
              <w:rPr>
                <w:color w:val="auto"/>
                <w:highlight w:val="none"/>
              </w:rPr>
            </w:pPr>
            <w:r>
              <w:rPr>
                <w:rFonts w:hint="eastAsia" w:ascii="宋体" w:hAnsi="宋体" w:cs="宋体"/>
                <w:color w:val="auto"/>
                <w:highlight w:val="none"/>
              </w:rPr>
              <w:t>自合同签订之日起10个工作日内，采购人向成交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rPr>
              <w:t>支付</w:t>
            </w:r>
            <w:r>
              <w:rPr>
                <w:rFonts w:hint="eastAsia" w:ascii="宋体" w:hAnsi="宋体" w:cs="宋体"/>
                <w:color w:val="auto"/>
                <w:highlight w:val="none"/>
                <w:lang w:val="en-US" w:eastAsia="zh-CN"/>
              </w:rPr>
              <w:t>4</w:t>
            </w:r>
            <w:r>
              <w:rPr>
                <w:rFonts w:hint="eastAsia" w:ascii="宋体" w:hAnsi="宋体" w:cs="宋体"/>
                <w:color w:val="auto"/>
                <w:highlight w:val="none"/>
              </w:rPr>
              <w:t>0%合同预付款</w:t>
            </w:r>
            <w:r>
              <w:rPr>
                <w:rFonts w:hint="eastAsia" w:ascii="宋体" w:hAnsi="宋体" w:cs="宋体"/>
                <w:color w:val="auto"/>
                <w:highlight w:val="none"/>
                <w:lang w:eastAsia="zh-CN"/>
              </w:rPr>
              <w:t>，成交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按采购人要求完成服务工作，经采购人验收通过后，采购人向成交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支付剩余</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0%合同款</w:t>
            </w:r>
            <w:r>
              <w:rPr>
                <w:rFonts w:hint="eastAsia" w:ascii="宋体" w:hAnsi="宋体" w:cs="宋体"/>
                <w:color w:val="auto"/>
                <w:highlight w:val="none"/>
                <w:lang w:val="en-US" w:eastAsia="zh-CN"/>
              </w:rPr>
              <w:t>。采购人每次向成交供应商付款前，成交供应商开具正式等额增值税发票给采购人。</w:t>
            </w:r>
          </w:p>
        </w:tc>
      </w:tr>
      <w:tr w14:paraId="2E145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100" w:type="dxa"/>
            <w:gridSpan w:val="2"/>
            <w:tcBorders>
              <w:top w:val="single" w:color="auto" w:sz="4" w:space="0"/>
              <w:bottom w:val="single" w:color="auto" w:sz="4" w:space="0"/>
              <w:right w:val="single" w:color="auto" w:sz="4" w:space="0"/>
            </w:tcBorders>
            <w:vAlign w:val="center"/>
          </w:tcPr>
          <w:p w14:paraId="78D85730">
            <w:pPr>
              <w:pStyle w:val="13"/>
              <w:spacing w:line="360" w:lineRule="auto"/>
              <w:jc w:val="both"/>
              <w:rPr>
                <w:rFonts w:ascii="宋体" w:cs="宋体"/>
                <w:color w:val="auto"/>
                <w:szCs w:val="21"/>
                <w:highlight w:val="none"/>
              </w:rPr>
            </w:pPr>
            <w:r>
              <w:rPr>
                <w:rFonts w:hint="eastAsia" w:ascii="宋体" w:hAnsi="宋体"/>
                <w:color w:val="auto"/>
                <w:szCs w:val="21"/>
                <w:highlight w:val="none"/>
              </w:rPr>
              <w:t>服务及其他要求</w:t>
            </w:r>
          </w:p>
        </w:tc>
        <w:tc>
          <w:tcPr>
            <w:tcW w:w="7614" w:type="dxa"/>
            <w:gridSpan w:val="4"/>
            <w:tcBorders>
              <w:top w:val="single" w:color="auto" w:sz="4" w:space="0"/>
              <w:left w:val="single" w:color="auto" w:sz="4" w:space="0"/>
              <w:bottom w:val="single" w:color="auto" w:sz="4" w:space="0"/>
            </w:tcBorders>
            <w:vAlign w:val="center"/>
          </w:tcPr>
          <w:p w14:paraId="186789AF">
            <w:pPr>
              <w:spacing w:line="360" w:lineRule="auto"/>
              <w:rPr>
                <w:rFonts w:hint="eastAsia" w:ascii="宋体" w:hAnsi="宋体" w:cs="宋体"/>
                <w:color w:val="auto"/>
                <w:highlight w:val="none"/>
              </w:rPr>
            </w:pPr>
            <w:r>
              <w:rPr>
                <w:rFonts w:hint="eastAsia" w:ascii="宋体" w:hAnsi="宋体" w:cs="宋体"/>
                <w:color w:val="auto"/>
                <w:highlight w:val="none"/>
              </w:rPr>
              <w:t>▲1、供应商请在响应文件中提供针对本项目制定的实施方案。</w:t>
            </w:r>
          </w:p>
          <w:p w14:paraId="5D047CC0">
            <w:pPr>
              <w:spacing w:line="360" w:lineRule="auto"/>
              <w:rPr>
                <w:rFonts w:hint="eastAsia" w:ascii="宋体" w:hAnsi="宋体" w:cs="宋体"/>
                <w:color w:val="auto"/>
                <w:highlight w:val="none"/>
              </w:rPr>
            </w:pPr>
            <w:r>
              <w:rPr>
                <w:rFonts w:hint="eastAsia" w:ascii="宋体" w:hAnsi="宋体" w:cs="宋体"/>
                <w:color w:val="auto"/>
                <w:highlight w:val="none"/>
              </w:rPr>
              <w:t>2、成交供应商自行承担在组织项目服务过程中因侵犯他人知识产权或自身原因产生的法律纠纷和责任并妥善处理，采购人不承担任何责任。</w:t>
            </w:r>
          </w:p>
          <w:p w14:paraId="143C0298">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供应商须确保响应文件中的人员信息真实、有效。成交供应商不得将项目非法分包或转包给任何单位和个人，否则釆购人有权即刻终止合同，并要求成交供应商赔偿相应损失。</w:t>
            </w:r>
          </w:p>
          <w:p w14:paraId="4CDBEE85">
            <w:pPr>
              <w:spacing w:line="360" w:lineRule="auto"/>
              <w:rPr>
                <w:rFonts w:ascii="宋体" w:cs="宋体"/>
                <w:bCs/>
                <w:color w:val="auto"/>
                <w:szCs w:val="22"/>
                <w:highlight w:val="none"/>
              </w:rPr>
            </w:pPr>
            <w:r>
              <w:rPr>
                <w:rFonts w:hint="eastAsia" w:ascii="宋体" w:hAnsi="宋体" w:cs="宋体"/>
                <w:color w:val="auto"/>
                <w:highlight w:val="none"/>
                <w:lang w:val="en-US" w:eastAsia="zh-CN"/>
              </w:rPr>
              <w:t>4、供应商须为本项目服务实施投入充足的服务人员，并确保响应文件中的人员信息真实、有效。</w:t>
            </w:r>
          </w:p>
        </w:tc>
      </w:tr>
    </w:tbl>
    <w:p w14:paraId="7A9BB6F4">
      <w:pPr>
        <w:rPr>
          <w:rFonts w:ascii="宋体" w:hAnsi="宋体" w:cs="宋体"/>
          <w:b/>
          <w:color w:val="auto"/>
          <w:szCs w:val="21"/>
          <w:highlight w:val="none"/>
        </w:rPr>
      </w:pPr>
      <w:r>
        <w:rPr>
          <w:rFonts w:hint="eastAsia" w:ascii="宋体" w:hAnsi="宋体" w:cs="宋体"/>
          <w:b/>
          <w:color w:val="auto"/>
          <w:szCs w:val="21"/>
          <w:highlight w:val="none"/>
        </w:rPr>
        <w:br w:type="page"/>
      </w:r>
    </w:p>
    <w:p w14:paraId="6B8CB2D5">
      <w:pPr>
        <w:spacing w:line="360" w:lineRule="auto"/>
        <w:ind w:firstLine="310" w:firstLineChars="147"/>
        <w:jc w:val="left"/>
        <w:rPr>
          <w:rFonts w:ascii="宋体" w:cs="宋体"/>
          <w:bCs/>
          <w:color w:val="auto"/>
          <w:szCs w:val="21"/>
          <w:highlight w:val="none"/>
          <w:u w:val="single"/>
        </w:rPr>
      </w:pPr>
      <w:r>
        <w:rPr>
          <w:rFonts w:hint="eastAsia" w:ascii="宋体" w:hAnsi="宋体" w:cs="宋体"/>
          <w:b/>
          <w:color w:val="auto"/>
          <w:szCs w:val="21"/>
          <w:highlight w:val="none"/>
        </w:rPr>
        <w:t>分标3</w:t>
      </w:r>
      <w:r>
        <w:rPr>
          <w:rFonts w:ascii="宋体" w:hAnsi="宋体" w:cs="宋体"/>
          <w:b/>
          <w:color w:val="auto"/>
          <w:szCs w:val="21"/>
          <w:highlight w:val="none"/>
        </w:rPr>
        <w:t xml:space="preserve">         </w:t>
      </w:r>
      <w:r>
        <w:rPr>
          <w:rFonts w:hint="eastAsia" w:ascii="宋体" w:hAnsi="宋体" w:cs="宋体"/>
          <w:b/>
          <w:color w:val="auto"/>
          <w:szCs w:val="21"/>
          <w:highlight w:val="none"/>
        </w:rPr>
        <w:t>采购预算：</w:t>
      </w:r>
      <w:r>
        <w:rPr>
          <w:rFonts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36.00</w:t>
      </w:r>
      <w:r>
        <w:rPr>
          <w:rFonts w:hint="eastAsia" w:ascii="宋体" w:hAnsi="宋体"/>
          <w:b/>
          <w:color w:val="auto"/>
          <w:szCs w:val="21"/>
          <w:highlight w:val="none"/>
          <w:u w:val="single"/>
        </w:rPr>
        <w:t>万元</w:t>
      </w:r>
      <w:r>
        <w:rPr>
          <w:rFonts w:ascii="宋体" w:hAnsi="宋体" w:cs="宋体"/>
          <w:b/>
          <w:color w:val="auto"/>
          <w:szCs w:val="21"/>
          <w:highlight w:val="none"/>
          <w:u w:val="single"/>
        </w:rPr>
        <w:t xml:space="preserve"> </w:t>
      </w:r>
      <w:r>
        <w:rPr>
          <w:rFonts w:ascii="宋体" w:hAnsi="宋体" w:cs="宋体"/>
          <w:b/>
          <w:color w:val="auto"/>
          <w:szCs w:val="21"/>
          <w:highlight w:val="none"/>
        </w:rPr>
        <w:t xml:space="preserve">      </w:t>
      </w:r>
      <w:bookmarkStart w:id="151" w:name="_GoBack"/>
      <w:bookmarkEnd w:id="151"/>
    </w:p>
    <w:tbl>
      <w:tblPr>
        <w:tblStyle w:val="33"/>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71"/>
        <w:gridCol w:w="1050"/>
        <w:gridCol w:w="1077"/>
        <w:gridCol w:w="5416"/>
      </w:tblGrid>
      <w:tr w14:paraId="557C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2064D368">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516" w:type="dxa"/>
            <w:gridSpan w:val="2"/>
            <w:vAlign w:val="center"/>
          </w:tcPr>
          <w:p w14:paraId="12011BE6">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标的名称</w:t>
            </w:r>
          </w:p>
        </w:tc>
        <w:tc>
          <w:tcPr>
            <w:tcW w:w="1050" w:type="dxa"/>
            <w:vAlign w:val="center"/>
          </w:tcPr>
          <w:p w14:paraId="041BC253">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数量及单位</w:t>
            </w:r>
          </w:p>
        </w:tc>
        <w:tc>
          <w:tcPr>
            <w:tcW w:w="1077" w:type="dxa"/>
            <w:vAlign w:val="center"/>
          </w:tcPr>
          <w:p w14:paraId="5D0F59A5">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所属</w:t>
            </w:r>
          </w:p>
          <w:p w14:paraId="2846C6DA">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行业</w:t>
            </w:r>
          </w:p>
        </w:tc>
        <w:tc>
          <w:tcPr>
            <w:tcW w:w="5416" w:type="dxa"/>
            <w:vAlign w:val="center"/>
          </w:tcPr>
          <w:p w14:paraId="5AF661A8">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技术要求</w:t>
            </w:r>
          </w:p>
        </w:tc>
      </w:tr>
      <w:tr w14:paraId="41D6C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620EC89F">
            <w:pPr>
              <w:tabs>
                <w:tab w:val="left" w:pos="180"/>
                <w:tab w:val="left" w:pos="1620"/>
              </w:tabs>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1516" w:type="dxa"/>
            <w:gridSpan w:val="2"/>
            <w:vAlign w:val="center"/>
          </w:tcPr>
          <w:p w14:paraId="4479A546">
            <w:pPr>
              <w:widowControl/>
              <w:spacing w:line="360" w:lineRule="auto"/>
              <w:jc w:val="center"/>
              <w:rPr>
                <w:rFonts w:ascii="宋体" w:cs="宋体"/>
                <w:color w:val="auto"/>
                <w:szCs w:val="21"/>
                <w:highlight w:val="none"/>
              </w:rPr>
            </w:pPr>
            <w:r>
              <w:rPr>
                <w:rFonts w:hint="default" w:ascii="宋体" w:cs="宋体"/>
                <w:color w:val="auto"/>
                <w:szCs w:val="21"/>
                <w:highlight w:val="none"/>
                <w:lang w:val="en-US" w:eastAsia="zh-CN"/>
              </w:rPr>
              <w:t>“鱼王”争霸赛</w:t>
            </w:r>
          </w:p>
        </w:tc>
        <w:tc>
          <w:tcPr>
            <w:tcW w:w="1050" w:type="dxa"/>
            <w:vAlign w:val="center"/>
          </w:tcPr>
          <w:p w14:paraId="2136EEA7">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2F52D4BB">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13EDAA01">
            <w:pPr>
              <w:spacing w:line="360" w:lineRule="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 xml:space="preserve">   ①展示场地搭建；</w:t>
            </w:r>
          </w:p>
          <w:p w14:paraId="64B73950">
            <w:pPr>
              <w:spacing w:line="360" w:lineRule="auto"/>
              <w:ind w:firstLine="420" w:firstLineChars="200"/>
              <w:rPr>
                <w:rFonts w:hint="eastAsia" w:ascii="宋体" w:cs="宋体"/>
                <w:color w:val="auto"/>
                <w:szCs w:val="21"/>
                <w:highlight w:val="none"/>
                <w:lang w:val="en-US" w:eastAsia="zh-CN"/>
              </w:rPr>
            </w:pP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2 \* GB3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val="en-US" w:eastAsia="zh-CN"/>
              </w:rPr>
              <w:t>②</w:t>
            </w:r>
            <w:r>
              <w:rPr>
                <w:rFonts w:hint="eastAsia" w:ascii="宋体" w:cs="宋体"/>
                <w:color w:val="auto"/>
                <w:szCs w:val="21"/>
                <w:highlight w:val="none"/>
                <w:lang w:val="en-US" w:eastAsia="zh-CN"/>
              </w:rPr>
              <w:fldChar w:fldCharType="end"/>
            </w:r>
            <w:r>
              <w:rPr>
                <w:rFonts w:hint="eastAsia" w:ascii="宋体" w:cs="宋体"/>
                <w:color w:val="auto"/>
                <w:szCs w:val="21"/>
                <w:highlight w:val="none"/>
                <w:lang w:val="en-US" w:eastAsia="zh-CN"/>
              </w:rPr>
              <w:t>组织专家评审</w:t>
            </w:r>
            <w:r>
              <w:rPr>
                <w:rFonts w:hint="eastAsia" w:ascii="宋体" w:cs="宋体"/>
                <w:color w:val="auto"/>
                <w:szCs w:val="21"/>
                <w:highlight w:val="none"/>
                <w:lang w:val="en-US" w:eastAsia="zh-CN"/>
              </w:rPr>
              <w:t>（专家6名）</w:t>
            </w:r>
            <w:r>
              <w:rPr>
                <w:rFonts w:hint="eastAsia" w:ascii="宋体" w:cs="宋体"/>
                <w:color w:val="auto"/>
                <w:szCs w:val="21"/>
                <w:highlight w:val="none"/>
                <w:lang w:val="en-US" w:eastAsia="zh-CN"/>
              </w:rPr>
              <w:t>；</w:t>
            </w:r>
          </w:p>
          <w:p w14:paraId="2C5AE51E">
            <w:pPr>
              <w:spacing w:line="360" w:lineRule="auto"/>
              <w:ind w:firstLine="420" w:firstLineChars="200"/>
              <w:rPr>
                <w:rFonts w:hint="eastAsia" w:ascii="宋体" w:cs="宋体"/>
                <w:color w:val="auto"/>
                <w:szCs w:val="21"/>
                <w:highlight w:val="none"/>
                <w:lang w:val="en-US" w:eastAsia="zh-CN"/>
              </w:rPr>
            </w:pP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3 \* GB3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val="en-US" w:eastAsia="zh-CN"/>
              </w:rPr>
              <w:t>③</w:t>
            </w:r>
            <w:r>
              <w:rPr>
                <w:rFonts w:hint="eastAsia" w:ascii="宋体" w:cs="宋体"/>
                <w:color w:val="auto"/>
                <w:szCs w:val="21"/>
                <w:highlight w:val="none"/>
                <w:lang w:val="en-US" w:eastAsia="zh-CN"/>
              </w:rPr>
              <w:fldChar w:fldCharType="end"/>
            </w:r>
            <w:r>
              <w:rPr>
                <w:rFonts w:hint="eastAsia" w:ascii="宋体" w:cs="宋体"/>
                <w:color w:val="auto"/>
                <w:szCs w:val="21"/>
                <w:highlight w:val="none"/>
                <w:lang w:val="en-US" w:eastAsia="zh-CN"/>
              </w:rPr>
              <w:t>奖牌、证书制作；</w:t>
            </w:r>
          </w:p>
          <w:p w14:paraId="357DC993">
            <w:pPr>
              <w:spacing w:line="360" w:lineRule="auto"/>
              <w:ind w:firstLine="420" w:firstLineChars="200"/>
              <w:rPr>
                <w:rFonts w:hint="eastAsia" w:ascii="宋体" w:cs="宋体"/>
                <w:color w:val="auto"/>
                <w:szCs w:val="21"/>
                <w:highlight w:val="none"/>
                <w:lang w:val="en-US" w:eastAsia="zh-CN"/>
              </w:rPr>
            </w:pP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4 \* GB3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val="en-US" w:eastAsia="zh-CN"/>
              </w:rPr>
              <w:t>④</w:t>
            </w:r>
            <w:r>
              <w:rPr>
                <w:rFonts w:hint="eastAsia" w:ascii="宋体" w:cs="宋体"/>
                <w:color w:val="auto"/>
                <w:szCs w:val="21"/>
                <w:highlight w:val="none"/>
                <w:lang w:val="en-US" w:eastAsia="zh-CN"/>
              </w:rPr>
              <w:fldChar w:fldCharType="end"/>
            </w:r>
            <w:r>
              <w:rPr>
                <w:rFonts w:hint="eastAsia" w:ascii="宋体" w:cs="宋体"/>
                <w:color w:val="auto"/>
                <w:szCs w:val="21"/>
                <w:highlight w:val="none"/>
                <w:lang w:val="en-US" w:eastAsia="zh-CN"/>
              </w:rPr>
              <w:t>组织地方人员上门测量、初审（15批次）；</w:t>
            </w:r>
          </w:p>
          <w:p w14:paraId="0DE8898B">
            <w:pPr>
              <w:spacing w:line="360" w:lineRule="auto"/>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fldChar w:fldCharType="begin"/>
            </w:r>
            <w:r>
              <w:rPr>
                <w:rFonts w:hint="eastAsia" w:ascii="宋体" w:cs="宋体"/>
                <w:color w:val="auto"/>
                <w:szCs w:val="21"/>
                <w:highlight w:val="none"/>
                <w:lang w:val="en-US" w:eastAsia="zh-CN"/>
              </w:rPr>
              <w:instrText xml:space="preserve"> = 5 \* GB3 \* MERGEFORMAT </w:instrText>
            </w:r>
            <w:r>
              <w:rPr>
                <w:rFonts w:hint="eastAsia" w:ascii="宋体" w:cs="宋体"/>
                <w:color w:val="auto"/>
                <w:szCs w:val="21"/>
                <w:highlight w:val="none"/>
                <w:lang w:val="en-US" w:eastAsia="zh-CN"/>
              </w:rPr>
              <w:fldChar w:fldCharType="separate"/>
            </w:r>
            <w:r>
              <w:rPr>
                <w:rFonts w:hint="eastAsia" w:ascii="宋体" w:cs="宋体"/>
                <w:color w:val="auto"/>
                <w:szCs w:val="21"/>
                <w:highlight w:val="none"/>
                <w:lang w:val="en-US" w:eastAsia="zh-CN"/>
              </w:rPr>
              <w:t>⑤</w:t>
            </w:r>
            <w:r>
              <w:rPr>
                <w:rFonts w:hint="eastAsia" w:ascii="宋体" w:cs="宋体"/>
                <w:color w:val="auto"/>
                <w:szCs w:val="21"/>
                <w:highlight w:val="none"/>
                <w:lang w:val="en-US" w:eastAsia="zh-CN"/>
              </w:rPr>
              <w:fldChar w:fldCharType="end"/>
            </w:r>
            <w:r>
              <w:rPr>
                <w:rFonts w:hint="eastAsia" w:ascii="宋体" w:cs="宋体"/>
                <w:color w:val="auto"/>
                <w:szCs w:val="21"/>
                <w:highlight w:val="none"/>
                <w:lang w:val="en-US" w:eastAsia="zh-CN"/>
              </w:rPr>
              <w:t>水库鱼捕捞、运输、展示（7条大鱼的活体捕捞及运输）。</w:t>
            </w:r>
          </w:p>
        </w:tc>
      </w:tr>
      <w:tr w14:paraId="073E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08C993DB">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16" w:type="dxa"/>
            <w:gridSpan w:val="2"/>
            <w:vAlign w:val="center"/>
          </w:tcPr>
          <w:p w14:paraId="376F0ABC">
            <w:pPr>
              <w:widowControl/>
              <w:spacing w:line="360" w:lineRule="auto"/>
              <w:jc w:val="center"/>
              <w:rPr>
                <w:rFonts w:ascii="宋体" w:cs="宋体"/>
                <w:color w:val="auto"/>
                <w:szCs w:val="21"/>
                <w:highlight w:val="none"/>
              </w:rPr>
            </w:pPr>
            <w:r>
              <w:rPr>
                <w:rFonts w:hint="eastAsia" w:ascii="宋体" w:cs="宋体"/>
                <w:color w:val="auto"/>
                <w:szCs w:val="21"/>
                <w:highlight w:val="none"/>
              </w:rPr>
              <w:t>烹饪大赛</w:t>
            </w:r>
          </w:p>
        </w:tc>
        <w:tc>
          <w:tcPr>
            <w:tcW w:w="1050" w:type="dxa"/>
            <w:vAlign w:val="center"/>
          </w:tcPr>
          <w:p w14:paraId="755362A9">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26F88FDA">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tcPr>
          <w:p w14:paraId="1910A152">
            <w:pPr>
              <w:spacing w:line="360" w:lineRule="auto"/>
              <w:ind w:firstLine="420" w:firstLineChars="200"/>
              <w:rPr>
                <w:rFonts w:ascii="宋体" w:cs="宋体"/>
                <w:color w:val="auto"/>
                <w:szCs w:val="21"/>
                <w:highlight w:val="none"/>
              </w:rPr>
            </w:pPr>
            <w:r>
              <w:rPr>
                <w:rFonts w:hint="eastAsia" w:ascii="宋体" w:cs="宋体"/>
                <w:color w:val="auto"/>
                <w:szCs w:val="21"/>
                <w:highlight w:val="none"/>
                <w:lang w:val="en-US" w:eastAsia="zh-CN"/>
              </w:rPr>
              <w:t>邀请</w:t>
            </w:r>
            <w:r>
              <w:rPr>
                <w:rFonts w:hint="default" w:ascii="宋体" w:cs="宋体"/>
                <w:color w:val="auto"/>
                <w:szCs w:val="21"/>
                <w:highlight w:val="none"/>
                <w:lang w:val="en-US" w:eastAsia="zh-CN"/>
              </w:rPr>
              <w:t>评委（烹饪大师6</w:t>
            </w:r>
            <w:r>
              <w:rPr>
                <w:rFonts w:hint="eastAsia" w:ascii="宋体" w:cs="宋体"/>
                <w:color w:val="auto"/>
                <w:szCs w:val="21"/>
                <w:highlight w:val="none"/>
                <w:lang w:val="en-US" w:eastAsia="zh-CN"/>
              </w:rPr>
              <w:t>名</w:t>
            </w:r>
            <w:r>
              <w:rPr>
                <w:rFonts w:hint="default" w:ascii="宋体" w:cs="宋体"/>
                <w:color w:val="auto"/>
                <w:szCs w:val="21"/>
                <w:highlight w:val="none"/>
                <w:lang w:val="en-US" w:eastAsia="zh-CN"/>
              </w:rPr>
              <w:t>）；场地搭建(操作场地与颁奖）；食材购买；奖牌、证书制作；10支参赛队伍20人住宿；烹饪器皿</w:t>
            </w:r>
            <w:r>
              <w:rPr>
                <w:rFonts w:hint="eastAsia" w:ascii="宋体" w:cs="宋体"/>
                <w:color w:val="auto"/>
                <w:szCs w:val="21"/>
                <w:highlight w:val="none"/>
                <w:lang w:val="en-US" w:eastAsia="zh-CN"/>
              </w:rPr>
              <w:t>准备</w:t>
            </w:r>
            <w:r>
              <w:rPr>
                <w:rFonts w:hint="default" w:ascii="宋体" w:cs="宋体"/>
                <w:color w:val="auto"/>
                <w:szCs w:val="21"/>
                <w:highlight w:val="none"/>
                <w:lang w:val="en-US" w:eastAsia="zh-CN"/>
              </w:rPr>
              <w:t>；</w:t>
            </w:r>
            <w:r>
              <w:rPr>
                <w:rFonts w:hint="eastAsia" w:ascii="宋体" w:cs="宋体"/>
                <w:color w:val="auto"/>
                <w:szCs w:val="21"/>
                <w:highlight w:val="none"/>
                <w:lang w:val="en-US" w:eastAsia="zh-CN"/>
              </w:rPr>
              <w:t>负责</w:t>
            </w:r>
            <w:r>
              <w:rPr>
                <w:rFonts w:hint="default" w:ascii="宋体" w:cs="宋体"/>
                <w:color w:val="auto"/>
                <w:szCs w:val="21"/>
                <w:highlight w:val="none"/>
                <w:lang w:val="en-US" w:eastAsia="zh-CN"/>
              </w:rPr>
              <w:t>评委和工作人员</w:t>
            </w:r>
            <w:r>
              <w:rPr>
                <w:rFonts w:hint="eastAsia" w:ascii="宋体" w:cs="宋体"/>
                <w:color w:val="auto"/>
                <w:szCs w:val="21"/>
                <w:highlight w:val="none"/>
                <w:lang w:val="en-US" w:eastAsia="zh-CN"/>
              </w:rPr>
              <w:t>的交通、</w:t>
            </w:r>
            <w:r>
              <w:rPr>
                <w:rFonts w:hint="default" w:ascii="宋体" w:cs="宋体"/>
                <w:color w:val="auto"/>
                <w:szCs w:val="21"/>
                <w:highlight w:val="none"/>
                <w:lang w:val="en-US" w:eastAsia="zh-CN"/>
              </w:rPr>
              <w:t>住宿</w:t>
            </w:r>
            <w:r>
              <w:rPr>
                <w:rFonts w:hint="eastAsia" w:ascii="宋体" w:cs="宋体"/>
                <w:color w:val="auto"/>
                <w:szCs w:val="21"/>
                <w:highlight w:val="none"/>
                <w:lang w:val="en-US" w:eastAsia="zh-CN"/>
              </w:rPr>
              <w:t>等。</w:t>
            </w:r>
          </w:p>
        </w:tc>
      </w:tr>
      <w:tr w14:paraId="0750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655" w:type="dxa"/>
            <w:vAlign w:val="center"/>
          </w:tcPr>
          <w:p w14:paraId="3691FC3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16" w:type="dxa"/>
            <w:gridSpan w:val="2"/>
            <w:vAlign w:val="center"/>
          </w:tcPr>
          <w:p w14:paraId="693B5434">
            <w:pPr>
              <w:widowControl/>
              <w:spacing w:line="360" w:lineRule="auto"/>
              <w:jc w:val="center"/>
              <w:rPr>
                <w:rFonts w:ascii="宋体" w:cs="宋体"/>
                <w:color w:val="auto"/>
                <w:szCs w:val="21"/>
                <w:highlight w:val="none"/>
              </w:rPr>
            </w:pPr>
            <w:r>
              <w:rPr>
                <w:rFonts w:hint="eastAsia" w:ascii="宋体" w:cs="宋体"/>
                <w:color w:val="auto"/>
                <w:szCs w:val="21"/>
                <w:highlight w:val="none"/>
              </w:rPr>
              <w:t>专家与参展商采购商邀请</w:t>
            </w:r>
          </w:p>
        </w:tc>
        <w:tc>
          <w:tcPr>
            <w:tcW w:w="1050" w:type="dxa"/>
            <w:vAlign w:val="center"/>
          </w:tcPr>
          <w:p w14:paraId="65CC6F5F">
            <w:pPr>
              <w:widowControl/>
              <w:spacing w:line="360" w:lineRule="auto"/>
              <w:jc w:val="center"/>
              <w:rPr>
                <w:rFonts w:ascii="宋体" w:cs="宋体"/>
                <w:color w:val="auto"/>
                <w:szCs w:val="21"/>
                <w:highlight w:val="none"/>
              </w:rPr>
            </w:pPr>
            <w:r>
              <w:rPr>
                <w:rFonts w:hint="eastAsia" w:ascii="宋体" w:cs="宋体"/>
                <w:color w:val="auto"/>
                <w:szCs w:val="21"/>
                <w:highlight w:val="none"/>
              </w:rPr>
              <w:t>1项</w:t>
            </w:r>
          </w:p>
        </w:tc>
        <w:tc>
          <w:tcPr>
            <w:tcW w:w="1077" w:type="dxa"/>
            <w:vAlign w:val="center"/>
          </w:tcPr>
          <w:p w14:paraId="1D6E5E4E">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其他未列明行业</w:t>
            </w:r>
          </w:p>
        </w:tc>
        <w:tc>
          <w:tcPr>
            <w:tcW w:w="5416" w:type="dxa"/>
            <w:vAlign w:val="center"/>
          </w:tcPr>
          <w:p w14:paraId="4FFAB6AC">
            <w:pPr>
              <w:spacing w:line="360" w:lineRule="auto"/>
              <w:rPr>
                <w:rFonts w:ascii="宋体" w:cs="宋体"/>
                <w:color w:val="auto"/>
                <w:szCs w:val="21"/>
                <w:highlight w:val="none"/>
              </w:rPr>
            </w:pPr>
            <w:r>
              <w:rPr>
                <w:rFonts w:hint="default" w:ascii="宋体" w:cs="宋体"/>
                <w:color w:val="auto"/>
                <w:szCs w:val="21"/>
                <w:highlight w:val="none"/>
                <w:lang w:val="en-US" w:eastAsia="zh-CN"/>
              </w:rPr>
              <w:t>邀请专家4</w:t>
            </w:r>
            <w:r>
              <w:rPr>
                <w:rFonts w:hint="eastAsia" w:ascii="宋体" w:cs="宋体"/>
                <w:color w:val="auto"/>
                <w:szCs w:val="21"/>
                <w:highlight w:val="none"/>
                <w:lang w:val="en-US" w:eastAsia="zh-CN"/>
              </w:rPr>
              <w:t>名</w:t>
            </w:r>
            <w:r>
              <w:rPr>
                <w:rFonts w:hint="default" w:ascii="宋体" w:cs="宋体"/>
                <w:color w:val="auto"/>
                <w:szCs w:val="21"/>
                <w:highlight w:val="none"/>
                <w:lang w:val="en-US" w:eastAsia="zh-CN"/>
              </w:rPr>
              <w:t>、企业代表</w:t>
            </w:r>
            <w:r>
              <w:rPr>
                <w:rFonts w:hint="eastAsia" w:ascii="宋体" w:cs="宋体"/>
                <w:color w:val="auto"/>
                <w:szCs w:val="21"/>
                <w:highlight w:val="none"/>
                <w:lang w:val="en-US" w:eastAsia="zh-CN"/>
              </w:rPr>
              <w:t>11名以上</w:t>
            </w:r>
            <w:r>
              <w:rPr>
                <w:rFonts w:hint="default" w:ascii="宋体" w:cs="宋体"/>
                <w:color w:val="auto"/>
                <w:szCs w:val="21"/>
                <w:highlight w:val="none"/>
                <w:lang w:val="en-US" w:eastAsia="zh-CN"/>
              </w:rPr>
              <w:t>、采购商</w:t>
            </w:r>
            <w:r>
              <w:rPr>
                <w:rFonts w:hint="eastAsia" w:ascii="宋体" w:cs="宋体"/>
                <w:color w:val="auto"/>
                <w:szCs w:val="21"/>
                <w:highlight w:val="none"/>
                <w:lang w:val="en-US" w:eastAsia="zh-CN"/>
              </w:rPr>
              <w:t>5名以上。</w:t>
            </w:r>
          </w:p>
        </w:tc>
      </w:tr>
      <w:tr w14:paraId="52A0E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bottom w:val="single" w:color="auto" w:sz="4" w:space="0"/>
            </w:tcBorders>
          </w:tcPr>
          <w:p w14:paraId="6BDA30B2">
            <w:pPr>
              <w:spacing w:line="360" w:lineRule="auto"/>
              <w:rPr>
                <w:rFonts w:ascii="宋体" w:cs="宋体"/>
                <w:color w:val="auto"/>
                <w:szCs w:val="21"/>
                <w:highlight w:val="none"/>
              </w:rPr>
            </w:pPr>
            <w:r>
              <w:rPr>
                <w:rFonts w:hint="eastAsia" w:ascii="宋体" w:hAnsi="宋体" w:cs="宋体"/>
                <w:b/>
                <w:color w:val="auto"/>
                <w:szCs w:val="21"/>
                <w:highlight w:val="none"/>
              </w:rPr>
              <w:t>商务要求</w:t>
            </w:r>
          </w:p>
        </w:tc>
      </w:tr>
      <w:tr w14:paraId="0D7CB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23453EE1">
            <w:pPr>
              <w:spacing w:line="360" w:lineRule="auto"/>
              <w:jc w:val="center"/>
              <w:rPr>
                <w:rFonts w:ascii="宋体" w:cs="宋体"/>
                <w:color w:val="auto"/>
                <w:kern w:val="0"/>
                <w:sz w:val="28"/>
                <w:szCs w:val="28"/>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磋商报价要求</w:t>
            </w:r>
          </w:p>
        </w:tc>
        <w:tc>
          <w:tcPr>
            <w:tcW w:w="7614" w:type="dxa"/>
            <w:gridSpan w:val="4"/>
            <w:tcBorders>
              <w:top w:val="single" w:color="auto" w:sz="4" w:space="0"/>
              <w:left w:val="single" w:color="auto" w:sz="4" w:space="0"/>
              <w:bottom w:val="single" w:color="auto" w:sz="4" w:space="0"/>
            </w:tcBorders>
            <w:vAlign w:val="center"/>
          </w:tcPr>
          <w:p w14:paraId="656C370D">
            <w:pPr>
              <w:pStyle w:val="15"/>
              <w:spacing w:line="360" w:lineRule="auto"/>
              <w:rPr>
                <w:rFonts w:ascii="宋体" w:hAnsi="宋体" w:cs="宋体"/>
                <w:color w:val="auto"/>
                <w:highlight w:val="none"/>
              </w:rPr>
            </w:pPr>
            <w:r>
              <w:rPr>
                <w:rFonts w:hint="eastAsia" w:ascii="宋体" w:hAnsi="宋体" w:cs="宋体"/>
                <w:color w:val="auto"/>
                <w:highlight w:val="none"/>
              </w:rPr>
              <w:t>本项目实行总承包报价，报价包括场地布置、</w:t>
            </w:r>
            <w:r>
              <w:rPr>
                <w:rFonts w:hint="eastAsia" w:ascii="宋体" w:hAnsi="宋体" w:cs="宋体"/>
                <w:color w:val="auto"/>
                <w:highlight w:val="none"/>
                <w:lang w:val="en-US" w:eastAsia="zh-CN"/>
              </w:rPr>
              <w:t>物资</w:t>
            </w:r>
            <w:r>
              <w:rPr>
                <w:rFonts w:hint="eastAsia" w:ascii="宋体" w:hAnsi="宋体" w:cs="宋体"/>
                <w:color w:val="auto"/>
                <w:highlight w:val="none"/>
              </w:rPr>
              <w:t>、竞赛组织、交通费、住宿费、餐饮费、验收</w:t>
            </w:r>
            <w:r>
              <w:rPr>
                <w:rFonts w:hint="eastAsia" w:ascii="宋体" w:hAnsi="宋体" w:cs="宋体"/>
                <w:color w:val="auto"/>
                <w:highlight w:val="none"/>
                <w:lang w:eastAsia="zh-CN"/>
              </w:rPr>
              <w:t>、</w:t>
            </w:r>
            <w:r>
              <w:rPr>
                <w:rFonts w:hint="eastAsia" w:ascii="宋体" w:hAnsi="宋体" w:cs="宋体"/>
                <w:color w:val="auto"/>
                <w:highlight w:val="none"/>
              </w:rPr>
              <w:t>活动策划执行费以及实施过程中的应预见和不可预见的费用等。供应商必须考虑本项目在实施期间的一切可能产生费用。在本项目实施过程中，磋商总价不予调整，采购人不再支付成交价格以外的任何费用。</w:t>
            </w:r>
          </w:p>
        </w:tc>
      </w:tr>
      <w:tr w14:paraId="4549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2EC190FE">
            <w:pPr>
              <w:spacing w:line="300" w:lineRule="exact"/>
              <w:jc w:val="center"/>
              <w:rPr>
                <w:rFonts w:ascii="宋体" w:cs="宋体"/>
                <w:color w:val="auto"/>
                <w:szCs w:val="21"/>
                <w:highlight w:val="none"/>
              </w:rPr>
            </w:pPr>
            <w:r>
              <w:rPr>
                <w:rFonts w:hint="eastAsia" w:ascii="宋体" w:hAnsi="宋体" w:cs="宋体"/>
                <w:color w:val="auto"/>
                <w:szCs w:val="21"/>
                <w:highlight w:val="none"/>
              </w:rPr>
              <w:t>▲合同履约期限和地点</w:t>
            </w:r>
          </w:p>
        </w:tc>
        <w:tc>
          <w:tcPr>
            <w:tcW w:w="7614" w:type="dxa"/>
            <w:gridSpan w:val="4"/>
            <w:tcBorders>
              <w:top w:val="single" w:color="auto" w:sz="4" w:space="0"/>
              <w:left w:val="single" w:color="auto" w:sz="4" w:space="0"/>
              <w:bottom w:val="single" w:color="auto" w:sz="4" w:space="0"/>
            </w:tcBorders>
            <w:vAlign w:val="center"/>
          </w:tcPr>
          <w:p w14:paraId="22BC122A">
            <w:pPr>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合同履约期限：自合同签订之日起至本项目活动结束（本项目活动时间暂定2025年10月17日-10月18日，具体由采购人另行通知）。</w:t>
            </w:r>
          </w:p>
          <w:p w14:paraId="3FC6CF05">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地点：南宁市、柳州市融水县。</w:t>
            </w:r>
          </w:p>
        </w:tc>
      </w:tr>
      <w:tr w14:paraId="73FD2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757C4D4E">
            <w:pPr>
              <w:spacing w:line="360" w:lineRule="auto"/>
              <w:jc w:val="center"/>
              <w:rPr>
                <w:rFonts w:ascii="宋体" w:cs="宋体"/>
                <w:b/>
                <w:color w:val="auto"/>
                <w:szCs w:val="21"/>
                <w:highlight w:val="none"/>
              </w:rPr>
            </w:pPr>
            <w:r>
              <w:rPr>
                <w:rFonts w:hint="eastAsia" w:ascii="宋体" w:hAnsi="宋体" w:cs="宋体"/>
                <w:color w:val="auto"/>
                <w:szCs w:val="21"/>
                <w:highlight w:val="none"/>
              </w:rPr>
              <w:t>▲付款条件</w:t>
            </w:r>
          </w:p>
        </w:tc>
        <w:tc>
          <w:tcPr>
            <w:tcW w:w="7614" w:type="dxa"/>
            <w:gridSpan w:val="4"/>
            <w:tcBorders>
              <w:top w:val="single" w:color="auto" w:sz="4" w:space="0"/>
              <w:left w:val="single" w:color="auto" w:sz="4" w:space="0"/>
              <w:bottom w:val="single" w:color="auto" w:sz="4" w:space="0"/>
            </w:tcBorders>
            <w:vAlign w:val="center"/>
          </w:tcPr>
          <w:p w14:paraId="5973E120">
            <w:pPr>
              <w:spacing w:line="360" w:lineRule="auto"/>
              <w:rPr>
                <w:rFonts w:ascii="宋体" w:hAnsi="宋体" w:cs="宋体"/>
                <w:color w:val="auto"/>
                <w:highlight w:val="none"/>
              </w:rPr>
            </w:pPr>
            <w:r>
              <w:rPr>
                <w:rFonts w:hint="eastAsia" w:ascii="宋体" w:hAnsi="宋体" w:cs="宋体"/>
                <w:color w:val="auto"/>
                <w:highlight w:val="none"/>
              </w:rPr>
              <w:t>自合同签订之日起10个工作日内，采购人向成交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rPr>
              <w:t>支付</w:t>
            </w:r>
            <w:r>
              <w:rPr>
                <w:rFonts w:hint="eastAsia" w:ascii="宋体" w:hAnsi="宋体" w:cs="宋体"/>
                <w:color w:val="auto"/>
                <w:highlight w:val="none"/>
                <w:lang w:val="en-US" w:eastAsia="zh-CN"/>
              </w:rPr>
              <w:t>4</w:t>
            </w:r>
            <w:r>
              <w:rPr>
                <w:rFonts w:hint="eastAsia" w:ascii="宋体" w:hAnsi="宋体" w:cs="宋体"/>
                <w:color w:val="auto"/>
                <w:highlight w:val="none"/>
              </w:rPr>
              <w:t>0%合同预付款</w:t>
            </w:r>
            <w:r>
              <w:rPr>
                <w:rFonts w:hint="eastAsia" w:ascii="宋体" w:hAnsi="宋体" w:cs="宋体"/>
                <w:color w:val="auto"/>
                <w:highlight w:val="none"/>
                <w:lang w:eastAsia="zh-CN"/>
              </w:rPr>
              <w:t>，成交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按采购人要求完成服务工作，经采购人验收通过后，采购人向成交</w:t>
            </w:r>
            <w:r>
              <w:rPr>
                <w:rFonts w:hint="eastAsia" w:ascii="宋体" w:hAnsi="宋体" w:cs="宋体"/>
                <w:color w:val="auto"/>
                <w:highlight w:val="none"/>
                <w:lang w:val="en-US" w:eastAsia="zh-CN"/>
              </w:rPr>
              <w:t>供应商</w:t>
            </w:r>
            <w:r>
              <w:rPr>
                <w:rFonts w:hint="eastAsia" w:ascii="宋体" w:hAnsi="宋体" w:cs="宋体"/>
                <w:color w:val="auto"/>
                <w:highlight w:val="none"/>
                <w:lang w:eastAsia="zh-CN"/>
              </w:rPr>
              <w:t>支付剩余</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0%合同款</w:t>
            </w:r>
            <w:r>
              <w:rPr>
                <w:rFonts w:hint="eastAsia" w:ascii="宋体" w:hAnsi="宋体" w:cs="宋体"/>
                <w:color w:val="auto"/>
                <w:highlight w:val="none"/>
                <w:lang w:val="en-US" w:eastAsia="zh-CN"/>
              </w:rPr>
              <w:t>。采购人每次向成交供应商付款前，成交供应商开具正式等额增值税发票给采购人。</w:t>
            </w:r>
          </w:p>
        </w:tc>
      </w:tr>
      <w:tr w14:paraId="1890D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100" w:type="dxa"/>
            <w:gridSpan w:val="2"/>
            <w:tcBorders>
              <w:top w:val="single" w:color="auto" w:sz="4" w:space="0"/>
              <w:bottom w:val="single" w:color="auto" w:sz="4" w:space="0"/>
              <w:right w:val="single" w:color="auto" w:sz="4" w:space="0"/>
            </w:tcBorders>
            <w:vAlign w:val="center"/>
          </w:tcPr>
          <w:p w14:paraId="4EDD2FA1">
            <w:pPr>
              <w:pStyle w:val="13"/>
              <w:spacing w:line="360" w:lineRule="auto"/>
              <w:jc w:val="both"/>
              <w:rPr>
                <w:rFonts w:ascii="宋体" w:cs="宋体"/>
                <w:color w:val="auto"/>
                <w:szCs w:val="21"/>
                <w:highlight w:val="none"/>
              </w:rPr>
            </w:pPr>
            <w:r>
              <w:rPr>
                <w:rFonts w:hint="eastAsia" w:ascii="宋体" w:hAnsi="宋体"/>
                <w:color w:val="auto"/>
                <w:szCs w:val="21"/>
                <w:highlight w:val="none"/>
              </w:rPr>
              <w:t>服务及其他要求</w:t>
            </w:r>
          </w:p>
        </w:tc>
        <w:tc>
          <w:tcPr>
            <w:tcW w:w="7614" w:type="dxa"/>
            <w:gridSpan w:val="4"/>
            <w:tcBorders>
              <w:top w:val="single" w:color="auto" w:sz="4" w:space="0"/>
              <w:left w:val="single" w:color="auto" w:sz="4" w:space="0"/>
              <w:bottom w:val="single" w:color="auto" w:sz="4" w:space="0"/>
            </w:tcBorders>
            <w:vAlign w:val="center"/>
          </w:tcPr>
          <w:p w14:paraId="0156F0ED">
            <w:pPr>
              <w:spacing w:line="360" w:lineRule="auto"/>
              <w:rPr>
                <w:rFonts w:hint="eastAsia" w:ascii="宋体" w:hAnsi="宋体" w:cs="宋体"/>
                <w:color w:val="auto"/>
                <w:highlight w:val="none"/>
              </w:rPr>
            </w:pPr>
            <w:r>
              <w:rPr>
                <w:rFonts w:hint="eastAsia" w:ascii="宋体" w:hAnsi="宋体" w:cs="宋体"/>
                <w:color w:val="auto"/>
                <w:highlight w:val="none"/>
              </w:rPr>
              <w:t>▲1、供应商请在响应文件中提供针对本项目制定的实施方案。</w:t>
            </w:r>
          </w:p>
          <w:p w14:paraId="3BF64DE8">
            <w:pPr>
              <w:spacing w:line="360" w:lineRule="auto"/>
              <w:rPr>
                <w:rFonts w:hint="eastAsia" w:ascii="宋体" w:hAnsi="宋体" w:cs="宋体"/>
                <w:color w:val="auto"/>
                <w:highlight w:val="none"/>
              </w:rPr>
            </w:pPr>
            <w:r>
              <w:rPr>
                <w:rFonts w:hint="eastAsia" w:ascii="宋体" w:hAnsi="宋体" w:cs="宋体"/>
                <w:color w:val="auto"/>
                <w:highlight w:val="none"/>
              </w:rPr>
              <w:t>2、成交供应商自行承担在组织项目服务过程中因侵犯他人知识产权或自身原因产生的法律纠纷和责任并妥善处理，采购人不承担任何责任。</w:t>
            </w:r>
          </w:p>
          <w:p w14:paraId="3DC45F81">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供应商须确保响应文件中的人员信息真实、有效。成交供应商不得将项目非法分包或转包给任何单位和个人，否则釆购人有权即刻终止合同，并要求成交供应商赔偿相应损失。</w:t>
            </w:r>
          </w:p>
          <w:p w14:paraId="47918DAC">
            <w:pPr>
              <w:spacing w:line="360" w:lineRule="auto"/>
              <w:rPr>
                <w:color w:val="auto"/>
              </w:rPr>
            </w:pPr>
            <w:r>
              <w:rPr>
                <w:rFonts w:hint="eastAsia" w:ascii="宋体" w:hAnsi="宋体" w:cs="宋体"/>
                <w:color w:val="auto"/>
                <w:highlight w:val="none"/>
                <w:lang w:val="en-US" w:eastAsia="zh-CN"/>
              </w:rPr>
              <w:t>4、供应商须为本项目服务实施投入充足的服务人员，并确保响应文件中的人员信息真实、有效。</w:t>
            </w:r>
          </w:p>
        </w:tc>
      </w:tr>
    </w:tbl>
    <w:p w14:paraId="04A07B8F">
      <w:pPr>
        <w:rPr>
          <w:rFonts w:hint="eastAsia" w:ascii="宋体" w:hAnsi="宋体" w:cs="宋体"/>
          <w:b/>
          <w:color w:val="auto"/>
          <w:szCs w:val="21"/>
          <w:highlight w:val="none"/>
        </w:rPr>
      </w:pPr>
    </w:p>
    <w:p w14:paraId="543C2F68">
      <w:pPr>
        <w:rPr>
          <w:rFonts w:hint="eastAsia" w:ascii="宋体" w:hAnsi="宋体" w:cs="宋体"/>
          <w:b/>
          <w:color w:val="auto"/>
          <w:szCs w:val="21"/>
          <w:highlight w:val="none"/>
        </w:rPr>
      </w:pPr>
    </w:p>
    <w:p w14:paraId="4DA68406">
      <w:pPr>
        <w:rPr>
          <w:rFonts w:ascii="宋体" w:cs="宋体"/>
          <w:b/>
          <w:color w:val="auto"/>
          <w:szCs w:val="21"/>
          <w:highlight w:val="none"/>
          <w:u w:val="single"/>
        </w:rPr>
      </w:pPr>
      <w:r>
        <w:rPr>
          <w:rFonts w:hint="eastAsia" w:ascii="宋体" w:hAnsi="宋体" w:cs="宋体"/>
          <w:b/>
          <w:color w:val="auto"/>
          <w:szCs w:val="21"/>
          <w:highlight w:val="none"/>
        </w:rPr>
        <w:t>分标4</w:t>
      </w:r>
      <w:r>
        <w:rPr>
          <w:rFonts w:ascii="宋体" w:hAnsi="宋体" w:cs="宋体"/>
          <w:b/>
          <w:color w:val="auto"/>
          <w:szCs w:val="21"/>
          <w:highlight w:val="none"/>
        </w:rPr>
        <w:t xml:space="preserve">         </w:t>
      </w:r>
      <w:r>
        <w:rPr>
          <w:rFonts w:hint="eastAsia" w:ascii="宋体" w:hAnsi="宋体" w:cs="宋体"/>
          <w:b/>
          <w:color w:val="auto"/>
          <w:szCs w:val="21"/>
          <w:highlight w:val="none"/>
        </w:rPr>
        <w:t>采购预算：</w:t>
      </w:r>
      <w:r>
        <w:rPr>
          <w:rFonts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13.00</w:t>
      </w:r>
      <w:r>
        <w:rPr>
          <w:rFonts w:hint="eastAsia" w:ascii="宋体" w:hAnsi="宋体"/>
          <w:b/>
          <w:color w:val="auto"/>
          <w:szCs w:val="21"/>
          <w:highlight w:val="none"/>
          <w:u w:val="single"/>
        </w:rPr>
        <w:t>万元</w:t>
      </w:r>
      <w:r>
        <w:rPr>
          <w:rFonts w:ascii="宋体" w:hAnsi="宋体" w:cs="宋体"/>
          <w:b/>
          <w:color w:val="auto"/>
          <w:szCs w:val="21"/>
          <w:highlight w:val="none"/>
          <w:u w:val="single"/>
        </w:rPr>
        <w:t xml:space="preserve"> </w:t>
      </w:r>
      <w:r>
        <w:rPr>
          <w:rFonts w:ascii="宋体" w:hAnsi="宋体" w:cs="宋体"/>
          <w:b/>
          <w:color w:val="auto"/>
          <w:szCs w:val="21"/>
          <w:highlight w:val="none"/>
        </w:rPr>
        <w:t xml:space="preserve">      </w:t>
      </w:r>
    </w:p>
    <w:tbl>
      <w:tblPr>
        <w:tblStyle w:val="33"/>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71"/>
        <w:gridCol w:w="1050"/>
        <w:gridCol w:w="1077"/>
        <w:gridCol w:w="5416"/>
      </w:tblGrid>
      <w:tr w14:paraId="123C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578D728A">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516" w:type="dxa"/>
            <w:gridSpan w:val="2"/>
            <w:vAlign w:val="center"/>
          </w:tcPr>
          <w:p w14:paraId="5176C7E6">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标的名称</w:t>
            </w:r>
          </w:p>
        </w:tc>
        <w:tc>
          <w:tcPr>
            <w:tcW w:w="1050" w:type="dxa"/>
            <w:vAlign w:val="center"/>
          </w:tcPr>
          <w:p w14:paraId="3C5E1989">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数量及单位</w:t>
            </w:r>
          </w:p>
        </w:tc>
        <w:tc>
          <w:tcPr>
            <w:tcW w:w="1077" w:type="dxa"/>
            <w:vAlign w:val="center"/>
          </w:tcPr>
          <w:p w14:paraId="70A346EA">
            <w:pPr>
              <w:spacing w:line="360" w:lineRule="auto"/>
              <w:ind w:firstLine="308" w:firstLineChars="147"/>
              <w:jc w:val="left"/>
              <w:rPr>
                <w:rFonts w:ascii="宋体" w:hAnsi="宋体" w:cs="宋体"/>
                <w:bCs/>
                <w:color w:val="auto"/>
                <w:szCs w:val="21"/>
                <w:highlight w:val="none"/>
              </w:rPr>
            </w:pPr>
            <w:r>
              <w:rPr>
                <w:rFonts w:hint="eastAsia" w:ascii="宋体" w:hAnsi="宋体" w:cs="宋体"/>
                <w:bCs/>
                <w:color w:val="auto"/>
                <w:szCs w:val="21"/>
                <w:highlight w:val="none"/>
              </w:rPr>
              <w:t>所属</w:t>
            </w:r>
          </w:p>
          <w:p w14:paraId="25C75D33">
            <w:pPr>
              <w:spacing w:line="360" w:lineRule="auto"/>
              <w:ind w:firstLine="308" w:firstLineChars="147"/>
              <w:jc w:val="left"/>
              <w:rPr>
                <w:rFonts w:ascii="宋体" w:cs="宋体"/>
                <w:color w:val="auto"/>
                <w:szCs w:val="21"/>
                <w:highlight w:val="none"/>
              </w:rPr>
            </w:pPr>
            <w:r>
              <w:rPr>
                <w:rFonts w:hint="eastAsia" w:ascii="宋体" w:hAnsi="宋体" w:cs="宋体"/>
                <w:bCs/>
                <w:color w:val="auto"/>
                <w:szCs w:val="21"/>
                <w:highlight w:val="none"/>
              </w:rPr>
              <w:t>行业</w:t>
            </w:r>
          </w:p>
        </w:tc>
        <w:tc>
          <w:tcPr>
            <w:tcW w:w="5416" w:type="dxa"/>
            <w:vAlign w:val="center"/>
          </w:tcPr>
          <w:p w14:paraId="5FD4C00A">
            <w:pPr>
              <w:tabs>
                <w:tab w:val="left" w:pos="180"/>
                <w:tab w:val="left" w:pos="1620"/>
              </w:tabs>
              <w:spacing w:line="320" w:lineRule="exact"/>
              <w:jc w:val="center"/>
              <w:rPr>
                <w:rFonts w:ascii="宋体" w:cs="宋体"/>
                <w:color w:val="auto"/>
                <w:szCs w:val="21"/>
                <w:highlight w:val="none"/>
              </w:rPr>
            </w:pPr>
            <w:r>
              <w:rPr>
                <w:rFonts w:hint="eastAsia" w:ascii="宋体" w:hAnsi="宋体" w:cs="宋体"/>
                <w:color w:val="auto"/>
                <w:szCs w:val="21"/>
                <w:highlight w:val="none"/>
              </w:rPr>
              <w:t>技术要求</w:t>
            </w:r>
          </w:p>
        </w:tc>
      </w:tr>
      <w:tr w14:paraId="159FE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55" w:type="dxa"/>
            <w:vAlign w:val="center"/>
          </w:tcPr>
          <w:p w14:paraId="565C13EC">
            <w:pPr>
              <w:tabs>
                <w:tab w:val="left" w:pos="180"/>
                <w:tab w:val="left" w:pos="1620"/>
              </w:tabs>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1516" w:type="dxa"/>
            <w:gridSpan w:val="2"/>
            <w:vAlign w:val="center"/>
          </w:tcPr>
          <w:p w14:paraId="244D71D0">
            <w:pPr>
              <w:widowControl/>
              <w:spacing w:line="360" w:lineRule="auto"/>
              <w:jc w:val="center"/>
              <w:rPr>
                <w:rFonts w:ascii="宋体" w:cs="宋体"/>
                <w:color w:val="auto"/>
                <w:szCs w:val="21"/>
                <w:highlight w:val="none"/>
              </w:rPr>
            </w:pPr>
            <w:r>
              <w:rPr>
                <w:rFonts w:hint="default" w:ascii="宋体" w:cs="宋体"/>
                <w:color w:val="auto"/>
                <w:szCs w:val="21"/>
                <w:highlight w:val="none"/>
                <w:lang w:val="en-US" w:eastAsia="zh-CN"/>
              </w:rPr>
              <w:t>宣传推广</w:t>
            </w:r>
          </w:p>
        </w:tc>
        <w:tc>
          <w:tcPr>
            <w:tcW w:w="1050" w:type="dxa"/>
            <w:vAlign w:val="center"/>
          </w:tcPr>
          <w:p w14:paraId="6C040907">
            <w:pPr>
              <w:widowControl/>
              <w:spacing w:line="360" w:lineRule="auto"/>
              <w:jc w:val="center"/>
              <w:rPr>
                <w:rFonts w:hint="eastAsia" w:ascii="宋体" w:eastAsia="宋体" w:cs="宋体"/>
                <w:color w:val="auto"/>
                <w:szCs w:val="21"/>
                <w:highlight w:val="none"/>
                <w:lang w:val="en-US" w:eastAsia="zh-CN"/>
              </w:rPr>
            </w:pPr>
            <w:r>
              <w:rPr>
                <w:rFonts w:hint="eastAsia" w:ascii="宋体" w:cs="宋体"/>
                <w:color w:val="auto"/>
                <w:szCs w:val="21"/>
                <w:highlight w:val="none"/>
                <w:lang w:val="en-US" w:eastAsia="zh-CN"/>
              </w:rPr>
              <w:t>1项</w:t>
            </w:r>
          </w:p>
        </w:tc>
        <w:tc>
          <w:tcPr>
            <w:tcW w:w="1077" w:type="dxa"/>
            <w:vAlign w:val="center"/>
          </w:tcPr>
          <w:p w14:paraId="3FA44D26">
            <w:pPr>
              <w:tabs>
                <w:tab w:val="left" w:pos="180"/>
                <w:tab w:val="left" w:pos="1620"/>
              </w:tabs>
              <w:spacing w:line="360" w:lineRule="auto"/>
              <w:jc w:val="center"/>
              <w:rPr>
                <w:rFonts w:ascii="宋体" w:cs="宋体"/>
                <w:color w:val="auto"/>
                <w:szCs w:val="21"/>
                <w:highlight w:val="none"/>
              </w:rPr>
            </w:pPr>
            <w:r>
              <w:rPr>
                <w:rFonts w:hint="eastAsia" w:ascii="宋体" w:cs="宋体"/>
                <w:color w:val="auto"/>
                <w:szCs w:val="21"/>
                <w:highlight w:val="none"/>
              </w:rPr>
              <w:t>租赁和商务服务业</w:t>
            </w:r>
          </w:p>
        </w:tc>
        <w:tc>
          <w:tcPr>
            <w:tcW w:w="5416" w:type="dxa"/>
          </w:tcPr>
          <w:p w14:paraId="133CADD3">
            <w:pPr>
              <w:widowControl w:val="0"/>
              <w:spacing w:line="360" w:lineRule="auto"/>
              <w:ind w:firstLine="420"/>
              <w:jc w:val="both"/>
              <w:rPr>
                <w:rFonts w:hint="eastAsia"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（1）策划与创意。整体宣传及脚本策划及撰写；</w:t>
            </w:r>
          </w:p>
          <w:p w14:paraId="138F3952">
            <w:pPr>
              <w:widowControl w:val="0"/>
              <w:spacing w:line="360" w:lineRule="auto"/>
              <w:ind w:firstLine="420"/>
              <w:jc w:val="both"/>
              <w:rPr>
                <w:rFonts w:hint="default"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w:t>
            </w:r>
            <w:r>
              <w:rPr>
                <w:rFonts w:hint="eastAsia" w:ascii="宋体" w:hAnsi="宋体" w:cs="宋体"/>
                <w:color w:val="auto"/>
                <w:kern w:val="2"/>
                <w:sz w:val="21"/>
                <w:szCs w:val="20"/>
                <w:lang w:val="en-US" w:eastAsia="zh-CN" w:bidi="ar-SA"/>
              </w:rPr>
              <w:t>活动开始前，</w:t>
            </w:r>
            <w:r>
              <w:rPr>
                <w:rFonts w:hint="eastAsia" w:ascii="宋体" w:hAnsi="宋体" w:eastAsia="宋体" w:cs="宋体"/>
                <w:color w:val="auto"/>
                <w:kern w:val="2"/>
                <w:sz w:val="21"/>
                <w:szCs w:val="20"/>
                <w:lang w:val="en-US" w:eastAsia="zh-CN" w:bidi="ar-SA"/>
              </w:rPr>
              <w:t>制作AI短视频</w:t>
            </w:r>
            <w:r>
              <w:rPr>
                <w:rFonts w:hint="eastAsia" w:ascii="宋体" w:hAnsi="宋体" w:cs="宋体"/>
                <w:color w:val="auto"/>
                <w:kern w:val="2"/>
                <w:sz w:val="21"/>
                <w:szCs w:val="20"/>
                <w:lang w:val="en-US" w:eastAsia="zh-CN" w:bidi="ar-SA"/>
              </w:rPr>
              <w:t>3</w:t>
            </w:r>
            <w:r>
              <w:rPr>
                <w:rFonts w:hint="eastAsia" w:ascii="宋体" w:hAnsi="宋体" w:eastAsia="宋体" w:cs="宋体"/>
                <w:color w:val="auto"/>
                <w:kern w:val="2"/>
                <w:sz w:val="21"/>
                <w:szCs w:val="20"/>
                <w:lang w:val="en-US" w:eastAsia="zh-CN" w:bidi="ar-SA"/>
              </w:rPr>
              <w:t>条</w:t>
            </w:r>
            <w:r>
              <w:rPr>
                <w:rFonts w:hint="eastAsia" w:ascii="宋体" w:hAnsi="宋体" w:cs="宋体"/>
                <w:color w:val="auto"/>
                <w:kern w:val="2"/>
                <w:sz w:val="21"/>
                <w:szCs w:val="20"/>
                <w:lang w:val="en-US" w:eastAsia="zh-CN" w:bidi="ar-SA"/>
              </w:rPr>
              <w:t>，实景2条（实景拍摄2条库库鱼和稻鱼故事短视频），在新媒体平台推广</w:t>
            </w:r>
          </w:p>
          <w:p w14:paraId="2BA21CDC">
            <w:pPr>
              <w:widowControl w:val="0"/>
              <w:spacing w:line="360" w:lineRule="auto"/>
              <w:ind w:firstLine="420"/>
              <w:jc w:val="both"/>
              <w:rPr>
                <w:rFonts w:hint="eastAsia" w:ascii="宋体" w:hAnsi="宋体" w:eastAsia="宋体" w:cs="宋体"/>
                <w:color w:val="auto"/>
                <w:kern w:val="2"/>
                <w:sz w:val="21"/>
                <w:szCs w:val="20"/>
                <w:lang w:val="en-US" w:eastAsia="zh-CN" w:bidi="ar-SA"/>
              </w:rPr>
            </w:pPr>
            <w:r>
              <w:rPr>
                <w:rFonts w:hint="eastAsia" w:ascii="宋体" w:hAnsi="宋体" w:cs="宋体"/>
                <w:color w:val="auto"/>
                <w:kern w:val="2"/>
                <w:sz w:val="21"/>
                <w:szCs w:val="20"/>
                <w:lang w:val="en-US" w:eastAsia="zh-CN" w:bidi="ar-SA"/>
              </w:rPr>
              <w:t>（3）</w:t>
            </w:r>
            <w:r>
              <w:rPr>
                <w:rFonts w:hint="eastAsia" w:ascii="宋体" w:hAnsi="宋体" w:eastAsia="宋体" w:cs="宋体"/>
                <w:color w:val="auto"/>
                <w:kern w:val="2"/>
                <w:sz w:val="21"/>
                <w:szCs w:val="20"/>
                <w:lang w:val="en-US" w:eastAsia="zh-CN" w:bidi="ar-SA"/>
              </w:rPr>
              <w:t>活动期间根据活动内容，当天同步拍摄和制作和发布系列短视频6条</w:t>
            </w:r>
            <w:r>
              <w:rPr>
                <w:rFonts w:hint="eastAsia" w:ascii="宋体" w:hAnsi="宋体" w:cs="宋体"/>
                <w:color w:val="auto"/>
                <w:kern w:val="2"/>
                <w:sz w:val="21"/>
                <w:szCs w:val="20"/>
                <w:lang w:val="en-US" w:eastAsia="zh-CN" w:bidi="ar-SA"/>
              </w:rPr>
              <w:t>，在新媒体平台推广</w:t>
            </w:r>
            <w:r>
              <w:rPr>
                <w:rFonts w:hint="eastAsia" w:ascii="宋体" w:hAnsi="宋体" w:eastAsia="宋体" w:cs="宋体"/>
                <w:color w:val="auto"/>
                <w:kern w:val="2"/>
                <w:sz w:val="21"/>
                <w:szCs w:val="20"/>
                <w:lang w:val="en-US" w:eastAsia="zh-CN" w:bidi="ar-SA"/>
              </w:rPr>
              <w:t>；</w:t>
            </w:r>
          </w:p>
          <w:p w14:paraId="68E895D3">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0"/>
                <w:lang w:val="en-US" w:eastAsia="zh-CN" w:bidi="ar-SA"/>
              </w:rPr>
              <w:t>（</w:t>
            </w:r>
            <w:r>
              <w:rPr>
                <w:rFonts w:hint="eastAsia" w:ascii="宋体" w:hAnsi="宋体" w:cs="宋体"/>
                <w:color w:val="auto"/>
                <w:kern w:val="2"/>
                <w:sz w:val="21"/>
                <w:szCs w:val="20"/>
                <w:lang w:val="en-US" w:eastAsia="zh-CN" w:bidi="ar-SA"/>
              </w:rPr>
              <w:t>4</w:t>
            </w:r>
            <w:r>
              <w:rPr>
                <w:rFonts w:hint="eastAsia" w:ascii="宋体" w:hAnsi="宋体" w:eastAsia="宋体" w:cs="宋体"/>
                <w:color w:val="auto"/>
                <w:kern w:val="2"/>
                <w:sz w:val="21"/>
                <w:szCs w:val="20"/>
                <w:lang w:val="en-US" w:eastAsia="zh-CN" w:bidi="ar-SA"/>
              </w:rPr>
              <w:t>）后期制作</w:t>
            </w:r>
            <w:r>
              <w:rPr>
                <w:rFonts w:hint="eastAsia" w:ascii="宋体" w:hAnsi="宋体" w:cs="宋体"/>
                <w:color w:val="auto"/>
                <w:kern w:val="2"/>
                <w:sz w:val="21"/>
                <w:szCs w:val="20"/>
                <w:lang w:val="en-US" w:eastAsia="zh-CN" w:bidi="ar-SA"/>
              </w:rPr>
              <w:t>6条</w:t>
            </w:r>
            <w:r>
              <w:rPr>
                <w:rFonts w:hint="eastAsia" w:ascii="宋体" w:hAnsi="宋体" w:eastAsia="宋体" w:cs="宋体"/>
                <w:color w:val="auto"/>
                <w:kern w:val="2"/>
                <w:sz w:val="21"/>
                <w:szCs w:val="20"/>
                <w:lang w:val="en-US" w:eastAsia="zh-CN" w:bidi="ar-SA"/>
              </w:rPr>
              <w:t>。回顾本次活动的精彩内容和成果，</w:t>
            </w:r>
            <w:r>
              <w:rPr>
                <w:rFonts w:hint="eastAsia" w:ascii="宋体" w:hAnsi="宋体" w:cs="宋体"/>
                <w:color w:val="auto"/>
                <w:szCs w:val="21"/>
                <w:highlight w:val="none"/>
                <w:lang w:val="en-US" w:eastAsia="zh-CN"/>
              </w:rPr>
              <w:t>制作3条活动综述、集锦短视频；3条农文旅发展路线推介短视频，在新媒体平台推广。</w:t>
            </w:r>
            <w:r>
              <w:rPr>
                <w:rFonts w:hint="eastAsia" w:ascii="宋体" w:hAnsi="宋体" w:cs="宋体"/>
                <w:color w:val="auto"/>
                <w:szCs w:val="21"/>
                <w:highlight w:val="none"/>
              </w:rPr>
              <w:br w:type="textWrapping"/>
            </w:r>
            <w:r>
              <w:rPr>
                <w:rFonts w:hint="eastAsia" w:ascii="宋体" w:hAnsi="宋体" w:cs="宋体"/>
                <w:color w:val="auto"/>
                <w:szCs w:val="21"/>
                <w:highlight w:val="none"/>
                <w:lang w:val="en-US" w:eastAsia="zh-CN"/>
              </w:rPr>
              <w:t xml:space="preserve">   </w:t>
            </w:r>
            <w:r>
              <w:rPr>
                <w:rFonts w:hint="eastAsia" w:ascii="宋体" w:hAnsi="宋体" w:eastAsia="宋体" w:cs="宋体"/>
                <w:color w:val="auto"/>
                <w:kern w:val="2"/>
                <w:sz w:val="21"/>
                <w:szCs w:val="20"/>
                <w:lang w:val="en-US" w:eastAsia="zh-CN" w:bidi="ar-SA"/>
              </w:rPr>
              <w:t>（</w:t>
            </w:r>
            <w:r>
              <w:rPr>
                <w:rFonts w:hint="eastAsia" w:ascii="宋体" w:hAnsi="宋体" w:cs="宋体"/>
                <w:color w:val="auto"/>
                <w:kern w:val="2"/>
                <w:sz w:val="21"/>
                <w:szCs w:val="20"/>
                <w:lang w:val="en-US" w:eastAsia="zh-CN" w:bidi="ar-SA"/>
              </w:rPr>
              <w:t>5</w:t>
            </w:r>
            <w:r>
              <w:rPr>
                <w:rFonts w:hint="eastAsia" w:ascii="宋体" w:hAnsi="宋体" w:eastAsia="宋体" w:cs="宋体"/>
                <w:color w:val="auto"/>
                <w:kern w:val="2"/>
                <w:sz w:val="21"/>
                <w:szCs w:val="20"/>
                <w:lang w:val="en-US" w:eastAsia="zh-CN" w:bidi="ar-SA"/>
              </w:rPr>
              <w:t>）传播推广。</w:t>
            </w:r>
            <w:r>
              <w:rPr>
                <w:rFonts w:hint="eastAsia" w:ascii="宋体" w:hAnsi="宋体" w:cs="宋体"/>
                <w:color w:val="auto"/>
                <w:szCs w:val="21"/>
                <w:highlight w:val="none"/>
                <w:lang w:val="en-US" w:eastAsia="zh-CN"/>
              </w:rPr>
              <w:t>撰写</w:t>
            </w:r>
            <w:r>
              <w:rPr>
                <w:rFonts w:hint="eastAsia" w:ascii="宋体" w:hAnsi="宋体" w:cs="宋体"/>
                <w:color w:val="auto"/>
                <w:szCs w:val="21"/>
                <w:highlight w:val="none"/>
              </w:rPr>
              <w:t>1篇活动通稿</w:t>
            </w:r>
            <w:r>
              <w:rPr>
                <w:rFonts w:hint="eastAsia" w:ascii="宋体" w:hAnsi="宋体" w:cs="宋体"/>
                <w:color w:val="auto"/>
                <w:szCs w:val="21"/>
                <w:highlight w:val="none"/>
                <w:lang w:val="en-US" w:eastAsia="zh-CN"/>
              </w:rPr>
              <w:t>推文在新媒体平台分发；制作一条综述资讯</w:t>
            </w:r>
            <w:r>
              <w:rPr>
                <w:rFonts w:hint="eastAsia" w:ascii="宋体" w:hAnsi="宋体" w:cs="宋体"/>
                <w:color w:val="auto"/>
                <w:szCs w:val="21"/>
                <w:highlight w:val="none"/>
              </w:rPr>
              <w:t>视频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时长</w:t>
            </w:r>
            <w:r>
              <w:rPr>
                <w:rFonts w:hint="eastAsia" w:ascii="宋体" w:hAnsi="宋体" w:cs="宋体"/>
                <w:color w:val="auto"/>
                <w:szCs w:val="21"/>
                <w:highlight w:val="none"/>
              </w:rPr>
              <w:t>3分钟，在省级媒体及新媒体平台进行推广</w:t>
            </w:r>
            <w:r>
              <w:rPr>
                <w:rFonts w:hint="eastAsia" w:ascii="宋体" w:hAnsi="宋体" w:cs="宋体"/>
                <w:color w:val="auto"/>
                <w:szCs w:val="21"/>
                <w:highlight w:val="none"/>
                <w:lang w:eastAsia="zh-CN"/>
              </w:rPr>
              <w:t>。</w:t>
            </w:r>
          </w:p>
          <w:p w14:paraId="35C0588B">
            <w:pPr>
              <w:widowControl w:val="0"/>
              <w:spacing w:line="360" w:lineRule="auto"/>
              <w:ind w:firstLine="420"/>
              <w:jc w:val="both"/>
              <w:rPr>
                <w:rFonts w:hint="eastAsia"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w:t>
            </w:r>
            <w:r>
              <w:rPr>
                <w:rFonts w:hint="eastAsia" w:ascii="宋体" w:hAnsi="宋体" w:cs="宋体"/>
                <w:color w:val="auto"/>
                <w:kern w:val="2"/>
                <w:sz w:val="21"/>
                <w:szCs w:val="20"/>
                <w:lang w:val="en-US" w:eastAsia="zh-CN" w:bidi="ar-SA"/>
              </w:rPr>
              <w:t>6</w:t>
            </w:r>
            <w:r>
              <w:rPr>
                <w:rFonts w:hint="eastAsia" w:ascii="宋体" w:hAnsi="宋体" w:eastAsia="宋体" w:cs="宋体"/>
                <w:color w:val="auto"/>
                <w:kern w:val="2"/>
                <w:sz w:val="21"/>
                <w:szCs w:val="20"/>
                <w:lang w:val="en-US" w:eastAsia="zh-CN" w:bidi="ar-SA"/>
              </w:rPr>
              <w:t>）邀请网红直播：开通网红直播点</w:t>
            </w:r>
            <w:r>
              <w:rPr>
                <w:rFonts w:hint="eastAsia" w:ascii="宋体" w:hAnsi="宋体" w:cs="宋体"/>
                <w:color w:val="auto"/>
                <w:kern w:val="2"/>
                <w:sz w:val="21"/>
                <w:szCs w:val="20"/>
                <w:lang w:val="en-US" w:eastAsia="zh-CN" w:bidi="ar-SA"/>
              </w:rPr>
              <w:t>3个</w:t>
            </w:r>
            <w:r>
              <w:rPr>
                <w:rFonts w:hint="eastAsia" w:ascii="宋体" w:hAnsi="宋体" w:eastAsia="宋体" w:cs="宋体"/>
                <w:color w:val="auto"/>
                <w:kern w:val="2"/>
                <w:sz w:val="21"/>
                <w:szCs w:val="20"/>
                <w:lang w:val="en-US" w:eastAsia="zh-CN" w:bidi="ar-SA"/>
              </w:rPr>
              <w:t>；</w:t>
            </w:r>
          </w:p>
          <w:p w14:paraId="0C3A0D84">
            <w:pPr>
              <w:spacing w:line="360" w:lineRule="auto"/>
              <w:ind w:firstLine="420" w:firstLineChars="200"/>
              <w:jc w:val="left"/>
              <w:rPr>
                <w:rFonts w:ascii="宋体" w:cs="宋体"/>
                <w:color w:val="auto"/>
                <w:szCs w:val="21"/>
                <w:highlight w:val="none"/>
              </w:rPr>
            </w:pPr>
            <w:r>
              <w:rPr>
                <w:rFonts w:hint="eastAsia" w:ascii="宋体" w:hAnsi="宋体" w:eastAsia="宋体" w:cs="宋体"/>
                <w:color w:val="auto"/>
                <w:kern w:val="2"/>
                <w:sz w:val="21"/>
                <w:szCs w:val="20"/>
                <w:lang w:val="en-US" w:eastAsia="zh-CN" w:bidi="ar-SA"/>
              </w:rPr>
              <w:t>（</w:t>
            </w:r>
            <w:r>
              <w:rPr>
                <w:rFonts w:hint="eastAsia" w:ascii="宋体" w:hAnsi="宋体" w:cs="宋体"/>
                <w:color w:val="auto"/>
                <w:kern w:val="2"/>
                <w:sz w:val="21"/>
                <w:szCs w:val="20"/>
                <w:lang w:val="en-US" w:eastAsia="zh-CN" w:bidi="ar-SA"/>
              </w:rPr>
              <w:t>7</w:t>
            </w:r>
            <w:r>
              <w:rPr>
                <w:rFonts w:hint="eastAsia" w:ascii="宋体" w:hAnsi="宋体" w:eastAsia="宋体" w:cs="宋体"/>
                <w:color w:val="auto"/>
                <w:kern w:val="2"/>
                <w:sz w:val="21"/>
                <w:szCs w:val="20"/>
                <w:lang w:val="en-US" w:eastAsia="zh-CN" w:bidi="ar-SA"/>
              </w:rPr>
              <w:t>）拍摄大水面捕鱼短视频</w:t>
            </w:r>
            <w:r>
              <w:rPr>
                <w:rFonts w:hint="eastAsia" w:ascii="宋体" w:hAnsi="宋体" w:cs="宋体"/>
                <w:color w:val="auto"/>
                <w:kern w:val="2"/>
                <w:sz w:val="21"/>
                <w:szCs w:val="20"/>
                <w:lang w:val="en-US" w:eastAsia="zh-CN" w:bidi="ar-SA"/>
              </w:rPr>
              <w:t>，</w:t>
            </w:r>
            <w:r>
              <w:rPr>
                <w:rFonts w:hint="eastAsia" w:ascii="宋体" w:hAnsi="宋体" w:eastAsia="宋体" w:cs="宋体"/>
                <w:color w:val="auto"/>
                <w:sz w:val="21"/>
                <w:szCs w:val="20"/>
              </w:rPr>
              <w:t>不低于5分钟</w:t>
            </w:r>
            <w:r>
              <w:rPr>
                <w:rFonts w:hint="eastAsia" w:ascii="宋体" w:hAnsi="宋体" w:eastAsia="宋体" w:cs="宋体"/>
                <w:color w:val="auto"/>
                <w:kern w:val="2"/>
                <w:sz w:val="21"/>
                <w:szCs w:val="20"/>
                <w:lang w:val="en-US" w:eastAsia="zh-CN" w:bidi="ar-SA"/>
              </w:rPr>
              <w:t>。</w:t>
            </w:r>
          </w:p>
        </w:tc>
      </w:tr>
      <w:tr w14:paraId="4F34B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bottom w:val="single" w:color="auto" w:sz="4" w:space="0"/>
            </w:tcBorders>
          </w:tcPr>
          <w:p w14:paraId="12F9A3ED">
            <w:pPr>
              <w:spacing w:line="360" w:lineRule="auto"/>
              <w:rPr>
                <w:rFonts w:ascii="宋体" w:cs="宋体"/>
                <w:color w:val="auto"/>
                <w:szCs w:val="21"/>
                <w:highlight w:val="none"/>
              </w:rPr>
            </w:pPr>
            <w:r>
              <w:rPr>
                <w:rFonts w:hint="eastAsia" w:ascii="宋体" w:hAnsi="宋体" w:cs="宋体"/>
                <w:b/>
                <w:color w:val="auto"/>
                <w:szCs w:val="21"/>
                <w:highlight w:val="none"/>
              </w:rPr>
              <w:t>商务要求</w:t>
            </w:r>
          </w:p>
        </w:tc>
      </w:tr>
      <w:tr w14:paraId="5751B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0E45C5F6">
            <w:pPr>
              <w:spacing w:line="360" w:lineRule="auto"/>
              <w:jc w:val="center"/>
              <w:rPr>
                <w:rFonts w:ascii="宋体" w:cs="宋体"/>
                <w:color w:val="auto"/>
                <w:kern w:val="0"/>
                <w:sz w:val="28"/>
                <w:szCs w:val="28"/>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磋商报价要求</w:t>
            </w:r>
          </w:p>
        </w:tc>
        <w:tc>
          <w:tcPr>
            <w:tcW w:w="7614" w:type="dxa"/>
            <w:gridSpan w:val="4"/>
            <w:tcBorders>
              <w:top w:val="single" w:color="auto" w:sz="4" w:space="0"/>
              <w:left w:val="single" w:color="auto" w:sz="4" w:space="0"/>
              <w:bottom w:val="single" w:color="auto" w:sz="4" w:space="0"/>
            </w:tcBorders>
            <w:vAlign w:val="center"/>
          </w:tcPr>
          <w:p w14:paraId="261DF9B1">
            <w:pPr>
              <w:pStyle w:val="15"/>
              <w:spacing w:line="360" w:lineRule="auto"/>
              <w:rPr>
                <w:rFonts w:hint="eastAsia"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磋商报价是履行合同的最终价格，即满足全部采购内容所应该提供的服务，包含但不限于完成该项目媒体推广、方案修改、必要的保险费用、各项税金、参与竞标的费用及实施服务所需的各项费用。</w:t>
            </w:r>
          </w:p>
        </w:tc>
      </w:tr>
      <w:tr w14:paraId="13EE3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0AEA61A7">
            <w:pPr>
              <w:spacing w:line="300" w:lineRule="exact"/>
              <w:jc w:val="center"/>
              <w:rPr>
                <w:rFonts w:ascii="宋体" w:cs="宋体"/>
                <w:color w:val="auto"/>
                <w:szCs w:val="21"/>
                <w:highlight w:val="none"/>
              </w:rPr>
            </w:pPr>
            <w:r>
              <w:rPr>
                <w:rFonts w:hint="eastAsia" w:ascii="宋体" w:hAnsi="宋体" w:cs="宋体"/>
                <w:color w:val="auto"/>
                <w:szCs w:val="21"/>
                <w:highlight w:val="none"/>
              </w:rPr>
              <w:t>▲合同履约期限和地点</w:t>
            </w:r>
          </w:p>
        </w:tc>
        <w:tc>
          <w:tcPr>
            <w:tcW w:w="7614" w:type="dxa"/>
            <w:gridSpan w:val="4"/>
            <w:tcBorders>
              <w:top w:val="single" w:color="auto" w:sz="4" w:space="0"/>
              <w:left w:val="single" w:color="auto" w:sz="4" w:space="0"/>
              <w:bottom w:val="single" w:color="auto" w:sz="4" w:space="0"/>
            </w:tcBorders>
            <w:vAlign w:val="center"/>
          </w:tcPr>
          <w:p w14:paraId="1797B300">
            <w:pPr>
              <w:pStyle w:val="15"/>
              <w:spacing w:line="360" w:lineRule="auto"/>
              <w:rPr>
                <w:rFonts w:hint="eastAsia" w:ascii="宋体" w:hAnsi="宋体" w:cs="宋体"/>
                <w:color w:val="auto"/>
                <w:szCs w:val="20"/>
                <w:lang w:val="en-US" w:eastAsia="zh-CN"/>
              </w:rPr>
            </w:pPr>
            <w:r>
              <w:rPr>
                <w:rFonts w:hint="eastAsia" w:ascii="宋体" w:hAnsi="宋体" w:cs="宋体"/>
                <w:color w:val="auto"/>
                <w:szCs w:val="20"/>
                <w:lang w:val="en-US" w:eastAsia="zh-CN"/>
              </w:rPr>
              <w:t>合同履约期限：</w:t>
            </w:r>
            <w:r>
              <w:rPr>
                <w:rFonts w:hint="eastAsia" w:ascii="宋体" w:hAnsi="宋体" w:cs="宋体"/>
                <w:color w:val="auto"/>
                <w:szCs w:val="20"/>
                <w:lang w:val="en-US" w:eastAsia="zh-CN"/>
              </w:rPr>
              <w:t>自合同签订之日起至本项目活动结束且成交供应商提交全部服务成果并经采购人验收合格之日止。成交供应商应在本项目活动结束后五个工作日内提交属于服务成果的本项目活动图片、视频资料和活动总结。</w:t>
            </w:r>
            <w:r>
              <w:rPr>
                <w:rFonts w:hint="eastAsia" w:ascii="宋体" w:hAnsi="宋体" w:cs="宋体"/>
                <w:color w:val="auto"/>
                <w:szCs w:val="20"/>
                <w:lang w:val="en-US" w:eastAsia="zh-CN"/>
              </w:rPr>
              <w:t>（</w:t>
            </w:r>
            <w:r>
              <w:rPr>
                <w:rFonts w:hint="eastAsia" w:ascii="宋体" w:hAnsi="宋体" w:cs="宋体"/>
                <w:color w:val="auto"/>
                <w:szCs w:val="20"/>
                <w:lang w:val="en-US" w:eastAsia="zh-CN"/>
              </w:rPr>
              <w:t>本项目活动时间暂定2025年10月17日-10月18日，具体由采购人另行通知</w:t>
            </w:r>
            <w:r>
              <w:rPr>
                <w:rFonts w:hint="eastAsia" w:ascii="宋体" w:hAnsi="宋体" w:cs="宋体"/>
                <w:color w:val="auto"/>
                <w:szCs w:val="20"/>
                <w:lang w:val="en-US" w:eastAsia="zh-CN"/>
              </w:rPr>
              <w:t>）；</w:t>
            </w:r>
          </w:p>
          <w:p w14:paraId="68E2632C">
            <w:pPr>
              <w:pStyle w:val="15"/>
              <w:spacing w:line="360" w:lineRule="auto"/>
              <w:rPr>
                <w:rFonts w:hint="default" w:ascii="宋体" w:cs="宋体"/>
                <w:color w:val="auto"/>
                <w:szCs w:val="21"/>
                <w:highlight w:val="none"/>
                <w:lang w:val="en-US" w:eastAsia="zh-CN"/>
              </w:rPr>
            </w:pPr>
            <w:r>
              <w:rPr>
                <w:rFonts w:hint="eastAsia" w:ascii="宋体" w:hAnsi="宋体" w:cs="宋体"/>
                <w:color w:val="auto"/>
                <w:szCs w:val="20"/>
                <w:lang w:eastAsia="zh-CN"/>
              </w:rPr>
              <w:t>地点：</w:t>
            </w:r>
            <w:r>
              <w:rPr>
                <w:rFonts w:hint="eastAsia" w:ascii="宋体" w:hAnsi="宋体" w:cs="宋体"/>
                <w:color w:val="auto"/>
                <w:szCs w:val="20"/>
                <w:lang w:val="en-US" w:eastAsia="zh-CN"/>
              </w:rPr>
              <w:t>南宁市、柳州市融水县。</w:t>
            </w:r>
          </w:p>
        </w:tc>
      </w:tr>
      <w:tr w14:paraId="560A6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100" w:type="dxa"/>
            <w:gridSpan w:val="2"/>
            <w:tcBorders>
              <w:top w:val="single" w:color="auto" w:sz="4" w:space="0"/>
              <w:bottom w:val="single" w:color="auto" w:sz="4" w:space="0"/>
              <w:right w:val="single" w:color="auto" w:sz="4" w:space="0"/>
            </w:tcBorders>
            <w:vAlign w:val="center"/>
          </w:tcPr>
          <w:p w14:paraId="425F0F3F">
            <w:pPr>
              <w:spacing w:line="360" w:lineRule="auto"/>
              <w:jc w:val="center"/>
              <w:rPr>
                <w:rFonts w:ascii="宋体" w:cs="宋体"/>
                <w:b/>
                <w:color w:val="auto"/>
                <w:szCs w:val="21"/>
                <w:highlight w:val="none"/>
              </w:rPr>
            </w:pPr>
            <w:r>
              <w:rPr>
                <w:rFonts w:hint="eastAsia" w:ascii="宋体" w:hAnsi="宋体" w:cs="宋体"/>
                <w:color w:val="auto"/>
                <w:szCs w:val="21"/>
                <w:highlight w:val="none"/>
              </w:rPr>
              <w:t>▲付款条件</w:t>
            </w:r>
          </w:p>
        </w:tc>
        <w:tc>
          <w:tcPr>
            <w:tcW w:w="7614" w:type="dxa"/>
            <w:gridSpan w:val="4"/>
            <w:tcBorders>
              <w:top w:val="single" w:color="auto" w:sz="4" w:space="0"/>
              <w:left w:val="single" w:color="auto" w:sz="4" w:space="0"/>
              <w:bottom w:val="single" w:color="auto" w:sz="4" w:space="0"/>
            </w:tcBorders>
            <w:vAlign w:val="center"/>
          </w:tcPr>
          <w:p w14:paraId="3CE8FDA3">
            <w:pPr>
              <w:spacing w:line="360" w:lineRule="auto"/>
              <w:rPr>
                <w:color w:val="auto"/>
                <w:highlight w:val="none"/>
              </w:rPr>
            </w:pPr>
            <w:r>
              <w:rPr>
                <w:rFonts w:hint="eastAsia" w:ascii="宋体" w:hAnsi="宋体" w:eastAsia="宋体" w:cs="宋体"/>
                <w:color w:val="auto"/>
                <w:kern w:val="2"/>
                <w:sz w:val="21"/>
                <w:szCs w:val="20"/>
                <w:lang w:val="en-US" w:eastAsia="zh-CN" w:bidi="ar-SA"/>
              </w:rPr>
              <w:t>自合同签订之日起10个工作日内，采购人向成交供应商支付</w:t>
            </w:r>
            <w:r>
              <w:rPr>
                <w:rFonts w:hint="eastAsia" w:ascii="宋体" w:hAnsi="宋体" w:cs="宋体"/>
                <w:color w:val="auto"/>
                <w:kern w:val="2"/>
                <w:sz w:val="21"/>
                <w:szCs w:val="20"/>
                <w:lang w:val="en-US" w:eastAsia="zh-CN" w:bidi="ar-SA"/>
              </w:rPr>
              <w:t>4</w:t>
            </w:r>
            <w:r>
              <w:rPr>
                <w:rFonts w:hint="eastAsia" w:ascii="宋体" w:hAnsi="宋体" w:eastAsia="宋体" w:cs="宋体"/>
                <w:color w:val="auto"/>
                <w:kern w:val="2"/>
                <w:sz w:val="21"/>
                <w:szCs w:val="20"/>
                <w:lang w:val="en-US" w:eastAsia="zh-CN" w:bidi="ar-SA"/>
              </w:rPr>
              <w:t>0%合同款；成交供应商按采购人要求完成服务工作，且通过采购人验收合格后，采购人向成交供应商支付</w:t>
            </w:r>
            <w:r>
              <w:rPr>
                <w:rFonts w:hint="eastAsia" w:ascii="宋体" w:hAnsi="宋体" w:cs="宋体"/>
                <w:color w:val="auto"/>
                <w:kern w:val="2"/>
                <w:sz w:val="21"/>
                <w:szCs w:val="20"/>
                <w:lang w:val="en-US" w:eastAsia="zh-CN" w:bidi="ar-SA"/>
              </w:rPr>
              <w:t>6</w:t>
            </w:r>
            <w:r>
              <w:rPr>
                <w:rFonts w:hint="eastAsia" w:ascii="宋体" w:hAnsi="宋体" w:eastAsia="宋体" w:cs="宋体"/>
                <w:color w:val="auto"/>
                <w:kern w:val="2"/>
                <w:sz w:val="21"/>
                <w:szCs w:val="20"/>
                <w:lang w:val="en-US" w:eastAsia="zh-CN" w:bidi="ar-SA"/>
              </w:rPr>
              <w:t>0%合同款。采购人每次向成交供应商付款前，成交</w:t>
            </w:r>
            <w:r>
              <w:rPr>
                <w:rFonts w:hint="eastAsia" w:ascii="宋体" w:hAnsi="宋体" w:cs="宋体"/>
                <w:color w:val="auto"/>
                <w:kern w:val="2"/>
                <w:sz w:val="21"/>
                <w:szCs w:val="20"/>
                <w:lang w:val="en-US" w:eastAsia="zh-CN" w:bidi="ar-SA"/>
              </w:rPr>
              <w:t>供应商</w:t>
            </w:r>
            <w:r>
              <w:rPr>
                <w:rFonts w:hint="eastAsia" w:ascii="宋体" w:hAnsi="宋体" w:eastAsia="宋体" w:cs="宋体"/>
                <w:color w:val="auto"/>
                <w:kern w:val="2"/>
                <w:sz w:val="21"/>
                <w:szCs w:val="20"/>
                <w:lang w:val="en-US" w:eastAsia="zh-CN" w:bidi="ar-SA"/>
              </w:rPr>
              <w:t>开具正式等额增值税发票给采购人。</w:t>
            </w:r>
          </w:p>
        </w:tc>
      </w:tr>
      <w:tr w14:paraId="4ACE7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100" w:type="dxa"/>
            <w:gridSpan w:val="2"/>
            <w:tcBorders>
              <w:top w:val="single" w:color="auto" w:sz="4" w:space="0"/>
              <w:bottom w:val="single" w:color="auto" w:sz="4" w:space="0"/>
              <w:right w:val="single" w:color="auto" w:sz="4" w:space="0"/>
            </w:tcBorders>
            <w:vAlign w:val="center"/>
          </w:tcPr>
          <w:p w14:paraId="340231E2">
            <w:pPr>
              <w:pStyle w:val="13"/>
              <w:spacing w:line="360" w:lineRule="auto"/>
              <w:jc w:val="both"/>
              <w:rPr>
                <w:rFonts w:ascii="宋体" w:cs="宋体"/>
                <w:color w:val="auto"/>
                <w:szCs w:val="21"/>
                <w:highlight w:val="none"/>
              </w:rPr>
            </w:pPr>
            <w:r>
              <w:rPr>
                <w:rFonts w:hint="eastAsia" w:ascii="宋体" w:hAnsi="宋体"/>
                <w:color w:val="auto"/>
                <w:szCs w:val="21"/>
                <w:highlight w:val="none"/>
              </w:rPr>
              <w:t>服务及其他要求</w:t>
            </w:r>
          </w:p>
        </w:tc>
        <w:tc>
          <w:tcPr>
            <w:tcW w:w="7614" w:type="dxa"/>
            <w:gridSpan w:val="4"/>
            <w:tcBorders>
              <w:top w:val="single" w:color="auto" w:sz="4" w:space="0"/>
              <w:left w:val="single" w:color="auto" w:sz="4" w:space="0"/>
              <w:bottom w:val="single" w:color="auto" w:sz="4" w:space="0"/>
            </w:tcBorders>
            <w:vAlign w:val="center"/>
          </w:tcPr>
          <w:p w14:paraId="6579F371">
            <w:pPr>
              <w:spacing w:line="360" w:lineRule="auto"/>
              <w:rPr>
                <w:rFonts w:hint="eastAsia" w:ascii="宋体" w:cs="宋体"/>
                <w:bCs/>
                <w:color w:val="auto"/>
                <w:szCs w:val="22"/>
                <w:highlight w:val="none"/>
              </w:rPr>
            </w:pPr>
            <w:r>
              <w:rPr>
                <w:rFonts w:hint="eastAsia" w:ascii="宋体" w:cs="宋体"/>
                <w:bCs/>
                <w:color w:val="auto"/>
                <w:szCs w:val="22"/>
                <w:highlight w:val="none"/>
              </w:rPr>
              <w:t>▲1、未经采购人允许，不得使用或以其它方式给任何第三方提供本项目的相关信息或数据。</w:t>
            </w:r>
          </w:p>
          <w:p w14:paraId="65F95D63">
            <w:pPr>
              <w:spacing w:line="360" w:lineRule="auto"/>
              <w:rPr>
                <w:rFonts w:hint="eastAsia" w:ascii="宋体" w:cs="宋体"/>
                <w:bCs/>
                <w:color w:val="auto"/>
                <w:szCs w:val="22"/>
                <w:highlight w:val="none"/>
              </w:rPr>
            </w:pPr>
            <w:r>
              <w:rPr>
                <w:rFonts w:hint="eastAsia" w:ascii="宋体" w:cs="宋体"/>
                <w:bCs/>
                <w:color w:val="auto"/>
                <w:szCs w:val="22"/>
                <w:highlight w:val="none"/>
              </w:rPr>
              <w:t>▲2、知识产权：采购人在中华人民共和国境内使用成交</w:t>
            </w:r>
            <w:r>
              <w:rPr>
                <w:rFonts w:hint="eastAsia" w:ascii="宋体" w:cs="宋体"/>
                <w:bCs/>
                <w:color w:val="auto"/>
                <w:szCs w:val="22"/>
                <w:highlight w:val="none"/>
                <w:lang w:val="en-US" w:eastAsia="zh-CN"/>
              </w:rPr>
              <w:t>供应商</w:t>
            </w:r>
            <w:r>
              <w:rPr>
                <w:rFonts w:hint="eastAsia" w:ascii="宋体" w:cs="宋体"/>
                <w:bCs/>
                <w:color w:val="auto"/>
                <w:szCs w:val="22"/>
                <w:highlight w:val="none"/>
              </w:rPr>
              <w:t>提供的产品及服务时免受第三方提出的侵犯其专利权或其它知识产权的起诉。如果第三方提出侵权指控，成交</w:t>
            </w:r>
            <w:r>
              <w:rPr>
                <w:rFonts w:hint="eastAsia" w:ascii="宋体" w:cs="宋体"/>
                <w:bCs/>
                <w:color w:val="auto"/>
                <w:szCs w:val="22"/>
                <w:highlight w:val="none"/>
                <w:lang w:val="en-US" w:eastAsia="zh-CN"/>
              </w:rPr>
              <w:t>供应商</w:t>
            </w:r>
            <w:r>
              <w:rPr>
                <w:rFonts w:hint="eastAsia" w:ascii="宋体" w:cs="宋体"/>
                <w:bCs/>
                <w:color w:val="auto"/>
                <w:szCs w:val="22"/>
                <w:highlight w:val="none"/>
              </w:rPr>
              <w:t>应承担由此而引起的一切法律责任和费用。</w:t>
            </w:r>
          </w:p>
          <w:p w14:paraId="42371254">
            <w:pPr>
              <w:spacing w:line="360" w:lineRule="auto"/>
              <w:rPr>
                <w:rFonts w:hint="eastAsia" w:ascii="宋体" w:cs="宋体"/>
                <w:bCs/>
                <w:color w:val="auto"/>
                <w:szCs w:val="22"/>
                <w:highlight w:val="none"/>
              </w:rPr>
            </w:pPr>
            <w:r>
              <w:rPr>
                <w:rFonts w:hint="eastAsia" w:ascii="宋体" w:cs="宋体"/>
                <w:bCs/>
                <w:color w:val="auto"/>
                <w:szCs w:val="22"/>
                <w:highlight w:val="none"/>
                <w:lang w:val="en-US" w:eastAsia="zh-CN"/>
              </w:rPr>
              <w:t>▲3</w:t>
            </w:r>
            <w:r>
              <w:rPr>
                <w:rFonts w:hint="eastAsia" w:ascii="宋体" w:cs="宋体"/>
                <w:bCs/>
                <w:color w:val="auto"/>
                <w:szCs w:val="22"/>
                <w:highlight w:val="none"/>
              </w:rPr>
              <w:t>、采购人享有本项目产出的视频和图片等相关素材，成片和高清无字幕版本的版权、使用权、延伸使用及改编创作的权利。</w:t>
            </w:r>
          </w:p>
          <w:p w14:paraId="762A2284">
            <w:pPr>
              <w:spacing w:line="360" w:lineRule="auto"/>
              <w:rPr>
                <w:rFonts w:hint="eastAsia" w:ascii="宋体" w:cs="宋体"/>
                <w:bCs/>
                <w:color w:val="auto"/>
                <w:szCs w:val="22"/>
                <w:highlight w:val="none"/>
              </w:rPr>
            </w:pPr>
            <w:r>
              <w:rPr>
                <w:rFonts w:hint="eastAsia" w:ascii="宋体" w:cs="宋体"/>
                <w:bCs/>
                <w:color w:val="auto"/>
                <w:szCs w:val="22"/>
                <w:highlight w:val="none"/>
                <w:lang w:val="en-US" w:eastAsia="zh-CN"/>
              </w:rPr>
              <w:t>▲4</w:t>
            </w:r>
            <w:r>
              <w:rPr>
                <w:rFonts w:hint="eastAsia" w:ascii="宋体" w:cs="宋体"/>
                <w:bCs/>
                <w:color w:val="auto"/>
                <w:szCs w:val="22"/>
                <w:highlight w:val="none"/>
              </w:rPr>
              <w:t>、成交</w:t>
            </w:r>
            <w:r>
              <w:rPr>
                <w:rFonts w:hint="eastAsia" w:ascii="宋体" w:cs="宋体"/>
                <w:bCs/>
                <w:color w:val="auto"/>
                <w:szCs w:val="22"/>
                <w:highlight w:val="none"/>
                <w:lang w:val="en-US" w:eastAsia="zh-CN"/>
              </w:rPr>
              <w:t>供应商</w:t>
            </w:r>
            <w:r>
              <w:rPr>
                <w:rFonts w:hint="eastAsia" w:ascii="宋体" w:cs="宋体"/>
                <w:bCs/>
                <w:color w:val="auto"/>
                <w:szCs w:val="22"/>
                <w:highlight w:val="none"/>
              </w:rPr>
              <w:t>必须承诺项目实施中的任何一个环节，如需修改调整，均无条件根据要求完善。如重大调整，双方沟通协商。</w:t>
            </w:r>
          </w:p>
          <w:p w14:paraId="70D49669">
            <w:pPr>
              <w:spacing w:line="360" w:lineRule="auto"/>
              <w:rPr>
                <w:rFonts w:hint="eastAsia" w:ascii="宋体" w:cs="宋体"/>
                <w:bCs/>
                <w:color w:val="auto"/>
                <w:szCs w:val="22"/>
                <w:highlight w:val="none"/>
              </w:rPr>
            </w:pPr>
            <w:r>
              <w:rPr>
                <w:rFonts w:hint="eastAsia" w:ascii="宋体" w:cs="宋体"/>
                <w:bCs/>
                <w:color w:val="auto"/>
                <w:szCs w:val="22"/>
                <w:highlight w:val="none"/>
                <w:lang w:val="en-US" w:eastAsia="zh-CN"/>
              </w:rPr>
              <w:t>5</w:t>
            </w:r>
            <w:r>
              <w:rPr>
                <w:rFonts w:hint="eastAsia" w:ascii="宋体" w:cs="宋体"/>
                <w:bCs/>
                <w:color w:val="auto"/>
                <w:szCs w:val="22"/>
                <w:highlight w:val="none"/>
              </w:rPr>
              <w:t>、磋商供应商须为本项目服务实施投入充足的服务人员，并确保</w:t>
            </w:r>
            <w:r>
              <w:rPr>
                <w:rFonts w:hint="eastAsia" w:ascii="宋体" w:cs="宋体"/>
                <w:bCs/>
                <w:color w:val="auto"/>
                <w:szCs w:val="22"/>
                <w:highlight w:val="none"/>
                <w:lang w:val="en-US" w:eastAsia="zh-CN"/>
              </w:rPr>
              <w:t>响应</w:t>
            </w:r>
            <w:r>
              <w:rPr>
                <w:rFonts w:hint="eastAsia" w:ascii="宋体" w:cs="宋体"/>
                <w:bCs/>
                <w:color w:val="auto"/>
                <w:szCs w:val="22"/>
                <w:highlight w:val="none"/>
              </w:rPr>
              <w:t>文件中的人员信息真实、有效。</w:t>
            </w:r>
          </w:p>
          <w:p w14:paraId="66AB6152">
            <w:pPr>
              <w:spacing w:line="360" w:lineRule="auto"/>
              <w:rPr>
                <w:rFonts w:hint="eastAsia" w:ascii="宋体" w:cs="宋体"/>
                <w:bCs/>
                <w:color w:val="auto"/>
                <w:szCs w:val="22"/>
                <w:highlight w:val="none"/>
              </w:rPr>
            </w:pPr>
            <w:r>
              <w:rPr>
                <w:rFonts w:hint="eastAsia" w:ascii="宋体" w:cs="宋体"/>
                <w:bCs/>
                <w:color w:val="auto"/>
                <w:szCs w:val="22"/>
                <w:highlight w:val="none"/>
                <w:lang w:val="en-US" w:eastAsia="zh-CN"/>
              </w:rPr>
              <w:t>▲6</w:t>
            </w:r>
            <w:r>
              <w:rPr>
                <w:rFonts w:hint="eastAsia" w:ascii="宋体" w:cs="宋体"/>
                <w:bCs/>
                <w:color w:val="auto"/>
                <w:szCs w:val="22"/>
                <w:highlight w:val="none"/>
              </w:rPr>
              <w:t>、处理问题响应时间：接到采购人处理问题通知后能在24小时内响应处理。</w:t>
            </w:r>
          </w:p>
          <w:p w14:paraId="1B75CE77">
            <w:pPr>
              <w:spacing w:line="360" w:lineRule="auto"/>
              <w:rPr>
                <w:rFonts w:hint="default" w:ascii="宋体" w:cs="宋体"/>
                <w:bCs/>
                <w:color w:val="auto"/>
                <w:szCs w:val="22"/>
                <w:highlight w:val="none"/>
                <w:lang w:val="en-US" w:eastAsia="zh-CN"/>
              </w:rPr>
            </w:pPr>
            <w:r>
              <w:rPr>
                <w:rFonts w:hint="eastAsia" w:ascii="宋体" w:cs="宋体"/>
                <w:bCs/>
                <w:color w:val="auto"/>
                <w:szCs w:val="22"/>
                <w:highlight w:val="none"/>
                <w:lang w:val="en-US" w:eastAsia="zh-CN"/>
              </w:rPr>
              <w:t>▲7、成交供应商须遵守相关法律法规，确保短视频不出现违法、违禁内容， 如出现上述情况， 由成交供应商承担全部责任。</w:t>
            </w:r>
          </w:p>
          <w:p w14:paraId="44483D84">
            <w:pPr>
              <w:spacing w:line="360" w:lineRule="auto"/>
              <w:rPr>
                <w:rFonts w:ascii="宋体" w:cs="宋体"/>
                <w:bCs/>
                <w:color w:val="auto"/>
                <w:szCs w:val="22"/>
                <w:highlight w:val="none"/>
              </w:rPr>
            </w:pPr>
            <w:r>
              <w:rPr>
                <w:rFonts w:hint="eastAsia" w:ascii="宋体" w:cs="宋体"/>
                <w:bCs/>
                <w:color w:val="auto"/>
                <w:szCs w:val="22"/>
                <w:highlight w:val="none"/>
                <w:lang w:val="en-US" w:eastAsia="zh-CN"/>
              </w:rPr>
              <w:t>8</w:t>
            </w:r>
            <w:r>
              <w:rPr>
                <w:rFonts w:hint="eastAsia" w:ascii="宋体" w:cs="宋体"/>
                <w:bCs/>
                <w:color w:val="auto"/>
                <w:szCs w:val="22"/>
                <w:highlight w:val="none"/>
              </w:rPr>
              <w:t>、磋商供应商在响应文件中提供针对本项目的</w:t>
            </w:r>
            <w:r>
              <w:rPr>
                <w:rFonts w:hint="eastAsia" w:ascii="宋体" w:cs="宋体"/>
                <w:bCs/>
                <w:color w:val="auto"/>
                <w:szCs w:val="22"/>
                <w:highlight w:val="none"/>
                <w:lang w:val="en-US" w:eastAsia="zh-CN"/>
              </w:rPr>
              <w:t>项目策划创意方案分</w:t>
            </w:r>
            <w:r>
              <w:rPr>
                <w:rFonts w:hint="eastAsia" w:ascii="宋体" w:cs="宋体"/>
                <w:bCs/>
                <w:color w:val="auto"/>
                <w:szCs w:val="22"/>
                <w:highlight w:val="none"/>
              </w:rPr>
              <w:t>、实施方案、等相关材料。</w:t>
            </w:r>
          </w:p>
        </w:tc>
      </w:tr>
    </w:tbl>
    <w:p w14:paraId="6B698D25">
      <w:pPr>
        <w:rPr>
          <w:rFonts w:ascii="宋体" w:hAnsi="宋体" w:cs="宋体"/>
          <w:b/>
          <w:color w:val="auto"/>
          <w:szCs w:val="21"/>
          <w:highlight w:val="none"/>
        </w:rPr>
      </w:pPr>
      <w:r>
        <w:rPr>
          <w:rFonts w:hint="eastAsia" w:ascii="宋体" w:hAnsi="宋体" w:cs="宋体"/>
          <w:b/>
          <w:color w:val="auto"/>
          <w:szCs w:val="21"/>
          <w:highlight w:val="none"/>
        </w:rPr>
        <w:br w:type="page"/>
      </w:r>
    </w:p>
    <w:p w14:paraId="0FB7DD68">
      <w:pPr>
        <w:pStyle w:val="2"/>
        <w:rPr>
          <w:rFonts w:ascii="宋体" w:cs="宋体"/>
          <w:color w:val="auto"/>
          <w:highlight w:val="none"/>
        </w:rPr>
      </w:pPr>
      <w:bookmarkStart w:id="38" w:name="_Toc31276"/>
      <w:bookmarkStart w:id="39" w:name="_Toc9102"/>
      <w:r>
        <w:rPr>
          <w:rFonts w:hint="eastAsia" w:ascii="宋体" w:hAnsi="宋体" w:cs="宋体"/>
          <w:color w:val="auto"/>
          <w:highlight w:val="none"/>
        </w:rPr>
        <w:t>第四章</w:t>
      </w:r>
      <w:r>
        <w:rPr>
          <w:rFonts w:ascii="宋体" w:hAnsi="宋体" w:cs="宋体"/>
          <w:color w:val="auto"/>
          <w:highlight w:val="none"/>
        </w:rPr>
        <w:t xml:space="preserve">  </w:t>
      </w:r>
      <w:r>
        <w:rPr>
          <w:rFonts w:hint="eastAsia" w:ascii="宋体" w:hAnsi="宋体" w:cs="宋体"/>
          <w:color w:val="auto"/>
          <w:highlight w:val="none"/>
        </w:rPr>
        <w:t>评审程序、评审方法和评审标准</w:t>
      </w:r>
      <w:bookmarkEnd w:id="38"/>
      <w:bookmarkEnd w:id="39"/>
    </w:p>
    <w:p w14:paraId="11C50B99">
      <w:pPr>
        <w:spacing w:line="360" w:lineRule="auto"/>
        <w:jc w:val="center"/>
        <w:rPr>
          <w:rFonts w:ascii="宋体" w:cs="宋体"/>
          <w:b/>
          <w:color w:val="auto"/>
          <w:sz w:val="32"/>
          <w:szCs w:val="32"/>
          <w:highlight w:val="none"/>
        </w:rPr>
      </w:pPr>
      <w:r>
        <w:rPr>
          <w:rFonts w:hint="eastAsia" w:ascii="宋体" w:hAnsi="宋体" w:cs="宋体"/>
          <w:b/>
          <w:color w:val="auto"/>
          <w:sz w:val="32"/>
          <w:szCs w:val="32"/>
          <w:highlight w:val="none"/>
        </w:rPr>
        <w:t>一、评审程序和评审方法</w:t>
      </w:r>
    </w:p>
    <w:p w14:paraId="55E67052">
      <w:pPr>
        <w:spacing w:line="360" w:lineRule="auto"/>
        <w:ind w:firstLine="482" w:firstLineChars="200"/>
        <w:rPr>
          <w:rFonts w:ascii="宋体" w:cs="宋体"/>
          <w:b/>
          <w:bCs/>
          <w:color w:val="auto"/>
          <w:sz w:val="24"/>
          <w:highlight w:val="none"/>
        </w:rPr>
      </w:pPr>
    </w:p>
    <w:p w14:paraId="5414A924">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资格审查</w:t>
      </w:r>
    </w:p>
    <w:p w14:paraId="79FE1093">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响应文件开启后，磋商小组依法对供应商的资格证明文件进行审查。</w:t>
      </w:r>
    </w:p>
    <w:p w14:paraId="11B4640B">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）查询渠道：“信用中国”网站（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cs="宋体"/>
          <w:color w:val="auto"/>
          <w:highlight w:val="none"/>
        </w:rPr>
        <w:t>www.ccgp.gov.cn</w:t>
      </w:r>
      <w:r>
        <w:rPr>
          <w:rFonts w:ascii="宋体" w:hAnsi="宋体" w:cs="宋体"/>
          <w:color w:val="auto"/>
          <w:highlight w:val="none"/>
        </w:rPr>
        <w:fldChar w:fldCharType="end"/>
      </w:r>
      <w:r>
        <w:rPr>
          <w:rFonts w:hint="eastAsia" w:ascii="宋体" w:hAnsi="宋体" w:cs="宋体"/>
          <w:color w:val="auto"/>
          <w:szCs w:val="21"/>
          <w:highlight w:val="none"/>
        </w:rPr>
        <w:t>）</w:t>
      </w:r>
    </w:p>
    <w:p w14:paraId="20E805CA">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）信用查询截止时点：资格审查结束前</w:t>
      </w:r>
    </w:p>
    <w:p w14:paraId="6584E6D7">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）查询记录和证据留存方式：通过广西政府采购云平台链接到相关查询网站进行查询及记录。</w:t>
      </w:r>
    </w:p>
    <w:p w14:paraId="07F29A03">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）信用信息使用规则：根据财政部《关于在政府采购活动中查询及使用信用记录有关问题的通知》（财库〔</w:t>
      </w:r>
      <w:r>
        <w:rPr>
          <w:rFonts w:ascii="宋体" w:hAnsi="宋体" w:cs="宋体"/>
          <w:color w:val="auto"/>
          <w:szCs w:val="21"/>
          <w:highlight w:val="none"/>
        </w:rPr>
        <w:t>2016</w:t>
      </w:r>
      <w:r>
        <w:rPr>
          <w:rFonts w:hint="eastAsia" w:ascii="宋体" w:hAnsi="宋体" w:cs="宋体"/>
          <w:color w:val="auto"/>
          <w:szCs w:val="21"/>
          <w:highlight w:val="none"/>
        </w:rPr>
        <w:t>〕</w:t>
      </w:r>
      <w:r>
        <w:rPr>
          <w:rFonts w:ascii="宋体" w:hAnsi="宋体" w:cs="宋体"/>
          <w:color w:val="auto"/>
          <w:szCs w:val="21"/>
          <w:highlight w:val="none"/>
        </w:rPr>
        <w:t>125</w:t>
      </w:r>
      <w:r>
        <w:rPr>
          <w:rFonts w:hint="eastAsia" w:ascii="宋体" w:hAnsi="宋体" w:cs="宋体"/>
          <w:color w:val="auto"/>
          <w:szCs w:val="21"/>
          <w:highlight w:val="none"/>
        </w:rPr>
        <w:t>号）的规定，对在“信用中国”网站</w:t>
      </w:r>
      <w:r>
        <w:rPr>
          <w:rFonts w:ascii="宋体" w:hAnsi="宋体" w:cs="宋体"/>
          <w:color w:val="auto"/>
          <w:szCs w:val="21"/>
          <w:highlight w:val="none"/>
        </w:rPr>
        <w:t xml:space="preserve">(www.creditchina.gov.cn) </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56C5348D">
      <w:pPr>
        <w:snapToGrid w:val="0"/>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资格审查标准为本磋商文件中载明对供应商资格要求的条件。资格审查采用合格制，凡符合磋商文件规定的供应商资格要求的响应文件均通过资格审查。</w:t>
      </w:r>
    </w:p>
    <w:p w14:paraId="590139E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供应商有下列情形之一的，资格审查不通过，其响应文件按无效响应处理：</w:t>
      </w:r>
    </w:p>
    <w:p w14:paraId="1D82DCB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F9A807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）响应文件的资格证明文件缺少任一项“供应商须知前附表”资格证明文件规定的“必须提供”的文件资料的；</w:t>
      </w:r>
    </w:p>
    <w:p w14:paraId="329A1AD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113E95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24CA3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通过资格审查的合格供应商不足</w:t>
      </w:r>
      <w:r>
        <w:rPr>
          <w:rFonts w:ascii="宋体" w:hAnsi="宋体" w:cs="宋体"/>
          <w:color w:val="auto"/>
          <w:szCs w:val="21"/>
          <w:highlight w:val="none"/>
        </w:rPr>
        <w:t>3</w:t>
      </w:r>
      <w:r>
        <w:rPr>
          <w:rFonts w:hint="eastAsia" w:ascii="宋体" w:hAnsi="宋体" w:cs="宋体"/>
          <w:color w:val="auto"/>
          <w:szCs w:val="21"/>
          <w:highlight w:val="none"/>
        </w:rPr>
        <w:t>家的，不得进入符合性审查环节，采购人或者采购代理机构应当重新开展采购活动。</w:t>
      </w:r>
    </w:p>
    <w:p w14:paraId="4717FBDC">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2.</w:t>
      </w:r>
      <w:r>
        <w:rPr>
          <w:rFonts w:hint="eastAsia" w:ascii="宋体" w:hAnsi="宋体" w:cs="宋体"/>
          <w:b/>
          <w:bCs/>
          <w:color w:val="auto"/>
          <w:sz w:val="24"/>
          <w:highlight w:val="none"/>
        </w:rPr>
        <w:t>符合性审查</w:t>
      </w:r>
    </w:p>
    <w:p w14:paraId="0884C450">
      <w:pPr>
        <w:spacing w:line="360" w:lineRule="auto"/>
        <w:ind w:firstLine="420" w:firstLineChars="200"/>
        <w:rPr>
          <w:rFonts w:ascii="宋体" w:cs="宋体"/>
          <w:color w:val="auto"/>
          <w:szCs w:val="21"/>
          <w:highlight w:val="none"/>
        </w:rPr>
      </w:pPr>
      <w:bookmarkStart w:id="40" w:name="_Hlk42528882"/>
      <w:r>
        <w:rPr>
          <w:rFonts w:ascii="宋体" w:hAnsi="宋体" w:cs="宋体"/>
          <w:color w:val="auto"/>
          <w:szCs w:val="21"/>
          <w:highlight w:val="none"/>
        </w:rPr>
        <w:t>2.1</w:t>
      </w:r>
      <w:r>
        <w:rPr>
          <w:rFonts w:hint="eastAsia" w:ascii="宋体" w:hAnsi="宋体" w:cs="宋体"/>
          <w:color w:val="auto"/>
          <w:szCs w:val="21"/>
          <w:highlight w:val="none"/>
        </w:rPr>
        <w:t>由磋商小组对资格审查的合格供应商的响应文件的竞标报价、商务、技术等实质性要求进行符合性审查，以确定其是否满足磋商文件的实质性要求。</w:t>
      </w:r>
    </w:p>
    <w:bookmarkEnd w:id="40"/>
    <w:p w14:paraId="2C3C8DC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A3D064">
      <w:pPr>
        <w:spacing w:line="360" w:lineRule="auto"/>
        <w:ind w:firstLine="420" w:firstLineChars="200"/>
        <w:rPr>
          <w:rFonts w:ascii="宋体" w:cs="宋体"/>
          <w:color w:val="auto"/>
          <w:spacing w:val="-6"/>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693D3B04">
      <w:pPr>
        <w:spacing w:line="360" w:lineRule="auto"/>
        <w:ind w:firstLine="396" w:firstLineChars="200"/>
        <w:rPr>
          <w:rFonts w:asci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r>
        <w:rPr>
          <w:rFonts w:ascii="宋体" w:hAnsi="宋体" w:cs="宋体"/>
          <w:color w:val="auto"/>
          <w:szCs w:val="21"/>
          <w:highlight w:val="none"/>
        </w:rPr>
        <w:t xml:space="preserve"> </w:t>
      </w:r>
    </w:p>
    <w:p w14:paraId="14254C3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）响应文件中报价表内容与响应文件中相应内容不一致的，以报价表为准；</w:t>
      </w:r>
    </w:p>
    <w:p w14:paraId="326EF38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）大写金额和小写金额不一致的，以大写金额为准；</w:t>
      </w:r>
    </w:p>
    <w:p w14:paraId="3FC4966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）单价金额小数点或者百分比有明显错位的，以报价表的总价为准，并修改单价；</w:t>
      </w:r>
    </w:p>
    <w:p w14:paraId="4661EB7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）总价金额与按单价汇总金额不一致的，以单价金额计算结果为准。</w:t>
      </w:r>
    </w:p>
    <w:p w14:paraId="1634518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同时出现两种以上不一致的，按照以上（</w:t>
      </w:r>
      <w:r>
        <w:rPr>
          <w:rFonts w:ascii="宋体" w:hAnsi="宋体" w:cs="宋体"/>
          <w:color w:val="auto"/>
          <w:szCs w:val="21"/>
          <w:highlight w:val="none"/>
        </w:rPr>
        <w:t>1</w:t>
      </w:r>
      <w:r>
        <w:rPr>
          <w:rFonts w:hint="eastAsia" w:ascii="宋体" w:hAnsi="宋体" w:cs="宋体"/>
          <w:color w:val="auto"/>
          <w:szCs w:val="21"/>
          <w:highlight w:val="none"/>
        </w:rPr>
        <w:t>）</w:t>
      </w:r>
      <w:r>
        <w:rPr>
          <w:rFonts w:asci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）规定的顺序逐条进行修正。修正后的报价经供应商确认后产生约束力，供应商不确认的，其响应文件按无效响应处理。</w:t>
      </w:r>
    </w:p>
    <w:p w14:paraId="2D0CA00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商务技术报价评审</w:t>
      </w:r>
    </w:p>
    <w:p w14:paraId="3C540E6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292A3B4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）商务技术评审</w:t>
      </w:r>
    </w:p>
    <w:p w14:paraId="69A5272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）响应文件未按磋商文件要求签署、盖章；</w:t>
      </w:r>
    </w:p>
    <w:p w14:paraId="420E1A3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）委托代理人未能出具有效身份证或者出具的身份证与授权委托书中的信息不符的；</w:t>
      </w:r>
      <w:r>
        <w:rPr>
          <w:rFonts w:ascii="宋体" w:hAnsi="宋体" w:cs="宋体"/>
          <w:color w:val="auto"/>
          <w:szCs w:val="21"/>
          <w:highlight w:val="none"/>
        </w:rPr>
        <w:t xml:space="preserve"> </w:t>
      </w:r>
    </w:p>
    <w:p w14:paraId="4F05021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）提交的磋商保证金无效的或者未按照磋商文件的规定提交磋商保证金；</w:t>
      </w:r>
    </w:p>
    <w:p w14:paraId="4A6218D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）响应文件中的报价商务技术文件出现任一项不符合“供应商须知前附表”中“必须提供”或者“委托时必须提供”文件资料要求的规定或者提供的报价商务技术文件无效。</w:t>
      </w:r>
    </w:p>
    <w:p w14:paraId="5ED0445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）商务条款中标“▲”的条款发生负偏离或者允许负偏离的条款数超过“供应商须知前附表”规定项数的；</w:t>
      </w:r>
    </w:p>
    <w:p w14:paraId="0C87C40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）未对竞标有效期作出响应或者响应文件承诺的竞标有效期不满足磋商文件要求；</w:t>
      </w:r>
    </w:p>
    <w:p w14:paraId="1E7AC87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）响应文件的实质性内容未使用中文表述、使用计量单位不符合磋商文件要求；</w:t>
      </w:r>
    </w:p>
    <w:p w14:paraId="028F957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）响应文件中的文件资料因填写不齐全或者内容虚假或者出现其他情形而导致被磋商小组认定无效；</w:t>
      </w:r>
    </w:p>
    <w:p w14:paraId="35A8AF7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）响应文件含有采购人不能接受的附加条件；</w:t>
      </w:r>
    </w:p>
    <w:p w14:paraId="02BF1FE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）属于“供应商须知正文”第</w:t>
      </w:r>
      <w:r>
        <w:rPr>
          <w:rFonts w:ascii="宋体" w:hAnsi="宋体" w:cs="宋体"/>
          <w:color w:val="auto"/>
          <w:szCs w:val="21"/>
          <w:highlight w:val="none"/>
        </w:rPr>
        <w:t>7.5</w:t>
      </w:r>
      <w:r>
        <w:rPr>
          <w:rFonts w:hint="eastAsia" w:ascii="宋体" w:hAnsi="宋体" w:cs="宋体"/>
          <w:color w:val="auto"/>
          <w:szCs w:val="21"/>
          <w:highlight w:val="none"/>
        </w:rPr>
        <w:t>条情形；</w:t>
      </w:r>
    </w:p>
    <w:p w14:paraId="7CD9B04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）技术要求中标“▲”的条款发生负偏离或允许负偏离的条款数超过“供应商须知前附表”规定项数的；</w:t>
      </w:r>
    </w:p>
    <w:p w14:paraId="7B514C2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）虚假竞标，或者出现其他情形而导致被磋商小组认定无效；</w:t>
      </w:r>
    </w:p>
    <w:p w14:paraId="1084D7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w:t>
      </w:r>
      <w:bookmarkStart w:id="4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1"/>
    </w:p>
    <w:p w14:paraId="1EB5D0D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）响应文件标注的项目名称或者项目编号与磋商文件标注的项目名称或者项目编号不一致的；</w:t>
      </w:r>
    </w:p>
    <w:p w14:paraId="29D094B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）竞争性磋商文件明确不允许分包，响应文件拟分包的；</w:t>
      </w:r>
    </w:p>
    <w:p w14:paraId="7FCE349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）未响应磋商文件实质性要求；</w:t>
      </w:r>
    </w:p>
    <w:p w14:paraId="6E019AC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）法律、法规和磋商文件规定的其他无效情形。</w:t>
      </w:r>
    </w:p>
    <w:p w14:paraId="1B5C664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2493A1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w:t>
      </w:r>
      <w:r>
        <w:rPr>
          <w:rFonts w:ascii="宋体" w:hAnsi="宋体" w:cs="宋体"/>
          <w:color w:val="auto"/>
          <w:szCs w:val="21"/>
          <w:highlight w:val="none"/>
        </w:rPr>
        <w:t xml:space="preserve"> </w:t>
      </w:r>
      <w:r>
        <w:rPr>
          <w:rFonts w:hint="eastAsia" w:ascii="宋体" w:hAnsi="宋体" w:cs="宋体"/>
          <w:color w:val="auto"/>
          <w:szCs w:val="21"/>
          <w:highlight w:val="none"/>
        </w:rPr>
        <w:t>报价商务技术文件中规定的“竞标报价表”；</w:t>
      </w:r>
    </w:p>
    <w:p w14:paraId="028F1AB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）未采用人民币报价或者未按照磋商文件标明的币种报价；</w:t>
      </w:r>
    </w:p>
    <w:p w14:paraId="63FB9A4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C8C3F6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）最后报价超过所竞标分标规定的采购预算金额或者最高限价的（如本项目公布了最高限价）；</w:t>
      </w:r>
      <w:bookmarkStart w:id="42" w:name="_Hlk42596405"/>
      <w:r>
        <w:rPr>
          <w:rFonts w:ascii="宋体" w:hAnsi="宋体" w:cs="宋体"/>
          <w:color w:val="auto"/>
          <w:szCs w:val="21"/>
          <w:highlight w:val="none"/>
        </w:rPr>
        <w:t xml:space="preserve"> </w:t>
      </w:r>
      <w:bookmarkEnd w:id="42"/>
    </w:p>
    <w:p w14:paraId="3BFE56E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）修正后的报价，供应商不确认的；或者经供应商确认修正后的最后报价超过所竞标分标规定的采购预算金额或者最高限价（如本项目公布了最高限价）；</w:t>
      </w:r>
    </w:p>
    <w:p w14:paraId="5A821C6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）响应文件响应的标的数量及单位与竞争性磋商文件要求实质性不一致的。</w:t>
      </w:r>
    </w:p>
    <w:p w14:paraId="6E52B9A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w:t>
      </w:r>
      <w:r>
        <w:rPr>
          <w:rFonts w:ascii="宋体" w:hAnsi="宋体" w:cs="宋体"/>
          <w:color w:val="auto"/>
          <w:szCs w:val="21"/>
          <w:highlight w:val="none"/>
        </w:rPr>
        <w:t>3</w:t>
      </w:r>
      <w:r>
        <w:rPr>
          <w:rFonts w:hint="eastAsia" w:ascii="宋体" w:hAnsi="宋体" w:cs="宋体"/>
          <w:color w:val="auto"/>
          <w:szCs w:val="21"/>
          <w:highlight w:val="none"/>
        </w:rPr>
        <w:t>家的供应商参加磋商。</w:t>
      </w:r>
    </w:p>
    <w:p w14:paraId="6B8C2A7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非政府购买服务项目，通过符合性审查的合格供应商不足</w:t>
      </w:r>
      <w:r>
        <w:rPr>
          <w:rFonts w:ascii="宋体" w:hAnsi="宋体" w:cs="宋体"/>
          <w:color w:val="auto"/>
          <w:szCs w:val="21"/>
          <w:highlight w:val="none"/>
        </w:rPr>
        <w:t>3</w:t>
      </w:r>
      <w:r>
        <w:rPr>
          <w:rFonts w:hint="eastAsia" w:ascii="宋体" w:hAnsi="宋体" w:cs="宋体"/>
          <w:color w:val="auto"/>
          <w:szCs w:val="21"/>
          <w:highlight w:val="none"/>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cs="宋体"/>
          <w:color w:val="auto"/>
          <w:szCs w:val="21"/>
          <w:highlight w:val="none"/>
        </w:rPr>
        <w:t>2015</w:t>
      </w:r>
      <w:r>
        <w:rPr>
          <w:rFonts w:hint="eastAsia" w:ascii="宋体" w:hAnsi="宋体" w:cs="宋体"/>
          <w:color w:val="auto"/>
          <w:szCs w:val="21"/>
          <w:highlight w:val="none"/>
        </w:rPr>
        <w:t>〕</w:t>
      </w:r>
      <w:r>
        <w:rPr>
          <w:rFonts w:ascii="宋体" w:hAnsi="宋体" w:cs="宋体"/>
          <w:color w:val="auto"/>
          <w:szCs w:val="21"/>
          <w:highlight w:val="none"/>
        </w:rPr>
        <w:t>124</w:t>
      </w:r>
      <w:r>
        <w:rPr>
          <w:rFonts w:hint="eastAsia" w:ascii="宋体" w:hAnsi="宋体" w:cs="宋体"/>
          <w:color w:val="auto"/>
          <w:szCs w:val="21"/>
          <w:highlight w:val="none"/>
        </w:rPr>
        <w:t>号）规定，采购过程中通过符合性审查的供应商（社会资本）只有</w:t>
      </w:r>
      <w:r>
        <w:rPr>
          <w:rFonts w:ascii="宋体" w:hAnsi="宋体" w:cs="宋体"/>
          <w:color w:val="auto"/>
          <w:szCs w:val="21"/>
          <w:highlight w:val="none"/>
        </w:rPr>
        <w:t>2</w:t>
      </w:r>
      <w:r>
        <w:rPr>
          <w:rFonts w:hint="eastAsia" w:ascii="宋体" w:hAnsi="宋体" w:cs="宋体"/>
          <w:color w:val="auto"/>
          <w:szCs w:val="21"/>
          <w:highlight w:val="none"/>
        </w:rPr>
        <w:t>家的，磋商采购活动可以继续进行。</w:t>
      </w:r>
    </w:p>
    <w:p w14:paraId="069205BC">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3.</w:t>
      </w:r>
      <w:r>
        <w:rPr>
          <w:rFonts w:hint="eastAsia" w:ascii="宋体" w:hAnsi="宋体" w:cs="宋体"/>
          <w:b/>
          <w:bCs/>
          <w:color w:val="auto"/>
          <w:sz w:val="24"/>
          <w:highlight w:val="none"/>
        </w:rPr>
        <w:t>磋商程序</w:t>
      </w:r>
    </w:p>
    <w:p w14:paraId="1BCBC385">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3.1</w:t>
      </w:r>
      <w:r>
        <w:rPr>
          <w:rFonts w:hint="eastAsia" w:ascii="宋体" w:hAnsi="宋体" w:cs="宋体"/>
          <w:color w:val="auto"/>
          <w:kern w:val="0"/>
          <w:szCs w:val="21"/>
          <w:highlight w:val="none"/>
        </w:rPr>
        <w:t>磋商小组按照“供应商须知前附表”</w:t>
      </w:r>
      <w:r>
        <w:rPr>
          <w:rFonts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565805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A626BB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7D0610A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C9A01E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CBEBEDC">
      <w:pPr>
        <w:tabs>
          <w:tab w:val="left" w:pos="2835"/>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对磋商过程提交的响应文件进行有效性、完整性和响应程度审查，通过审查的合格供应商不足</w:t>
      </w:r>
      <w:r>
        <w:rPr>
          <w:rFonts w:ascii="宋体" w:hAnsi="宋体" w:cs="宋体"/>
          <w:color w:val="auto"/>
          <w:szCs w:val="21"/>
          <w:highlight w:val="none"/>
        </w:rPr>
        <w:t>3</w:t>
      </w:r>
      <w:r>
        <w:rPr>
          <w:rFonts w:hint="eastAsia" w:ascii="宋体" w:hAnsi="宋体" w:cs="宋体"/>
          <w:color w:val="auto"/>
          <w:szCs w:val="21"/>
          <w:highlight w:val="none"/>
        </w:rPr>
        <w:t>家的，采购人或者采购代理机构应当重新开展采购活动。</w:t>
      </w:r>
    </w:p>
    <w:p w14:paraId="1D66DCE7">
      <w:pPr>
        <w:widowControl/>
        <w:tabs>
          <w:tab w:val="left" w:pos="540"/>
        </w:tabs>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w:t>
      </w:r>
      <w:r>
        <w:rPr>
          <w:rFonts w:ascii="宋体" w:hAnsi="宋体" w:cs="宋体"/>
          <w:color w:val="auto"/>
          <w:highlight w:val="none"/>
        </w:rPr>
        <w:t>2015</w:t>
      </w:r>
      <w:r>
        <w:rPr>
          <w:rFonts w:hint="eastAsia" w:ascii="宋体" w:hAnsi="宋体" w:cs="宋体"/>
          <w:color w:val="auto"/>
          <w:highlight w:val="none"/>
        </w:rPr>
        <w:t>〕</w:t>
      </w:r>
      <w:r>
        <w:rPr>
          <w:rFonts w:ascii="宋体" w:hAnsi="宋体" w:cs="宋体"/>
          <w:color w:val="auto"/>
          <w:highlight w:val="none"/>
        </w:rPr>
        <w:t>124</w:t>
      </w:r>
      <w:r>
        <w:rPr>
          <w:rFonts w:hint="eastAsia" w:ascii="宋体" w:hAnsi="宋体" w:cs="宋体"/>
          <w:color w:val="auto"/>
          <w:highlight w:val="none"/>
        </w:rPr>
        <w:t>号）的规定，采用竞争性磋商采购方式采购的政府购买服务项目（含政府和社会资本合作项目），在采购过程中符合要求的供应商（社会资本）只有</w:t>
      </w:r>
      <w:r>
        <w:rPr>
          <w:rFonts w:ascii="宋体" w:hAnsi="宋体" w:cs="宋体"/>
          <w:color w:val="auto"/>
          <w:highlight w:val="none"/>
        </w:rPr>
        <w:t>2</w:t>
      </w:r>
      <w:r>
        <w:rPr>
          <w:rFonts w:hint="eastAsia" w:ascii="宋体" w:hAnsi="宋体" w:cs="宋体"/>
          <w:color w:val="auto"/>
          <w:highlight w:val="none"/>
        </w:rPr>
        <w:t>家的，竞争性磋商采购活动可以继续进行。采购过程中符合要求的供应商（社会资本）只有</w:t>
      </w:r>
      <w:r>
        <w:rPr>
          <w:rFonts w:ascii="宋体" w:hAnsi="宋体" w:cs="宋体"/>
          <w:color w:val="auto"/>
          <w:highlight w:val="none"/>
        </w:rPr>
        <w:t>1</w:t>
      </w:r>
      <w:r>
        <w:rPr>
          <w:rFonts w:hint="eastAsia" w:ascii="宋体" w:hAnsi="宋体" w:cs="宋体"/>
          <w:color w:val="auto"/>
          <w:highlight w:val="none"/>
        </w:rPr>
        <w:t>家的，采购人（项目实施机构）或者采购代理机构应当终止竞争性磋商采购活动，发布项目终止公告并说明原因，重新开展采购活动。</w:t>
      </w:r>
    </w:p>
    <w:p w14:paraId="14142D21">
      <w:pPr>
        <w:spacing w:line="360" w:lineRule="auto"/>
        <w:ind w:firstLine="482" w:firstLineChars="200"/>
        <w:rPr>
          <w:rFonts w:ascii="宋体" w:cs="宋体"/>
          <w:color w:val="auto"/>
          <w:szCs w:val="21"/>
          <w:highlight w:val="none"/>
        </w:rPr>
      </w:pPr>
      <w:r>
        <w:rPr>
          <w:rFonts w:ascii="宋体" w:hAnsi="宋体" w:cs="宋体"/>
          <w:b/>
          <w:bCs/>
          <w:color w:val="auto"/>
          <w:sz w:val="24"/>
          <w:highlight w:val="none"/>
        </w:rPr>
        <w:t xml:space="preserve">4. </w:t>
      </w:r>
      <w:r>
        <w:rPr>
          <w:rFonts w:hint="eastAsia" w:ascii="宋体" w:hAnsi="宋体" w:cs="宋体"/>
          <w:b/>
          <w:bCs/>
          <w:color w:val="auto"/>
          <w:sz w:val="24"/>
          <w:highlight w:val="none"/>
        </w:rPr>
        <w:t>最后报价</w:t>
      </w:r>
    </w:p>
    <w:p w14:paraId="1828842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w:t>
      </w:r>
      <w:r>
        <w:rPr>
          <w:rFonts w:ascii="宋体" w:hAnsi="宋体" w:cs="宋体"/>
          <w:color w:val="auto"/>
          <w:szCs w:val="21"/>
          <w:highlight w:val="none"/>
        </w:rPr>
        <w:t>2.7</w:t>
      </w:r>
      <w:r>
        <w:rPr>
          <w:rFonts w:hint="eastAsia" w:ascii="宋体" w:hAnsi="宋体" w:cs="宋体"/>
          <w:color w:val="auto"/>
          <w:szCs w:val="21"/>
          <w:highlight w:val="none"/>
        </w:rPr>
        <w:t>、</w:t>
      </w:r>
      <w:r>
        <w:rPr>
          <w:rFonts w:ascii="宋体" w:hAnsi="宋体" w:cs="宋体"/>
          <w:color w:val="auto"/>
          <w:szCs w:val="21"/>
          <w:highlight w:val="none"/>
        </w:rPr>
        <w:t>3.7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w:t>
      </w:r>
      <w:r>
        <w:rPr>
          <w:rFonts w:ascii="宋体" w:hAnsi="宋体" w:cs="宋体"/>
          <w:color w:val="auto"/>
          <w:szCs w:val="21"/>
          <w:highlight w:val="none"/>
        </w:rPr>
        <w:t>3</w:t>
      </w:r>
      <w:r>
        <w:rPr>
          <w:rFonts w:hint="eastAsia" w:ascii="宋体" w:hAnsi="宋体" w:cs="宋体"/>
          <w:color w:val="auto"/>
          <w:szCs w:val="21"/>
          <w:highlight w:val="none"/>
        </w:rPr>
        <w:t>家，否则必须重新采购。</w:t>
      </w:r>
    </w:p>
    <w:p w14:paraId="5DF1AA7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auto"/>
          <w:szCs w:val="21"/>
          <w:highlight w:val="none"/>
        </w:rPr>
        <w:t>3</w:t>
      </w:r>
      <w:r>
        <w:rPr>
          <w:rFonts w:hint="eastAsia" w:ascii="宋体" w:hAnsi="宋体" w:cs="宋体"/>
          <w:color w:val="auto"/>
          <w:szCs w:val="21"/>
          <w:highlight w:val="none"/>
        </w:rPr>
        <w:t>家以上供应商的设计方案或者解决方案，并要求其在规定时间内以电子文件形式提交最后报价。</w:t>
      </w:r>
    </w:p>
    <w:p w14:paraId="647BE4A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4.3 </w:t>
      </w:r>
      <w:r>
        <w:rPr>
          <w:rFonts w:hint="eastAsia" w:ascii="宋体" w:hAnsi="宋体" w:cs="宋体"/>
          <w:color w:val="auto"/>
          <w:szCs w:val="21"/>
          <w:highlight w:val="none"/>
        </w:rPr>
        <w:t>最后报价是供应商响应文件的有效组成部分。符合《政府采购竞争性磋商采购方式管理暂行办法》（财库〔</w:t>
      </w:r>
      <w:r>
        <w:rPr>
          <w:rFonts w:ascii="宋体" w:hAnsi="宋体" w:cs="宋体"/>
          <w:color w:val="auto"/>
          <w:szCs w:val="21"/>
          <w:highlight w:val="none"/>
        </w:rPr>
        <w:t>2014</w:t>
      </w:r>
      <w:r>
        <w:rPr>
          <w:rFonts w:hint="eastAsia" w:ascii="宋体" w:hAnsi="宋体" w:cs="宋体"/>
          <w:color w:val="auto"/>
          <w:szCs w:val="21"/>
          <w:highlight w:val="none"/>
        </w:rPr>
        <w:t>〕</w:t>
      </w:r>
      <w:r>
        <w:rPr>
          <w:rFonts w:ascii="宋体" w:hAnsi="宋体" w:cs="宋体"/>
          <w:color w:val="auto"/>
          <w:szCs w:val="21"/>
          <w:highlight w:val="none"/>
        </w:rPr>
        <w:t>214</w:t>
      </w:r>
      <w:r>
        <w:rPr>
          <w:rFonts w:hint="eastAsia" w:ascii="宋体" w:hAnsi="宋体" w:cs="宋体"/>
          <w:color w:val="auto"/>
          <w:szCs w:val="21"/>
          <w:highlight w:val="none"/>
        </w:rPr>
        <w:t>号）第三条第四项“市场竞争不充分的科研项目，以及需要扶持的科技成果转化项目”和</w:t>
      </w:r>
      <w:r>
        <w:rPr>
          <w:rFonts w:hint="eastAsia" w:ascii="宋体" w:hAnsi="宋体" w:cs="宋体"/>
          <w:color w:val="auto"/>
          <w:highlight w:val="none"/>
        </w:rPr>
        <w:t>本章第</w:t>
      </w:r>
      <w:r>
        <w:rPr>
          <w:rFonts w:ascii="宋体" w:hAnsi="宋体" w:cs="宋体"/>
          <w:color w:val="auto"/>
          <w:highlight w:val="none"/>
        </w:rPr>
        <w:t>3.8</w:t>
      </w:r>
      <w:r>
        <w:rPr>
          <w:rFonts w:hint="eastAsia" w:ascii="宋体" w:hAnsi="宋体" w:cs="宋体"/>
          <w:color w:val="auto"/>
          <w:highlight w:val="none"/>
        </w:rPr>
        <w:t>条情形的，</w:t>
      </w:r>
      <w:r>
        <w:rPr>
          <w:rFonts w:hint="eastAsia" w:ascii="宋体" w:hAnsi="宋体" w:cs="宋体"/>
          <w:color w:val="auto"/>
          <w:szCs w:val="21"/>
          <w:highlight w:val="none"/>
        </w:rPr>
        <w:t>提交最后报价的供应商可以为</w:t>
      </w:r>
      <w:r>
        <w:rPr>
          <w:rFonts w:ascii="宋体" w:hAnsi="宋体" w:cs="宋体"/>
          <w:color w:val="auto"/>
          <w:szCs w:val="21"/>
          <w:highlight w:val="none"/>
        </w:rPr>
        <w:t>2</w:t>
      </w:r>
      <w:r>
        <w:rPr>
          <w:rFonts w:hint="eastAsia" w:ascii="宋体" w:hAnsi="宋体" w:cs="宋体"/>
          <w:color w:val="auto"/>
          <w:szCs w:val="21"/>
          <w:highlight w:val="none"/>
        </w:rPr>
        <w:t>家。</w:t>
      </w:r>
    </w:p>
    <w:p w14:paraId="632A35A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D2D81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3CDFB7F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390E07E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r>
        <w:rPr>
          <w:rFonts w:ascii="宋体" w:hAnsi="宋体" w:cs="宋体"/>
          <w:color w:val="auto"/>
          <w:szCs w:val="21"/>
          <w:highlight w:val="none"/>
        </w:rPr>
        <w:t xml:space="preserve"> </w:t>
      </w:r>
    </w:p>
    <w:p w14:paraId="739FC02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436164C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471417E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4.10</w:t>
      </w:r>
      <w:r>
        <w:rPr>
          <w:rFonts w:hint="eastAsia" w:ascii="宋体" w:hAnsi="宋体" w:cs="宋体"/>
          <w:color w:val="auto"/>
          <w:szCs w:val="21"/>
          <w:highlight w:val="none"/>
        </w:rPr>
        <w:t>最后报价结束后，磋商小组不得再与供应商进行任何形式的商谈。</w:t>
      </w:r>
    </w:p>
    <w:p w14:paraId="0AE081DE">
      <w:pPr>
        <w:spacing w:line="360" w:lineRule="auto"/>
        <w:ind w:firstLine="482" w:firstLineChars="200"/>
        <w:rPr>
          <w:rFonts w:ascii="宋体" w:cs="宋体"/>
          <w:b/>
          <w:bCs/>
          <w:color w:val="auto"/>
          <w:sz w:val="24"/>
          <w:highlight w:val="none"/>
        </w:rPr>
      </w:pPr>
      <w:r>
        <w:rPr>
          <w:rFonts w:ascii="宋体" w:hAnsi="宋体" w:cs="宋体"/>
          <w:b/>
          <w:bCs/>
          <w:color w:val="auto"/>
          <w:sz w:val="24"/>
          <w:highlight w:val="none"/>
        </w:rPr>
        <w:t>5.</w:t>
      </w:r>
      <w:r>
        <w:rPr>
          <w:rFonts w:hint="eastAsia" w:ascii="宋体" w:hAnsi="宋体" w:cs="宋体"/>
          <w:b/>
          <w:bCs/>
          <w:color w:val="auto"/>
          <w:sz w:val="24"/>
          <w:highlight w:val="none"/>
        </w:rPr>
        <w:t>比较与评价</w:t>
      </w:r>
    </w:p>
    <w:p w14:paraId="1F60A0A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FD634A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B286D3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B6AC13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）磋商小组按照磋商文件中规定的评审标准计算各供应商的报价得分。项目评审过程中，不得去掉最后报价中的最高报价和最低报价。</w:t>
      </w:r>
    </w:p>
    <w:p w14:paraId="74E0328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）各供应商的得分为磋商小组所有成员的有效评分的算术平均数。</w:t>
      </w:r>
    </w:p>
    <w:p w14:paraId="3875662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3AFDCD7B">
      <w:pPr>
        <w:spacing w:line="360" w:lineRule="auto"/>
        <w:ind w:firstLine="420" w:firstLineChars="200"/>
        <w:rPr>
          <w:rFonts w:ascii="宋体" w:cs="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w:t>
      </w:r>
      <w:r>
        <w:rPr>
          <w:rFonts w:ascii="宋体" w:hAnsi="宋体" w:cs="宋体"/>
          <w:color w:val="auto"/>
          <w:szCs w:val="21"/>
          <w:highlight w:val="none"/>
        </w:rPr>
        <w:t>3</w:t>
      </w:r>
      <w:r>
        <w:rPr>
          <w:rFonts w:hint="eastAsia" w:ascii="宋体" w:hAnsi="宋体" w:cs="宋体"/>
          <w:color w:val="auto"/>
          <w:szCs w:val="21"/>
          <w:highlight w:val="none"/>
        </w:rPr>
        <w:t>名以上成交候选供应商，并编写评</w:t>
      </w:r>
      <w:r>
        <w:rPr>
          <w:rFonts w:hint="eastAsia" w:ascii="宋体" w:hAnsi="宋体" w:cs="宋体"/>
          <w:color w:val="auto"/>
          <w:kern w:val="0"/>
          <w:szCs w:val="21"/>
          <w:highlight w:val="none"/>
        </w:rPr>
        <w:t>审报告。符合本章第</w:t>
      </w:r>
      <w:r>
        <w:rPr>
          <w:rFonts w:ascii="宋体" w:hAnsi="宋体" w:cs="宋体"/>
          <w:color w:val="auto"/>
          <w:szCs w:val="21"/>
          <w:highlight w:val="none"/>
        </w:rPr>
        <w:t>2.7</w:t>
      </w:r>
      <w:r>
        <w:rPr>
          <w:rFonts w:hint="eastAsia" w:ascii="宋体" w:hAnsi="宋体" w:cs="宋体"/>
          <w:color w:val="auto"/>
          <w:szCs w:val="21"/>
          <w:highlight w:val="none"/>
        </w:rPr>
        <w:t>、</w:t>
      </w:r>
      <w:r>
        <w:rPr>
          <w:rFonts w:ascii="宋体" w:hAnsi="宋体" w:cs="宋体"/>
          <w:color w:val="auto"/>
          <w:szCs w:val="21"/>
          <w:highlight w:val="none"/>
        </w:rPr>
        <w:t>3.7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s="宋体"/>
          <w:color w:val="auto"/>
          <w:kern w:val="0"/>
          <w:szCs w:val="21"/>
          <w:highlight w:val="none"/>
        </w:rPr>
        <w:t>条情形的，可以推荐</w:t>
      </w:r>
      <w:r>
        <w:rPr>
          <w:rFonts w:ascii="宋体" w:hAnsi="宋体" w:cs="宋体"/>
          <w:color w:val="auto"/>
          <w:kern w:val="0"/>
          <w:szCs w:val="21"/>
          <w:highlight w:val="none"/>
        </w:rPr>
        <w:t>2</w:t>
      </w:r>
      <w:r>
        <w:rPr>
          <w:rFonts w:hint="eastAsia" w:ascii="宋体" w:hAnsi="宋体" w:cs="宋体"/>
          <w:color w:val="auto"/>
          <w:kern w:val="0"/>
          <w:szCs w:val="21"/>
          <w:highlight w:val="none"/>
        </w:rPr>
        <w:t>家成交候选供应商。评审得分相同的，按照最后报价由低到高的顺序推荐。评审得分且最后报价相同的，按照技术指标优劣顺序推荐。</w:t>
      </w:r>
    </w:p>
    <w:p w14:paraId="012564A9">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5.6</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0078F5">
      <w:pPr>
        <w:spacing w:line="360" w:lineRule="auto"/>
        <w:jc w:val="center"/>
        <w:rPr>
          <w:rFonts w:ascii="宋体" w:cs="宋体"/>
          <w:b/>
          <w:color w:val="auto"/>
          <w:sz w:val="32"/>
          <w:szCs w:val="32"/>
          <w:highlight w:val="none"/>
        </w:rPr>
      </w:pPr>
      <w:r>
        <w:rPr>
          <w:rFonts w:ascii="宋体" w:cs="宋体"/>
          <w:b/>
          <w:color w:val="auto"/>
          <w:sz w:val="32"/>
          <w:szCs w:val="32"/>
          <w:highlight w:val="none"/>
        </w:rPr>
        <w:br w:type="page"/>
      </w:r>
      <w:r>
        <w:rPr>
          <w:rFonts w:hint="eastAsia" w:ascii="宋体" w:hAnsi="宋体" w:cs="宋体"/>
          <w:b/>
          <w:color w:val="auto"/>
          <w:sz w:val="32"/>
          <w:szCs w:val="32"/>
          <w:highlight w:val="none"/>
        </w:rPr>
        <w:t>二、评审标准</w:t>
      </w:r>
    </w:p>
    <w:p w14:paraId="5063DDEC">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评审依据：磋商小组将以磋商响应文件为评审依据，对供应商的报价、技术、商务等方面内容按百分制打分（计分方法按四舍五入取至百分位）。</w:t>
      </w:r>
    </w:p>
    <w:p w14:paraId="2913FC07">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分标</w:t>
      </w:r>
      <w:r>
        <w:rPr>
          <w:rFonts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2、3</w:t>
      </w:r>
      <w:r>
        <w:rPr>
          <w:rFonts w:hint="eastAsia" w:ascii="宋体" w:hAnsi="宋体" w:cs="宋体"/>
          <w:b/>
          <w:color w:val="auto"/>
          <w:szCs w:val="21"/>
          <w:highlight w:val="none"/>
        </w:rPr>
        <w:t>：</w:t>
      </w:r>
    </w:p>
    <w:tbl>
      <w:tblPr>
        <w:tblStyle w:val="3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244"/>
        <w:gridCol w:w="5665"/>
      </w:tblGrid>
      <w:tr w14:paraId="1A8A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03171379">
            <w:pPr>
              <w:adjustRightInd w:val="0"/>
              <w:spacing w:line="410" w:lineRule="exact"/>
              <w:jc w:val="center"/>
              <w:textAlignment w:val="baseline"/>
              <w:rPr>
                <w:rFonts w:ascii="宋体" w:cs="宋体"/>
                <w:b/>
                <w:color w:val="auto"/>
                <w:szCs w:val="21"/>
                <w:highlight w:val="none"/>
              </w:rPr>
            </w:pPr>
            <w:r>
              <w:rPr>
                <w:rFonts w:hint="eastAsia" w:ascii="宋体" w:hAnsi="宋体" w:cs="宋体"/>
                <w:b/>
                <w:color w:val="auto"/>
                <w:szCs w:val="21"/>
                <w:highlight w:val="none"/>
              </w:rPr>
              <w:t>序号</w:t>
            </w:r>
          </w:p>
        </w:tc>
        <w:tc>
          <w:tcPr>
            <w:tcW w:w="1280" w:type="dxa"/>
            <w:vAlign w:val="center"/>
          </w:tcPr>
          <w:p w14:paraId="10FAF1A8">
            <w:pPr>
              <w:adjustRightInd w:val="0"/>
              <w:spacing w:line="410" w:lineRule="exact"/>
              <w:jc w:val="center"/>
              <w:textAlignment w:val="baseline"/>
              <w:rPr>
                <w:rFonts w:ascii="宋体" w:cs="宋体"/>
                <w:color w:val="auto"/>
                <w:szCs w:val="21"/>
                <w:highlight w:val="none"/>
              </w:rPr>
            </w:pPr>
            <w:r>
              <w:rPr>
                <w:rFonts w:hint="eastAsia" w:ascii="宋体" w:hAnsi="宋体" w:cs="宋体"/>
                <w:b/>
                <w:color w:val="auto"/>
                <w:szCs w:val="21"/>
                <w:highlight w:val="none"/>
              </w:rPr>
              <w:t>评审因素</w:t>
            </w:r>
          </w:p>
        </w:tc>
        <w:tc>
          <w:tcPr>
            <w:tcW w:w="709" w:type="dxa"/>
            <w:vAlign w:val="center"/>
          </w:tcPr>
          <w:p w14:paraId="3F1D7BA7">
            <w:pPr>
              <w:adjustRightInd w:val="0"/>
              <w:spacing w:line="410" w:lineRule="exact"/>
              <w:jc w:val="center"/>
              <w:textAlignment w:val="baseline"/>
              <w:rPr>
                <w:rFonts w:ascii="宋体" w:cs="宋体"/>
                <w:b/>
                <w:color w:val="auto"/>
                <w:szCs w:val="21"/>
                <w:highlight w:val="none"/>
              </w:rPr>
            </w:pPr>
            <w:r>
              <w:rPr>
                <w:rFonts w:hint="eastAsia" w:ascii="宋体" w:hAnsi="宋体" w:cs="宋体"/>
                <w:b/>
                <w:color w:val="auto"/>
                <w:szCs w:val="21"/>
                <w:highlight w:val="none"/>
              </w:rPr>
              <w:t>分值</w:t>
            </w:r>
          </w:p>
        </w:tc>
        <w:tc>
          <w:tcPr>
            <w:tcW w:w="6909" w:type="dxa"/>
            <w:gridSpan w:val="2"/>
            <w:vAlign w:val="center"/>
          </w:tcPr>
          <w:p w14:paraId="30677216">
            <w:pPr>
              <w:adjustRightInd w:val="0"/>
              <w:spacing w:line="410" w:lineRule="exact"/>
              <w:jc w:val="center"/>
              <w:textAlignment w:val="baseline"/>
              <w:rPr>
                <w:rFonts w:ascii="宋体" w:cs="宋体"/>
                <w:b/>
                <w:color w:val="auto"/>
                <w:szCs w:val="21"/>
                <w:highlight w:val="none"/>
              </w:rPr>
            </w:pPr>
            <w:r>
              <w:rPr>
                <w:rFonts w:hint="eastAsia" w:ascii="宋体" w:hAnsi="宋体" w:cs="宋体"/>
                <w:b/>
                <w:color w:val="auto"/>
                <w:szCs w:val="21"/>
                <w:highlight w:val="none"/>
              </w:rPr>
              <w:t>评标标准</w:t>
            </w:r>
          </w:p>
        </w:tc>
      </w:tr>
      <w:tr w14:paraId="304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1F24575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80" w:type="dxa"/>
            <w:vAlign w:val="center"/>
          </w:tcPr>
          <w:p w14:paraId="6BCA789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w:t>
            </w:r>
          </w:p>
        </w:tc>
        <w:tc>
          <w:tcPr>
            <w:tcW w:w="709" w:type="dxa"/>
            <w:vAlign w:val="center"/>
          </w:tcPr>
          <w:p w14:paraId="38DC2A1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10分</w:t>
            </w:r>
          </w:p>
        </w:tc>
        <w:tc>
          <w:tcPr>
            <w:tcW w:w="6909" w:type="dxa"/>
            <w:gridSpan w:val="2"/>
            <w:vAlign w:val="center"/>
          </w:tcPr>
          <w:p w14:paraId="3AA6A092">
            <w:pPr>
              <w:pStyle w:val="19"/>
              <w:spacing w:line="360" w:lineRule="auto"/>
              <w:ind w:firstLine="420" w:firstLineChars="200"/>
              <w:rPr>
                <w:rFonts w:hint="eastAsia" w:hAnsi="宋体" w:cs="宋体"/>
                <w:b w:val="0"/>
                <w:bCs w:val="0"/>
                <w:color w:val="auto"/>
                <w:kern w:val="2"/>
                <w:sz w:val="21"/>
                <w:highlight w:val="none"/>
                <w:lang w:val="en-US" w:eastAsia="zh-CN"/>
              </w:rPr>
            </w:pPr>
            <w:r>
              <w:rPr>
                <w:rFonts w:hint="eastAsia" w:hAnsi="宋体" w:cs="宋体"/>
                <w:b w:val="0"/>
                <w:bCs w:val="0"/>
                <w:color w:val="auto"/>
                <w:kern w:val="2"/>
                <w:sz w:val="21"/>
                <w:highlight w:val="none"/>
                <w:lang w:val="en-US" w:eastAsia="zh-CN"/>
              </w:rPr>
              <w:t>一、政府采购政策扣除</w:t>
            </w:r>
          </w:p>
          <w:p w14:paraId="150B0DBA">
            <w:pPr>
              <w:pStyle w:val="19"/>
              <w:spacing w:line="360" w:lineRule="auto"/>
              <w:ind w:firstLine="420" w:firstLineChars="200"/>
              <w:rPr>
                <w:rFonts w:hint="eastAsia" w:hAnsi="宋体" w:cs="宋体"/>
                <w:b w:val="0"/>
                <w:bCs w:val="0"/>
                <w:color w:val="auto"/>
                <w:kern w:val="2"/>
                <w:sz w:val="21"/>
                <w:highlight w:val="none"/>
                <w:lang w:val="en-US" w:eastAsia="zh-CN"/>
              </w:rPr>
            </w:pPr>
            <w:r>
              <w:rPr>
                <w:rFonts w:hint="eastAsia" w:hAnsi="宋体" w:cs="宋体"/>
                <w:b w:val="0"/>
                <w:bCs w:val="0"/>
                <w:color w:val="auto"/>
                <w:kern w:val="2"/>
                <w:sz w:val="21"/>
                <w:highlight w:val="none"/>
                <w:lang w:val="en-US" w:eastAsia="zh-CN"/>
              </w:rPr>
              <w:t>1、根据《政府采购促进中小企业发展管理办法》（财库〔2020〕46号）和《广西壮族自治区财政厅关于持续优化政府采购营商环境推动高质量发展的通知》（桂财采〔2024〕55号）的规定，供应商属于《政府采购促进中小企业发展管理办法》规定的小微企业的，对磋商报价给予10%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4%的扣除，用扣除后的价格参加评审。符合上述规定对报价给予扣除的，扣除后的价格为评标价，即评标价=最后报价×（1 - 扣除比例）；不符合上述给予扣除情形的，评标价=最后报价。</w:t>
            </w:r>
          </w:p>
          <w:p w14:paraId="1152E776">
            <w:pPr>
              <w:pStyle w:val="19"/>
              <w:spacing w:line="360" w:lineRule="auto"/>
              <w:ind w:firstLine="420" w:firstLineChars="200"/>
              <w:rPr>
                <w:rFonts w:hint="eastAsia" w:hAnsi="宋体" w:cs="宋体"/>
                <w:b w:val="0"/>
                <w:bCs w:val="0"/>
                <w:color w:val="auto"/>
                <w:kern w:val="2"/>
                <w:sz w:val="21"/>
                <w:highlight w:val="none"/>
                <w:lang w:val="en-US" w:eastAsia="zh-CN"/>
              </w:rPr>
            </w:pPr>
            <w:r>
              <w:rPr>
                <w:rFonts w:hint="eastAsia" w:hAnsi="宋体" w:cs="宋体"/>
                <w:b w:val="0"/>
                <w:bCs w:val="0"/>
                <w:color w:val="auto"/>
                <w:kern w:val="2"/>
                <w:sz w:val="21"/>
                <w:highlight w:val="none"/>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6441C55">
            <w:pPr>
              <w:pStyle w:val="19"/>
              <w:spacing w:line="360" w:lineRule="auto"/>
              <w:ind w:firstLine="420" w:firstLineChars="200"/>
              <w:rPr>
                <w:rFonts w:hint="eastAsia" w:hAnsi="宋体" w:cs="宋体"/>
                <w:b w:val="0"/>
                <w:bCs w:val="0"/>
                <w:color w:val="auto"/>
                <w:kern w:val="2"/>
                <w:sz w:val="21"/>
                <w:highlight w:val="none"/>
              </w:rPr>
            </w:pPr>
            <w:r>
              <w:rPr>
                <w:rFonts w:hint="eastAsia" w:hAnsi="宋体" w:cs="宋体"/>
                <w:b w:val="0"/>
                <w:bCs w:val="0"/>
                <w:color w:val="auto"/>
                <w:kern w:val="2"/>
                <w:sz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AAB949">
            <w:pPr>
              <w:pStyle w:val="19"/>
              <w:spacing w:line="360" w:lineRule="auto"/>
              <w:ind w:firstLine="420" w:firstLineChars="200"/>
              <w:rPr>
                <w:rFonts w:hint="eastAsia" w:hAnsi="宋体" w:cs="宋体"/>
                <w:b w:val="0"/>
                <w:bCs w:val="0"/>
                <w:color w:val="auto"/>
                <w:kern w:val="2"/>
                <w:sz w:val="21"/>
                <w:highlight w:val="none"/>
              </w:rPr>
            </w:pPr>
            <w:r>
              <w:rPr>
                <w:rFonts w:hint="eastAsia" w:hAnsi="宋体" w:cs="宋体"/>
                <w:b w:val="0"/>
                <w:bCs w:val="0"/>
                <w:color w:val="auto"/>
                <w:kern w:val="2"/>
                <w:sz w:val="21"/>
                <w:highlight w:val="none"/>
              </w:rPr>
              <w:t>二、报价分（满分10分）</w:t>
            </w:r>
          </w:p>
          <w:p w14:paraId="2809ED4A">
            <w:pPr>
              <w:pStyle w:val="19"/>
              <w:spacing w:line="360" w:lineRule="auto"/>
              <w:ind w:firstLine="420" w:firstLineChars="200"/>
              <w:rPr>
                <w:rFonts w:hint="eastAsia" w:hAnsi="宋体" w:cs="宋体"/>
                <w:b w:val="0"/>
                <w:bCs w:val="0"/>
                <w:color w:val="auto"/>
                <w:kern w:val="2"/>
                <w:sz w:val="21"/>
                <w:highlight w:val="none"/>
                <w:lang w:val="en-US" w:eastAsia="zh-CN"/>
              </w:rPr>
            </w:pPr>
            <w:r>
              <w:rPr>
                <w:rFonts w:hint="eastAsia" w:hAnsi="宋体" w:cs="宋体"/>
                <w:b w:val="0"/>
                <w:bCs w:val="0"/>
                <w:color w:val="auto"/>
                <w:kern w:val="2"/>
                <w:sz w:val="21"/>
                <w:highlight w:val="none"/>
                <w:lang w:val="en-US" w:eastAsia="zh-CN"/>
              </w:rPr>
              <w:t>1、报价分采用低价优先法计算，满足磋商文件要求且评标价最低的有效供应商的评标价为评标基准价，其报价分为满分。</w:t>
            </w:r>
          </w:p>
          <w:p w14:paraId="2416C864">
            <w:pPr>
              <w:pStyle w:val="19"/>
              <w:spacing w:line="360" w:lineRule="auto"/>
              <w:ind w:firstLine="420" w:firstLineChars="200"/>
              <w:rPr>
                <w:rFonts w:hint="eastAsia" w:hAnsi="宋体" w:cs="宋体"/>
                <w:b w:val="0"/>
                <w:bCs w:val="0"/>
                <w:color w:val="auto"/>
                <w:kern w:val="2"/>
                <w:sz w:val="21"/>
                <w:highlight w:val="none"/>
                <w:lang w:val="en-US" w:eastAsia="zh-CN"/>
              </w:rPr>
            </w:pPr>
            <w:r>
              <w:rPr>
                <w:rFonts w:hint="eastAsia" w:hAnsi="宋体" w:cs="宋体"/>
                <w:b w:val="0"/>
                <w:bCs w:val="0"/>
                <w:color w:val="auto"/>
                <w:kern w:val="2"/>
                <w:sz w:val="21"/>
                <w:highlight w:val="none"/>
                <w:lang w:val="en-US" w:eastAsia="zh-CN"/>
              </w:rPr>
              <w:t>2、其他供应商的价格分统一按照下列公式计算：</w:t>
            </w:r>
          </w:p>
          <w:p w14:paraId="244A87B4">
            <w:pPr>
              <w:pStyle w:val="19"/>
              <w:spacing w:line="420" w:lineRule="exact"/>
              <w:rPr>
                <w:rFonts w:hAnsi="宋体" w:cs="宋体"/>
                <w:bCs/>
                <w:color w:val="auto"/>
                <w:kern w:val="2"/>
                <w:sz w:val="21"/>
                <w:highlight w:val="none"/>
              </w:rPr>
            </w:pPr>
            <w:r>
              <w:rPr>
                <w:rFonts w:hint="eastAsia" w:hAnsi="宋体" w:cs="宋体"/>
                <w:b w:val="0"/>
                <w:bCs w:val="0"/>
                <w:color w:val="auto"/>
                <w:kern w:val="2"/>
                <w:sz w:val="21"/>
                <w:highlight w:val="none"/>
                <w:lang w:val="en-US" w:eastAsia="zh-CN"/>
              </w:rPr>
              <w:t>某有效供应商的报价分=（评标基准价／某有效供应商评标价）×10分</w:t>
            </w:r>
          </w:p>
        </w:tc>
      </w:tr>
      <w:tr w14:paraId="569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30" w:type="dxa"/>
            <w:vMerge w:val="restart"/>
            <w:vAlign w:val="center"/>
          </w:tcPr>
          <w:p w14:paraId="66FBDE31">
            <w:pPr>
              <w:adjustRightInd w:val="0"/>
              <w:spacing w:line="360" w:lineRule="auto"/>
              <w:jc w:val="center"/>
              <w:textAlignment w:val="baseline"/>
              <w:rPr>
                <w:rFonts w:ascii="宋体" w:hAnsi="宋体" w:cs="宋体"/>
                <w:b/>
                <w:color w:val="auto"/>
                <w:szCs w:val="21"/>
                <w:highlight w:val="none"/>
              </w:rPr>
            </w:pPr>
          </w:p>
        </w:tc>
        <w:tc>
          <w:tcPr>
            <w:tcW w:w="1280" w:type="dxa"/>
            <w:vMerge w:val="restart"/>
            <w:vAlign w:val="center"/>
          </w:tcPr>
          <w:p w14:paraId="3F2AAC43">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tc>
        <w:tc>
          <w:tcPr>
            <w:tcW w:w="709" w:type="dxa"/>
            <w:vMerge w:val="restart"/>
            <w:vAlign w:val="center"/>
          </w:tcPr>
          <w:p w14:paraId="70AB4DA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p>
        </w:tc>
        <w:tc>
          <w:tcPr>
            <w:tcW w:w="1244" w:type="dxa"/>
            <w:vAlign w:val="center"/>
          </w:tcPr>
          <w:p w14:paraId="3EF11EE3">
            <w:pPr>
              <w:spacing w:line="360" w:lineRule="auto"/>
              <w:jc w:val="center"/>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总体</w:t>
            </w:r>
            <w:r>
              <w:rPr>
                <w:rFonts w:hint="eastAsia" w:ascii="宋体" w:hAnsi="宋体" w:cs="宋体"/>
                <w:b/>
                <w:bCs w:val="0"/>
                <w:color w:val="auto"/>
                <w:szCs w:val="21"/>
                <w:highlight w:val="none"/>
              </w:rPr>
              <w:t>设计和布置方案分（满分</w:t>
            </w:r>
            <w:r>
              <w:rPr>
                <w:rFonts w:hint="eastAsia" w:ascii="宋体" w:hAnsi="宋体" w:cs="宋体"/>
                <w:b/>
                <w:bCs w:val="0"/>
                <w:color w:val="auto"/>
                <w:szCs w:val="21"/>
                <w:highlight w:val="none"/>
                <w:lang w:val="en-US" w:eastAsia="zh-CN"/>
              </w:rPr>
              <w:t>40</w:t>
            </w:r>
            <w:r>
              <w:rPr>
                <w:rFonts w:hint="eastAsia" w:ascii="宋体" w:hAnsi="宋体" w:cs="宋体"/>
                <w:b/>
                <w:bCs w:val="0"/>
                <w:color w:val="auto"/>
                <w:szCs w:val="21"/>
                <w:highlight w:val="none"/>
              </w:rPr>
              <w:t>分）</w:t>
            </w:r>
          </w:p>
          <w:p w14:paraId="19A391EE">
            <w:pPr>
              <w:spacing w:line="360" w:lineRule="auto"/>
              <w:jc w:val="center"/>
              <w:rPr>
                <w:rFonts w:ascii="宋体" w:hAnsi="宋体" w:cs="宋体"/>
                <w:bCs/>
                <w:color w:val="auto"/>
                <w:szCs w:val="21"/>
                <w:highlight w:val="none"/>
              </w:rPr>
            </w:pPr>
          </w:p>
        </w:tc>
        <w:tc>
          <w:tcPr>
            <w:tcW w:w="5665" w:type="dxa"/>
            <w:vAlign w:val="center"/>
          </w:tcPr>
          <w:p w14:paraId="07F8AB2F">
            <w:pPr>
              <w:pStyle w:val="19"/>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由磋商小组在打分前根据各供应商的</w:t>
            </w:r>
            <w:r>
              <w:rPr>
                <w:rFonts w:hint="eastAsia" w:hAnsi="宋体" w:cs="宋体"/>
                <w:bCs/>
                <w:color w:val="auto"/>
                <w:sz w:val="21"/>
                <w:highlight w:val="none"/>
                <w:lang w:val="en-US" w:eastAsia="zh-CN"/>
              </w:rPr>
              <w:t>总体</w:t>
            </w:r>
            <w:r>
              <w:rPr>
                <w:rFonts w:hint="eastAsia" w:hAnsi="宋体" w:cs="宋体"/>
                <w:bCs/>
                <w:color w:val="auto"/>
                <w:sz w:val="21"/>
                <w:highlight w:val="none"/>
              </w:rPr>
              <w:t>设计和布置方案确定各供应商所属档次及得分。达不到一档要求或不提供的得0分。</w:t>
            </w:r>
          </w:p>
          <w:p w14:paraId="53697B07">
            <w:pPr>
              <w:pStyle w:val="19"/>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一档 (</w:t>
            </w:r>
            <w:r>
              <w:rPr>
                <w:rFonts w:hint="eastAsia" w:hAnsi="宋体" w:cs="宋体"/>
                <w:bCs/>
                <w:color w:val="auto"/>
                <w:sz w:val="21"/>
                <w:highlight w:val="none"/>
                <w:lang w:val="en-US" w:eastAsia="zh-CN"/>
              </w:rPr>
              <w:t>8</w:t>
            </w:r>
            <w:r>
              <w:rPr>
                <w:rFonts w:hint="eastAsia" w:hAnsi="宋体" w:cs="宋体"/>
                <w:bCs/>
                <w:color w:val="auto"/>
                <w:sz w:val="21"/>
                <w:highlight w:val="none"/>
              </w:rPr>
              <w:t>分)：基本满足采购文件要求，设计方案基本合理，但内容简单。</w:t>
            </w:r>
          </w:p>
          <w:p w14:paraId="45F22DD5">
            <w:pPr>
              <w:pStyle w:val="19"/>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二档 (</w:t>
            </w:r>
            <w:r>
              <w:rPr>
                <w:rFonts w:hint="eastAsia" w:hAnsi="宋体" w:cs="宋体"/>
                <w:bCs/>
                <w:color w:val="auto"/>
                <w:sz w:val="21"/>
                <w:highlight w:val="none"/>
                <w:lang w:val="en-US" w:eastAsia="zh-CN"/>
              </w:rPr>
              <w:t>16</w:t>
            </w:r>
            <w:r>
              <w:rPr>
                <w:rFonts w:hint="eastAsia" w:hAnsi="宋体" w:cs="宋体"/>
                <w:bCs/>
                <w:color w:val="auto"/>
                <w:sz w:val="21"/>
                <w:highlight w:val="none"/>
              </w:rPr>
              <w:t xml:space="preserve">分)：基本满足采购文件要求，设计方案较合理,有一定思路脉络、有方案介绍、重点难点分析不够突出、项目理解不够深刻。 </w:t>
            </w:r>
          </w:p>
          <w:p w14:paraId="53DD9705">
            <w:pPr>
              <w:pStyle w:val="19"/>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三档 (</w:t>
            </w:r>
            <w:r>
              <w:rPr>
                <w:rFonts w:hint="eastAsia" w:hAnsi="宋体" w:cs="宋体"/>
                <w:bCs/>
                <w:color w:val="auto"/>
                <w:sz w:val="21"/>
                <w:highlight w:val="none"/>
                <w:lang w:val="en-US" w:eastAsia="zh-CN"/>
              </w:rPr>
              <w:t>24</w:t>
            </w:r>
            <w:r>
              <w:rPr>
                <w:rFonts w:hint="eastAsia" w:hAnsi="宋体" w:cs="宋体"/>
                <w:bCs/>
                <w:color w:val="auto"/>
                <w:sz w:val="21"/>
                <w:highlight w:val="none"/>
              </w:rPr>
              <w:t>分)：满足采购文件要求，设计方案合理,内容完整，思路脉络基本清晰、方案介绍基本全面、重点难点分析不够突出、项目理解不够深刻，布局较为合理，但设计效果不够突出。</w:t>
            </w:r>
          </w:p>
          <w:p w14:paraId="4A1D993F">
            <w:pPr>
              <w:pStyle w:val="19"/>
              <w:spacing w:line="44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四档 (</w:t>
            </w:r>
            <w:r>
              <w:rPr>
                <w:rFonts w:hint="eastAsia" w:hAnsi="宋体" w:cs="宋体"/>
                <w:bCs/>
                <w:color w:val="auto"/>
                <w:sz w:val="21"/>
                <w:highlight w:val="none"/>
                <w:lang w:val="en-US" w:eastAsia="zh-CN"/>
              </w:rPr>
              <w:t>32</w:t>
            </w:r>
            <w:r>
              <w:rPr>
                <w:rFonts w:hint="eastAsia" w:hAnsi="宋体" w:cs="宋体"/>
                <w:bCs/>
                <w:color w:val="auto"/>
                <w:sz w:val="21"/>
                <w:highlight w:val="none"/>
              </w:rPr>
              <w:t xml:space="preserve">分)：设计方案有一定创意，有一定的可操作性，内容完整、切合主题，思路脉络比较清晰、方案介绍比较全面、重点难点分析比较突出、项目理解比较深刻，布局合理，设计效果较为突出。 </w:t>
            </w:r>
          </w:p>
          <w:p w14:paraId="44B0E9E5">
            <w:pPr>
              <w:pStyle w:val="19"/>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五档 (</w:t>
            </w:r>
            <w:r>
              <w:rPr>
                <w:rFonts w:hint="eastAsia" w:hAnsi="宋体" w:cs="宋体"/>
                <w:bCs/>
                <w:color w:val="auto"/>
                <w:sz w:val="21"/>
                <w:highlight w:val="none"/>
                <w:lang w:val="en-US" w:eastAsia="zh-CN"/>
              </w:rPr>
              <w:t>40</w:t>
            </w:r>
            <w:r>
              <w:rPr>
                <w:rFonts w:hint="eastAsia" w:hAnsi="宋体" w:cs="宋体"/>
                <w:bCs/>
                <w:color w:val="auto"/>
                <w:sz w:val="21"/>
                <w:highlight w:val="none"/>
              </w:rPr>
              <w:t>分)：设计方案有创意，可操作性强，内容详细、完整、突出主题，思路脉络清晰、方案介绍全面、重点难点分析突出、项目理解深刻，设计布局合理，设计效果突出。</w:t>
            </w:r>
          </w:p>
        </w:tc>
      </w:tr>
      <w:tr w14:paraId="1217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184D776A">
            <w:pPr>
              <w:adjustRightInd w:val="0"/>
              <w:spacing w:line="360" w:lineRule="auto"/>
              <w:jc w:val="center"/>
              <w:textAlignment w:val="baseline"/>
              <w:rPr>
                <w:rFonts w:ascii="宋体" w:hAnsi="宋体" w:cs="宋体"/>
                <w:b/>
                <w:color w:val="auto"/>
                <w:szCs w:val="21"/>
                <w:highlight w:val="none"/>
              </w:rPr>
            </w:pPr>
            <w:bookmarkStart w:id="43" w:name="OLE_LINK19" w:colFirst="4" w:colLast="4"/>
          </w:p>
        </w:tc>
        <w:tc>
          <w:tcPr>
            <w:tcW w:w="1280" w:type="dxa"/>
            <w:vMerge w:val="continue"/>
            <w:vAlign w:val="center"/>
          </w:tcPr>
          <w:p w14:paraId="34B2C66D">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6DFB9CA6">
            <w:pPr>
              <w:adjustRightInd w:val="0"/>
              <w:spacing w:line="360" w:lineRule="auto"/>
              <w:jc w:val="center"/>
              <w:textAlignment w:val="baseline"/>
              <w:rPr>
                <w:rFonts w:ascii="宋体" w:hAnsi="宋体" w:cs="宋体"/>
                <w:b/>
                <w:color w:val="auto"/>
                <w:szCs w:val="21"/>
                <w:highlight w:val="none"/>
              </w:rPr>
            </w:pPr>
          </w:p>
        </w:tc>
        <w:tc>
          <w:tcPr>
            <w:tcW w:w="1244" w:type="dxa"/>
            <w:vAlign w:val="center"/>
          </w:tcPr>
          <w:p w14:paraId="525996C3">
            <w:pPr>
              <w:spacing w:line="360" w:lineRule="auto"/>
              <w:jc w:val="center"/>
              <w:rPr>
                <w:rFonts w:hint="eastAsia" w:ascii="宋体" w:hAnsi="宋体" w:eastAsia="宋体" w:cs="宋体"/>
                <w:bCs/>
                <w:color w:val="auto"/>
                <w:szCs w:val="21"/>
                <w:highlight w:val="none"/>
                <w:lang w:eastAsia="zh-CN"/>
              </w:rPr>
            </w:pPr>
            <w:r>
              <w:rPr>
                <w:rFonts w:hint="eastAsia" w:ascii="宋体" w:hAnsi="宋体" w:cs="宋体"/>
                <w:b/>
                <w:bCs w:val="0"/>
                <w:color w:val="auto"/>
                <w:szCs w:val="21"/>
                <w:highlight w:val="none"/>
              </w:rPr>
              <w:t>实施组织方案分（满分</w:t>
            </w:r>
            <w:r>
              <w:rPr>
                <w:rFonts w:hint="eastAsia" w:ascii="宋体" w:hAnsi="宋体" w:cs="宋体"/>
                <w:b/>
                <w:bCs w:val="0"/>
                <w:color w:val="auto"/>
                <w:szCs w:val="21"/>
                <w:highlight w:val="none"/>
                <w:lang w:val="en-US" w:eastAsia="zh-CN"/>
              </w:rPr>
              <w:t>24</w:t>
            </w:r>
            <w:r>
              <w:rPr>
                <w:rFonts w:hint="eastAsia" w:ascii="宋体" w:hAnsi="宋体" w:cs="宋体"/>
                <w:b/>
                <w:bCs w:val="0"/>
                <w:color w:val="auto"/>
                <w:szCs w:val="21"/>
                <w:highlight w:val="none"/>
              </w:rPr>
              <w:t>分</w:t>
            </w:r>
            <w:r>
              <w:rPr>
                <w:rFonts w:hint="eastAsia" w:ascii="宋体" w:hAnsi="宋体" w:cs="宋体"/>
                <w:b/>
                <w:bCs w:val="0"/>
                <w:color w:val="auto"/>
                <w:szCs w:val="21"/>
                <w:highlight w:val="none"/>
                <w:lang w:eastAsia="zh-CN"/>
              </w:rPr>
              <w:t>）</w:t>
            </w:r>
          </w:p>
        </w:tc>
        <w:tc>
          <w:tcPr>
            <w:tcW w:w="5665" w:type="dxa"/>
            <w:vAlign w:val="center"/>
          </w:tcPr>
          <w:p w14:paraId="33AFEB79">
            <w:pPr>
              <w:tabs>
                <w:tab w:val="left" w:pos="2472"/>
              </w:tabs>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由磋商小组在打分前根据各供应商的实施组织方案确定各供应商所属档次及得分。达不到一档要求或不提供的得0分。</w:t>
            </w:r>
          </w:p>
          <w:p w14:paraId="1573C6FB">
            <w:pPr>
              <w:tabs>
                <w:tab w:val="left" w:pos="2472"/>
              </w:tabs>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分)：提供了项目组织实施方案，且方案满足采购需求。</w:t>
            </w:r>
          </w:p>
          <w:p w14:paraId="0B264D6A">
            <w:pPr>
              <w:tabs>
                <w:tab w:val="left" w:pos="2472"/>
              </w:tabs>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二档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分)：提供了项目组织实施方案，较详细描述了服务项目的内容以及实现方式。组织实施方案可行，符合项目实际情况。有明确的项目进度，项目管理制度及方法严谨。</w:t>
            </w:r>
          </w:p>
          <w:p w14:paraId="6F2C62CC">
            <w:pPr>
              <w:tabs>
                <w:tab w:val="left" w:pos="2472"/>
              </w:tabs>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提供了项目组织实施方案，详细描述了服务项目的内容以及实现方式，完全满足项目的需要。组织实施方案可行，科学合理，且具有一定的先进性。有明确的项目进度、管理措施、项目实施保障措施，对质量有详细的控制方案和措施。</w:t>
            </w:r>
          </w:p>
          <w:p w14:paraId="5393FA98">
            <w:pPr>
              <w:tabs>
                <w:tab w:val="left" w:pos="2472"/>
              </w:tabs>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提供了项目组织实施方案，详细描述了服务项目的内容以及实现方式，完全满足项目的需要。组织实施方案可行，科学合理，且具有一定的先进性。有明确的项目进度、管理措施、项目实施保障措施，对质量有详细的控制方案和措施，有具体的人员实施安排。</w:t>
            </w:r>
          </w:p>
        </w:tc>
      </w:tr>
      <w:bookmarkEnd w:id="43"/>
      <w:tr w14:paraId="037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12377E11">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46F8F44C">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29B5CBF5">
            <w:pPr>
              <w:adjustRightInd w:val="0"/>
              <w:spacing w:line="360" w:lineRule="auto"/>
              <w:jc w:val="center"/>
              <w:textAlignment w:val="baseline"/>
              <w:rPr>
                <w:rFonts w:ascii="宋体" w:hAnsi="宋体" w:cs="宋体"/>
                <w:b/>
                <w:color w:val="auto"/>
                <w:szCs w:val="21"/>
                <w:highlight w:val="none"/>
              </w:rPr>
            </w:pPr>
          </w:p>
        </w:tc>
        <w:tc>
          <w:tcPr>
            <w:tcW w:w="1244" w:type="dxa"/>
            <w:vAlign w:val="center"/>
          </w:tcPr>
          <w:p w14:paraId="7B334E60">
            <w:pPr>
              <w:spacing w:line="360" w:lineRule="auto"/>
              <w:jc w:val="center"/>
              <w:rPr>
                <w:rFonts w:ascii="宋体" w:hAnsi="宋体" w:cs="宋体"/>
                <w:bCs/>
                <w:color w:val="auto"/>
                <w:szCs w:val="21"/>
                <w:highlight w:val="none"/>
              </w:rPr>
            </w:pPr>
            <w:r>
              <w:rPr>
                <w:rFonts w:hint="eastAsia" w:ascii="宋体" w:hAnsi="宋体" w:cs="宋体"/>
                <w:b/>
                <w:bCs w:val="0"/>
                <w:color w:val="auto"/>
                <w:szCs w:val="21"/>
                <w:highlight w:val="none"/>
              </w:rPr>
              <w:t>服务承诺分（满分20分）</w:t>
            </w:r>
          </w:p>
        </w:tc>
        <w:tc>
          <w:tcPr>
            <w:tcW w:w="5665" w:type="dxa"/>
            <w:vAlign w:val="center"/>
          </w:tcPr>
          <w:p w14:paraId="246A2A25">
            <w:pPr>
              <w:pStyle w:val="19"/>
              <w:spacing w:line="44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由磋商小组在打分前根据各供应商的服务承诺确定各供应商所属档次及得分。达不到一档要求或不提供的得0分。</w:t>
            </w:r>
          </w:p>
          <w:p w14:paraId="08CF3AB6">
            <w:pPr>
              <w:pStyle w:val="19"/>
              <w:spacing w:line="440" w:lineRule="exact"/>
              <w:ind w:firstLine="420" w:firstLineChars="200"/>
              <w:jc w:val="left"/>
              <w:rPr>
                <w:rFonts w:hint="eastAsia" w:hAnsi="宋体" w:cs="宋体"/>
                <w:color w:val="auto"/>
                <w:sz w:val="21"/>
                <w:highlight w:val="none"/>
              </w:rPr>
            </w:pPr>
            <w:r>
              <w:rPr>
                <w:rFonts w:hint="eastAsia" w:hAnsi="宋体" w:cs="宋体"/>
                <w:color w:val="auto"/>
                <w:sz w:val="21"/>
                <w:highlight w:val="none"/>
                <w:lang w:val="en-US" w:eastAsia="zh-CN"/>
              </w:rPr>
              <w:t xml:space="preserve">  </w:t>
            </w:r>
            <w:r>
              <w:rPr>
                <w:rFonts w:hint="eastAsia" w:hAnsi="宋体" w:cs="宋体"/>
                <w:color w:val="auto"/>
                <w:sz w:val="21"/>
                <w:highlight w:val="none"/>
              </w:rPr>
              <w:t>一档（5分）：服务质量保证措施不完善，服务承诺不具体；</w:t>
            </w:r>
          </w:p>
          <w:p w14:paraId="0B4B8BA3">
            <w:pPr>
              <w:pStyle w:val="19"/>
              <w:spacing w:line="44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二档（10分）：提供的售后服务及应急措施，较详细描述了售后服务人员构成及服务方式。应急措施简单，可行性一般，方案切实可行，符合项目实际情况。</w:t>
            </w:r>
          </w:p>
          <w:p w14:paraId="5A3C46CF">
            <w:pPr>
              <w:pStyle w:val="19"/>
              <w:spacing w:line="44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三档（15分）：提供的售后服务及应急措施，详细描述了售后服务人员构成及服务方式，完全满足项目的需要。应急措施详细、完善，人员安排到位，可行性高，方案切实可行，科学合理，且具有一定的先进性。</w:t>
            </w:r>
          </w:p>
          <w:p w14:paraId="1F4B36AF">
            <w:pPr>
              <w:pStyle w:val="19"/>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四档（20分）：提供的售后服务及应急措施，详细描述了售后服务人员构成及服务方式，完全满足项目的需要；应急措施详细、完善，人员安排到位，可行性高，方案切实可行，科学合理，且具有一定的先进性；有明确的排除问题时间承诺，售后服务质量管理措施等。</w:t>
            </w:r>
          </w:p>
        </w:tc>
      </w:tr>
      <w:tr w14:paraId="1BC9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30" w:type="dxa"/>
            <w:vAlign w:val="center"/>
          </w:tcPr>
          <w:p w14:paraId="1BFA74A3">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280" w:type="dxa"/>
            <w:vAlign w:val="center"/>
          </w:tcPr>
          <w:p w14:paraId="3964556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p>
        </w:tc>
        <w:tc>
          <w:tcPr>
            <w:tcW w:w="709" w:type="dxa"/>
            <w:vAlign w:val="center"/>
          </w:tcPr>
          <w:p w14:paraId="030F23F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分</w:t>
            </w:r>
          </w:p>
        </w:tc>
        <w:tc>
          <w:tcPr>
            <w:tcW w:w="6909" w:type="dxa"/>
            <w:gridSpan w:val="2"/>
            <w:vAlign w:val="center"/>
          </w:tcPr>
          <w:p w14:paraId="37BDFFB8">
            <w:pPr>
              <w:pStyle w:val="93"/>
              <w:ind w:firstLine="0" w:firstLineChars="0"/>
              <w:rPr>
                <w:rFonts w:cs="宋体"/>
                <w:color w:val="auto"/>
                <w:sz w:val="21"/>
                <w:highlight w:val="none"/>
              </w:rPr>
            </w:pPr>
            <w:r>
              <w:rPr>
                <w:rFonts w:hint="eastAsia" w:cs="宋体"/>
                <w:color w:val="auto"/>
                <w:sz w:val="21"/>
                <w:szCs w:val="24"/>
                <w:highlight w:val="none"/>
              </w:rPr>
              <w:t>供应商具有202</w:t>
            </w:r>
            <w:r>
              <w:rPr>
                <w:rFonts w:hint="eastAsia" w:cs="宋体"/>
                <w:color w:val="auto"/>
                <w:sz w:val="21"/>
                <w:szCs w:val="24"/>
                <w:highlight w:val="none"/>
                <w:lang w:val="en-US" w:eastAsia="zh-CN"/>
              </w:rPr>
              <w:t>2</w:t>
            </w:r>
            <w:r>
              <w:rPr>
                <w:rFonts w:hint="eastAsia" w:cs="宋体"/>
                <w:color w:val="auto"/>
                <w:sz w:val="21"/>
                <w:szCs w:val="24"/>
                <w:highlight w:val="none"/>
              </w:rPr>
              <w:t>年</w:t>
            </w:r>
            <w:r>
              <w:rPr>
                <w:rFonts w:hint="eastAsia" w:cs="宋体"/>
                <w:color w:val="auto"/>
                <w:sz w:val="21"/>
                <w:szCs w:val="24"/>
                <w:highlight w:val="none"/>
                <w:lang w:val="en-US" w:eastAsia="zh-CN"/>
              </w:rPr>
              <w:t>1月1日</w:t>
            </w:r>
            <w:r>
              <w:rPr>
                <w:rFonts w:hint="eastAsia" w:cs="宋体"/>
                <w:color w:val="auto"/>
                <w:sz w:val="21"/>
                <w:szCs w:val="24"/>
                <w:highlight w:val="none"/>
              </w:rPr>
              <w:t>以来</w:t>
            </w:r>
            <w:r>
              <w:rPr>
                <w:rFonts w:hint="eastAsia" w:cs="宋体"/>
                <w:color w:val="auto"/>
                <w:sz w:val="21"/>
                <w:szCs w:val="24"/>
                <w:highlight w:val="none"/>
                <w:lang w:val="en-US" w:eastAsia="zh-CN"/>
              </w:rPr>
              <w:t>类似</w:t>
            </w:r>
            <w:r>
              <w:rPr>
                <w:rFonts w:hint="eastAsia" w:cs="宋体"/>
                <w:color w:val="auto"/>
                <w:sz w:val="21"/>
                <w:szCs w:val="24"/>
                <w:highlight w:val="none"/>
              </w:rPr>
              <w:t>业绩(以合同或中标（成交）通知书复印件为准），每有一份得</w:t>
            </w:r>
            <w:r>
              <w:rPr>
                <w:rFonts w:hint="eastAsia" w:cs="宋体"/>
                <w:color w:val="auto"/>
                <w:sz w:val="21"/>
                <w:szCs w:val="24"/>
                <w:highlight w:val="none"/>
                <w:lang w:val="en-US" w:eastAsia="zh-CN"/>
              </w:rPr>
              <w:t>2</w:t>
            </w:r>
            <w:r>
              <w:rPr>
                <w:rFonts w:hint="eastAsia" w:cs="宋体"/>
                <w:color w:val="auto"/>
                <w:sz w:val="21"/>
                <w:szCs w:val="24"/>
                <w:highlight w:val="none"/>
              </w:rPr>
              <w:t>分，满分</w:t>
            </w:r>
            <w:r>
              <w:rPr>
                <w:rFonts w:hint="eastAsia" w:cs="宋体"/>
                <w:color w:val="auto"/>
                <w:sz w:val="21"/>
                <w:szCs w:val="24"/>
                <w:highlight w:val="none"/>
                <w:lang w:val="en-US" w:eastAsia="zh-CN"/>
              </w:rPr>
              <w:t>6</w:t>
            </w:r>
            <w:r>
              <w:rPr>
                <w:rFonts w:hint="eastAsia" w:cs="宋体"/>
                <w:color w:val="auto"/>
                <w:sz w:val="21"/>
                <w:szCs w:val="24"/>
                <w:highlight w:val="none"/>
              </w:rPr>
              <w:t>分。（需在响应文件中提供合同或中标通知书、成交通知书复印件，不提供，不得分]</w:t>
            </w:r>
            <w:r>
              <w:rPr>
                <w:rFonts w:hint="eastAsia" w:cs="宋体"/>
                <w:color w:val="auto"/>
                <w:sz w:val="21"/>
                <w:szCs w:val="24"/>
                <w:highlight w:val="none"/>
                <w:lang w:val="en-US" w:eastAsia="zh-CN"/>
              </w:rPr>
              <w:t>。</w:t>
            </w:r>
          </w:p>
        </w:tc>
      </w:tr>
      <w:tr w14:paraId="2C8E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47E418A0">
            <w:pPr>
              <w:pStyle w:val="19"/>
              <w:spacing w:line="360" w:lineRule="auto"/>
              <w:rPr>
                <w:rFonts w:hAnsi="宋体" w:cs="宋体"/>
                <w:bCs/>
                <w:color w:val="auto"/>
                <w:kern w:val="2"/>
                <w:sz w:val="21"/>
                <w:highlight w:val="none"/>
              </w:rPr>
            </w:pPr>
            <w:r>
              <w:rPr>
                <w:rFonts w:hint="eastAsia" w:hAnsi="宋体" w:cs="宋体"/>
                <w:b/>
                <w:bCs/>
                <w:color w:val="auto"/>
                <w:kern w:val="2"/>
                <w:sz w:val="21"/>
                <w:highlight w:val="none"/>
              </w:rPr>
              <w:t>总得分=1+2+3。</w:t>
            </w:r>
          </w:p>
        </w:tc>
      </w:tr>
    </w:tbl>
    <w:p w14:paraId="5E471E85">
      <w:pPr>
        <w:rPr>
          <w:rFonts w:ascii="宋体" w:cs="宋体"/>
          <w:bCs/>
          <w:color w:val="auto"/>
          <w:szCs w:val="21"/>
          <w:highlight w:val="none"/>
        </w:rPr>
      </w:pPr>
    </w:p>
    <w:p w14:paraId="3C652E28">
      <w:pPr>
        <w:spacing w:line="360" w:lineRule="auto"/>
        <w:ind w:firstLine="422" w:firstLineChars="200"/>
        <w:rPr>
          <w:rFonts w:hint="eastAsia" w:ascii="宋体" w:hAnsi="宋体" w:cs="宋体"/>
          <w:b/>
          <w:color w:val="auto"/>
          <w:szCs w:val="21"/>
          <w:highlight w:val="none"/>
        </w:rPr>
      </w:pPr>
    </w:p>
    <w:p w14:paraId="204EF78B">
      <w:pPr>
        <w:spacing w:line="360" w:lineRule="auto"/>
        <w:ind w:firstLine="422" w:firstLineChars="200"/>
        <w:rPr>
          <w:rFonts w:hint="eastAsia" w:ascii="宋体" w:hAnsi="宋体" w:cs="宋体"/>
          <w:b/>
          <w:color w:val="auto"/>
          <w:szCs w:val="21"/>
          <w:highlight w:val="none"/>
        </w:rPr>
      </w:pPr>
    </w:p>
    <w:p w14:paraId="0332497F">
      <w:pPr>
        <w:spacing w:line="360" w:lineRule="auto"/>
        <w:ind w:firstLine="422" w:firstLineChars="200"/>
        <w:rPr>
          <w:rFonts w:hint="eastAsia" w:ascii="宋体" w:hAnsi="宋体" w:cs="宋体"/>
          <w:b/>
          <w:color w:val="auto"/>
          <w:szCs w:val="21"/>
          <w:highlight w:val="none"/>
        </w:rPr>
      </w:pPr>
    </w:p>
    <w:p w14:paraId="77CC50A9">
      <w:pPr>
        <w:spacing w:line="360" w:lineRule="auto"/>
        <w:ind w:firstLine="422" w:firstLineChars="200"/>
        <w:rPr>
          <w:rFonts w:ascii="宋体" w:hAnsi="Times New Roman" w:cs="宋体"/>
          <w:b/>
          <w:color w:val="auto"/>
          <w:szCs w:val="21"/>
          <w:highlight w:val="none"/>
        </w:rPr>
      </w:pPr>
      <w:r>
        <w:rPr>
          <w:rFonts w:hint="eastAsia" w:ascii="宋体" w:hAnsi="宋体" w:cs="宋体"/>
          <w:b/>
          <w:color w:val="auto"/>
          <w:szCs w:val="21"/>
          <w:highlight w:val="none"/>
        </w:rPr>
        <w:t>分标</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p>
    <w:tbl>
      <w:tblPr>
        <w:tblStyle w:val="3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244"/>
        <w:gridCol w:w="5665"/>
      </w:tblGrid>
      <w:tr w14:paraId="7FEE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2D551F33">
            <w:pPr>
              <w:adjustRightInd w:val="0"/>
              <w:spacing w:line="410" w:lineRule="exact"/>
              <w:jc w:val="center"/>
              <w:textAlignment w:val="baseline"/>
              <w:rPr>
                <w:rFonts w:ascii="宋体" w:hAnsi="Times New Roman" w:cs="宋体"/>
                <w:b/>
                <w:color w:val="auto"/>
                <w:szCs w:val="21"/>
                <w:highlight w:val="none"/>
              </w:rPr>
            </w:pPr>
            <w:r>
              <w:rPr>
                <w:rFonts w:hint="eastAsia" w:ascii="宋体" w:hAnsi="宋体" w:cs="宋体"/>
                <w:b/>
                <w:color w:val="auto"/>
                <w:szCs w:val="21"/>
                <w:highlight w:val="none"/>
              </w:rPr>
              <w:t>序号</w:t>
            </w:r>
          </w:p>
        </w:tc>
        <w:tc>
          <w:tcPr>
            <w:tcW w:w="1280" w:type="dxa"/>
            <w:vAlign w:val="center"/>
          </w:tcPr>
          <w:p w14:paraId="486B25C6">
            <w:pPr>
              <w:adjustRightInd w:val="0"/>
              <w:spacing w:line="410" w:lineRule="exact"/>
              <w:jc w:val="center"/>
              <w:textAlignment w:val="baseline"/>
              <w:rPr>
                <w:rFonts w:ascii="宋体" w:hAnsi="Times New Roman" w:cs="宋体"/>
                <w:color w:val="auto"/>
                <w:szCs w:val="21"/>
                <w:highlight w:val="none"/>
              </w:rPr>
            </w:pPr>
            <w:r>
              <w:rPr>
                <w:rFonts w:hint="eastAsia" w:ascii="宋体" w:hAnsi="宋体" w:cs="宋体"/>
                <w:b/>
                <w:color w:val="auto"/>
                <w:szCs w:val="21"/>
                <w:highlight w:val="none"/>
              </w:rPr>
              <w:t>评审因素</w:t>
            </w:r>
          </w:p>
        </w:tc>
        <w:tc>
          <w:tcPr>
            <w:tcW w:w="709" w:type="dxa"/>
            <w:vAlign w:val="center"/>
          </w:tcPr>
          <w:p w14:paraId="0424AFC3">
            <w:pPr>
              <w:adjustRightInd w:val="0"/>
              <w:spacing w:line="410" w:lineRule="exact"/>
              <w:jc w:val="center"/>
              <w:textAlignment w:val="baseline"/>
              <w:rPr>
                <w:rFonts w:ascii="宋体" w:hAnsi="Times New Roman" w:cs="宋体"/>
                <w:b/>
                <w:color w:val="auto"/>
                <w:szCs w:val="21"/>
                <w:highlight w:val="none"/>
              </w:rPr>
            </w:pPr>
            <w:r>
              <w:rPr>
                <w:rFonts w:hint="eastAsia" w:ascii="宋体" w:hAnsi="宋体" w:cs="宋体"/>
                <w:b/>
                <w:color w:val="auto"/>
                <w:szCs w:val="21"/>
                <w:highlight w:val="none"/>
              </w:rPr>
              <w:t>分值</w:t>
            </w:r>
          </w:p>
        </w:tc>
        <w:tc>
          <w:tcPr>
            <w:tcW w:w="6909" w:type="dxa"/>
            <w:gridSpan w:val="2"/>
            <w:vAlign w:val="center"/>
          </w:tcPr>
          <w:p w14:paraId="1FFAF2F3">
            <w:pPr>
              <w:adjustRightInd w:val="0"/>
              <w:spacing w:line="410" w:lineRule="exact"/>
              <w:jc w:val="center"/>
              <w:textAlignment w:val="baseline"/>
              <w:rPr>
                <w:rFonts w:ascii="宋体" w:hAnsi="Times New Roman" w:cs="宋体"/>
                <w:b/>
                <w:color w:val="auto"/>
                <w:szCs w:val="21"/>
                <w:highlight w:val="none"/>
              </w:rPr>
            </w:pPr>
            <w:r>
              <w:rPr>
                <w:rFonts w:hint="eastAsia" w:ascii="宋体" w:hAnsi="宋体" w:cs="宋体"/>
                <w:b/>
                <w:color w:val="auto"/>
                <w:szCs w:val="21"/>
                <w:highlight w:val="none"/>
              </w:rPr>
              <w:t>评标标准</w:t>
            </w:r>
          </w:p>
        </w:tc>
      </w:tr>
      <w:tr w14:paraId="095E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6374DA2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80" w:type="dxa"/>
            <w:vAlign w:val="center"/>
          </w:tcPr>
          <w:p w14:paraId="319A878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w:t>
            </w:r>
          </w:p>
        </w:tc>
        <w:tc>
          <w:tcPr>
            <w:tcW w:w="709" w:type="dxa"/>
            <w:vAlign w:val="center"/>
          </w:tcPr>
          <w:p w14:paraId="15EED0E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10分</w:t>
            </w:r>
          </w:p>
        </w:tc>
        <w:tc>
          <w:tcPr>
            <w:tcW w:w="6909" w:type="dxa"/>
            <w:gridSpan w:val="2"/>
            <w:vAlign w:val="center"/>
          </w:tcPr>
          <w:p w14:paraId="6A7EADB8">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一、政府采购政策扣除</w:t>
            </w:r>
          </w:p>
          <w:p w14:paraId="2E1949FA">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根据《政府采购促进中小企业发展管理办法》（财库〔2020〕46号）和《广西壮族自治区财政厅关于持续优化政府采购营商环境推动高质量发展的通知》（桂财采〔2024〕55号）的规定，供应商属于《政府采购促进中小企业发展管理办法》规定的小微企业的，对磋商报价给予10%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4%的扣除，用扣除后的价格参加评审。符合上述规定对报价给予扣除的，扣除后的价格为评标价，即评标价=最后报价×（1 - 扣除比例）；不符合上述给予扣除情形的，评标价=最后报价。</w:t>
            </w:r>
          </w:p>
          <w:p w14:paraId="07947994">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E95FCA7">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6C87DB">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二、报价分（满分10分）</w:t>
            </w:r>
          </w:p>
          <w:p w14:paraId="3BA7AAAF">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1、报价分采用低价优先法计算，满足磋商文件要求且评标价最低的有效供应商的评标价为评标基准价，其报价分为满分。</w:t>
            </w:r>
          </w:p>
          <w:p w14:paraId="537A82C1">
            <w:pPr>
              <w:widowControl w:val="0"/>
              <w:spacing w:line="360" w:lineRule="auto"/>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2、其他供应商的价格分统一按照下列公式计算：</w:t>
            </w:r>
          </w:p>
          <w:p w14:paraId="0952282B">
            <w:pPr>
              <w:widowControl w:val="0"/>
              <w:spacing w:line="420" w:lineRule="exact"/>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某有效供应商的报价分=（评标基准价／某有效供应商评标价）×10分</w:t>
            </w:r>
          </w:p>
        </w:tc>
      </w:tr>
      <w:tr w14:paraId="7DAA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30" w:type="dxa"/>
            <w:vMerge w:val="restart"/>
            <w:vAlign w:val="center"/>
          </w:tcPr>
          <w:p w14:paraId="569898F7">
            <w:pPr>
              <w:adjustRightInd w:val="0"/>
              <w:spacing w:line="360" w:lineRule="auto"/>
              <w:jc w:val="center"/>
              <w:textAlignment w:val="baseline"/>
              <w:rPr>
                <w:rFonts w:ascii="宋体" w:hAnsi="宋体" w:cs="宋体"/>
                <w:b/>
                <w:color w:val="auto"/>
                <w:szCs w:val="21"/>
                <w:highlight w:val="none"/>
              </w:rPr>
            </w:pPr>
          </w:p>
        </w:tc>
        <w:tc>
          <w:tcPr>
            <w:tcW w:w="1280" w:type="dxa"/>
            <w:vMerge w:val="restart"/>
            <w:vAlign w:val="center"/>
          </w:tcPr>
          <w:p w14:paraId="71A9847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技术分</w:t>
            </w:r>
          </w:p>
        </w:tc>
        <w:tc>
          <w:tcPr>
            <w:tcW w:w="709" w:type="dxa"/>
            <w:vMerge w:val="restart"/>
            <w:vAlign w:val="center"/>
          </w:tcPr>
          <w:p w14:paraId="0DF72A9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w:t>
            </w:r>
          </w:p>
        </w:tc>
        <w:tc>
          <w:tcPr>
            <w:tcW w:w="1244" w:type="dxa"/>
            <w:vAlign w:val="center"/>
          </w:tcPr>
          <w:p w14:paraId="6FD79EFA">
            <w:pPr>
              <w:spacing w:line="360" w:lineRule="auto"/>
              <w:jc w:val="center"/>
              <w:rPr>
                <w:rFonts w:ascii="宋体" w:hAnsi="宋体" w:cs="宋体"/>
                <w:bCs/>
                <w:color w:val="auto"/>
                <w:szCs w:val="21"/>
                <w:highlight w:val="none"/>
              </w:rPr>
            </w:pPr>
            <w:r>
              <w:rPr>
                <w:rFonts w:hint="eastAsia" w:ascii="宋体" w:hAnsi="宋体" w:eastAsia="宋体" w:cs="宋体"/>
                <w:b/>
                <w:color w:val="auto"/>
                <w:sz w:val="21"/>
                <w:szCs w:val="21"/>
                <w:highlight w:val="none"/>
              </w:rPr>
              <w:t>项目</w:t>
            </w:r>
            <w:r>
              <w:rPr>
                <w:rFonts w:hint="eastAsia" w:ascii="宋体" w:hAnsi="宋体" w:eastAsia="宋体" w:cs="宋体"/>
                <w:b/>
                <w:color w:val="auto"/>
                <w:sz w:val="21"/>
                <w:szCs w:val="21"/>
                <w:highlight w:val="none"/>
                <w:lang w:val="en-US" w:eastAsia="zh-CN"/>
              </w:rPr>
              <w:t>策划</w:t>
            </w:r>
            <w:r>
              <w:rPr>
                <w:rFonts w:hint="eastAsia" w:ascii="宋体" w:hAnsi="宋体" w:eastAsia="宋体" w:cs="宋体"/>
                <w:b/>
                <w:color w:val="auto"/>
                <w:sz w:val="21"/>
                <w:szCs w:val="21"/>
                <w:highlight w:val="none"/>
              </w:rPr>
              <w:t>创意方案分（满分</w:t>
            </w: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5665" w:type="dxa"/>
            <w:vAlign w:val="center"/>
          </w:tcPr>
          <w:p w14:paraId="69BE75C8">
            <w:pP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由磋商小组在打分前根据各供应商的项目策划创意方案确定各供应商所属档次及得分。达不到一档要求或不提供的得0分。</w:t>
            </w:r>
          </w:p>
          <w:p w14:paraId="25F13DEC">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一档（5分）：策划设计实施方案（含①实施人员安排、②实施进度计划、③实施内容）内容简单，整体构思含糊不明确，展示内容不全，实施内容和实施办法</w:t>
            </w:r>
            <w:r>
              <w:rPr>
                <w:rFonts w:hint="eastAsia" w:ascii="宋体" w:hAnsi="宋体" w:cs="宋体"/>
                <w:bCs/>
                <w:color w:val="auto"/>
                <w:kern w:val="0"/>
                <w:szCs w:val="21"/>
                <w:highlight w:val="none"/>
                <w:lang w:val="en-US" w:eastAsia="zh-CN"/>
              </w:rPr>
              <w:t>仅能</w:t>
            </w:r>
            <w:r>
              <w:rPr>
                <w:rFonts w:hint="eastAsia" w:ascii="宋体" w:hAnsi="宋体" w:cs="宋体"/>
                <w:bCs/>
                <w:color w:val="auto"/>
                <w:kern w:val="0"/>
                <w:szCs w:val="21"/>
                <w:highlight w:val="none"/>
              </w:rPr>
              <w:t>满足采购文件</w:t>
            </w:r>
            <w:r>
              <w:rPr>
                <w:rFonts w:hint="eastAsia" w:ascii="宋体" w:hAnsi="宋体" w:cs="宋体"/>
                <w:bCs/>
                <w:color w:val="auto"/>
                <w:kern w:val="0"/>
                <w:szCs w:val="21"/>
                <w:highlight w:val="none"/>
                <w:lang w:val="en-US" w:eastAsia="zh-CN"/>
              </w:rPr>
              <w:t>基础</w:t>
            </w:r>
            <w:r>
              <w:rPr>
                <w:rFonts w:hint="eastAsia" w:ascii="宋体" w:hAnsi="宋体" w:cs="宋体"/>
                <w:bCs/>
                <w:color w:val="auto"/>
                <w:kern w:val="0"/>
                <w:szCs w:val="21"/>
                <w:highlight w:val="none"/>
              </w:rPr>
              <w:t>要求。</w:t>
            </w:r>
          </w:p>
          <w:p w14:paraId="3273619B">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二档（10分）：策划设计实施方案（含①实施人员安排、②实施进度计划、③实施内容）基本完整，整体构思合理，展示形式</w:t>
            </w:r>
            <w:r>
              <w:rPr>
                <w:rFonts w:hint="eastAsia" w:ascii="宋体" w:hAnsi="宋体" w:cs="宋体"/>
                <w:bCs/>
                <w:color w:val="auto"/>
                <w:kern w:val="0"/>
                <w:szCs w:val="21"/>
                <w:highlight w:val="none"/>
                <w:lang w:val="en-US" w:eastAsia="zh-CN"/>
              </w:rPr>
              <w:t>整体符合项目要求</w:t>
            </w:r>
            <w:r>
              <w:rPr>
                <w:rFonts w:hint="eastAsia" w:ascii="宋体" w:hAnsi="宋体" w:cs="宋体"/>
                <w:bCs/>
                <w:color w:val="auto"/>
                <w:kern w:val="0"/>
                <w:szCs w:val="21"/>
                <w:highlight w:val="none"/>
              </w:rPr>
              <w:t>，措施</w:t>
            </w:r>
            <w:r>
              <w:rPr>
                <w:rFonts w:hint="eastAsia" w:ascii="宋体" w:hAnsi="宋体" w:cs="宋体"/>
                <w:bCs/>
                <w:color w:val="auto"/>
                <w:kern w:val="0"/>
                <w:szCs w:val="21"/>
                <w:highlight w:val="none"/>
                <w:lang w:val="en-US" w:eastAsia="zh-CN"/>
              </w:rPr>
              <w:t>具体</w:t>
            </w:r>
            <w:r>
              <w:rPr>
                <w:rFonts w:hint="eastAsia" w:ascii="宋体" w:hAnsi="宋体" w:cs="宋体"/>
                <w:bCs/>
                <w:color w:val="auto"/>
                <w:kern w:val="0"/>
                <w:szCs w:val="21"/>
                <w:highlight w:val="none"/>
              </w:rPr>
              <w:t>，项目实施方案合理、可行，</w:t>
            </w:r>
            <w:r>
              <w:rPr>
                <w:rFonts w:hint="eastAsia" w:ascii="宋体" w:hAnsi="宋体" w:cs="宋体"/>
                <w:bCs/>
                <w:color w:val="auto"/>
                <w:kern w:val="0"/>
                <w:szCs w:val="21"/>
                <w:highlight w:val="none"/>
                <w:lang w:val="en-US" w:eastAsia="zh-CN"/>
              </w:rPr>
              <w:t>实施</w:t>
            </w:r>
            <w:r>
              <w:rPr>
                <w:rFonts w:hint="eastAsia" w:ascii="宋体" w:hAnsi="宋体" w:cs="宋体"/>
                <w:bCs/>
                <w:color w:val="auto"/>
                <w:kern w:val="0"/>
                <w:szCs w:val="21"/>
                <w:highlight w:val="none"/>
              </w:rPr>
              <w:t>内容和实施办法</w:t>
            </w:r>
            <w:r>
              <w:rPr>
                <w:rFonts w:hint="eastAsia" w:ascii="宋体" w:hAnsi="宋体" w:cs="宋体"/>
                <w:bCs/>
                <w:color w:val="auto"/>
                <w:kern w:val="0"/>
                <w:szCs w:val="21"/>
                <w:highlight w:val="none"/>
                <w:lang w:val="en-US" w:eastAsia="zh-CN"/>
              </w:rPr>
              <w:t>完全</w:t>
            </w:r>
            <w:r>
              <w:rPr>
                <w:rFonts w:hint="eastAsia" w:ascii="宋体" w:hAnsi="宋体" w:cs="宋体"/>
                <w:bCs/>
                <w:color w:val="auto"/>
                <w:kern w:val="0"/>
                <w:szCs w:val="21"/>
                <w:highlight w:val="none"/>
              </w:rPr>
              <w:t>满足采购文件要求。</w:t>
            </w:r>
          </w:p>
          <w:p w14:paraId="586A9180">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三档（17分）：策划设计实施方案（含①实施人员安排、②实施进度计划、③实施内容）比较完整，构思新颖合理、目标明确、详细全面、展示形式灵活多样、有针对性，能充分考虑到本项目的实际情况，对项目特点符合度比较高，有重点内容和具体措施，具体可行性，很好</w:t>
            </w:r>
            <w:r>
              <w:rPr>
                <w:rFonts w:hint="eastAsia" w:ascii="宋体" w:hAnsi="宋体" w:cs="宋体"/>
                <w:bCs/>
                <w:color w:val="auto"/>
                <w:kern w:val="0"/>
                <w:szCs w:val="21"/>
                <w:highlight w:val="none"/>
                <w:lang w:eastAsia="zh-CN"/>
              </w:rPr>
              <w:t>地</w:t>
            </w:r>
            <w:r>
              <w:rPr>
                <w:rFonts w:hint="eastAsia" w:ascii="宋体" w:hAnsi="宋体" w:cs="宋体"/>
                <w:bCs/>
                <w:color w:val="auto"/>
                <w:kern w:val="0"/>
                <w:szCs w:val="21"/>
                <w:highlight w:val="none"/>
              </w:rPr>
              <w:t>满足采购文件要求。</w:t>
            </w:r>
          </w:p>
          <w:p w14:paraId="7301EDC0">
            <w:pPr>
              <w:widowControl/>
              <w:spacing w:line="360" w:lineRule="auto"/>
              <w:ind w:firstLine="420" w:firstLineChars="200"/>
              <w:jc w:val="left"/>
              <w:rPr>
                <w:rFonts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四档（25分）：策划设计实施方案（含①实施人员安排、②实施进度计划、③实施内容）清晰完整、构思新颖合理、目标明确、详细全面、展示形式灵活多样、有针对性，能充分考虑到本项目的实际情况，对项目特点符合度高，重点内容突出，措施具体，可执行性强，完全满足采购文件要求，能提供有效且有较高价值的增值服务。</w:t>
            </w:r>
          </w:p>
        </w:tc>
      </w:tr>
      <w:tr w14:paraId="3AA9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6D54E52F">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5BBE57C1">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16C4CCAA">
            <w:pPr>
              <w:adjustRightInd w:val="0"/>
              <w:spacing w:line="360" w:lineRule="auto"/>
              <w:jc w:val="center"/>
              <w:textAlignment w:val="baseline"/>
              <w:rPr>
                <w:rFonts w:ascii="宋体" w:hAnsi="宋体" w:cs="宋体"/>
                <w:b/>
                <w:color w:val="auto"/>
                <w:szCs w:val="21"/>
                <w:highlight w:val="none"/>
              </w:rPr>
            </w:pPr>
          </w:p>
        </w:tc>
        <w:tc>
          <w:tcPr>
            <w:tcW w:w="1244" w:type="dxa"/>
            <w:vAlign w:val="center"/>
          </w:tcPr>
          <w:p w14:paraId="60B0923E">
            <w:pPr>
              <w:spacing w:line="360" w:lineRule="auto"/>
              <w:jc w:val="center"/>
              <w:rPr>
                <w:rFonts w:ascii="宋体" w:hAnsi="宋体" w:cs="宋体"/>
                <w:bCs/>
                <w:color w:val="auto"/>
                <w:szCs w:val="21"/>
                <w:highlight w:val="none"/>
              </w:rPr>
            </w:pPr>
            <w:r>
              <w:rPr>
                <w:rFonts w:hint="eastAsia" w:ascii="宋体" w:hAnsi="宋体" w:cs="宋体"/>
                <w:b/>
                <w:bCs/>
                <w:color w:val="auto"/>
                <w:szCs w:val="21"/>
                <w:highlight w:val="none"/>
              </w:rPr>
              <w:t>主要宣传平台</w:t>
            </w:r>
            <w:r>
              <w:rPr>
                <w:rFonts w:hint="eastAsia" w:ascii="宋体" w:hAnsi="宋体" w:cs="宋体"/>
                <w:b/>
                <w:bCs/>
                <w:color w:val="auto"/>
                <w:szCs w:val="21"/>
                <w:highlight w:val="none"/>
                <w:lang w:val="en-US" w:eastAsia="zh-CN"/>
              </w:rPr>
              <w:t>方案</w:t>
            </w:r>
            <w:r>
              <w:rPr>
                <w:rFonts w:hint="eastAsia" w:ascii="宋体" w:hAnsi="宋体" w:cs="宋体"/>
                <w:b/>
                <w:bCs/>
                <w:color w:val="auto"/>
                <w:szCs w:val="21"/>
                <w:highlight w:val="none"/>
              </w:rPr>
              <w:t>分</w:t>
            </w:r>
            <w:r>
              <w:rPr>
                <w:rFonts w:hint="eastAsia" w:ascii="宋体" w:hAnsi="宋体" w:cs="宋体"/>
                <w:b/>
                <w:color w:val="auto"/>
                <w:szCs w:val="21"/>
                <w:highlight w:val="none"/>
              </w:rPr>
              <w:t>（</w:t>
            </w:r>
            <w:r>
              <w:rPr>
                <w:rFonts w:hint="eastAsia" w:ascii="宋体" w:hAnsi="宋体" w:cs="宋体"/>
                <w:b/>
                <w:color w:val="auto"/>
                <w:kern w:val="0"/>
                <w:szCs w:val="21"/>
                <w:highlight w:val="none"/>
              </w:rPr>
              <w:t>满分</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分）</w:t>
            </w:r>
          </w:p>
        </w:tc>
        <w:tc>
          <w:tcPr>
            <w:tcW w:w="5665" w:type="dxa"/>
            <w:vAlign w:val="center"/>
          </w:tcPr>
          <w:p w14:paraId="7BDDBA83">
            <w:pPr>
              <w:pStyle w:val="19"/>
              <w:spacing w:line="44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由磋商小组在打分前根据各供应商的主要宣传平台方案确定各供应商所属档次及得分。达不到一档要求或不提供的得0分。</w:t>
            </w:r>
          </w:p>
          <w:p w14:paraId="1FBDA3B7">
            <w:pPr>
              <w:pStyle w:val="19"/>
              <w:spacing w:line="440" w:lineRule="exact"/>
              <w:ind w:firstLine="420" w:firstLineChars="200"/>
              <w:rPr>
                <w:rFonts w:hAnsi="宋体" w:cs="宋体"/>
                <w:bCs/>
                <w:color w:val="auto"/>
                <w:sz w:val="21"/>
                <w:highlight w:val="none"/>
              </w:rPr>
            </w:pPr>
            <w:r>
              <w:rPr>
                <w:rFonts w:hint="eastAsia" w:hAnsi="宋体" w:cs="宋体"/>
                <w:bCs/>
                <w:color w:val="auto"/>
                <w:sz w:val="21"/>
                <w:highlight w:val="none"/>
              </w:rPr>
              <w:t>一档（8分）：能满足采购文件和宣传需求，提供良好的宣传活动及宣传回报方案，省级融媒体电视宣传平台所需内容，宣传方式完整。</w:t>
            </w:r>
          </w:p>
          <w:p w14:paraId="3EA78A9B">
            <w:pPr>
              <w:pStyle w:val="19"/>
              <w:spacing w:line="440" w:lineRule="exact"/>
              <w:ind w:firstLineChars="200"/>
              <w:rPr>
                <w:rFonts w:ascii="宋体" w:hAnsi="宋体" w:cs="宋体"/>
                <w:color w:val="auto"/>
                <w:szCs w:val="21"/>
                <w:highlight w:val="none"/>
              </w:rPr>
            </w:pPr>
            <w:r>
              <w:rPr>
                <w:rFonts w:hint="eastAsia" w:hAnsi="宋体" w:cs="宋体"/>
                <w:bCs/>
                <w:color w:val="auto"/>
                <w:sz w:val="21"/>
                <w:highlight w:val="none"/>
              </w:rPr>
              <w:t>二档（15分）：能很好地满足采购文件和宣传需求，提供优秀策划实施方案、完整详尽的宣传回报方案及在省级上星频道全媒体平台宣传所需内容，各种宣传方式（电视端、新媒体端）有机结合、整体性全局性强，形成宣传合力的矩阵推广效果。</w:t>
            </w:r>
          </w:p>
        </w:tc>
      </w:tr>
      <w:tr w14:paraId="667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3F34FF8F">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52D824AA">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25EA4471">
            <w:pPr>
              <w:adjustRightInd w:val="0"/>
              <w:spacing w:line="360" w:lineRule="auto"/>
              <w:jc w:val="center"/>
              <w:textAlignment w:val="baseline"/>
              <w:rPr>
                <w:rFonts w:ascii="宋体" w:hAnsi="宋体" w:cs="宋体"/>
                <w:b/>
                <w:color w:val="auto"/>
                <w:szCs w:val="21"/>
                <w:highlight w:val="none"/>
              </w:rPr>
            </w:pPr>
          </w:p>
        </w:tc>
        <w:tc>
          <w:tcPr>
            <w:tcW w:w="1244" w:type="dxa"/>
            <w:vAlign w:val="center"/>
          </w:tcPr>
          <w:p w14:paraId="6BB6607C">
            <w:pPr>
              <w:spacing w:line="360" w:lineRule="auto"/>
              <w:jc w:val="center"/>
              <w:rPr>
                <w:rFonts w:ascii="宋体" w:hAnsi="宋体" w:cs="宋体"/>
                <w:bCs/>
                <w:color w:val="auto"/>
                <w:szCs w:val="21"/>
                <w:highlight w:val="none"/>
              </w:rPr>
            </w:pPr>
            <w:r>
              <w:rPr>
                <w:rFonts w:ascii="宋体" w:hAnsi="宋体" w:cs="宋体"/>
                <w:b/>
                <w:bCs w:val="0"/>
                <w:color w:val="auto"/>
                <w:szCs w:val="21"/>
                <w:highlight w:val="none"/>
              </w:rPr>
              <w:t>项目拟投入人员及配置方案（</w:t>
            </w:r>
            <w:r>
              <w:rPr>
                <w:rFonts w:hint="eastAsia" w:ascii="宋体" w:hAnsi="宋体" w:cs="宋体"/>
                <w:b/>
                <w:bCs w:val="0"/>
                <w:color w:val="auto"/>
                <w:szCs w:val="21"/>
                <w:highlight w:val="none"/>
                <w:lang w:val="en-US" w:eastAsia="zh-CN"/>
              </w:rPr>
              <w:t>满分27</w:t>
            </w:r>
            <w:r>
              <w:rPr>
                <w:rFonts w:ascii="宋体" w:hAnsi="宋体" w:cs="宋体"/>
                <w:b/>
                <w:bCs w:val="0"/>
                <w:color w:val="auto"/>
                <w:szCs w:val="21"/>
                <w:highlight w:val="none"/>
              </w:rPr>
              <w:t xml:space="preserve"> 分）</w:t>
            </w:r>
          </w:p>
        </w:tc>
        <w:tc>
          <w:tcPr>
            <w:tcW w:w="5665" w:type="dxa"/>
            <w:vAlign w:val="center"/>
          </w:tcPr>
          <w:p w14:paraId="099AFA93">
            <w:pPr>
              <w:widowControl/>
              <w:snapToGrid w:val="0"/>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磋商小组</w:t>
            </w:r>
            <w:r>
              <w:rPr>
                <w:rFonts w:hint="eastAsia" w:ascii="宋体" w:hAnsi="宋体" w:cs="宋体"/>
                <w:bCs/>
                <w:color w:val="auto"/>
                <w:kern w:val="0"/>
                <w:szCs w:val="21"/>
                <w:highlight w:val="none"/>
              </w:rPr>
              <w:t>根据各供应商响应文件中提供的拟投入本项目的实施团队评分：</w:t>
            </w:r>
          </w:p>
          <w:p w14:paraId="4668670F">
            <w:pPr>
              <w:widowControl/>
              <w:snapToGrid w:val="0"/>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（1）供应商拟投入本项目的人员</w:t>
            </w:r>
            <w:r>
              <w:rPr>
                <w:rFonts w:hint="eastAsia" w:ascii="宋体" w:hAnsi="宋体" w:cs="宋体"/>
                <w:bCs/>
                <w:color w:val="auto"/>
                <w:kern w:val="0"/>
                <w:szCs w:val="21"/>
                <w:highlight w:val="none"/>
                <w:lang w:val="en-US" w:eastAsia="zh-CN"/>
              </w:rPr>
              <w:t>中，至少需配备1名</w:t>
            </w:r>
            <w:r>
              <w:rPr>
                <w:rFonts w:hint="eastAsia" w:ascii="宋体" w:hAnsi="宋体" w:cs="宋体"/>
                <w:bCs/>
                <w:color w:val="auto"/>
                <w:kern w:val="0"/>
                <w:szCs w:val="21"/>
                <w:highlight w:val="none"/>
              </w:rPr>
              <w:t>具有导演（编导）专业技术资格</w:t>
            </w:r>
            <w:r>
              <w:rPr>
                <w:rFonts w:hint="eastAsia" w:ascii="宋体" w:hAnsi="宋体" w:cs="宋体"/>
                <w:bCs/>
                <w:color w:val="auto"/>
                <w:kern w:val="0"/>
                <w:szCs w:val="21"/>
                <w:highlight w:val="none"/>
                <w:lang w:val="en-US" w:eastAsia="zh-CN"/>
              </w:rPr>
              <w:t>的人员</w:t>
            </w:r>
            <w:r>
              <w:rPr>
                <w:rFonts w:hint="eastAsia" w:ascii="宋体" w:hAnsi="宋体" w:cs="宋体"/>
                <w:bCs/>
                <w:color w:val="auto"/>
                <w:kern w:val="0"/>
                <w:szCs w:val="21"/>
                <w:highlight w:val="none"/>
              </w:rPr>
              <w:t>，具备导演（编导）相关专业四级技术职称的得3分，三级技术职称的得5分，二级技术职称的得7分，一级技术职称的得10分。</w:t>
            </w:r>
          </w:p>
          <w:p w14:paraId="57BE6366">
            <w:pPr>
              <w:widowControl/>
              <w:snapToGrid w:val="0"/>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（2）供应商拟投入本项目的人员</w:t>
            </w:r>
            <w:r>
              <w:rPr>
                <w:rFonts w:hint="eastAsia" w:ascii="宋体" w:hAnsi="宋体" w:cs="宋体"/>
                <w:bCs/>
                <w:color w:val="auto"/>
                <w:kern w:val="0"/>
                <w:szCs w:val="21"/>
                <w:highlight w:val="none"/>
                <w:lang w:val="en-US" w:eastAsia="zh-CN"/>
              </w:rPr>
              <w:t>中，至少</w:t>
            </w:r>
            <w:r>
              <w:rPr>
                <w:rFonts w:hint="eastAsia" w:ascii="宋体" w:hAnsi="宋体" w:cs="宋体"/>
                <w:bCs/>
                <w:color w:val="auto"/>
                <w:kern w:val="0"/>
                <w:szCs w:val="21"/>
                <w:highlight w:val="none"/>
              </w:rPr>
              <w:t>需</w:t>
            </w:r>
            <w:r>
              <w:rPr>
                <w:rFonts w:hint="eastAsia" w:ascii="宋体" w:hAnsi="宋体" w:cs="宋体"/>
                <w:bCs/>
                <w:color w:val="auto"/>
                <w:kern w:val="0"/>
                <w:szCs w:val="21"/>
                <w:highlight w:val="none"/>
                <w:lang w:val="en-US" w:eastAsia="zh-CN"/>
              </w:rPr>
              <w:t>配备1名</w:t>
            </w:r>
            <w:r>
              <w:rPr>
                <w:rFonts w:hint="eastAsia" w:ascii="宋体" w:hAnsi="宋体" w:cs="宋体"/>
                <w:bCs/>
                <w:color w:val="auto"/>
                <w:kern w:val="0"/>
                <w:szCs w:val="21"/>
                <w:highlight w:val="none"/>
              </w:rPr>
              <w:t>具有编辑专业技术资格，具有助理编辑技术职称的得3分，编辑技术职称的得5分，主任编辑技术职称的得7分，高级编辑技术职称的得10分。</w:t>
            </w:r>
          </w:p>
          <w:p w14:paraId="3A64E716">
            <w:pPr>
              <w:widowControl/>
              <w:snapToGrid w:val="0"/>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（3）供应商拟投入本项目的人员</w:t>
            </w:r>
            <w:r>
              <w:rPr>
                <w:rFonts w:hint="eastAsia" w:ascii="宋体" w:hAnsi="宋体" w:cs="宋体"/>
                <w:bCs/>
                <w:color w:val="auto"/>
                <w:kern w:val="0"/>
                <w:szCs w:val="21"/>
                <w:highlight w:val="none"/>
                <w:lang w:val="en-US" w:eastAsia="zh-CN"/>
              </w:rPr>
              <w:t>中，至少</w:t>
            </w:r>
            <w:r>
              <w:rPr>
                <w:rFonts w:hint="eastAsia" w:ascii="宋体" w:hAnsi="宋体" w:cs="宋体"/>
                <w:bCs/>
                <w:color w:val="auto"/>
                <w:kern w:val="0"/>
                <w:szCs w:val="21"/>
                <w:highlight w:val="none"/>
              </w:rPr>
              <w:t>需</w:t>
            </w:r>
            <w:r>
              <w:rPr>
                <w:rFonts w:hint="eastAsia" w:ascii="宋体" w:hAnsi="宋体" w:cs="宋体"/>
                <w:bCs/>
                <w:color w:val="auto"/>
                <w:kern w:val="0"/>
                <w:szCs w:val="21"/>
                <w:highlight w:val="none"/>
                <w:lang w:val="en-US" w:eastAsia="zh-CN"/>
              </w:rPr>
              <w:t>配备1名</w:t>
            </w:r>
            <w:r>
              <w:rPr>
                <w:rFonts w:hint="eastAsia" w:ascii="宋体" w:hAnsi="宋体" w:cs="宋体"/>
                <w:bCs/>
                <w:color w:val="auto"/>
                <w:kern w:val="0"/>
                <w:szCs w:val="21"/>
                <w:highlight w:val="none"/>
              </w:rPr>
              <w:t>具有包装设计师技术资格</w:t>
            </w:r>
            <w:r>
              <w:rPr>
                <w:rFonts w:hint="eastAsia" w:ascii="宋体" w:hAnsi="宋体" w:cs="宋体"/>
                <w:bCs/>
                <w:color w:val="auto"/>
                <w:kern w:val="0"/>
                <w:szCs w:val="21"/>
                <w:highlight w:val="none"/>
                <w:lang w:val="en-US" w:eastAsia="zh-CN"/>
              </w:rPr>
              <w:t>的人员</w:t>
            </w:r>
            <w:r>
              <w:rPr>
                <w:rFonts w:hint="eastAsia" w:ascii="宋体" w:hAnsi="宋体" w:cs="宋体"/>
                <w:bCs/>
                <w:color w:val="auto"/>
                <w:kern w:val="0"/>
                <w:szCs w:val="21"/>
                <w:highlight w:val="none"/>
              </w:rPr>
              <w:t>，具有四级技术职称的得1分、三级技术职称的得2分、二级及以上技术职称的得5分。</w:t>
            </w:r>
          </w:p>
          <w:p w14:paraId="3A0EBBDD">
            <w:pPr>
              <w:widowControl/>
              <w:snapToGrid w:val="0"/>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（4）供应商拟投入本项目的人员</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至少需达到5名，</w:t>
            </w:r>
            <w:r>
              <w:rPr>
                <w:rFonts w:hint="eastAsia" w:ascii="宋体" w:hAnsi="宋体" w:eastAsia="宋体" w:cs="宋体"/>
                <w:bCs/>
                <w:i w:val="0"/>
                <w:iCs w:val="0"/>
                <w:caps w:val="0"/>
                <w:color w:val="auto"/>
                <w:spacing w:val="0"/>
                <w:kern w:val="0"/>
                <w:sz w:val="21"/>
                <w:szCs w:val="21"/>
                <w:highlight w:val="none"/>
              </w:rPr>
              <w:t>每额外增加 1 名 ，得 0.5 分。</w:t>
            </w:r>
            <w:r>
              <w:rPr>
                <w:rFonts w:hint="eastAsia" w:ascii="宋体" w:hAnsi="宋体" w:cs="宋体"/>
                <w:bCs/>
                <w:color w:val="auto"/>
                <w:kern w:val="0"/>
                <w:szCs w:val="21"/>
                <w:highlight w:val="none"/>
              </w:rPr>
              <w:t>满分</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w:t>
            </w:r>
          </w:p>
          <w:p w14:paraId="610FD444">
            <w:pPr>
              <w:pStyle w:val="15"/>
              <w:spacing w:line="360" w:lineRule="auto"/>
              <w:ind w:firstLine="422" w:firstLineChars="200"/>
              <w:rPr>
                <w:color w:val="auto"/>
                <w:highlight w:val="none"/>
                <w:lang w:val="en-US" w:eastAsia="zh-CN"/>
              </w:rPr>
            </w:pPr>
            <w:r>
              <w:rPr>
                <w:rFonts w:hint="eastAsia" w:ascii="宋体" w:hAnsi="宋体" w:cs="宋体"/>
                <w:b/>
                <w:color w:val="auto"/>
                <w:kern w:val="0"/>
                <w:szCs w:val="21"/>
                <w:highlight w:val="none"/>
              </w:rPr>
              <w:t>注：</w:t>
            </w:r>
            <w:r>
              <w:rPr>
                <w:rFonts w:hint="eastAsia" w:ascii="宋体" w:hAnsi="宋体" w:eastAsia="宋体" w:cs="宋体"/>
                <w:bCs/>
                <w:i w:val="0"/>
                <w:iCs w:val="0"/>
                <w:caps w:val="0"/>
                <w:color w:val="auto"/>
                <w:spacing w:val="0"/>
                <w:kern w:val="0"/>
                <w:sz w:val="21"/>
                <w:szCs w:val="21"/>
                <w:highlight w:val="none"/>
              </w:rPr>
              <w:t>若供应商拟投入多名具有导演（编导）专业技术资格的人员，仅以其中职称等级最高者对应的分值计分，同一人证书只评一次</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须提供人员的职称证书复印件并加盖供应商公章，否则不得分。</w:t>
            </w:r>
          </w:p>
        </w:tc>
      </w:tr>
      <w:tr w14:paraId="3109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14:paraId="42DA16EB">
            <w:pPr>
              <w:adjustRightInd w:val="0"/>
              <w:spacing w:line="360" w:lineRule="auto"/>
              <w:jc w:val="center"/>
              <w:textAlignment w:val="baseline"/>
              <w:rPr>
                <w:rFonts w:ascii="宋体" w:hAnsi="宋体" w:cs="宋体"/>
                <w:b/>
                <w:color w:val="auto"/>
                <w:szCs w:val="21"/>
                <w:highlight w:val="none"/>
              </w:rPr>
            </w:pPr>
          </w:p>
        </w:tc>
        <w:tc>
          <w:tcPr>
            <w:tcW w:w="1280" w:type="dxa"/>
            <w:vAlign w:val="center"/>
          </w:tcPr>
          <w:p w14:paraId="63821B68">
            <w:pPr>
              <w:adjustRightInd w:val="0"/>
              <w:spacing w:line="360" w:lineRule="auto"/>
              <w:jc w:val="center"/>
              <w:textAlignment w:val="baseline"/>
              <w:rPr>
                <w:rFonts w:ascii="宋体" w:hAnsi="宋体" w:cs="宋体"/>
                <w:b/>
                <w:color w:val="auto"/>
                <w:szCs w:val="21"/>
                <w:highlight w:val="none"/>
              </w:rPr>
            </w:pPr>
          </w:p>
        </w:tc>
        <w:tc>
          <w:tcPr>
            <w:tcW w:w="709" w:type="dxa"/>
            <w:vAlign w:val="center"/>
          </w:tcPr>
          <w:p w14:paraId="5A2606EA">
            <w:pPr>
              <w:adjustRightInd w:val="0"/>
              <w:spacing w:line="360" w:lineRule="auto"/>
              <w:jc w:val="center"/>
              <w:textAlignment w:val="baseline"/>
              <w:rPr>
                <w:rFonts w:ascii="宋体" w:hAnsi="宋体" w:cs="宋体"/>
                <w:b/>
                <w:color w:val="auto"/>
                <w:szCs w:val="21"/>
                <w:highlight w:val="none"/>
              </w:rPr>
            </w:pPr>
          </w:p>
        </w:tc>
        <w:tc>
          <w:tcPr>
            <w:tcW w:w="1244" w:type="dxa"/>
            <w:vAlign w:val="center"/>
          </w:tcPr>
          <w:p w14:paraId="5E4525D6">
            <w:pPr>
              <w:widowControl w:val="0"/>
              <w:spacing w:line="440" w:lineRule="exact"/>
              <w:jc w:val="left"/>
              <w:rPr>
                <w:rFonts w:ascii="宋体" w:hAnsi="宋体" w:eastAsia="宋体" w:cs="宋体"/>
                <w:b/>
                <w:bCs/>
                <w:color w:val="auto"/>
                <w:kern w:val="0"/>
                <w:sz w:val="21"/>
                <w:szCs w:val="21"/>
                <w:highlight w:val="none"/>
                <w:lang w:val="en-US" w:eastAsia="zh-CN" w:bidi="ar-SA"/>
              </w:rPr>
            </w:pPr>
            <w:r>
              <w:rPr>
                <w:rFonts w:ascii="宋体" w:hAnsi="宋体" w:eastAsia="宋体" w:cs="宋体"/>
                <w:b/>
                <w:bCs/>
                <w:color w:val="auto"/>
                <w:kern w:val="0"/>
                <w:sz w:val="21"/>
                <w:szCs w:val="21"/>
                <w:highlight w:val="none"/>
                <w:lang w:val="en-US" w:eastAsia="zh-CN" w:bidi="ar-SA"/>
              </w:rPr>
              <w:t>服务承诺（</w:t>
            </w:r>
            <w:r>
              <w:rPr>
                <w:rFonts w:hint="eastAsia" w:ascii="宋体" w:hAnsi="宋体" w:cs="宋体"/>
                <w:b/>
                <w:bCs/>
                <w:color w:val="auto"/>
                <w:kern w:val="0"/>
                <w:sz w:val="21"/>
                <w:szCs w:val="21"/>
                <w:highlight w:val="none"/>
                <w:lang w:val="en-US" w:eastAsia="zh-CN" w:bidi="ar-SA"/>
              </w:rPr>
              <w:t>满分</w:t>
            </w:r>
            <w:r>
              <w:rPr>
                <w:rFonts w:ascii="宋体" w:hAnsi="宋体" w:eastAsia="宋体" w:cs="宋体"/>
                <w:b/>
                <w:bCs/>
                <w:color w:val="auto"/>
                <w:kern w:val="0"/>
                <w:sz w:val="21"/>
                <w:szCs w:val="21"/>
                <w:highlight w:val="none"/>
                <w:lang w:val="en-US" w:eastAsia="zh-CN" w:bidi="ar-SA"/>
              </w:rPr>
              <w:t>1</w:t>
            </w:r>
            <w:r>
              <w:rPr>
                <w:rFonts w:hint="eastAsia" w:ascii="宋体" w:hAnsi="宋体" w:cs="宋体"/>
                <w:b/>
                <w:bCs/>
                <w:color w:val="auto"/>
                <w:kern w:val="0"/>
                <w:sz w:val="21"/>
                <w:szCs w:val="21"/>
                <w:highlight w:val="none"/>
                <w:lang w:val="en-US" w:eastAsia="zh-CN" w:bidi="ar-SA"/>
              </w:rPr>
              <w:t>5</w:t>
            </w:r>
            <w:r>
              <w:rPr>
                <w:rFonts w:ascii="宋体" w:hAnsi="宋体" w:eastAsia="宋体" w:cs="宋体"/>
                <w:b/>
                <w:bCs/>
                <w:color w:val="auto"/>
                <w:kern w:val="0"/>
                <w:sz w:val="21"/>
                <w:szCs w:val="21"/>
                <w:highlight w:val="none"/>
                <w:lang w:val="en-US" w:eastAsia="zh-CN" w:bidi="ar-SA"/>
              </w:rPr>
              <w:t xml:space="preserve"> 分）</w:t>
            </w:r>
          </w:p>
          <w:p w14:paraId="152F757F">
            <w:pPr>
              <w:spacing w:line="360" w:lineRule="auto"/>
              <w:jc w:val="center"/>
              <w:rPr>
                <w:rFonts w:ascii="宋体" w:hAnsi="宋体" w:cs="宋体"/>
                <w:bCs/>
                <w:color w:val="auto"/>
                <w:szCs w:val="21"/>
                <w:highlight w:val="none"/>
              </w:rPr>
            </w:pPr>
          </w:p>
        </w:tc>
        <w:tc>
          <w:tcPr>
            <w:tcW w:w="5665" w:type="dxa"/>
            <w:vAlign w:val="center"/>
          </w:tcPr>
          <w:p w14:paraId="2D1D2C02">
            <w:pPr>
              <w:widowControl w:val="0"/>
              <w:spacing w:line="440" w:lineRule="exact"/>
              <w:ind w:firstLine="420" w:firstLineChars="20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服务承诺包含但不限于以下内容：①项目服务期间的服务承诺、②项目 售后服务承诺、③应急保证措施。</w:t>
            </w:r>
          </w:p>
          <w:p w14:paraId="564748C7">
            <w:pPr>
              <w:widowControl w:val="0"/>
              <w:spacing w:line="440" w:lineRule="exact"/>
              <w:ind w:firstLine="420" w:firstLineChars="20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一档（0 分）：未提供此内容的，不得分；</w:t>
            </w:r>
          </w:p>
          <w:p w14:paraId="747CF738">
            <w:pPr>
              <w:widowControl w:val="0"/>
              <w:spacing w:line="440" w:lineRule="exact"/>
              <w:ind w:firstLine="420" w:firstLineChars="20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二档（</w:t>
            </w:r>
            <w:r>
              <w:rPr>
                <w:rFonts w:hint="eastAsia" w:ascii="宋体" w:hAnsi="宋体" w:cs="宋体"/>
                <w:color w:val="auto"/>
                <w:kern w:val="0"/>
                <w:sz w:val="21"/>
                <w:szCs w:val="21"/>
                <w:highlight w:val="none"/>
                <w:lang w:val="en-US" w:eastAsia="zh-CN" w:bidi="ar-SA"/>
              </w:rPr>
              <w:t>5</w:t>
            </w:r>
            <w:r>
              <w:rPr>
                <w:rFonts w:ascii="宋体" w:hAnsi="宋体" w:eastAsia="宋体" w:cs="宋体"/>
                <w:color w:val="auto"/>
                <w:kern w:val="0"/>
                <w:sz w:val="21"/>
                <w:szCs w:val="21"/>
                <w:highlight w:val="none"/>
                <w:lang w:val="en-US" w:eastAsia="zh-CN" w:bidi="ar-SA"/>
              </w:rPr>
              <w:t>分）：方案有缺漏，不能满足项目采购要求；</w:t>
            </w:r>
          </w:p>
          <w:p w14:paraId="79095EEF">
            <w:pPr>
              <w:widowControl w:val="0"/>
              <w:spacing w:line="440" w:lineRule="exact"/>
              <w:ind w:firstLine="420" w:firstLineChars="20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highlight w:val="none"/>
                <w:lang w:val="en-US" w:eastAsia="zh-CN" w:bidi="ar-SA"/>
              </w:rPr>
              <w:t>三档（</w:t>
            </w:r>
            <w:r>
              <w:rPr>
                <w:rFonts w:hint="eastAsia" w:ascii="宋体" w:hAnsi="宋体" w:cs="宋体"/>
                <w:color w:val="auto"/>
                <w:kern w:val="0"/>
                <w:sz w:val="21"/>
                <w:szCs w:val="21"/>
                <w:highlight w:val="none"/>
                <w:lang w:val="en-US" w:eastAsia="zh-CN" w:bidi="ar-SA"/>
              </w:rPr>
              <w:t>10</w:t>
            </w:r>
            <w:r>
              <w:rPr>
                <w:rFonts w:ascii="宋体" w:hAnsi="宋体" w:eastAsia="宋体" w:cs="宋体"/>
                <w:color w:val="auto"/>
                <w:kern w:val="0"/>
                <w:sz w:val="21"/>
                <w:szCs w:val="21"/>
                <w:highlight w:val="none"/>
                <w:lang w:val="en-US" w:eastAsia="zh-CN" w:bidi="ar-SA"/>
              </w:rPr>
              <w:t xml:space="preserve"> 分） ：方案无缺漏，方案内容不全面完整、不合理准确，服务 期间的服务承诺不合理不完整、项目售后服务承诺不合理不完整、应急 保证措施不合理不完整，未能针对项目特性提出专业有效的方案，仅能 满足项目采购要求；</w:t>
            </w:r>
          </w:p>
          <w:p w14:paraId="7DCA61EA">
            <w:pPr>
              <w:widowControl w:val="0"/>
              <w:spacing w:line="440" w:lineRule="exact"/>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四</w:t>
            </w:r>
            <w:r>
              <w:rPr>
                <w:rFonts w:ascii="宋体" w:hAnsi="宋体" w:eastAsia="宋体" w:cs="宋体"/>
                <w:color w:val="auto"/>
                <w:kern w:val="0"/>
                <w:sz w:val="21"/>
                <w:szCs w:val="21"/>
                <w:highlight w:val="none"/>
                <w:lang w:val="en-US" w:eastAsia="zh-CN" w:bidi="ar-SA"/>
              </w:rPr>
              <w:t>档（1</w:t>
            </w:r>
            <w:r>
              <w:rPr>
                <w:rFonts w:hint="eastAsia" w:ascii="宋体" w:hAnsi="宋体" w:cs="宋体"/>
                <w:color w:val="auto"/>
                <w:kern w:val="0"/>
                <w:sz w:val="21"/>
                <w:szCs w:val="21"/>
                <w:highlight w:val="none"/>
                <w:lang w:val="en-US" w:eastAsia="zh-CN" w:bidi="ar-SA"/>
              </w:rPr>
              <w:t>5</w:t>
            </w:r>
            <w:r>
              <w:rPr>
                <w:rFonts w:ascii="宋体" w:hAnsi="宋体" w:eastAsia="宋体" w:cs="宋体"/>
                <w:color w:val="auto"/>
                <w:kern w:val="0"/>
                <w:sz w:val="21"/>
                <w:szCs w:val="21"/>
                <w:highlight w:val="none"/>
                <w:lang w:val="en-US" w:eastAsia="zh-CN" w:bidi="ar-SA"/>
              </w:rPr>
              <w:t>分）：方案无缺漏，方案内容全面完整且合理可行，服务期间 的服务承诺详细且合理完整、项目售后服务承诺详细且合理完整，应急 保障措施详细具体，能确保项目服务质量，能针对项目特性提出专业有 效的方案，能很好满足项目采购要求。</w:t>
            </w:r>
          </w:p>
        </w:tc>
      </w:tr>
      <w:tr w14:paraId="2BBD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30" w:type="dxa"/>
            <w:vAlign w:val="center"/>
          </w:tcPr>
          <w:p w14:paraId="5E4A265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280" w:type="dxa"/>
            <w:vAlign w:val="center"/>
          </w:tcPr>
          <w:p w14:paraId="639B160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p>
        </w:tc>
        <w:tc>
          <w:tcPr>
            <w:tcW w:w="709" w:type="dxa"/>
            <w:vAlign w:val="center"/>
          </w:tcPr>
          <w:p w14:paraId="3CA877C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分</w:t>
            </w:r>
          </w:p>
        </w:tc>
        <w:tc>
          <w:tcPr>
            <w:tcW w:w="6909" w:type="dxa"/>
            <w:gridSpan w:val="2"/>
            <w:vAlign w:val="center"/>
          </w:tcPr>
          <w:p w14:paraId="76D9458A">
            <w:pPr>
              <w:widowControl w:val="0"/>
              <w:adjustRightInd w:val="0"/>
              <w:spacing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cs="宋体"/>
                <w:bCs/>
                <w:color w:val="auto"/>
                <w:kern w:val="0"/>
                <w:szCs w:val="21"/>
                <w:highlight w:val="none"/>
              </w:rPr>
              <w:t>2022年1月1日以来供应商具有类似项目业绩的，每提供1份项目业绩得2分，满分8分。</w:t>
            </w:r>
            <w:r>
              <w:rPr>
                <w:rFonts w:hint="eastAsia" w:ascii="宋体" w:hAnsi="宋体" w:cs="宋体"/>
                <w:b/>
                <w:color w:val="auto"/>
                <w:kern w:val="0"/>
                <w:szCs w:val="21"/>
                <w:highlight w:val="none"/>
              </w:rPr>
              <w:t>（以供应商在响应文件中提供的业绩合同复印件或中标（成交）通知书为准）</w:t>
            </w:r>
          </w:p>
        </w:tc>
      </w:tr>
      <w:tr w14:paraId="49D3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148970AB">
            <w:pPr>
              <w:widowControl w:val="0"/>
              <w:spacing w:line="360" w:lineRule="auto"/>
              <w:jc w:val="both"/>
              <w:rPr>
                <w:rFonts w:ascii="宋体" w:hAnsi="宋体" w:eastAsia="宋体" w:cs="宋体"/>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总得分=1+2+3。</w:t>
            </w:r>
          </w:p>
        </w:tc>
      </w:tr>
    </w:tbl>
    <w:p w14:paraId="60721E48">
      <w:pPr>
        <w:rPr>
          <w:rFonts w:ascii="宋体" w:hAnsi="宋体" w:cs="宋体"/>
          <w:bCs/>
          <w:color w:val="auto"/>
          <w:szCs w:val="21"/>
          <w:highlight w:val="none"/>
        </w:rPr>
      </w:pPr>
    </w:p>
    <w:p w14:paraId="55960BA6">
      <w:pPr>
        <w:spacing w:line="360" w:lineRule="auto"/>
        <w:rPr>
          <w:rFonts w:ascii="宋体" w:cs="宋体"/>
          <w:color w:val="auto"/>
          <w:highlight w:val="none"/>
        </w:rPr>
      </w:pPr>
      <w:r>
        <w:rPr>
          <w:rFonts w:ascii="宋体" w:hAnsi="宋体" w:cs="宋体"/>
          <w:bCs/>
          <w:color w:val="auto"/>
          <w:szCs w:val="21"/>
          <w:highlight w:val="none"/>
        </w:rPr>
        <w:t>7.</w:t>
      </w:r>
      <w:r>
        <w:rPr>
          <w:rFonts w:hint="eastAsia" w:ascii="宋体" w:hAnsi="宋体" w:cs="宋体"/>
          <w:bCs/>
          <w:color w:val="auto"/>
          <w:szCs w:val="21"/>
          <w:highlight w:val="none"/>
        </w:rPr>
        <w:t>由磋商小组根据综合评分情况，按照评审得分由高到低顺序推荐</w:t>
      </w:r>
      <w:r>
        <w:rPr>
          <w:rFonts w:ascii="宋体" w:hAnsi="宋体" w:cs="宋体"/>
          <w:bCs/>
          <w:color w:val="auto"/>
          <w:szCs w:val="21"/>
          <w:highlight w:val="none"/>
        </w:rPr>
        <w:t>3</w:t>
      </w:r>
      <w:r>
        <w:rPr>
          <w:rFonts w:hint="eastAsia" w:ascii="宋体" w:hAnsi="宋体" w:cs="宋体"/>
          <w:bCs/>
          <w:color w:val="auto"/>
          <w:szCs w:val="21"/>
          <w:highlight w:val="none"/>
        </w:rPr>
        <w:t>名成交候选供应商，并编写评审报告。符合本章第</w:t>
      </w:r>
      <w:r>
        <w:rPr>
          <w:rFonts w:ascii="宋体" w:hAnsi="宋体" w:cs="宋体"/>
          <w:color w:val="auto"/>
          <w:szCs w:val="21"/>
          <w:highlight w:val="none"/>
        </w:rPr>
        <w:t>2.7</w:t>
      </w:r>
      <w:r>
        <w:rPr>
          <w:rFonts w:hint="eastAsia" w:ascii="宋体" w:hAnsi="宋体" w:cs="宋体"/>
          <w:color w:val="auto"/>
          <w:szCs w:val="21"/>
          <w:highlight w:val="none"/>
        </w:rPr>
        <w:t>、</w:t>
      </w:r>
      <w:r>
        <w:rPr>
          <w:rFonts w:ascii="宋体" w:hAnsi="宋体" w:cs="宋体"/>
          <w:color w:val="auto"/>
          <w:szCs w:val="21"/>
          <w:highlight w:val="none"/>
        </w:rPr>
        <w:t>3.7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s="宋体"/>
          <w:bCs/>
          <w:color w:val="auto"/>
          <w:szCs w:val="21"/>
          <w:highlight w:val="none"/>
        </w:rPr>
        <w:t>条情形的，可以推荐</w:t>
      </w:r>
      <w:r>
        <w:rPr>
          <w:rFonts w:ascii="宋体" w:hAnsi="宋体" w:cs="宋体"/>
          <w:bCs/>
          <w:color w:val="auto"/>
          <w:szCs w:val="21"/>
          <w:highlight w:val="none"/>
        </w:rPr>
        <w:t>2</w:t>
      </w:r>
      <w:r>
        <w:rPr>
          <w:rFonts w:hint="eastAsia" w:ascii="宋体" w:hAnsi="宋体" w:cs="宋体"/>
          <w:bCs/>
          <w:color w:val="auto"/>
          <w:szCs w:val="21"/>
          <w:highlight w:val="none"/>
        </w:rPr>
        <w:t>家成交候选供应商。评审得分相同的，按照最后报价（不计算价格折扣）由低到高的顺序推荐。评审得分且最后报价（不计算价格折扣）相同的，按照技术分高低顺序推荐。</w:t>
      </w:r>
    </w:p>
    <w:p w14:paraId="17F3164D">
      <w:pPr>
        <w:pStyle w:val="2"/>
        <w:rPr>
          <w:rFonts w:ascii="宋体" w:cs="宋体"/>
          <w:color w:val="auto"/>
          <w:highlight w:val="none"/>
        </w:rPr>
      </w:pPr>
      <w:r>
        <w:rPr>
          <w:rFonts w:ascii="宋体" w:cs="宋体"/>
          <w:color w:val="auto"/>
          <w:highlight w:val="none"/>
        </w:rPr>
        <w:br w:type="page"/>
      </w:r>
    </w:p>
    <w:p w14:paraId="06C618E2">
      <w:pPr>
        <w:pStyle w:val="2"/>
        <w:rPr>
          <w:rFonts w:ascii="宋体" w:hAnsi="宋体" w:cs="宋体"/>
          <w:color w:val="auto"/>
          <w:highlight w:val="none"/>
        </w:rPr>
      </w:pPr>
      <w:bookmarkStart w:id="44" w:name="_Toc22926"/>
      <w:bookmarkStart w:id="45" w:name="_Toc16056"/>
    </w:p>
    <w:p w14:paraId="76D31827">
      <w:pPr>
        <w:pStyle w:val="2"/>
        <w:rPr>
          <w:rFonts w:ascii="宋体" w:hAnsi="宋体" w:cs="宋体"/>
          <w:color w:val="auto"/>
          <w:highlight w:val="none"/>
        </w:rPr>
      </w:pPr>
    </w:p>
    <w:p w14:paraId="4D4DFC00">
      <w:pPr>
        <w:pStyle w:val="2"/>
        <w:rPr>
          <w:rFonts w:ascii="宋体" w:hAnsi="宋体" w:cs="宋体"/>
          <w:color w:val="auto"/>
          <w:highlight w:val="none"/>
        </w:rPr>
      </w:pPr>
    </w:p>
    <w:p w14:paraId="189F7F8A">
      <w:pPr>
        <w:pStyle w:val="2"/>
        <w:rPr>
          <w:rFonts w:ascii="宋体" w:cs="宋体"/>
          <w:color w:val="auto"/>
          <w:highlight w:val="none"/>
        </w:rPr>
      </w:pPr>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响应文件格式</w:t>
      </w:r>
      <w:bookmarkEnd w:id="44"/>
      <w:bookmarkEnd w:id="45"/>
    </w:p>
    <w:p w14:paraId="2F6187DC">
      <w:pPr>
        <w:spacing w:line="240" w:lineRule="atLeast"/>
        <w:rPr>
          <w:rFonts w:ascii="宋体" w:cs="宋体"/>
          <w:b/>
          <w:color w:val="auto"/>
          <w:sz w:val="32"/>
          <w:szCs w:val="32"/>
          <w:highlight w:val="none"/>
        </w:rPr>
      </w:pPr>
    </w:p>
    <w:p w14:paraId="4016DF4E">
      <w:pPr>
        <w:spacing w:line="240" w:lineRule="atLeast"/>
        <w:rPr>
          <w:rFonts w:ascii="宋体" w:cs="宋体"/>
          <w:b/>
          <w:color w:val="auto"/>
          <w:sz w:val="32"/>
          <w:szCs w:val="32"/>
          <w:highlight w:val="none"/>
        </w:rPr>
      </w:pPr>
    </w:p>
    <w:p w14:paraId="60CABCDC">
      <w:pPr>
        <w:spacing w:line="240" w:lineRule="atLeast"/>
        <w:rPr>
          <w:rFonts w:ascii="宋体" w:cs="宋体"/>
          <w:b/>
          <w:color w:val="auto"/>
          <w:sz w:val="32"/>
          <w:szCs w:val="32"/>
          <w:highlight w:val="none"/>
        </w:rPr>
      </w:pPr>
    </w:p>
    <w:p w14:paraId="54C12533">
      <w:pPr>
        <w:spacing w:line="240" w:lineRule="atLeast"/>
        <w:rPr>
          <w:rFonts w:ascii="宋体" w:cs="宋体"/>
          <w:b/>
          <w:color w:val="auto"/>
          <w:sz w:val="32"/>
          <w:szCs w:val="32"/>
          <w:highlight w:val="none"/>
        </w:rPr>
      </w:pPr>
    </w:p>
    <w:p w14:paraId="505C69AA">
      <w:pPr>
        <w:spacing w:line="240" w:lineRule="atLeast"/>
        <w:rPr>
          <w:rFonts w:ascii="宋体" w:cs="宋体"/>
          <w:b/>
          <w:color w:val="auto"/>
          <w:sz w:val="32"/>
          <w:szCs w:val="32"/>
          <w:highlight w:val="none"/>
        </w:rPr>
      </w:pPr>
    </w:p>
    <w:p w14:paraId="698C1C00">
      <w:pPr>
        <w:spacing w:line="240" w:lineRule="atLeast"/>
        <w:rPr>
          <w:rFonts w:ascii="宋体" w:cs="宋体"/>
          <w:b/>
          <w:color w:val="auto"/>
          <w:sz w:val="32"/>
          <w:szCs w:val="32"/>
          <w:highlight w:val="none"/>
        </w:rPr>
      </w:pPr>
    </w:p>
    <w:p w14:paraId="0C3DA460">
      <w:pPr>
        <w:spacing w:line="240" w:lineRule="atLeast"/>
        <w:rPr>
          <w:rFonts w:ascii="宋体" w:cs="宋体"/>
          <w:b/>
          <w:color w:val="auto"/>
          <w:sz w:val="32"/>
          <w:szCs w:val="32"/>
          <w:highlight w:val="none"/>
        </w:rPr>
      </w:pPr>
    </w:p>
    <w:p w14:paraId="7E4C449C">
      <w:pPr>
        <w:spacing w:line="240" w:lineRule="atLeast"/>
        <w:rPr>
          <w:rFonts w:ascii="宋体" w:cs="宋体"/>
          <w:b/>
          <w:color w:val="auto"/>
          <w:sz w:val="32"/>
          <w:szCs w:val="32"/>
          <w:highlight w:val="none"/>
        </w:rPr>
      </w:pPr>
    </w:p>
    <w:p w14:paraId="5EF4755D">
      <w:pPr>
        <w:spacing w:line="240" w:lineRule="atLeast"/>
        <w:rPr>
          <w:rFonts w:ascii="宋体" w:cs="宋体"/>
          <w:b/>
          <w:color w:val="auto"/>
          <w:sz w:val="32"/>
          <w:szCs w:val="32"/>
          <w:highlight w:val="none"/>
        </w:rPr>
      </w:pPr>
    </w:p>
    <w:p w14:paraId="7A4997E4">
      <w:pPr>
        <w:spacing w:line="240" w:lineRule="atLeast"/>
        <w:rPr>
          <w:rFonts w:ascii="宋体" w:cs="宋体"/>
          <w:bCs/>
          <w:color w:val="auto"/>
          <w:sz w:val="32"/>
          <w:szCs w:val="32"/>
          <w:highlight w:val="none"/>
        </w:rPr>
      </w:pPr>
    </w:p>
    <w:p w14:paraId="00263F57">
      <w:pPr>
        <w:rPr>
          <w:rFonts w:ascii="宋体" w:cs="宋体"/>
          <w:b/>
          <w:color w:val="auto"/>
          <w:sz w:val="32"/>
          <w:szCs w:val="32"/>
          <w:highlight w:val="none"/>
        </w:rPr>
      </w:pPr>
      <w:bookmarkStart w:id="46" w:name="_Toc35611438"/>
      <w:bookmarkStart w:id="47" w:name="_Toc35611516"/>
      <w:bookmarkStart w:id="48" w:name="_Toc71365925"/>
      <w:bookmarkStart w:id="49" w:name="_Toc44229899"/>
      <w:bookmarkStart w:id="50" w:name="_Toc31728084"/>
      <w:bookmarkStart w:id="51" w:name="_Toc31723070"/>
      <w:r>
        <w:rPr>
          <w:rFonts w:ascii="宋体" w:cs="宋体"/>
          <w:b/>
          <w:color w:val="auto"/>
          <w:sz w:val="32"/>
          <w:szCs w:val="32"/>
          <w:highlight w:val="none"/>
        </w:rPr>
        <w:br w:type="page"/>
      </w:r>
      <w:r>
        <w:rPr>
          <w:rFonts w:hint="eastAsia" w:ascii="宋体" w:hAnsi="宋体" w:cs="宋体"/>
          <w:b/>
          <w:color w:val="auto"/>
          <w:sz w:val="32"/>
          <w:szCs w:val="32"/>
          <w:highlight w:val="none"/>
        </w:rPr>
        <w:t>一、资格证明文件格式</w:t>
      </w:r>
      <w:bookmarkEnd w:id="46"/>
      <w:bookmarkEnd w:id="47"/>
      <w:bookmarkEnd w:id="48"/>
      <w:bookmarkEnd w:id="49"/>
      <w:bookmarkEnd w:id="50"/>
      <w:bookmarkEnd w:id="51"/>
    </w:p>
    <w:p w14:paraId="27557742">
      <w:pPr>
        <w:snapToGrid w:val="0"/>
        <w:spacing w:beforeLines="50" w:after="50" w:line="360" w:lineRule="auto"/>
        <w:jc w:val="left"/>
        <w:rPr>
          <w:rFonts w:ascii="宋体" w:cs="宋体"/>
          <w:b/>
          <w:color w:val="auto"/>
          <w:sz w:val="24"/>
          <w:highlight w:val="none"/>
        </w:rPr>
      </w:pPr>
      <w:r>
        <w:rPr>
          <w:rFonts w:ascii="宋体" w:hAnsi="宋体" w:cs="宋体"/>
          <w:b/>
          <w:color w:val="auto"/>
          <w:sz w:val="32"/>
          <w:szCs w:val="32"/>
          <w:highlight w:val="none"/>
        </w:rPr>
        <w:t>1.</w:t>
      </w:r>
      <w:r>
        <w:rPr>
          <w:rFonts w:hint="eastAsia" w:ascii="宋体" w:hAnsi="宋体" w:cs="宋体"/>
          <w:b/>
          <w:color w:val="auto"/>
          <w:sz w:val="32"/>
          <w:szCs w:val="32"/>
          <w:highlight w:val="none"/>
        </w:rPr>
        <w:t>资格证明文件封面格式：</w:t>
      </w:r>
      <w:r>
        <w:rPr>
          <w:rFonts w:ascii="宋体" w:hAnsi="宋体" w:cs="宋体"/>
          <w:b/>
          <w:color w:val="auto"/>
          <w:sz w:val="24"/>
          <w:highlight w:val="none"/>
        </w:rPr>
        <w:t xml:space="preserve"> </w:t>
      </w:r>
    </w:p>
    <w:p w14:paraId="02146202">
      <w:pPr>
        <w:snapToGrid w:val="0"/>
        <w:spacing w:beforeLines="50" w:after="50"/>
        <w:rPr>
          <w:rFonts w:ascii="宋体" w:cs="宋体"/>
          <w:bCs/>
          <w:color w:val="auto"/>
          <w:sz w:val="32"/>
          <w:szCs w:val="20"/>
          <w:highlight w:val="none"/>
        </w:rPr>
      </w:pPr>
      <w:r>
        <w:rPr>
          <w:rFonts w:ascii="宋体" w:hAnsi="宋体" w:cs="宋体"/>
          <w:color w:val="auto"/>
          <w:sz w:val="24"/>
          <w:highlight w:val="none"/>
        </w:rPr>
        <w:t xml:space="preserve">                                                    </w:t>
      </w:r>
    </w:p>
    <w:p w14:paraId="3C89863E">
      <w:pPr>
        <w:snapToGrid w:val="0"/>
        <w:spacing w:beforeLines="50" w:after="50"/>
        <w:rPr>
          <w:rFonts w:ascii="宋体" w:cs="宋体"/>
          <w:color w:val="auto"/>
          <w:sz w:val="24"/>
          <w:szCs w:val="20"/>
          <w:highlight w:val="none"/>
        </w:rPr>
      </w:pPr>
    </w:p>
    <w:p w14:paraId="64E55F51">
      <w:pPr>
        <w:snapToGrid w:val="0"/>
        <w:spacing w:beforeLines="50" w:after="50"/>
        <w:jc w:val="center"/>
        <w:rPr>
          <w:rFonts w:ascii="宋体" w:cs="宋体"/>
          <w:bCs/>
          <w:color w:val="auto"/>
          <w:sz w:val="84"/>
          <w:szCs w:val="84"/>
          <w:highlight w:val="none"/>
        </w:rPr>
      </w:pPr>
      <w:r>
        <w:rPr>
          <w:rFonts w:hint="eastAsia" w:ascii="宋体" w:hAnsi="宋体" w:cs="宋体"/>
          <w:bCs/>
          <w:color w:val="auto"/>
          <w:sz w:val="84"/>
          <w:szCs w:val="84"/>
          <w:highlight w:val="none"/>
        </w:rPr>
        <w:t>响</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应</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文</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件</w:t>
      </w:r>
    </w:p>
    <w:p w14:paraId="46AEC9D9">
      <w:pPr>
        <w:snapToGrid w:val="0"/>
        <w:spacing w:beforeLines="50" w:after="50"/>
        <w:jc w:val="center"/>
        <w:rPr>
          <w:rFonts w:ascii="宋体" w:cs="宋体"/>
          <w:bCs/>
          <w:color w:val="auto"/>
          <w:sz w:val="44"/>
          <w:szCs w:val="44"/>
          <w:highlight w:val="none"/>
        </w:rPr>
      </w:pPr>
    </w:p>
    <w:p w14:paraId="59F184EF">
      <w:pPr>
        <w:snapToGrid w:val="0"/>
        <w:spacing w:beforeLines="50" w:after="50"/>
        <w:jc w:val="center"/>
        <w:rPr>
          <w:rFonts w:ascii="宋体" w:cs="宋体"/>
          <w:bCs/>
          <w:color w:val="auto"/>
          <w:sz w:val="32"/>
          <w:szCs w:val="32"/>
          <w:highlight w:val="none"/>
        </w:rPr>
      </w:pPr>
      <w:r>
        <w:rPr>
          <w:rFonts w:hint="eastAsia" w:ascii="宋体" w:hAnsi="宋体" w:cs="宋体"/>
          <w:bCs/>
          <w:color w:val="auto"/>
          <w:sz w:val="32"/>
          <w:szCs w:val="32"/>
          <w:highlight w:val="none"/>
        </w:rPr>
        <w:t>资</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格</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证</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明</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文</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件</w:t>
      </w:r>
    </w:p>
    <w:p w14:paraId="4A9609F5">
      <w:pPr>
        <w:snapToGrid w:val="0"/>
        <w:spacing w:beforeLines="50" w:after="50"/>
        <w:rPr>
          <w:rFonts w:ascii="宋体" w:cs="宋体"/>
          <w:bCs/>
          <w:color w:val="auto"/>
          <w:sz w:val="24"/>
          <w:szCs w:val="20"/>
          <w:highlight w:val="none"/>
        </w:rPr>
      </w:pPr>
    </w:p>
    <w:p w14:paraId="0679AEBF">
      <w:pPr>
        <w:snapToGrid w:val="0"/>
        <w:spacing w:beforeLines="50" w:after="50"/>
        <w:rPr>
          <w:rFonts w:ascii="宋体" w:cs="宋体"/>
          <w:bCs/>
          <w:color w:val="auto"/>
          <w:sz w:val="24"/>
          <w:szCs w:val="20"/>
          <w:highlight w:val="none"/>
        </w:rPr>
      </w:pPr>
    </w:p>
    <w:p w14:paraId="3262BB0C">
      <w:pPr>
        <w:snapToGrid w:val="0"/>
        <w:spacing w:beforeLines="50" w:after="50"/>
        <w:rPr>
          <w:rFonts w:ascii="宋体" w:cs="宋体"/>
          <w:bCs/>
          <w:color w:val="auto"/>
          <w:sz w:val="24"/>
          <w:szCs w:val="20"/>
          <w:highlight w:val="none"/>
        </w:rPr>
      </w:pPr>
    </w:p>
    <w:p w14:paraId="160814BD">
      <w:pPr>
        <w:snapToGrid w:val="0"/>
        <w:spacing w:beforeLines="50" w:after="50"/>
        <w:ind w:firstLine="640" w:firstLineChars="200"/>
        <w:rPr>
          <w:rFonts w:ascii="宋体" w:cs="宋体"/>
          <w:bCs/>
          <w:color w:val="auto"/>
          <w:sz w:val="32"/>
          <w:szCs w:val="32"/>
          <w:highlight w:val="none"/>
        </w:rPr>
      </w:pPr>
      <w:r>
        <w:rPr>
          <w:rFonts w:hint="eastAsia" w:ascii="宋体" w:hAnsi="宋体" w:cs="宋体"/>
          <w:bCs/>
          <w:color w:val="auto"/>
          <w:sz w:val="32"/>
          <w:szCs w:val="32"/>
          <w:highlight w:val="none"/>
        </w:rPr>
        <w:t>项目名称：</w:t>
      </w:r>
    </w:p>
    <w:p w14:paraId="17563074">
      <w:pPr>
        <w:snapToGrid w:val="0"/>
        <w:spacing w:beforeLines="50" w:after="50"/>
        <w:ind w:firstLine="720" w:firstLineChars="225"/>
        <w:rPr>
          <w:rFonts w:ascii="宋体" w:cs="宋体"/>
          <w:bCs/>
          <w:color w:val="auto"/>
          <w:sz w:val="32"/>
          <w:szCs w:val="32"/>
          <w:highlight w:val="none"/>
        </w:rPr>
      </w:pPr>
    </w:p>
    <w:p w14:paraId="44A7F3E1">
      <w:pPr>
        <w:snapToGrid w:val="0"/>
        <w:spacing w:beforeLines="50" w:after="50"/>
        <w:ind w:firstLine="720" w:firstLineChars="225"/>
        <w:rPr>
          <w:rFonts w:ascii="宋体" w:cs="宋体"/>
          <w:bCs/>
          <w:color w:val="auto"/>
          <w:sz w:val="32"/>
          <w:szCs w:val="32"/>
          <w:highlight w:val="none"/>
        </w:rPr>
      </w:pPr>
      <w:r>
        <w:rPr>
          <w:rFonts w:hint="eastAsia" w:ascii="宋体" w:hAnsi="宋体" w:cs="宋体"/>
          <w:bCs/>
          <w:color w:val="auto"/>
          <w:sz w:val="32"/>
          <w:szCs w:val="32"/>
          <w:highlight w:val="none"/>
        </w:rPr>
        <w:t>项目编号：</w:t>
      </w:r>
    </w:p>
    <w:p w14:paraId="5DB22174">
      <w:pPr>
        <w:snapToGrid w:val="0"/>
        <w:spacing w:beforeLines="50" w:after="50"/>
        <w:ind w:firstLine="720" w:firstLineChars="225"/>
        <w:rPr>
          <w:rFonts w:ascii="宋体" w:cs="宋体"/>
          <w:bCs/>
          <w:color w:val="auto"/>
          <w:sz w:val="32"/>
          <w:szCs w:val="32"/>
          <w:highlight w:val="none"/>
        </w:rPr>
      </w:pPr>
      <w:r>
        <w:rPr>
          <w:rFonts w:ascii="宋体" w:hAnsi="宋体" w:cs="宋体"/>
          <w:bCs/>
          <w:color w:val="auto"/>
          <w:sz w:val="32"/>
          <w:szCs w:val="32"/>
          <w:highlight w:val="none"/>
        </w:rPr>
        <w:t xml:space="preserve"> </w:t>
      </w:r>
    </w:p>
    <w:p w14:paraId="3A074100">
      <w:pPr>
        <w:snapToGrid w:val="0"/>
        <w:spacing w:beforeLines="50" w:after="50"/>
        <w:ind w:firstLine="720" w:firstLineChars="225"/>
        <w:rPr>
          <w:rFonts w:ascii="宋体" w:cs="宋体"/>
          <w:bCs/>
          <w:color w:val="auto"/>
          <w:sz w:val="32"/>
          <w:szCs w:val="32"/>
          <w:highlight w:val="none"/>
        </w:rPr>
      </w:pPr>
      <w:r>
        <w:rPr>
          <w:rFonts w:hint="eastAsia" w:ascii="宋体" w:hAnsi="宋体" w:cs="宋体"/>
          <w:bCs/>
          <w:color w:val="auto"/>
          <w:sz w:val="32"/>
          <w:szCs w:val="32"/>
          <w:highlight w:val="none"/>
        </w:rPr>
        <w:t>所竞分标：</w:t>
      </w:r>
    </w:p>
    <w:p w14:paraId="4911725B">
      <w:pPr>
        <w:snapToGrid w:val="0"/>
        <w:spacing w:beforeLines="50" w:after="50"/>
        <w:ind w:firstLine="720" w:firstLineChars="225"/>
        <w:rPr>
          <w:rFonts w:ascii="宋体" w:cs="宋体"/>
          <w:bCs/>
          <w:color w:val="auto"/>
          <w:sz w:val="32"/>
          <w:szCs w:val="32"/>
          <w:highlight w:val="none"/>
        </w:rPr>
      </w:pPr>
    </w:p>
    <w:p w14:paraId="111395AF">
      <w:pPr>
        <w:pStyle w:val="7"/>
        <w:snapToGrid w:val="0"/>
        <w:spacing w:before="50" w:after="50"/>
        <w:ind w:firstLine="720" w:firstLineChars="225"/>
        <w:rPr>
          <w:rFonts w:ascii="宋体" w:cs="宋体"/>
          <w:bCs/>
          <w:color w:val="auto"/>
          <w:sz w:val="32"/>
          <w:szCs w:val="32"/>
          <w:highlight w:val="none"/>
        </w:rPr>
      </w:pPr>
      <w:r>
        <w:rPr>
          <w:rFonts w:hint="eastAsia" w:ascii="宋体" w:hAnsi="宋体" w:cs="宋体"/>
          <w:bCs/>
          <w:color w:val="auto"/>
          <w:sz w:val="32"/>
          <w:szCs w:val="32"/>
          <w:highlight w:val="none"/>
        </w:rPr>
        <w:t>供应商名称：</w:t>
      </w:r>
    </w:p>
    <w:p w14:paraId="37BC16E6">
      <w:pPr>
        <w:pStyle w:val="7"/>
        <w:snapToGrid w:val="0"/>
        <w:spacing w:before="50" w:after="50"/>
        <w:ind w:firstLine="720" w:firstLineChars="225"/>
        <w:rPr>
          <w:rFonts w:ascii="宋体" w:cs="宋体"/>
          <w:bCs/>
          <w:color w:val="auto"/>
          <w:sz w:val="32"/>
          <w:szCs w:val="32"/>
          <w:highlight w:val="none"/>
        </w:rPr>
      </w:pPr>
    </w:p>
    <w:p w14:paraId="269BFC65">
      <w:pPr>
        <w:pStyle w:val="7"/>
        <w:snapToGrid w:val="0"/>
        <w:spacing w:before="50" w:after="50"/>
        <w:ind w:firstLine="720" w:firstLineChars="225"/>
        <w:rPr>
          <w:rFonts w:ascii="宋体" w:cs="宋体"/>
          <w:bCs/>
          <w:color w:val="auto"/>
          <w:sz w:val="32"/>
          <w:szCs w:val="32"/>
          <w:highlight w:val="none"/>
        </w:rPr>
      </w:pPr>
    </w:p>
    <w:p w14:paraId="3A8FE5F4">
      <w:pPr>
        <w:pStyle w:val="7"/>
        <w:snapToGrid w:val="0"/>
        <w:spacing w:before="50" w:after="50"/>
        <w:ind w:firstLine="1280" w:firstLineChars="400"/>
        <w:rPr>
          <w:rFonts w:ascii="宋体" w:cs="宋体"/>
          <w:bCs/>
          <w:color w:val="auto"/>
          <w:sz w:val="32"/>
          <w:szCs w:val="32"/>
          <w:highlight w:val="none"/>
        </w:rPr>
      </w:pPr>
    </w:p>
    <w:p w14:paraId="302F5904">
      <w:pPr>
        <w:snapToGrid w:val="0"/>
        <w:spacing w:beforeLines="50" w:after="50"/>
        <w:jc w:val="center"/>
        <w:rPr>
          <w:rFonts w:ascii="宋体" w:cs="宋体"/>
          <w:color w:val="auto"/>
          <w:sz w:val="32"/>
          <w:szCs w:val="32"/>
          <w:highlight w:val="none"/>
        </w:rPr>
      </w:pP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p>
    <w:p w14:paraId="76ACE28D">
      <w:pPr>
        <w:snapToGrid w:val="0"/>
        <w:spacing w:beforeLines="50" w:after="50" w:line="360" w:lineRule="auto"/>
        <w:ind w:left="142"/>
        <w:jc w:val="left"/>
        <w:rPr>
          <w:rFonts w:ascii="宋体" w:cs="宋体"/>
          <w:b/>
          <w:bCs/>
          <w:color w:val="auto"/>
          <w:sz w:val="32"/>
          <w:szCs w:val="32"/>
          <w:highlight w:val="none"/>
        </w:rPr>
      </w:pPr>
      <w:r>
        <w:rPr>
          <w:rFonts w:ascii="宋体" w:cs="宋体"/>
          <w:color w:val="auto"/>
          <w:sz w:val="24"/>
          <w:highlight w:val="none"/>
        </w:rPr>
        <w:br w:type="page"/>
      </w:r>
      <w:r>
        <w:rPr>
          <w:rFonts w:ascii="宋体" w:hAnsi="宋体" w:cs="宋体"/>
          <w:b/>
          <w:bCs/>
          <w:color w:val="auto"/>
          <w:sz w:val="32"/>
          <w:szCs w:val="32"/>
          <w:highlight w:val="none"/>
        </w:rPr>
        <w:t>2.</w:t>
      </w:r>
      <w:r>
        <w:rPr>
          <w:rFonts w:hint="eastAsia" w:ascii="宋体" w:hAnsi="宋体" w:cs="宋体"/>
          <w:b/>
          <w:bCs/>
          <w:color w:val="auto"/>
          <w:sz w:val="32"/>
          <w:szCs w:val="32"/>
          <w:highlight w:val="none"/>
        </w:rPr>
        <w:t>资格证明文件目录</w:t>
      </w:r>
    </w:p>
    <w:p w14:paraId="656D74FB">
      <w:pPr>
        <w:snapToGrid w:val="0"/>
        <w:spacing w:beforeLines="50" w:after="50" w:line="360" w:lineRule="auto"/>
        <w:ind w:firstLine="645"/>
        <w:rPr>
          <w:rFonts w:asci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DDFCBF1">
      <w:pPr>
        <w:snapToGrid w:val="0"/>
        <w:spacing w:beforeLines="50" w:after="50"/>
        <w:rPr>
          <w:rFonts w:ascii="宋体" w:cs="宋体"/>
          <w:color w:val="auto"/>
          <w:sz w:val="24"/>
          <w:szCs w:val="20"/>
          <w:highlight w:val="none"/>
        </w:rPr>
      </w:pPr>
      <w:r>
        <w:rPr>
          <w:rFonts w:ascii="宋体" w:hAnsi="宋体" w:cs="宋体"/>
          <w:color w:val="auto"/>
          <w:sz w:val="24"/>
          <w:szCs w:val="20"/>
          <w:highlight w:val="none"/>
        </w:rPr>
        <w:t xml:space="preserve"> </w:t>
      </w:r>
    </w:p>
    <w:p w14:paraId="002C569A">
      <w:pPr>
        <w:spacing w:line="300" w:lineRule="auto"/>
        <w:rPr>
          <w:rFonts w:ascii="宋体" w:cs="宋体"/>
          <w:color w:val="auto"/>
          <w:szCs w:val="21"/>
          <w:highlight w:val="none"/>
        </w:rPr>
      </w:pPr>
    </w:p>
    <w:p w14:paraId="138FA1DB">
      <w:pPr>
        <w:spacing w:line="300" w:lineRule="auto"/>
        <w:rPr>
          <w:rFonts w:ascii="宋体" w:cs="宋体"/>
          <w:color w:val="auto"/>
          <w:szCs w:val="21"/>
          <w:highlight w:val="none"/>
        </w:rPr>
      </w:pPr>
    </w:p>
    <w:p w14:paraId="634C2389">
      <w:pPr>
        <w:spacing w:line="300" w:lineRule="auto"/>
        <w:rPr>
          <w:rFonts w:ascii="宋体" w:cs="宋体"/>
          <w:color w:val="auto"/>
          <w:szCs w:val="21"/>
          <w:highlight w:val="none"/>
        </w:rPr>
      </w:pPr>
    </w:p>
    <w:p w14:paraId="6050E173">
      <w:pPr>
        <w:spacing w:line="300" w:lineRule="auto"/>
        <w:rPr>
          <w:rFonts w:ascii="宋体" w:cs="宋体"/>
          <w:color w:val="auto"/>
          <w:szCs w:val="21"/>
          <w:highlight w:val="none"/>
        </w:rPr>
      </w:pPr>
    </w:p>
    <w:p w14:paraId="5CA7EDAA">
      <w:pPr>
        <w:spacing w:line="300" w:lineRule="auto"/>
        <w:rPr>
          <w:rFonts w:ascii="宋体" w:cs="宋体"/>
          <w:color w:val="auto"/>
          <w:szCs w:val="21"/>
          <w:highlight w:val="none"/>
        </w:rPr>
      </w:pPr>
    </w:p>
    <w:p w14:paraId="6EB0D294">
      <w:pPr>
        <w:spacing w:line="300" w:lineRule="auto"/>
        <w:rPr>
          <w:rFonts w:ascii="宋体" w:cs="宋体"/>
          <w:color w:val="auto"/>
          <w:szCs w:val="21"/>
          <w:highlight w:val="none"/>
        </w:rPr>
      </w:pPr>
    </w:p>
    <w:p w14:paraId="05DB57F5">
      <w:pPr>
        <w:spacing w:line="300" w:lineRule="auto"/>
        <w:rPr>
          <w:rFonts w:ascii="宋体" w:cs="宋体"/>
          <w:color w:val="auto"/>
          <w:szCs w:val="21"/>
          <w:highlight w:val="none"/>
        </w:rPr>
      </w:pPr>
    </w:p>
    <w:p w14:paraId="58668859">
      <w:pPr>
        <w:spacing w:line="300" w:lineRule="auto"/>
        <w:rPr>
          <w:rFonts w:ascii="宋体" w:cs="宋体"/>
          <w:color w:val="auto"/>
          <w:szCs w:val="21"/>
          <w:highlight w:val="none"/>
        </w:rPr>
      </w:pPr>
    </w:p>
    <w:p w14:paraId="37D7E349">
      <w:pPr>
        <w:spacing w:line="300" w:lineRule="auto"/>
        <w:rPr>
          <w:rFonts w:ascii="宋体" w:cs="宋体"/>
          <w:color w:val="auto"/>
          <w:szCs w:val="21"/>
          <w:highlight w:val="none"/>
        </w:rPr>
      </w:pPr>
    </w:p>
    <w:p w14:paraId="5F155680">
      <w:pPr>
        <w:spacing w:line="300" w:lineRule="auto"/>
        <w:rPr>
          <w:rFonts w:ascii="宋体" w:cs="宋体"/>
          <w:color w:val="auto"/>
          <w:szCs w:val="21"/>
          <w:highlight w:val="none"/>
        </w:rPr>
      </w:pPr>
    </w:p>
    <w:p w14:paraId="5770387C">
      <w:pPr>
        <w:spacing w:line="300" w:lineRule="auto"/>
        <w:rPr>
          <w:rFonts w:ascii="宋体" w:cs="宋体"/>
          <w:color w:val="auto"/>
          <w:szCs w:val="21"/>
          <w:highlight w:val="none"/>
        </w:rPr>
      </w:pPr>
    </w:p>
    <w:p w14:paraId="057BA206">
      <w:pPr>
        <w:spacing w:line="300" w:lineRule="auto"/>
        <w:rPr>
          <w:rFonts w:ascii="宋体" w:cs="宋体"/>
          <w:color w:val="auto"/>
          <w:szCs w:val="21"/>
          <w:highlight w:val="none"/>
        </w:rPr>
      </w:pPr>
    </w:p>
    <w:p w14:paraId="6D6CC17D">
      <w:pPr>
        <w:spacing w:line="300" w:lineRule="auto"/>
        <w:rPr>
          <w:rFonts w:ascii="宋体" w:cs="宋体"/>
          <w:color w:val="auto"/>
          <w:szCs w:val="21"/>
          <w:highlight w:val="none"/>
        </w:rPr>
      </w:pPr>
    </w:p>
    <w:p w14:paraId="5E068C3D">
      <w:pPr>
        <w:spacing w:line="300" w:lineRule="auto"/>
        <w:rPr>
          <w:rFonts w:ascii="宋体" w:cs="宋体"/>
          <w:color w:val="auto"/>
          <w:szCs w:val="21"/>
          <w:highlight w:val="none"/>
        </w:rPr>
      </w:pPr>
    </w:p>
    <w:p w14:paraId="3C4459E0">
      <w:pPr>
        <w:spacing w:line="300" w:lineRule="auto"/>
        <w:rPr>
          <w:rFonts w:ascii="宋体" w:cs="宋体"/>
          <w:color w:val="auto"/>
          <w:szCs w:val="21"/>
          <w:highlight w:val="none"/>
        </w:rPr>
      </w:pPr>
    </w:p>
    <w:p w14:paraId="65610230">
      <w:pPr>
        <w:spacing w:line="320" w:lineRule="exact"/>
        <w:jc w:val="left"/>
        <w:rPr>
          <w:rFonts w:ascii="宋体" w:cs="宋体"/>
          <w:color w:val="auto"/>
          <w:szCs w:val="21"/>
          <w:highlight w:val="none"/>
        </w:rPr>
      </w:pPr>
      <w:r>
        <w:rPr>
          <w:rFonts w:ascii="宋体" w:cs="宋体"/>
          <w:color w:val="auto"/>
          <w:szCs w:val="21"/>
          <w:highlight w:val="none"/>
        </w:rPr>
        <w:br w:type="page"/>
      </w:r>
      <w:r>
        <w:rPr>
          <w:rFonts w:ascii="宋体" w:hAnsi="宋体" w:cs="宋体"/>
          <w:color w:val="auto"/>
          <w:szCs w:val="21"/>
          <w:highlight w:val="none"/>
        </w:rPr>
        <w:t xml:space="preserve"> </w:t>
      </w:r>
    </w:p>
    <w:p w14:paraId="07D3EAE8">
      <w:pPr>
        <w:wordWrap w:val="0"/>
        <w:spacing w:beforeLines="50" w:after="50" w:line="320" w:lineRule="exact"/>
        <w:ind w:right="482" w:firstLine="210" w:firstLineChars="100"/>
        <w:contextualSpacing/>
        <w:jc w:val="center"/>
        <w:rPr>
          <w:rFonts w:ascii="宋体" w:cs="宋体"/>
          <w:color w:val="auto"/>
          <w:szCs w:val="21"/>
          <w:highlight w:val="none"/>
        </w:rPr>
      </w:pPr>
    </w:p>
    <w:p w14:paraId="16D1DB81">
      <w:pPr>
        <w:spacing w:line="320" w:lineRule="exact"/>
        <w:jc w:val="center"/>
        <w:rPr>
          <w:rFonts w:asci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77CA4C42">
      <w:pPr>
        <w:snapToGrid w:val="0"/>
        <w:spacing w:beforeLines="50" w:after="50" w:line="360" w:lineRule="auto"/>
        <w:jc w:val="center"/>
        <w:rPr>
          <w:rFonts w:ascii="宋体" w:cs="宋体"/>
          <w:b/>
          <w:color w:val="auto"/>
          <w:sz w:val="24"/>
          <w:highlight w:val="none"/>
        </w:rPr>
      </w:pPr>
    </w:p>
    <w:p w14:paraId="7603E4FB">
      <w:pPr>
        <w:spacing w:line="360" w:lineRule="auto"/>
        <w:contextualSpacing/>
        <w:jc w:val="center"/>
        <w:rPr>
          <w:rFonts w:asci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246C335E">
      <w:pPr>
        <w:spacing w:line="360" w:lineRule="auto"/>
        <w:contextualSpacing/>
        <w:jc w:val="center"/>
        <w:rPr>
          <w:rFonts w:ascii="宋体" w:cs="宋体"/>
          <w:b/>
          <w:color w:val="auto"/>
          <w:sz w:val="24"/>
          <w:highlight w:val="none"/>
        </w:rPr>
      </w:pPr>
    </w:p>
    <w:tbl>
      <w:tblPr>
        <w:tblStyle w:val="33"/>
        <w:tblW w:w="0" w:type="auto"/>
        <w:jc w:val="center"/>
        <w:tblLayout w:type="fixed"/>
        <w:tblCellMar>
          <w:top w:w="0" w:type="dxa"/>
          <w:left w:w="0" w:type="dxa"/>
          <w:bottom w:w="0" w:type="dxa"/>
          <w:right w:w="0" w:type="dxa"/>
        </w:tblCellMar>
      </w:tblPr>
      <w:tblGrid>
        <w:gridCol w:w="880"/>
        <w:gridCol w:w="2655"/>
        <w:gridCol w:w="1455"/>
        <w:gridCol w:w="4287"/>
        <w:gridCol w:w="870"/>
      </w:tblGrid>
      <w:tr w14:paraId="2664A1F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D8CBA3">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3344F5">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B34720">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3723A8">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B86B9E">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备注</w:t>
            </w:r>
          </w:p>
        </w:tc>
      </w:tr>
      <w:tr w14:paraId="7BF8AA4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B2FF7E">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9D4F16">
            <w:pPr>
              <w:widowControl/>
              <w:spacing w:line="360" w:lineRule="auto"/>
              <w:contextualSpacing/>
              <w:jc w:val="center"/>
              <w:rPr>
                <w:rFonts w:asci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EC8AD5">
            <w:pPr>
              <w:widowControl/>
              <w:spacing w:line="360" w:lineRule="auto"/>
              <w:contextualSpacing/>
              <w:jc w:val="center"/>
              <w:rPr>
                <w:rFonts w:asci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A0C293">
            <w:pPr>
              <w:widowControl/>
              <w:spacing w:line="360" w:lineRule="auto"/>
              <w:contextualSpacing/>
              <w:jc w:val="center"/>
              <w:rPr>
                <w:rFonts w:asci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15CFE2">
            <w:pPr>
              <w:widowControl/>
              <w:spacing w:line="360" w:lineRule="auto"/>
              <w:contextualSpacing/>
              <w:jc w:val="center"/>
              <w:rPr>
                <w:rFonts w:ascii="宋体" w:cs="宋体"/>
                <w:color w:val="auto"/>
                <w:kern w:val="0"/>
                <w:sz w:val="24"/>
                <w:highlight w:val="none"/>
              </w:rPr>
            </w:pPr>
          </w:p>
        </w:tc>
      </w:tr>
      <w:tr w14:paraId="2C6091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C1863C">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5A5800">
            <w:pPr>
              <w:widowControl/>
              <w:spacing w:line="360" w:lineRule="auto"/>
              <w:contextualSpacing/>
              <w:jc w:val="center"/>
              <w:rPr>
                <w:rFonts w:asci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E0E3DD">
            <w:pPr>
              <w:widowControl/>
              <w:spacing w:line="360" w:lineRule="auto"/>
              <w:contextualSpacing/>
              <w:jc w:val="center"/>
              <w:rPr>
                <w:rFonts w:asci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1FD5C6">
            <w:pPr>
              <w:widowControl/>
              <w:spacing w:line="360" w:lineRule="auto"/>
              <w:contextualSpacing/>
              <w:jc w:val="center"/>
              <w:rPr>
                <w:rFonts w:asci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494EF3">
            <w:pPr>
              <w:widowControl/>
              <w:spacing w:line="360" w:lineRule="auto"/>
              <w:contextualSpacing/>
              <w:jc w:val="center"/>
              <w:rPr>
                <w:rFonts w:ascii="宋体" w:cs="宋体"/>
                <w:color w:val="auto"/>
                <w:kern w:val="0"/>
                <w:sz w:val="24"/>
                <w:highlight w:val="none"/>
              </w:rPr>
            </w:pPr>
          </w:p>
        </w:tc>
      </w:tr>
      <w:tr w14:paraId="7EDF023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643980">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D7F38D">
            <w:pPr>
              <w:widowControl/>
              <w:spacing w:line="360" w:lineRule="auto"/>
              <w:contextualSpacing/>
              <w:jc w:val="center"/>
              <w:rPr>
                <w:rFonts w:asci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E4906B">
            <w:pPr>
              <w:widowControl/>
              <w:spacing w:line="360" w:lineRule="auto"/>
              <w:contextualSpacing/>
              <w:jc w:val="center"/>
              <w:rPr>
                <w:rFonts w:asci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057B5A">
            <w:pPr>
              <w:widowControl/>
              <w:spacing w:line="360" w:lineRule="auto"/>
              <w:contextualSpacing/>
              <w:jc w:val="center"/>
              <w:rPr>
                <w:rFonts w:asci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78B098">
            <w:pPr>
              <w:widowControl/>
              <w:spacing w:line="360" w:lineRule="auto"/>
              <w:contextualSpacing/>
              <w:jc w:val="center"/>
              <w:rPr>
                <w:rFonts w:ascii="宋体" w:cs="宋体"/>
                <w:color w:val="auto"/>
                <w:kern w:val="0"/>
                <w:sz w:val="24"/>
                <w:highlight w:val="none"/>
              </w:rPr>
            </w:pPr>
          </w:p>
        </w:tc>
      </w:tr>
      <w:tr w14:paraId="04C2D19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A25F59">
            <w:pPr>
              <w:widowControl/>
              <w:spacing w:line="360" w:lineRule="auto"/>
              <w:contextualSpacing/>
              <w:jc w:val="center"/>
              <w:rPr>
                <w:rFonts w:asci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73E0FF">
            <w:pPr>
              <w:widowControl/>
              <w:spacing w:line="360" w:lineRule="auto"/>
              <w:contextualSpacing/>
              <w:jc w:val="center"/>
              <w:rPr>
                <w:rFonts w:asci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F65C3F">
            <w:pPr>
              <w:widowControl/>
              <w:spacing w:line="360" w:lineRule="auto"/>
              <w:contextualSpacing/>
              <w:jc w:val="center"/>
              <w:rPr>
                <w:rFonts w:asci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B1CB06">
            <w:pPr>
              <w:widowControl/>
              <w:spacing w:line="360" w:lineRule="auto"/>
              <w:contextualSpacing/>
              <w:jc w:val="center"/>
              <w:rPr>
                <w:rFonts w:asci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B0029D">
            <w:pPr>
              <w:widowControl/>
              <w:spacing w:line="360" w:lineRule="auto"/>
              <w:contextualSpacing/>
              <w:jc w:val="center"/>
              <w:rPr>
                <w:rFonts w:ascii="宋体" w:cs="宋体"/>
                <w:color w:val="auto"/>
                <w:kern w:val="0"/>
                <w:sz w:val="24"/>
                <w:highlight w:val="none"/>
              </w:rPr>
            </w:pPr>
          </w:p>
        </w:tc>
      </w:tr>
    </w:tbl>
    <w:p w14:paraId="27811F5F">
      <w:pPr>
        <w:spacing w:line="360" w:lineRule="auto"/>
        <w:contextualSpacing/>
        <w:jc w:val="left"/>
        <w:rPr>
          <w:rFonts w:ascii="宋体" w:cs="宋体"/>
          <w:color w:val="auto"/>
          <w:sz w:val="24"/>
          <w:highlight w:val="none"/>
        </w:rPr>
      </w:pPr>
      <w:r>
        <w:rPr>
          <w:rFonts w:hint="eastAsia" w:ascii="宋体" w:hAnsi="宋体" w:cs="宋体"/>
          <w:color w:val="auto"/>
          <w:sz w:val="24"/>
          <w:highlight w:val="none"/>
        </w:rPr>
        <w:t>注：</w:t>
      </w:r>
    </w:p>
    <w:p w14:paraId="622A9E6B">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652DC0">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本表所指的控股关系仅限于直接控股关系，不包括间接的控股关系。公司实际控制人与公司之间的关系不属于本表所指的直接控股关系。</w:t>
      </w:r>
    </w:p>
    <w:p w14:paraId="0F93DC05">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供应商不存在直接控股股东的，则填“无”。</w:t>
      </w:r>
    </w:p>
    <w:p w14:paraId="1A6E4E75">
      <w:pPr>
        <w:snapToGrid w:val="0"/>
        <w:spacing w:line="360" w:lineRule="auto"/>
        <w:jc w:val="left"/>
        <w:rPr>
          <w:rFonts w:ascii="宋体" w:cs="宋体"/>
          <w:color w:val="auto"/>
          <w:sz w:val="24"/>
          <w:highlight w:val="none"/>
        </w:rPr>
      </w:pPr>
    </w:p>
    <w:p w14:paraId="05B16EC6">
      <w:pPr>
        <w:snapToGrid w:val="0"/>
        <w:spacing w:line="360" w:lineRule="auto"/>
        <w:jc w:val="left"/>
        <w:rPr>
          <w:rFonts w:ascii="宋体" w:cs="宋体"/>
          <w:color w:val="auto"/>
          <w:sz w:val="24"/>
          <w:highlight w:val="none"/>
        </w:rPr>
      </w:pPr>
    </w:p>
    <w:p w14:paraId="3FDC8DC6">
      <w:pPr>
        <w:snapToGrid w:val="0"/>
        <w:spacing w:line="360" w:lineRule="auto"/>
        <w:jc w:val="left"/>
        <w:rPr>
          <w:rFonts w:ascii="宋体" w:cs="宋体"/>
          <w:color w:val="auto"/>
          <w:sz w:val="24"/>
          <w:highlight w:val="none"/>
        </w:rPr>
      </w:pPr>
    </w:p>
    <w:p w14:paraId="231D1C40">
      <w:pPr>
        <w:snapToGrid w:val="0"/>
        <w:spacing w:beforeLines="50" w:line="360" w:lineRule="auto"/>
        <w:ind w:right="480" w:firstLine="3480" w:firstLineChars="1450"/>
        <w:rPr>
          <w:rFonts w:ascii="宋体" w:cs="宋体"/>
          <w:color w:val="auto"/>
          <w:sz w:val="24"/>
          <w:highlight w:val="none"/>
          <w:u w:val="single"/>
        </w:rPr>
      </w:pPr>
      <w:r>
        <w:rPr>
          <w:rFonts w:hint="eastAsia" w:ascii="宋体" w:hAnsi="宋体" w:cs="宋体"/>
          <w:color w:val="auto"/>
          <w:sz w:val="24"/>
          <w:highlight w:val="none"/>
        </w:rPr>
        <w:t>法定代表人或者委托代理人签字：</w:t>
      </w:r>
      <w:r>
        <w:rPr>
          <w:rFonts w:ascii="宋体" w:hAnsi="宋体" w:cs="宋体"/>
          <w:color w:val="auto"/>
          <w:sz w:val="24"/>
          <w:highlight w:val="none"/>
          <w:u w:val="single"/>
        </w:rPr>
        <w:t xml:space="preserve">                </w:t>
      </w:r>
    </w:p>
    <w:p w14:paraId="25D49007">
      <w:pPr>
        <w:snapToGrid w:val="0"/>
        <w:spacing w:beforeLines="50" w:after="50" w:line="360" w:lineRule="auto"/>
        <w:ind w:right="480" w:firstLine="3480" w:firstLineChars="1450"/>
        <w:rPr>
          <w:rFonts w:ascii="宋体" w:cs="宋体"/>
          <w:color w:val="auto"/>
          <w:sz w:val="24"/>
          <w:highlight w:val="none"/>
          <w:u w:val="single"/>
        </w:rPr>
      </w:pPr>
      <w:r>
        <w:rPr>
          <w:rFonts w:hint="eastAsia" w:ascii="宋体" w:hAnsi="宋体" w:cs="宋体"/>
          <w:color w:val="auto"/>
          <w:sz w:val="24"/>
          <w:highlight w:val="none"/>
        </w:rPr>
        <w:t>供应商（盖公章</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u w:val="single"/>
        </w:rPr>
        <w:t xml:space="preserve">                           </w:t>
      </w:r>
    </w:p>
    <w:p w14:paraId="2E63F141">
      <w:pPr>
        <w:snapToGrid w:val="0"/>
        <w:spacing w:beforeLines="50" w:after="50" w:line="360" w:lineRule="auto"/>
        <w:ind w:right="480" w:firstLine="5280" w:firstLineChars="2200"/>
        <w:rPr>
          <w:rFonts w:ascii="宋体" w:cs="宋体"/>
          <w:color w:val="auto"/>
          <w:sz w:val="28"/>
          <w:szCs w:val="28"/>
          <w:highlight w:val="non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217FA6B">
      <w:pPr>
        <w:snapToGrid w:val="0"/>
        <w:jc w:val="center"/>
        <w:rPr>
          <w:rFonts w:ascii="宋体" w:cs="宋体"/>
          <w:b/>
          <w:color w:val="auto"/>
          <w:sz w:val="28"/>
          <w:szCs w:val="28"/>
          <w:highlight w:val="none"/>
        </w:rPr>
      </w:pPr>
      <w:r>
        <w:rPr>
          <w:rFonts w:ascii="宋体" w:cs="宋体"/>
          <w:b/>
          <w:color w:val="auto"/>
          <w:sz w:val="28"/>
          <w:szCs w:val="28"/>
          <w:highlight w:val="none"/>
        </w:rPr>
        <w:br w:type="page"/>
      </w:r>
    </w:p>
    <w:p w14:paraId="3F368354">
      <w:pPr>
        <w:spacing w:line="320" w:lineRule="exact"/>
        <w:jc w:val="center"/>
        <w:rPr>
          <w:rFonts w:asci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8DF06FB">
      <w:pPr>
        <w:snapToGrid w:val="0"/>
        <w:spacing w:line="360" w:lineRule="auto"/>
        <w:jc w:val="center"/>
        <w:rPr>
          <w:rFonts w:ascii="宋体" w:cs="宋体"/>
          <w:b/>
          <w:color w:val="auto"/>
          <w:sz w:val="24"/>
          <w:highlight w:val="none"/>
        </w:rPr>
      </w:pPr>
    </w:p>
    <w:tbl>
      <w:tblPr>
        <w:tblStyle w:val="33"/>
        <w:tblW w:w="0" w:type="auto"/>
        <w:jc w:val="center"/>
        <w:tblLayout w:type="fixed"/>
        <w:tblCellMar>
          <w:top w:w="0" w:type="dxa"/>
          <w:left w:w="0" w:type="dxa"/>
          <w:bottom w:w="0" w:type="dxa"/>
          <w:right w:w="0" w:type="dxa"/>
        </w:tblCellMar>
      </w:tblPr>
      <w:tblGrid>
        <w:gridCol w:w="808"/>
        <w:gridCol w:w="3600"/>
        <w:gridCol w:w="3555"/>
        <w:gridCol w:w="1689"/>
      </w:tblGrid>
      <w:tr w14:paraId="25086A3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1EEA02">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F26426">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E24FCB">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406074">
            <w:pPr>
              <w:widowControl/>
              <w:spacing w:line="360" w:lineRule="auto"/>
              <w:contextualSpacing/>
              <w:jc w:val="center"/>
              <w:rPr>
                <w:rFonts w:ascii="宋体" w:cs="宋体"/>
                <w:b/>
                <w:bCs/>
                <w:color w:val="auto"/>
                <w:kern w:val="0"/>
                <w:sz w:val="24"/>
                <w:highlight w:val="none"/>
              </w:rPr>
            </w:pPr>
            <w:r>
              <w:rPr>
                <w:rFonts w:hint="eastAsia" w:ascii="宋体" w:hAnsi="宋体" w:cs="宋体"/>
                <w:b/>
                <w:bCs/>
                <w:color w:val="auto"/>
                <w:kern w:val="0"/>
                <w:sz w:val="24"/>
                <w:highlight w:val="none"/>
              </w:rPr>
              <w:t>备注</w:t>
            </w:r>
          </w:p>
        </w:tc>
      </w:tr>
      <w:tr w14:paraId="29B92D0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C2DDDF">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F4B0EA">
            <w:pPr>
              <w:widowControl/>
              <w:spacing w:line="360" w:lineRule="auto"/>
              <w:contextualSpacing/>
              <w:jc w:val="center"/>
              <w:rPr>
                <w:rFonts w:asci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AA0D5F">
            <w:pPr>
              <w:widowControl/>
              <w:spacing w:line="360" w:lineRule="auto"/>
              <w:contextualSpacing/>
              <w:jc w:val="center"/>
              <w:rPr>
                <w:rFonts w:asci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170152">
            <w:pPr>
              <w:widowControl/>
              <w:spacing w:line="360" w:lineRule="auto"/>
              <w:contextualSpacing/>
              <w:jc w:val="center"/>
              <w:rPr>
                <w:rFonts w:ascii="宋体" w:cs="宋体"/>
                <w:color w:val="auto"/>
                <w:kern w:val="0"/>
                <w:sz w:val="24"/>
                <w:highlight w:val="none"/>
              </w:rPr>
            </w:pPr>
          </w:p>
        </w:tc>
      </w:tr>
      <w:tr w14:paraId="3BFA39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CD11E6">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2519A1">
            <w:pPr>
              <w:widowControl/>
              <w:spacing w:line="360" w:lineRule="auto"/>
              <w:contextualSpacing/>
              <w:jc w:val="center"/>
              <w:rPr>
                <w:rFonts w:asci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FF8525">
            <w:pPr>
              <w:widowControl/>
              <w:spacing w:line="360" w:lineRule="auto"/>
              <w:contextualSpacing/>
              <w:jc w:val="center"/>
              <w:rPr>
                <w:rFonts w:asci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C81D0B">
            <w:pPr>
              <w:widowControl/>
              <w:spacing w:line="360" w:lineRule="auto"/>
              <w:contextualSpacing/>
              <w:jc w:val="center"/>
              <w:rPr>
                <w:rFonts w:ascii="宋体" w:cs="宋体"/>
                <w:color w:val="auto"/>
                <w:kern w:val="0"/>
                <w:sz w:val="24"/>
                <w:highlight w:val="none"/>
              </w:rPr>
            </w:pPr>
          </w:p>
        </w:tc>
      </w:tr>
      <w:tr w14:paraId="4BA9ACC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3D6960">
            <w:pPr>
              <w:widowControl/>
              <w:spacing w:line="360" w:lineRule="auto"/>
              <w:contextualSpacing/>
              <w:jc w:val="center"/>
              <w:rPr>
                <w:rFonts w:ascii="宋体" w:cs="宋体"/>
                <w:color w:val="auto"/>
                <w:kern w:val="0"/>
                <w:sz w:val="24"/>
                <w:highlight w:val="none"/>
              </w:rPr>
            </w:pPr>
            <w:r>
              <w:rPr>
                <w:rFonts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D7A89">
            <w:pPr>
              <w:widowControl/>
              <w:spacing w:line="360" w:lineRule="auto"/>
              <w:contextualSpacing/>
              <w:jc w:val="center"/>
              <w:rPr>
                <w:rFonts w:asci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255B6D">
            <w:pPr>
              <w:widowControl/>
              <w:spacing w:line="360" w:lineRule="auto"/>
              <w:contextualSpacing/>
              <w:jc w:val="center"/>
              <w:rPr>
                <w:rFonts w:asci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117C54">
            <w:pPr>
              <w:widowControl/>
              <w:spacing w:line="360" w:lineRule="auto"/>
              <w:contextualSpacing/>
              <w:jc w:val="center"/>
              <w:rPr>
                <w:rFonts w:ascii="宋体" w:cs="宋体"/>
                <w:color w:val="auto"/>
                <w:kern w:val="0"/>
                <w:sz w:val="24"/>
                <w:highlight w:val="none"/>
              </w:rPr>
            </w:pPr>
          </w:p>
        </w:tc>
      </w:tr>
      <w:tr w14:paraId="594C75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ACA5C9">
            <w:pPr>
              <w:widowControl/>
              <w:spacing w:line="360" w:lineRule="auto"/>
              <w:contextualSpacing/>
              <w:jc w:val="center"/>
              <w:rPr>
                <w:rFonts w:asci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0D5FB5">
            <w:pPr>
              <w:widowControl/>
              <w:spacing w:line="360" w:lineRule="auto"/>
              <w:contextualSpacing/>
              <w:jc w:val="center"/>
              <w:rPr>
                <w:rFonts w:asci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20B63B">
            <w:pPr>
              <w:widowControl/>
              <w:spacing w:line="360" w:lineRule="auto"/>
              <w:contextualSpacing/>
              <w:jc w:val="center"/>
              <w:rPr>
                <w:rFonts w:asci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A36F64">
            <w:pPr>
              <w:widowControl/>
              <w:spacing w:line="360" w:lineRule="auto"/>
              <w:contextualSpacing/>
              <w:jc w:val="center"/>
              <w:rPr>
                <w:rFonts w:ascii="宋体" w:cs="宋体"/>
                <w:color w:val="auto"/>
                <w:kern w:val="0"/>
                <w:sz w:val="24"/>
                <w:highlight w:val="none"/>
              </w:rPr>
            </w:pPr>
          </w:p>
        </w:tc>
      </w:tr>
    </w:tbl>
    <w:p w14:paraId="09BF0612">
      <w:pPr>
        <w:spacing w:line="360" w:lineRule="auto"/>
        <w:contextualSpacing/>
        <w:jc w:val="left"/>
        <w:rPr>
          <w:rFonts w:ascii="宋体" w:cs="宋体"/>
          <w:color w:val="auto"/>
          <w:sz w:val="24"/>
          <w:highlight w:val="none"/>
        </w:rPr>
      </w:pPr>
      <w:r>
        <w:rPr>
          <w:rFonts w:hint="eastAsia" w:ascii="宋体" w:hAnsi="宋体" w:cs="宋体"/>
          <w:color w:val="auto"/>
          <w:sz w:val="24"/>
          <w:highlight w:val="none"/>
        </w:rPr>
        <w:t>注：</w:t>
      </w:r>
    </w:p>
    <w:p w14:paraId="6140ED20">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管理关系：是指不具有出资持股关系的其他单位之间存在的管理与被管理关系，如一些上下级关系的事业单位和团体组织。</w:t>
      </w:r>
    </w:p>
    <w:p w14:paraId="16D7B92F">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47FFF264">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供应商不存在直接管理关系的，则填“无”。</w:t>
      </w:r>
    </w:p>
    <w:p w14:paraId="01BE7004">
      <w:pPr>
        <w:spacing w:line="360" w:lineRule="auto"/>
        <w:contextualSpacing/>
        <w:jc w:val="left"/>
        <w:rPr>
          <w:rFonts w:ascii="宋体" w:cs="宋体"/>
          <w:color w:val="auto"/>
          <w:sz w:val="24"/>
          <w:highlight w:val="none"/>
        </w:rPr>
      </w:pPr>
    </w:p>
    <w:p w14:paraId="26A7BE0C">
      <w:pPr>
        <w:spacing w:line="360" w:lineRule="auto"/>
        <w:contextualSpacing/>
        <w:jc w:val="left"/>
        <w:rPr>
          <w:rFonts w:ascii="宋体" w:cs="宋体"/>
          <w:color w:val="auto"/>
          <w:sz w:val="24"/>
          <w:highlight w:val="none"/>
        </w:rPr>
      </w:pPr>
    </w:p>
    <w:p w14:paraId="5EA9DB84">
      <w:pPr>
        <w:spacing w:line="360" w:lineRule="auto"/>
        <w:contextualSpacing/>
        <w:jc w:val="left"/>
        <w:rPr>
          <w:rFonts w:ascii="宋体" w:cs="宋体"/>
          <w:color w:val="auto"/>
          <w:sz w:val="24"/>
          <w:highlight w:val="none"/>
        </w:rPr>
      </w:pPr>
    </w:p>
    <w:p w14:paraId="2DF99C2F">
      <w:pPr>
        <w:spacing w:line="360" w:lineRule="auto"/>
        <w:contextualSpacing/>
        <w:jc w:val="left"/>
        <w:rPr>
          <w:rFonts w:ascii="宋体" w:cs="宋体"/>
          <w:color w:val="auto"/>
          <w:sz w:val="24"/>
          <w:highlight w:val="none"/>
        </w:rPr>
      </w:pPr>
    </w:p>
    <w:p w14:paraId="79A15C8A">
      <w:pPr>
        <w:spacing w:line="360" w:lineRule="auto"/>
        <w:contextualSpacing/>
        <w:jc w:val="left"/>
        <w:rPr>
          <w:rFonts w:ascii="宋体" w:cs="宋体"/>
          <w:color w:val="auto"/>
          <w:sz w:val="24"/>
          <w:highlight w:val="none"/>
        </w:rPr>
      </w:pPr>
    </w:p>
    <w:p w14:paraId="1115BC8E">
      <w:pPr>
        <w:spacing w:line="360" w:lineRule="auto"/>
        <w:contextualSpacing/>
        <w:jc w:val="left"/>
        <w:rPr>
          <w:rFonts w:ascii="宋体" w:cs="宋体"/>
          <w:color w:val="auto"/>
          <w:sz w:val="24"/>
          <w:highlight w:val="none"/>
        </w:rPr>
      </w:pPr>
    </w:p>
    <w:p w14:paraId="5DC9AE0A">
      <w:pPr>
        <w:spacing w:line="360" w:lineRule="auto"/>
        <w:ind w:right="480" w:firstLine="3360" w:firstLineChars="1400"/>
        <w:contextualSpacing/>
        <w:rPr>
          <w:rFonts w:ascii="宋体" w:cs="宋体"/>
          <w:color w:val="auto"/>
          <w:sz w:val="24"/>
          <w:highlight w:val="none"/>
          <w:u w:val="single"/>
        </w:rPr>
      </w:pPr>
      <w:r>
        <w:rPr>
          <w:rFonts w:hint="eastAsia" w:ascii="宋体" w:hAnsi="宋体" w:cs="宋体"/>
          <w:color w:val="auto"/>
          <w:sz w:val="24"/>
          <w:highlight w:val="none"/>
        </w:rPr>
        <w:t>法定代表人或者委托代理人签字：</w:t>
      </w:r>
      <w:r>
        <w:rPr>
          <w:rFonts w:ascii="宋体" w:hAnsi="宋体" w:cs="宋体"/>
          <w:color w:val="auto"/>
          <w:sz w:val="24"/>
          <w:highlight w:val="none"/>
          <w:u w:val="single"/>
        </w:rPr>
        <w:t xml:space="preserve">               </w:t>
      </w:r>
    </w:p>
    <w:p w14:paraId="63BE5F9A">
      <w:pPr>
        <w:spacing w:line="360" w:lineRule="auto"/>
        <w:ind w:right="480" w:firstLine="3360" w:firstLineChars="1400"/>
        <w:contextualSpacing/>
        <w:rPr>
          <w:rFonts w:ascii="宋体" w:cs="宋体"/>
          <w:color w:val="auto"/>
          <w:sz w:val="24"/>
          <w:highlight w:val="none"/>
        </w:rPr>
      </w:pPr>
      <w:r>
        <w:rPr>
          <w:rFonts w:hint="eastAsia" w:ascii="宋体" w:hAnsi="宋体" w:cs="宋体"/>
          <w:color w:val="auto"/>
          <w:sz w:val="24"/>
          <w:highlight w:val="none"/>
        </w:rPr>
        <w:t>供应商（盖公章）：</w:t>
      </w:r>
      <w:r>
        <w:rPr>
          <w:rFonts w:ascii="宋体" w:hAnsi="宋体" w:cs="宋体"/>
          <w:color w:val="auto"/>
          <w:sz w:val="24"/>
          <w:highlight w:val="none"/>
          <w:u w:val="single"/>
        </w:rPr>
        <w:t xml:space="preserve">                </w:t>
      </w:r>
    </w:p>
    <w:p w14:paraId="5E3F1058">
      <w:pPr>
        <w:spacing w:line="360" w:lineRule="auto"/>
        <w:ind w:right="480" w:firstLine="240" w:firstLineChars="100"/>
        <w:contextualSpacing/>
        <w:jc w:val="center"/>
        <w:rPr>
          <w:rFonts w:ascii="宋体" w:cs="宋体"/>
          <w:color w:val="auto"/>
          <w:sz w:val="28"/>
          <w:szCs w:val="28"/>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594C9B41">
      <w:pPr>
        <w:spacing w:line="320" w:lineRule="exact"/>
        <w:jc w:val="center"/>
        <w:rPr>
          <w:rFonts w:ascii="宋体" w:cs="宋体"/>
          <w:b/>
          <w:color w:val="auto"/>
          <w:sz w:val="32"/>
          <w:szCs w:val="32"/>
          <w:highlight w:val="none"/>
        </w:rPr>
      </w:pPr>
      <w:r>
        <w:rPr>
          <w:rFonts w:ascii="宋体" w:cs="宋体"/>
          <w:color w:val="auto"/>
          <w:sz w:val="28"/>
          <w:szCs w:val="28"/>
          <w:highlight w:val="none"/>
        </w:rPr>
        <w:br w:type="page"/>
      </w:r>
      <w:r>
        <w:rPr>
          <w:rFonts w:hint="eastAsia" w:ascii="宋体" w:hAnsi="宋体" w:cs="宋体"/>
          <w:b/>
          <w:color w:val="auto"/>
          <w:sz w:val="32"/>
          <w:szCs w:val="32"/>
          <w:highlight w:val="none"/>
        </w:rPr>
        <w:t>竞标声明</w:t>
      </w:r>
    </w:p>
    <w:p w14:paraId="217BA548">
      <w:pPr>
        <w:spacing w:line="320" w:lineRule="exact"/>
        <w:jc w:val="center"/>
        <w:rPr>
          <w:rFonts w:ascii="宋体" w:cs="宋体"/>
          <w:color w:val="auto"/>
          <w:sz w:val="24"/>
          <w:szCs w:val="20"/>
          <w:highlight w:val="none"/>
        </w:rPr>
      </w:pPr>
    </w:p>
    <w:p w14:paraId="52199BEC">
      <w:pPr>
        <w:spacing w:line="360" w:lineRule="auto"/>
        <w:contextualSpacing/>
        <w:rPr>
          <w:rFonts w:asci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A86EE1">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2656EE0C">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1007E79">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我方向贵方提交的所有响应文件、资料都是准确的和真实的。</w:t>
      </w:r>
    </w:p>
    <w:p w14:paraId="31A4B374">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我方不是为本次采购项目提供整体设计、规范编制或者项目管理、监理、检测等服务的供应商。</w:t>
      </w:r>
    </w:p>
    <w:p w14:paraId="0B1DF1A2">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在此，我方宣布同意如下：</w:t>
      </w:r>
    </w:p>
    <w:p w14:paraId="6EC215BE">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）将按磋商文件的约定履行合同责任和义务；</w:t>
      </w:r>
    </w:p>
    <w:p w14:paraId="04F53B09">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）已详细审查全部磋商文件，包括澄清或者更正公告（如有）；</w:t>
      </w:r>
    </w:p>
    <w:p w14:paraId="0E6BB410">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）同意提供按照贵方可能要求的与磋商有关的一切数据或者资料；</w:t>
      </w:r>
    </w:p>
    <w:p w14:paraId="250DEDC4">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）响应磋商文件规定的竞标有效期。</w:t>
      </w:r>
    </w:p>
    <w:p w14:paraId="0EA999B7">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我方承诺符合《中华人民共和国政府采购法》第二十二条规定：</w:t>
      </w:r>
    </w:p>
    <w:p w14:paraId="5A9155FD">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）具有独立承担民事责任的能力；</w:t>
      </w:r>
    </w:p>
    <w:p w14:paraId="719FE248">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）具有良好的商业信誉和健全的财务会计制度；</w:t>
      </w:r>
    </w:p>
    <w:p w14:paraId="5B4F7B49">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）具有履行合同所必需的设备和专业技术能力；</w:t>
      </w:r>
    </w:p>
    <w:p w14:paraId="363D1A64">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）有依法缴纳税收和社会保障资金的良好记录；</w:t>
      </w:r>
    </w:p>
    <w:p w14:paraId="7745DC5A">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）参加政府采购活动前三年内，在经营活动中没有重大违法记录；</w:t>
      </w:r>
    </w:p>
    <w:p w14:paraId="1FEEF28B">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）法律、行政法规规定的其他条件。</w:t>
      </w:r>
    </w:p>
    <w:p w14:paraId="320F0DCF">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2BEF6E">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2CA7F1C">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A993458">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0F39F03">
      <w:pPr>
        <w:pStyle w:val="19"/>
        <w:spacing w:line="360" w:lineRule="auto"/>
        <w:ind w:firstLine="480" w:firstLineChars="200"/>
        <w:contextualSpacing/>
        <w:rPr>
          <w:rFonts w:hAnsi="宋体" w:cs="宋体"/>
          <w:color w:val="auto"/>
          <w:sz w:val="24"/>
          <w:szCs w:val="24"/>
          <w:highlight w:val="none"/>
          <w:u w:val="single"/>
        </w:rPr>
      </w:pPr>
      <w:r>
        <w:rPr>
          <w:rFonts w:hAnsi="宋体" w:cs="宋体"/>
          <w:color w:val="auto"/>
          <w:sz w:val="24"/>
          <w:szCs w:val="24"/>
          <w:highlight w:val="none"/>
        </w:rPr>
        <w:t>7.</w:t>
      </w:r>
      <w:r>
        <w:rPr>
          <w:rFonts w:hint="eastAsia" w:hAnsi="宋体" w:cs="宋体"/>
          <w:color w:val="auto"/>
          <w:sz w:val="24"/>
          <w:szCs w:val="24"/>
          <w:highlight w:val="none"/>
        </w:rPr>
        <w:t>与本磋商有关的一切正式往来信函请寄：</w:t>
      </w:r>
      <w:r>
        <w:rPr>
          <w:rFonts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Ansi="宋体" w:cs="宋体"/>
          <w:color w:val="auto"/>
          <w:sz w:val="24"/>
          <w:szCs w:val="24"/>
          <w:highlight w:val="none"/>
          <w:u w:val="single"/>
        </w:rPr>
        <w:t xml:space="preserve">        </w:t>
      </w:r>
    </w:p>
    <w:p w14:paraId="329B0B83">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w:t>
      </w:r>
      <w:r>
        <w:rPr>
          <w:rFonts w:hAnsi="宋体" w:cs="宋体"/>
          <w:color w:val="auto"/>
          <w:sz w:val="24"/>
          <w:szCs w:val="24"/>
          <w:highlight w:val="none"/>
        </w:rPr>
        <w:t>/</w:t>
      </w:r>
      <w:r>
        <w:rPr>
          <w:rFonts w:hint="eastAsia" w:hAnsi="宋体" w:cs="宋体"/>
          <w:color w:val="auto"/>
          <w:sz w:val="24"/>
          <w:szCs w:val="24"/>
          <w:highlight w:val="none"/>
        </w:rPr>
        <w:t>传真：</w:t>
      </w:r>
      <w:r>
        <w:rPr>
          <w:rFonts w:hAnsi="宋体" w:cs="宋体"/>
          <w:color w:val="auto"/>
          <w:sz w:val="24"/>
          <w:szCs w:val="24"/>
          <w:highlight w:val="none"/>
          <w:u w:val="single"/>
        </w:rPr>
        <w:t xml:space="preserve">                        </w:t>
      </w:r>
      <w:r>
        <w:rPr>
          <w:rFonts w:hAnsi="宋体" w:cs="宋体"/>
          <w:color w:val="auto"/>
          <w:sz w:val="24"/>
          <w:szCs w:val="24"/>
          <w:highlight w:val="none"/>
        </w:rPr>
        <w:t xml:space="preserve"> </w:t>
      </w:r>
      <w:r>
        <w:rPr>
          <w:rFonts w:hint="eastAsia" w:hAnsi="宋体" w:cs="宋体"/>
          <w:color w:val="auto"/>
          <w:sz w:val="24"/>
          <w:szCs w:val="24"/>
          <w:highlight w:val="none"/>
        </w:rPr>
        <w:t>电子函件：</w:t>
      </w:r>
      <w:r>
        <w:rPr>
          <w:rFonts w:hAnsi="宋体" w:cs="宋体"/>
          <w:color w:val="auto"/>
          <w:sz w:val="24"/>
          <w:szCs w:val="24"/>
          <w:highlight w:val="none"/>
          <w:u w:val="single"/>
        </w:rPr>
        <w:t xml:space="preserve">                            </w:t>
      </w:r>
      <w:r>
        <w:rPr>
          <w:rFonts w:hAnsi="宋体" w:cs="宋体"/>
          <w:color w:val="auto"/>
          <w:sz w:val="24"/>
          <w:szCs w:val="24"/>
          <w:highlight w:val="none"/>
        </w:rPr>
        <w:t xml:space="preserve">    </w:t>
      </w:r>
    </w:p>
    <w:p w14:paraId="3987054B">
      <w:pPr>
        <w:pStyle w:val="17"/>
        <w:tabs>
          <w:tab w:val="left" w:pos="939"/>
        </w:tabs>
        <w:spacing w:line="360" w:lineRule="auto"/>
        <w:ind w:left="141" w:leftChars="67" w:firstLine="360" w:firstLineChars="150"/>
        <w:rPr>
          <w:rFonts w:ascii="宋体" w:cs="宋体"/>
          <w:color w:val="auto"/>
          <w:sz w:val="24"/>
          <w:highlight w:val="none"/>
        </w:rPr>
      </w:pPr>
      <w:r>
        <w:rPr>
          <w:rFonts w:hint="eastAsia" w:ascii="宋体" w:hAnsi="宋体" w:cs="宋体"/>
          <w:color w:val="auto"/>
          <w:sz w:val="24"/>
          <w:highlight w:val="none"/>
        </w:rPr>
        <w:t>开户银行：</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帐号：</w:t>
      </w:r>
      <w:r>
        <w:rPr>
          <w:rFonts w:ascii="宋体" w:hAnsi="宋体" w:cs="宋体"/>
          <w:color w:val="auto"/>
          <w:sz w:val="24"/>
          <w:highlight w:val="none"/>
          <w:u w:val="single"/>
        </w:rPr>
        <w:t xml:space="preserve">                               </w:t>
      </w:r>
    </w:p>
    <w:p w14:paraId="5A75B109">
      <w:pPr>
        <w:pStyle w:val="17"/>
        <w:tabs>
          <w:tab w:val="left" w:pos="939"/>
        </w:tabs>
        <w:spacing w:line="360" w:lineRule="auto"/>
        <w:ind w:left="0" w:leftChars="0" w:firstLine="480" w:firstLineChars="200"/>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以上事项如有虚假或者隐瞒，我方愿意承担一切后果，并不再寻求任何旨在减轻或者免除法律责任的辩解。</w:t>
      </w:r>
    </w:p>
    <w:p w14:paraId="76CB227E">
      <w:pPr>
        <w:pStyle w:val="17"/>
        <w:tabs>
          <w:tab w:val="left" w:pos="939"/>
        </w:tabs>
        <w:spacing w:line="360" w:lineRule="auto"/>
        <w:ind w:left="141" w:leftChars="67" w:firstLine="360" w:firstLineChars="150"/>
        <w:rPr>
          <w:rFonts w:ascii="宋体" w:cs="宋体"/>
          <w:color w:val="auto"/>
          <w:sz w:val="24"/>
          <w:highlight w:val="none"/>
        </w:rPr>
      </w:pPr>
      <w:r>
        <w:rPr>
          <w:rFonts w:hint="eastAsia" w:ascii="宋体" w:hAnsi="宋体" w:cs="宋体"/>
          <w:color w:val="auto"/>
          <w:sz w:val="24"/>
          <w:highlight w:val="none"/>
        </w:rPr>
        <w:t>特此承诺。</w:t>
      </w:r>
    </w:p>
    <w:p w14:paraId="4EB91880">
      <w:pPr>
        <w:pStyle w:val="17"/>
        <w:tabs>
          <w:tab w:val="left" w:pos="939"/>
        </w:tabs>
        <w:spacing w:line="360" w:lineRule="auto"/>
        <w:ind w:left="0" w:leftChars="0" w:firstLine="480" w:firstLineChars="200"/>
        <w:rPr>
          <w:rFonts w:ascii="宋体" w:cs="宋体"/>
          <w:color w:val="auto"/>
          <w:sz w:val="24"/>
          <w:highlight w:val="none"/>
        </w:rPr>
      </w:pPr>
    </w:p>
    <w:p w14:paraId="08BBB5DE">
      <w:pPr>
        <w:spacing w:line="360" w:lineRule="auto"/>
        <w:ind w:firstLine="4320" w:firstLineChars="1800"/>
        <w:contextualSpacing/>
        <w:rPr>
          <w:rFonts w:ascii="宋体" w:cs="宋体"/>
          <w:color w:val="auto"/>
          <w:sz w:val="24"/>
          <w:highlight w:val="none"/>
        </w:rPr>
      </w:pPr>
      <w:r>
        <w:rPr>
          <w:rFonts w:hint="eastAsia" w:ascii="宋体" w:hAnsi="宋体" w:cs="宋体"/>
          <w:color w:val="auto"/>
          <w:sz w:val="24"/>
          <w:highlight w:val="none"/>
        </w:rPr>
        <w:t>法定代表人（签字）：</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03356C71">
      <w:pPr>
        <w:spacing w:line="360" w:lineRule="auto"/>
        <w:ind w:firstLine="4320" w:firstLineChars="1800"/>
        <w:contextualSpacing/>
        <w:rPr>
          <w:rFonts w:ascii="宋体" w:cs="宋体"/>
          <w:color w:val="auto"/>
          <w:sz w:val="24"/>
          <w:highlight w:val="none"/>
          <w:u w:val="single"/>
        </w:rPr>
      </w:pPr>
      <w:r>
        <w:rPr>
          <w:rFonts w:hint="eastAsia" w:ascii="宋体" w:hAnsi="宋体" w:cs="宋体"/>
          <w:color w:val="auto"/>
          <w:sz w:val="24"/>
          <w:highlight w:val="none"/>
        </w:rPr>
        <w:t>供应商（盖公章）：</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59A2AF76">
      <w:pPr>
        <w:spacing w:line="360" w:lineRule="auto"/>
        <w:ind w:right="480" w:firstLine="240" w:firstLineChars="100"/>
        <w:contextualSpacing/>
        <w:jc w:val="center"/>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2F90B0AC">
      <w:pPr>
        <w:snapToGrid w:val="0"/>
        <w:spacing w:beforeLines="50" w:after="50" w:line="360" w:lineRule="auto"/>
        <w:ind w:right="480"/>
        <w:rPr>
          <w:rFonts w:ascii="宋体" w:cs="宋体"/>
          <w:b/>
          <w:color w:val="auto"/>
          <w:sz w:val="32"/>
          <w:szCs w:val="32"/>
          <w:highlight w:val="none"/>
        </w:rPr>
      </w:pPr>
      <w:r>
        <w:rPr>
          <w:rFonts w:asci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01B4DDF1">
      <w:pPr>
        <w:snapToGrid w:val="0"/>
        <w:spacing w:beforeLines="50" w:after="50" w:line="360" w:lineRule="auto"/>
        <w:jc w:val="left"/>
        <w:rPr>
          <w:rFonts w:ascii="宋体" w:cs="宋体"/>
          <w:b/>
          <w:color w:val="auto"/>
          <w:sz w:val="32"/>
          <w:szCs w:val="32"/>
          <w:highlight w:val="none"/>
        </w:rPr>
      </w:pPr>
      <w:r>
        <w:rPr>
          <w:rFonts w:ascii="宋体" w:hAnsi="宋体" w:cs="宋体"/>
          <w:b/>
          <w:color w:val="auto"/>
          <w:sz w:val="32"/>
          <w:szCs w:val="32"/>
          <w:highlight w:val="none"/>
        </w:rPr>
        <w:t>1.</w:t>
      </w:r>
      <w:r>
        <w:rPr>
          <w:rFonts w:hint="eastAsia" w:ascii="宋体" w:hAnsi="宋体" w:cs="宋体"/>
          <w:b/>
          <w:color w:val="auto"/>
          <w:sz w:val="32"/>
          <w:szCs w:val="32"/>
          <w:highlight w:val="none"/>
        </w:rPr>
        <w:t>报价商务技术文件封面格式</w:t>
      </w:r>
    </w:p>
    <w:p w14:paraId="43A64D17">
      <w:pPr>
        <w:snapToGrid w:val="0"/>
        <w:spacing w:beforeLines="50" w:after="50"/>
        <w:rPr>
          <w:rFonts w:ascii="宋体" w:cs="宋体"/>
          <w:bCs/>
          <w:color w:val="auto"/>
          <w:sz w:val="32"/>
          <w:szCs w:val="20"/>
          <w:highlight w:val="none"/>
        </w:rPr>
      </w:pPr>
      <w:r>
        <w:rPr>
          <w:rFonts w:ascii="宋体" w:hAnsi="宋体" w:cs="宋体"/>
          <w:color w:val="auto"/>
          <w:sz w:val="24"/>
          <w:highlight w:val="none"/>
        </w:rPr>
        <w:t xml:space="preserve">                                                   </w:t>
      </w:r>
    </w:p>
    <w:p w14:paraId="7F313913">
      <w:pPr>
        <w:snapToGrid w:val="0"/>
        <w:spacing w:beforeLines="50" w:after="50"/>
        <w:rPr>
          <w:rFonts w:ascii="宋体" w:cs="宋体"/>
          <w:color w:val="auto"/>
          <w:sz w:val="24"/>
          <w:szCs w:val="20"/>
          <w:highlight w:val="none"/>
        </w:rPr>
      </w:pPr>
    </w:p>
    <w:p w14:paraId="18CAF8B2">
      <w:pPr>
        <w:snapToGrid w:val="0"/>
        <w:spacing w:beforeLines="50" w:after="50"/>
        <w:jc w:val="center"/>
        <w:rPr>
          <w:rFonts w:ascii="宋体" w:cs="宋体"/>
          <w:bCs/>
          <w:color w:val="auto"/>
          <w:sz w:val="84"/>
          <w:szCs w:val="84"/>
          <w:highlight w:val="none"/>
        </w:rPr>
      </w:pPr>
      <w:r>
        <w:rPr>
          <w:rFonts w:hint="eastAsia" w:ascii="宋体" w:hAnsi="宋体" w:cs="宋体"/>
          <w:bCs/>
          <w:color w:val="auto"/>
          <w:sz w:val="84"/>
          <w:szCs w:val="84"/>
          <w:highlight w:val="none"/>
        </w:rPr>
        <w:t>响</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应</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文</w:t>
      </w:r>
      <w:r>
        <w:rPr>
          <w:rFonts w:ascii="宋体" w:hAnsi="宋体" w:cs="宋体"/>
          <w:bCs/>
          <w:color w:val="auto"/>
          <w:sz w:val="84"/>
          <w:szCs w:val="84"/>
          <w:highlight w:val="none"/>
        </w:rPr>
        <w:t xml:space="preserve">  </w:t>
      </w:r>
      <w:r>
        <w:rPr>
          <w:rFonts w:hint="eastAsia" w:ascii="宋体" w:hAnsi="宋体" w:cs="宋体"/>
          <w:bCs/>
          <w:color w:val="auto"/>
          <w:sz w:val="84"/>
          <w:szCs w:val="84"/>
          <w:highlight w:val="none"/>
        </w:rPr>
        <w:t>件</w:t>
      </w:r>
    </w:p>
    <w:p w14:paraId="4FED6804">
      <w:pPr>
        <w:snapToGrid w:val="0"/>
        <w:spacing w:beforeLines="50" w:after="50"/>
        <w:jc w:val="center"/>
        <w:rPr>
          <w:rFonts w:ascii="宋体" w:cs="宋体"/>
          <w:bCs/>
          <w:color w:val="auto"/>
          <w:sz w:val="32"/>
          <w:szCs w:val="32"/>
          <w:highlight w:val="none"/>
        </w:rPr>
      </w:pPr>
      <w:r>
        <w:rPr>
          <w:rFonts w:hint="eastAsia" w:ascii="宋体" w:hAnsi="宋体" w:cs="宋体"/>
          <w:bCs/>
          <w:color w:val="auto"/>
          <w:sz w:val="32"/>
          <w:szCs w:val="32"/>
          <w:highlight w:val="none"/>
        </w:rPr>
        <w:t>报</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价</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商</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务</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技</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术</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文</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件</w:t>
      </w:r>
    </w:p>
    <w:p w14:paraId="02418B6E">
      <w:pPr>
        <w:snapToGrid w:val="0"/>
        <w:spacing w:beforeLines="50" w:after="50"/>
        <w:rPr>
          <w:rFonts w:ascii="宋体" w:cs="宋体"/>
          <w:bCs/>
          <w:color w:val="auto"/>
          <w:sz w:val="24"/>
          <w:szCs w:val="20"/>
          <w:highlight w:val="none"/>
        </w:rPr>
      </w:pPr>
    </w:p>
    <w:p w14:paraId="37C075B7">
      <w:pPr>
        <w:snapToGrid w:val="0"/>
        <w:spacing w:beforeLines="50" w:after="50"/>
        <w:rPr>
          <w:rFonts w:ascii="宋体" w:cs="宋体"/>
          <w:bCs/>
          <w:color w:val="auto"/>
          <w:sz w:val="24"/>
          <w:szCs w:val="20"/>
          <w:highlight w:val="none"/>
        </w:rPr>
      </w:pPr>
    </w:p>
    <w:p w14:paraId="506365F8">
      <w:pPr>
        <w:snapToGrid w:val="0"/>
        <w:spacing w:beforeLines="50" w:after="50"/>
        <w:rPr>
          <w:rFonts w:ascii="宋体" w:cs="宋体"/>
          <w:bCs/>
          <w:color w:val="auto"/>
          <w:sz w:val="24"/>
          <w:szCs w:val="20"/>
          <w:highlight w:val="none"/>
        </w:rPr>
      </w:pPr>
    </w:p>
    <w:p w14:paraId="785ABBE4">
      <w:pPr>
        <w:snapToGrid w:val="0"/>
        <w:spacing w:beforeLines="50" w:after="50"/>
        <w:rPr>
          <w:rFonts w:ascii="宋体" w:cs="宋体"/>
          <w:bCs/>
          <w:color w:val="auto"/>
          <w:sz w:val="24"/>
          <w:szCs w:val="20"/>
          <w:highlight w:val="none"/>
        </w:rPr>
      </w:pPr>
    </w:p>
    <w:p w14:paraId="7EBBCC24">
      <w:pPr>
        <w:snapToGrid w:val="0"/>
        <w:spacing w:beforeLines="50" w:after="50"/>
        <w:rPr>
          <w:rFonts w:ascii="宋体" w:cs="宋体"/>
          <w:bCs/>
          <w:color w:val="auto"/>
          <w:sz w:val="24"/>
          <w:szCs w:val="20"/>
          <w:highlight w:val="none"/>
        </w:rPr>
      </w:pPr>
    </w:p>
    <w:p w14:paraId="44A533D9">
      <w:pPr>
        <w:snapToGrid w:val="0"/>
        <w:spacing w:beforeLines="50" w:after="50"/>
        <w:ind w:firstLine="640" w:firstLineChars="200"/>
        <w:rPr>
          <w:rFonts w:ascii="宋体" w:cs="宋体"/>
          <w:bCs/>
          <w:color w:val="auto"/>
          <w:sz w:val="32"/>
          <w:szCs w:val="32"/>
          <w:highlight w:val="none"/>
        </w:rPr>
      </w:pPr>
      <w:r>
        <w:rPr>
          <w:rFonts w:hint="eastAsia" w:ascii="宋体" w:hAnsi="宋体" w:cs="宋体"/>
          <w:bCs/>
          <w:color w:val="auto"/>
          <w:sz w:val="32"/>
          <w:szCs w:val="32"/>
          <w:highlight w:val="none"/>
        </w:rPr>
        <w:t>项目名称：</w:t>
      </w:r>
    </w:p>
    <w:p w14:paraId="312CC677">
      <w:pPr>
        <w:snapToGrid w:val="0"/>
        <w:spacing w:beforeLines="50" w:after="50"/>
        <w:ind w:firstLine="720" w:firstLineChars="225"/>
        <w:rPr>
          <w:rFonts w:ascii="宋体" w:cs="宋体"/>
          <w:bCs/>
          <w:color w:val="auto"/>
          <w:sz w:val="32"/>
          <w:szCs w:val="32"/>
          <w:highlight w:val="none"/>
        </w:rPr>
      </w:pPr>
    </w:p>
    <w:p w14:paraId="5ECC0E61">
      <w:pPr>
        <w:snapToGrid w:val="0"/>
        <w:spacing w:beforeLines="50" w:after="50"/>
        <w:ind w:firstLine="640" w:firstLineChars="200"/>
        <w:rPr>
          <w:rFonts w:ascii="宋体" w:cs="宋体"/>
          <w:bCs/>
          <w:color w:val="auto"/>
          <w:sz w:val="32"/>
          <w:szCs w:val="32"/>
          <w:highlight w:val="none"/>
        </w:rPr>
      </w:pPr>
      <w:r>
        <w:rPr>
          <w:rFonts w:hint="eastAsia" w:ascii="宋体" w:hAnsi="宋体" w:cs="宋体"/>
          <w:bCs/>
          <w:color w:val="auto"/>
          <w:sz w:val="32"/>
          <w:szCs w:val="32"/>
          <w:highlight w:val="none"/>
        </w:rPr>
        <w:t>项目编号：</w:t>
      </w:r>
    </w:p>
    <w:p w14:paraId="677B9E9D">
      <w:pPr>
        <w:snapToGrid w:val="0"/>
        <w:spacing w:beforeLines="50" w:after="50"/>
        <w:ind w:firstLine="720" w:firstLineChars="225"/>
        <w:rPr>
          <w:rFonts w:ascii="宋体" w:cs="宋体"/>
          <w:bCs/>
          <w:color w:val="auto"/>
          <w:sz w:val="32"/>
          <w:szCs w:val="32"/>
          <w:highlight w:val="none"/>
        </w:rPr>
      </w:pPr>
      <w:r>
        <w:rPr>
          <w:rFonts w:ascii="宋体" w:hAnsi="宋体" w:cs="宋体"/>
          <w:bCs/>
          <w:color w:val="auto"/>
          <w:sz w:val="32"/>
          <w:szCs w:val="32"/>
          <w:highlight w:val="none"/>
        </w:rPr>
        <w:t xml:space="preserve"> </w:t>
      </w:r>
    </w:p>
    <w:p w14:paraId="2A313F6F">
      <w:pPr>
        <w:snapToGrid w:val="0"/>
        <w:spacing w:beforeLines="50" w:after="50"/>
        <w:ind w:firstLine="640" w:firstLineChars="200"/>
        <w:rPr>
          <w:rFonts w:ascii="宋体" w:cs="宋体"/>
          <w:bCs/>
          <w:color w:val="auto"/>
          <w:sz w:val="32"/>
          <w:szCs w:val="32"/>
          <w:highlight w:val="none"/>
        </w:rPr>
      </w:pPr>
      <w:r>
        <w:rPr>
          <w:rFonts w:hint="eastAsia" w:ascii="宋体" w:hAnsi="宋体" w:cs="宋体"/>
          <w:bCs/>
          <w:color w:val="auto"/>
          <w:sz w:val="32"/>
          <w:szCs w:val="32"/>
          <w:highlight w:val="none"/>
        </w:rPr>
        <w:t>所竞分标：</w:t>
      </w:r>
    </w:p>
    <w:p w14:paraId="5FF15F77">
      <w:pPr>
        <w:snapToGrid w:val="0"/>
        <w:spacing w:beforeLines="50" w:after="50"/>
        <w:ind w:firstLine="720" w:firstLineChars="225"/>
        <w:rPr>
          <w:rFonts w:ascii="宋体" w:cs="宋体"/>
          <w:bCs/>
          <w:color w:val="auto"/>
          <w:sz w:val="32"/>
          <w:szCs w:val="32"/>
          <w:highlight w:val="none"/>
        </w:rPr>
      </w:pPr>
    </w:p>
    <w:p w14:paraId="1C2E83C6">
      <w:pPr>
        <w:pStyle w:val="7"/>
        <w:snapToGrid w:val="0"/>
        <w:spacing w:before="50" w:after="50"/>
        <w:ind w:firstLine="640" w:firstLineChars="200"/>
        <w:rPr>
          <w:rFonts w:ascii="宋体" w:cs="宋体"/>
          <w:bCs/>
          <w:color w:val="auto"/>
          <w:sz w:val="32"/>
          <w:szCs w:val="32"/>
          <w:highlight w:val="none"/>
        </w:rPr>
      </w:pPr>
      <w:r>
        <w:rPr>
          <w:rFonts w:hint="eastAsia" w:ascii="宋体" w:hAnsi="宋体" w:cs="宋体"/>
          <w:bCs/>
          <w:color w:val="auto"/>
          <w:sz w:val="32"/>
          <w:szCs w:val="32"/>
          <w:highlight w:val="none"/>
        </w:rPr>
        <w:t>供应商名称：</w:t>
      </w:r>
    </w:p>
    <w:p w14:paraId="6C52DFCE">
      <w:pPr>
        <w:pStyle w:val="7"/>
        <w:snapToGrid w:val="0"/>
        <w:spacing w:before="50" w:after="50"/>
        <w:ind w:firstLine="720" w:firstLineChars="225"/>
        <w:rPr>
          <w:rFonts w:ascii="宋体" w:cs="宋体"/>
          <w:bCs/>
          <w:color w:val="auto"/>
          <w:sz w:val="32"/>
          <w:szCs w:val="32"/>
          <w:highlight w:val="none"/>
        </w:rPr>
      </w:pPr>
    </w:p>
    <w:p w14:paraId="33F3D9DA">
      <w:pPr>
        <w:pStyle w:val="7"/>
        <w:snapToGrid w:val="0"/>
        <w:spacing w:before="50" w:after="50"/>
        <w:ind w:firstLine="720" w:firstLineChars="225"/>
        <w:rPr>
          <w:rFonts w:ascii="宋体" w:cs="宋体"/>
          <w:bCs/>
          <w:color w:val="auto"/>
          <w:sz w:val="32"/>
          <w:szCs w:val="32"/>
          <w:highlight w:val="none"/>
        </w:rPr>
      </w:pPr>
    </w:p>
    <w:p w14:paraId="72756C04">
      <w:pPr>
        <w:pStyle w:val="7"/>
        <w:snapToGrid w:val="0"/>
        <w:spacing w:before="50" w:after="50"/>
        <w:ind w:firstLine="1280" w:firstLineChars="400"/>
        <w:rPr>
          <w:rFonts w:ascii="宋体" w:cs="宋体"/>
          <w:bCs/>
          <w:color w:val="auto"/>
          <w:sz w:val="32"/>
          <w:szCs w:val="32"/>
          <w:highlight w:val="none"/>
        </w:rPr>
      </w:pPr>
    </w:p>
    <w:p w14:paraId="47800CC9">
      <w:pPr>
        <w:snapToGrid w:val="0"/>
        <w:spacing w:beforeLines="50" w:after="50"/>
        <w:jc w:val="center"/>
        <w:rPr>
          <w:rFonts w:ascii="宋体" w:cs="宋体"/>
          <w:color w:val="auto"/>
          <w:sz w:val="32"/>
          <w:szCs w:val="32"/>
          <w:highlight w:val="none"/>
        </w:rPr>
      </w:pPr>
      <w:r>
        <w:rPr>
          <w:rFonts w:hint="eastAsia" w:ascii="宋体" w:hAnsi="宋体" w:cs="宋体"/>
          <w:color w:val="auto"/>
          <w:sz w:val="32"/>
          <w:szCs w:val="32"/>
          <w:highlight w:val="none"/>
        </w:rPr>
        <w:t>年</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日</w:t>
      </w:r>
    </w:p>
    <w:p w14:paraId="20FCBBF6">
      <w:pPr>
        <w:snapToGrid w:val="0"/>
        <w:spacing w:beforeLines="50" w:after="50" w:line="360" w:lineRule="auto"/>
        <w:ind w:left="142"/>
        <w:jc w:val="left"/>
        <w:rPr>
          <w:rFonts w:ascii="宋体" w:cs="宋体"/>
          <w:b/>
          <w:bCs/>
          <w:color w:val="auto"/>
          <w:sz w:val="24"/>
          <w:highlight w:val="none"/>
        </w:rPr>
      </w:pPr>
      <w:r>
        <w:rPr>
          <w:rFonts w:ascii="宋体" w:cs="宋体"/>
          <w:color w:val="auto"/>
          <w:sz w:val="24"/>
          <w:highlight w:val="none"/>
        </w:rPr>
        <w:br w:type="page"/>
      </w:r>
      <w:r>
        <w:rPr>
          <w:rFonts w:ascii="宋体" w:hAnsi="宋体" w:cs="宋体"/>
          <w:b/>
          <w:bCs/>
          <w:color w:val="auto"/>
          <w:sz w:val="32"/>
          <w:szCs w:val="32"/>
          <w:highlight w:val="none"/>
        </w:rPr>
        <w:t>2.</w:t>
      </w:r>
      <w:r>
        <w:rPr>
          <w:rFonts w:hint="eastAsia" w:ascii="宋体" w:hAnsi="宋体" w:cs="宋体"/>
          <w:b/>
          <w:bCs/>
          <w:color w:val="auto"/>
          <w:sz w:val="32"/>
          <w:szCs w:val="32"/>
          <w:highlight w:val="none"/>
        </w:rPr>
        <w:t>报价商务技术文件目录</w:t>
      </w:r>
    </w:p>
    <w:p w14:paraId="3B0A08B5">
      <w:pPr>
        <w:snapToGrid w:val="0"/>
        <w:spacing w:beforeLines="50" w:after="50" w:line="360" w:lineRule="auto"/>
        <w:ind w:firstLine="640" w:firstLineChars="200"/>
        <w:rPr>
          <w:rFonts w:asci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5742A387">
      <w:pPr>
        <w:spacing w:line="400" w:lineRule="exact"/>
        <w:rPr>
          <w:rFonts w:ascii="宋体" w:cs="宋体"/>
          <w:color w:val="auto"/>
          <w:sz w:val="32"/>
          <w:szCs w:val="32"/>
          <w:highlight w:val="none"/>
        </w:rPr>
      </w:pPr>
    </w:p>
    <w:p w14:paraId="53465271">
      <w:pPr>
        <w:spacing w:line="520" w:lineRule="exact"/>
        <w:jc w:val="center"/>
        <w:rPr>
          <w:rFonts w:ascii="宋体" w:cs="宋体"/>
          <w:color w:val="auto"/>
          <w:sz w:val="32"/>
          <w:szCs w:val="32"/>
          <w:highlight w:val="none"/>
        </w:rPr>
      </w:pPr>
      <w:r>
        <w:rPr>
          <w:rFonts w:asci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63D78FBC">
      <w:pPr>
        <w:spacing w:line="360" w:lineRule="auto"/>
        <w:ind w:firstLine="640" w:firstLineChars="200"/>
        <w:contextualSpacing/>
        <w:rPr>
          <w:rFonts w:ascii="宋体" w:cs="宋体"/>
          <w:color w:val="auto"/>
          <w:sz w:val="32"/>
          <w:szCs w:val="32"/>
          <w:highlight w:val="none"/>
        </w:rPr>
      </w:pPr>
    </w:p>
    <w:p w14:paraId="1B09F977">
      <w:pPr>
        <w:spacing w:line="360" w:lineRule="auto"/>
        <w:ind w:firstLine="482" w:firstLineChars="200"/>
        <w:contextualSpacing/>
        <w:rPr>
          <w:rFonts w:asci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CAE4B2E">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不同供应商的响应文件由同一单位或者个人编制；</w:t>
      </w:r>
      <w:r>
        <w:rPr>
          <w:rFonts w:ascii="宋体" w:hAnsi="宋体" w:cs="宋体"/>
          <w:color w:val="auto"/>
          <w:sz w:val="24"/>
          <w:highlight w:val="none"/>
        </w:rPr>
        <w:t xml:space="preserve"> </w:t>
      </w:r>
    </w:p>
    <w:p w14:paraId="5258F8D3">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不同供应商委托同一单位或者个人办理竞标事宜；</w:t>
      </w:r>
    </w:p>
    <w:p w14:paraId="7E562229">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不同供应商的响应文件载明的项目管理员为同一个人；</w:t>
      </w:r>
    </w:p>
    <w:p w14:paraId="224BABD0">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不</w:t>
      </w:r>
      <w:r>
        <w:rPr>
          <w:rFonts w:hint="eastAsia" w:ascii="宋体" w:hAnsi="宋体" w:cs="宋体"/>
          <w:color w:val="auto"/>
          <w:spacing w:val="-6"/>
          <w:sz w:val="24"/>
          <w:highlight w:val="none"/>
        </w:rPr>
        <w:t>同供应商的响应文件异常一致或者竞标报价呈规律性差异；</w:t>
      </w:r>
    </w:p>
    <w:p w14:paraId="5C29A67F">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不同供应商的响应文件相互混装；</w:t>
      </w:r>
    </w:p>
    <w:p w14:paraId="588C0D39">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不同供应商的磋商保证金从同一单位或者个人账户转出。</w:t>
      </w:r>
    </w:p>
    <w:p w14:paraId="176759AB">
      <w:pPr>
        <w:spacing w:line="360" w:lineRule="auto"/>
        <w:ind w:firstLine="482" w:firstLineChars="200"/>
        <w:contextualSpacing/>
        <w:rPr>
          <w:rFonts w:ascii="宋体" w:cs="宋体"/>
          <w:b/>
          <w:bCs/>
          <w:color w:val="auto"/>
          <w:sz w:val="24"/>
          <w:highlight w:val="none"/>
        </w:rPr>
      </w:pPr>
      <w:r>
        <w:rPr>
          <w:rFonts w:hint="eastAsia" w:ascii="宋体" w:hAnsi="宋体" w:cs="宋体"/>
          <w:b/>
          <w:bCs/>
          <w:color w:val="auto"/>
          <w:sz w:val="24"/>
          <w:highlight w:val="none"/>
        </w:rPr>
        <w:t>二、我方承诺无下列恶意串通的情形：</w:t>
      </w:r>
    </w:p>
    <w:p w14:paraId="4898ACD6">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供应商直接或者间接从采购人或者采购代理机构处获得其他供应商的相关信息并修改其响应文件；</w:t>
      </w:r>
    </w:p>
    <w:p w14:paraId="54792A63">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供应商按照采购人或者采购代理机构的授意撤换、修改响应文件；</w:t>
      </w:r>
    </w:p>
    <w:p w14:paraId="1A94DF73">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w:t>
      </w:r>
      <w:r>
        <w:rPr>
          <w:rFonts w:hint="eastAsia" w:ascii="宋体" w:hAnsi="宋体" w:cs="宋体"/>
          <w:color w:val="auto"/>
          <w:spacing w:val="-6"/>
          <w:sz w:val="24"/>
          <w:highlight w:val="none"/>
        </w:rPr>
        <w:t>应商之间协商报价、技术方案等响应文件的实质性内容；</w:t>
      </w:r>
    </w:p>
    <w:p w14:paraId="3E498F86">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属于同一集团、协会、商会等组织成员的供应商按照该组织要求协同参加政府采购活动；</w:t>
      </w:r>
    </w:p>
    <w:p w14:paraId="0091FE0A">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供应商之间事先约定一致抬高或者压低竞标报价，或者在竞争性磋商项目中事先约定轮流以高价位或者低价位成交，或者事先约定由某一特定供应商成交，然后再参加竞标；</w:t>
      </w:r>
    </w:p>
    <w:p w14:paraId="3C4C0E82">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供应商之间商定部分供应商放弃参加政府采购活动或者放弃成交；</w:t>
      </w:r>
    </w:p>
    <w:p w14:paraId="7E8C4C87">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F8D757D">
      <w:pPr>
        <w:spacing w:line="360" w:lineRule="auto"/>
        <w:ind w:firstLine="480" w:firstLineChars="200"/>
        <w:contextualSpacing/>
        <w:rPr>
          <w:rFonts w:ascii="宋体" w:cs="宋体"/>
          <w:color w:val="auto"/>
          <w:sz w:val="24"/>
          <w:highlight w:val="none"/>
        </w:rPr>
      </w:pPr>
    </w:p>
    <w:p w14:paraId="3D471DE1">
      <w:pPr>
        <w:spacing w:line="360" w:lineRule="auto"/>
        <w:ind w:firstLine="482" w:firstLineChars="200"/>
        <w:contextualSpacing/>
        <w:rPr>
          <w:rFonts w:asci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6AD6232C">
      <w:pPr>
        <w:spacing w:line="360" w:lineRule="auto"/>
        <w:contextualSpacing/>
        <w:rPr>
          <w:rFonts w:ascii="宋体" w:cs="宋体"/>
          <w:color w:val="auto"/>
          <w:sz w:val="24"/>
          <w:highlight w:val="none"/>
        </w:rPr>
      </w:pPr>
    </w:p>
    <w:p w14:paraId="351F2507">
      <w:pPr>
        <w:spacing w:line="360" w:lineRule="auto"/>
        <w:ind w:firstLine="3600" w:firstLineChars="1500"/>
        <w:contextualSpacing/>
        <w:rPr>
          <w:rFonts w:ascii="宋体" w:cs="宋体"/>
          <w:color w:val="auto"/>
          <w:sz w:val="24"/>
          <w:highlight w:val="none"/>
        </w:rPr>
      </w:pPr>
      <w:r>
        <w:rPr>
          <w:rFonts w:hint="eastAsia" w:ascii="宋体" w:hAnsi="宋体" w:cs="宋体"/>
          <w:color w:val="auto"/>
          <w:sz w:val="24"/>
          <w:highlight w:val="none"/>
        </w:rPr>
        <w:t>供应商（盖公章）：</w:t>
      </w:r>
    </w:p>
    <w:p w14:paraId="0621F01B">
      <w:pPr>
        <w:spacing w:line="360" w:lineRule="auto"/>
        <w:ind w:firstLine="480" w:firstLineChars="200"/>
        <w:contextualSpacing/>
        <w:jc w:val="center"/>
        <w:rPr>
          <w:rFonts w:ascii="宋体" w:cs="宋体"/>
          <w:color w:val="auto"/>
          <w:sz w:val="32"/>
          <w:szCs w:val="32"/>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506CF28B">
      <w:pPr>
        <w:pStyle w:val="24"/>
        <w:tabs>
          <w:tab w:val="right" w:leader="dot" w:pos="8398"/>
        </w:tabs>
        <w:rPr>
          <w:color w:val="auto"/>
          <w:highlight w:val="none"/>
        </w:rPr>
      </w:pPr>
      <w:r>
        <w:rPr>
          <w:rFonts w:ascii="宋体" w:cs="宋体"/>
          <w:bCs/>
          <w:color w:val="auto"/>
          <w:sz w:val="44"/>
          <w:szCs w:val="44"/>
          <w:highlight w:val="none"/>
        </w:rPr>
        <w:br w:type="page"/>
      </w:r>
    </w:p>
    <w:p w14:paraId="1922D58F">
      <w:pPr>
        <w:spacing w:line="520" w:lineRule="exact"/>
        <w:jc w:val="center"/>
        <w:rPr>
          <w:rFonts w:ascii="宋体" w:cs="宋体"/>
          <w:bCs/>
          <w:color w:val="auto"/>
          <w:sz w:val="32"/>
          <w:szCs w:val="32"/>
          <w:highlight w:val="none"/>
        </w:rPr>
      </w:pPr>
      <w:r>
        <w:rPr>
          <w:rFonts w:hint="eastAsia" w:ascii="宋体" w:hAnsi="宋体" w:cs="宋体"/>
          <w:bCs/>
          <w:color w:val="auto"/>
          <w:sz w:val="44"/>
          <w:szCs w:val="44"/>
          <w:highlight w:val="none"/>
        </w:rPr>
        <w:t>竞</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标</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报</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价</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表</w:t>
      </w:r>
    </w:p>
    <w:p w14:paraId="276805DF">
      <w:pPr>
        <w:spacing w:line="440" w:lineRule="exact"/>
        <w:jc w:val="center"/>
        <w:rPr>
          <w:rFonts w:ascii="宋体" w:cs="宋体"/>
          <w:bCs/>
          <w:color w:val="auto"/>
          <w:sz w:val="32"/>
          <w:szCs w:val="32"/>
          <w:highlight w:val="none"/>
        </w:rPr>
      </w:pPr>
    </w:p>
    <w:p w14:paraId="7FDDDC2D">
      <w:pPr>
        <w:spacing w:line="360" w:lineRule="auto"/>
        <w:contextualSpacing/>
        <w:rPr>
          <w:rFonts w:ascii="宋体" w:cs="宋体"/>
          <w:color w:val="auto"/>
          <w:sz w:val="24"/>
          <w:highlight w:val="non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分标号：</w:t>
      </w:r>
      <w:r>
        <w:rPr>
          <w:rFonts w:ascii="宋体" w:hAnsi="宋体" w:cs="宋体"/>
          <w:color w:val="auto"/>
          <w:sz w:val="24"/>
          <w:highlight w:val="none"/>
          <w:u w:val="single"/>
        </w:rPr>
        <w:t xml:space="preserve">        </w:t>
      </w:r>
    </w:p>
    <w:p w14:paraId="14094285">
      <w:pPr>
        <w:spacing w:line="360" w:lineRule="auto"/>
        <w:contextualSpacing/>
        <w:rPr>
          <w:rFonts w:ascii="宋体" w:cs="宋体"/>
          <w:color w:val="auto"/>
          <w:sz w:val="24"/>
          <w:highlight w:val="none"/>
        </w:rPr>
      </w:pPr>
      <w:r>
        <w:rPr>
          <w:rFonts w:hint="eastAsia" w:ascii="宋体" w:hAnsi="宋体" w:cs="宋体"/>
          <w:color w:val="auto"/>
          <w:sz w:val="24"/>
          <w:highlight w:val="none"/>
        </w:rPr>
        <w:t>供应商名称：</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1847FABF">
      <w:pPr>
        <w:spacing w:line="360" w:lineRule="auto"/>
        <w:contextualSpacing/>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单位：元</w:t>
      </w:r>
    </w:p>
    <w:tbl>
      <w:tblPr>
        <w:tblStyle w:val="33"/>
        <w:tblW w:w="9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33"/>
        <w:gridCol w:w="1009"/>
        <w:gridCol w:w="767"/>
        <w:gridCol w:w="2044"/>
        <w:gridCol w:w="1303"/>
        <w:gridCol w:w="1327"/>
      </w:tblGrid>
      <w:tr w14:paraId="712E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0" w:type="dxa"/>
            <w:vAlign w:val="center"/>
          </w:tcPr>
          <w:p w14:paraId="0D7562B1">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序号</w:t>
            </w:r>
          </w:p>
        </w:tc>
        <w:tc>
          <w:tcPr>
            <w:tcW w:w="2633" w:type="dxa"/>
            <w:vAlign w:val="center"/>
          </w:tcPr>
          <w:p w14:paraId="14D5EFB1">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标的名称</w:t>
            </w:r>
          </w:p>
        </w:tc>
        <w:tc>
          <w:tcPr>
            <w:tcW w:w="1009" w:type="dxa"/>
            <w:vAlign w:val="center"/>
          </w:tcPr>
          <w:p w14:paraId="60B7401D">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数量</w:t>
            </w:r>
          </w:p>
        </w:tc>
        <w:tc>
          <w:tcPr>
            <w:tcW w:w="767" w:type="dxa"/>
            <w:vAlign w:val="center"/>
          </w:tcPr>
          <w:p w14:paraId="4B30F53D">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单位</w:t>
            </w:r>
          </w:p>
        </w:tc>
        <w:tc>
          <w:tcPr>
            <w:tcW w:w="2044" w:type="dxa"/>
            <w:vAlign w:val="center"/>
          </w:tcPr>
          <w:p w14:paraId="4746924F">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单价</w:t>
            </w:r>
          </w:p>
        </w:tc>
        <w:tc>
          <w:tcPr>
            <w:tcW w:w="1303" w:type="dxa"/>
            <w:vAlign w:val="center"/>
          </w:tcPr>
          <w:p w14:paraId="0F7CB8A7">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总价</w:t>
            </w:r>
          </w:p>
        </w:tc>
        <w:tc>
          <w:tcPr>
            <w:tcW w:w="1327" w:type="dxa"/>
            <w:vAlign w:val="center"/>
          </w:tcPr>
          <w:p w14:paraId="55E7CFC0">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备注</w:t>
            </w:r>
          </w:p>
        </w:tc>
      </w:tr>
      <w:tr w14:paraId="61AD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50" w:type="dxa"/>
            <w:vAlign w:val="center"/>
          </w:tcPr>
          <w:p w14:paraId="5DDC3AFF">
            <w:pPr>
              <w:spacing w:line="360" w:lineRule="auto"/>
              <w:contextualSpacing/>
              <w:jc w:val="center"/>
              <w:rPr>
                <w:rFonts w:ascii="宋体" w:cs="宋体"/>
                <w:color w:val="auto"/>
                <w:sz w:val="24"/>
                <w:highlight w:val="none"/>
              </w:rPr>
            </w:pPr>
            <w:r>
              <w:rPr>
                <w:rFonts w:ascii="宋体" w:hAnsi="宋体" w:cs="宋体"/>
                <w:color w:val="auto"/>
                <w:sz w:val="24"/>
                <w:highlight w:val="none"/>
              </w:rPr>
              <w:t>1</w:t>
            </w:r>
          </w:p>
        </w:tc>
        <w:tc>
          <w:tcPr>
            <w:tcW w:w="2633" w:type="dxa"/>
            <w:vAlign w:val="center"/>
          </w:tcPr>
          <w:p w14:paraId="78779B02">
            <w:pPr>
              <w:spacing w:line="360" w:lineRule="auto"/>
              <w:contextualSpacing/>
              <w:jc w:val="center"/>
              <w:rPr>
                <w:rFonts w:ascii="宋体" w:cs="宋体"/>
                <w:color w:val="auto"/>
                <w:sz w:val="24"/>
                <w:highlight w:val="none"/>
              </w:rPr>
            </w:pPr>
          </w:p>
        </w:tc>
        <w:tc>
          <w:tcPr>
            <w:tcW w:w="1009" w:type="dxa"/>
            <w:vAlign w:val="center"/>
          </w:tcPr>
          <w:p w14:paraId="7BB95A49">
            <w:pPr>
              <w:spacing w:line="360" w:lineRule="auto"/>
              <w:contextualSpacing/>
              <w:jc w:val="center"/>
              <w:rPr>
                <w:rFonts w:ascii="宋体" w:cs="宋体"/>
                <w:color w:val="auto"/>
                <w:sz w:val="24"/>
                <w:highlight w:val="none"/>
              </w:rPr>
            </w:pPr>
          </w:p>
        </w:tc>
        <w:tc>
          <w:tcPr>
            <w:tcW w:w="767" w:type="dxa"/>
          </w:tcPr>
          <w:p w14:paraId="2DA12D6E">
            <w:pPr>
              <w:spacing w:line="360" w:lineRule="auto"/>
              <w:contextualSpacing/>
              <w:rPr>
                <w:rFonts w:ascii="宋体" w:cs="宋体"/>
                <w:color w:val="auto"/>
                <w:sz w:val="24"/>
                <w:highlight w:val="none"/>
              </w:rPr>
            </w:pPr>
          </w:p>
        </w:tc>
        <w:tc>
          <w:tcPr>
            <w:tcW w:w="2044" w:type="dxa"/>
          </w:tcPr>
          <w:p w14:paraId="57652FCA">
            <w:pPr>
              <w:spacing w:line="360" w:lineRule="auto"/>
              <w:contextualSpacing/>
              <w:rPr>
                <w:rFonts w:ascii="宋体" w:cs="宋体"/>
                <w:color w:val="auto"/>
                <w:sz w:val="24"/>
                <w:highlight w:val="none"/>
              </w:rPr>
            </w:pPr>
          </w:p>
        </w:tc>
        <w:tc>
          <w:tcPr>
            <w:tcW w:w="1303" w:type="dxa"/>
          </w:tcPr>
          <w:p w14:paraId="6E8271E6">
            <w:pPr>
              <w:spacing w:line="360" w:lineRule="auto"/>
              <w:contextualSpacing/>
              <w:rPr>
                <w:rFonts w:ascii="宋体" w:cs="宋体"/>
                <w:color w:val="auto"/>
                <w:sz w:val="24"/>
                <w:highlight w:val="none"/>
              </w:rPr>
            </w:pPr>
          </w:p>
        </w:tc>
        <w:tc>
          <w:tcPr>
            <w:tcW w:w="1327" w:type="dxa"/>
            <w:vAlign w:val="center"/>
          </w:tcPr>
          <w:p w14:paraId="6E2A1664">
            <w:pPr>
              <w:spacing w:line="360" w:lineRule="auto"/>
              <w:contextualSpacing/>
              <w:rPr>
                <w:rFonts w:ascii="宋体" w:cs="宋体"/>
                <w:color w:val="auto"/>
                <w:sz w:val="24"/>
                <w:highlight w:val="none"/>
              </w:rPr>
            </w:pPr>
          </w:p>
        </w:tc>
      </w:tr>
      <w:tr w14:paraId="302D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933" w:type="dxa"/>
            <w:gridSpan w:val="7"/>
            <w:vAlign w:val="center"/>
          </w:tcPr>
          <w:p w14:paraId="0AACD359">
            <w:pPr>
              <w:spacing w:line="360" w:lineRule="auto"/>
              <w:contextualSpacing/>
              <w:rPr>
                <w:rFonts w:ascii="宋体" w:cs="宋体"/>
                <w:color w:val="auto"/>
                <w:sz w:val="24"/>
                <w:highlight w:val="none"/>
              </w:rPr>
            </w:pPr>
            <w:r>
              <w:rPr>
                <w:rFonts w:hint="eastAsia" w:ascii="宋体" w:hAnsi="宋体" w:cs="宋体"/>
                <w:color w:val="auto"/>
                <w:sz w:val="24"/>
                <w:highlight w:val="none"/>
              </w:rPr>
              <w:t>合计金额大写：人民币</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tc>
      </w:tr>
      <w:tr w14:paraId="6EEC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933" w:type="dxa"/>
            <w:gridSpan w:val="7"/>
            <w:vAlign w:val="center"/>
          </w:tcPr>
          <w:p w14:paraId="5A648344">
            <w:pPr>
              <w:spacing w:line="360" w:lineRule="auto"/>
              <w:contextualSpacing/>
              <w:rPr>
                <w:rFonts w:ascii="宋体" w:cs="宋体"/>
                <w:color w:val="auto"/>
                <w:sz w:val="24"/>
                <w:highlight w:val="none"/>
              </w:rPr>
            </w:pPr>
            <w:r>
              <w:rPr>
                <w:rFonts w:hint="eastAsia" w:ascii="宋体" w:hAnsi="宋体" w:cs="宋体"/>
                <w:color w:val="auto"/>
                <w:sz w:val="24"/>
                <w:highlight w:val="none"/>
              </w:rPr>
              <w:t>合同履约期限：</w:t>
            </w:r>
          </w:p>
        </w:tc>
      </w:tr>
    </w:tbl>
    <w:p w14:paraId="1F036E70">
      <w:pPr>
        <w:spacing w:line="360" w:lineRule="auto"/>
        <w:contextualSpacing/>
        <w:jc w:val="left"/>
        <w:rPr>
          <w:rFonts w:ascii="宋体" w:cs="宋体"/>
          <w:color w:val="auto"/>
          <w:sz w:val="24"/>
          <w:highlight w:val="none"/>
        </w:rPr>
      </w:pPr>
    </w:p>
    <w:p w14:paraId="424D3A7D">
      <w:pPr>
        <w:spacing w:line="360" w:lineRule="auto"/>
        <w:contextualSpacing/>
        <w:jc w:val="left"/>
        <w:rPr>
          <w:rFonts w:asci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 xml:space="preserve">: </w:t>
      </w:r>
    </w:p>
    <w:p w14:paraId="66D6D5E0">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7F47093E">
      <w:pPr>
        <w:spacing w:line="360" w:lineRule="auto"/>
        <w:ind w:firstLine="480" w:firstLineChars="200"/>
        <w:contextualSpacing/>
        <w:jc w:val="left"/>
        <w:rPr>
          <w:rFonts w:ascii="宋体" w:cs="宋体"/>
          <w:b/>
          <w:color w:val="auto"/>
          <w:sz w:val="24"/>
          <w:highlight w:val="none"/>
        </w:rPr>
      </w:pPr>
      <w:r>
        <w:rPr>
          <w:rFonts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20E0CC18">
      <w:pPr>
        <w:spacing w:line="360" w:lineRule="auto"/>
        <w:ind w:right="-817" w:rightChars="-389"/>
        <w:contextualSpacing/>
        <w:rPr>
          <w:rFonts w:ascii="宋体" w:cs="宋体"/>
          <w:color w:val="auto"/>
          <w:sz w:val="24"/>
          <w:highlight w:val="none"/>
        </w:rPr>
      </w:pPr>
    </w:p>
    <w:p w14:paraId="305DBBBB">
      <w:pPr>
        <w:spacing w:line="360" w:lineRule="auto"/>
        <w:ind w:right="-817" w:rightChars="-389" w:firstLine="2640" w:firstLineChars="1100"/>
        <w:contextualSpacing/>
        <w:rPr>
          <w:rFonts w:ascii="宋体" w:cs="宋体"/>
          <w:color w:val="auto"/>
          <w:sz w:val="24"/>
          <w:highlight w:val="none"/>
        </w:rPr>
      </w:pPr>
      <w:r>
        <w:rPr>
          <w:rFonts w:hint="eastAsia" w:ascii="宋体" w:hAnsi="宋体" w:cs="宋体"/>
          <w:color w:val="auto"/>
          <w:sz w:val="24"/>
          <w:highlight w:val="none"/>
        </w:rPr>
        <w:t>法定代表人或者委托代理人（签字）：</w:t>
      </w:r>
      <w:r>
        <w:rPr>
          <w:rFonts w:ascii="宋体" w:hAnsi="宋体" w:cs="宋体"/>
          <w:color w:val="auto"/>
          <w:sz w:val="24"/>
          <w:highlight w:val="none"/>
        </w:rPr>
        <w:t xml:space="preserve">                    </w:t>
      </w:r>
    </w:p>
    <w:p w14:paraId="44E09CA5">
      <w:pPr>
        <w:spacing w:line="360" w:lineRule="auto"/>
        <w:ind w:right="-817" w:rightChars="-389" w:firstLine="2640" w:firstLineChars="1100"/>
        <w:contextualSpacing/>
        <w:rPr>
          <w:rFonts w:ascii="宋体" w:cs="宋体"/>
          <w:color w:val="auto"/>
          <w:sz w:val="24"/>
          <w:highlight w:val="none"/>
        </w:rPr>
      </w:pPr>
      <w:r>
        <w:rPr>
          <w:rFonts w:hint="eastAsia" w:ascii="宋体" w:hAnsi="宋体" w:cs="宋体"/>
          <w:color w:val="auto"/>
          <w:sz w:val="24"/>
          <w:highlight w:val="none"/>
        </w:rPr>
        <w:t>供应商（盖公章）：</w:t>
      </w:r>
      <w:r>
        <w:rPr>
          <w:rFonts w:ascii="宋体" w:hAnsi="宋体" w:cs="宋体"/>
          <w:color w:val="auto"/>
          <w:sz w:val="24"/>
          <w:highlight w:val="none"/>
        </w:rPr>
        <w:t xml:space="preserve">      </w:t>
      </w:r>
    </w:p>
    <w:p w14:paraId="5E531E3C">
      <w:pPr>
        <w:spacing w:line="360" w:lineRule="auto"/>
        <w:ind w:right="-817" w:rightChars="-389" w:firstLine="4080" w:firstLineChars="1700"/>
        <w:contextualSpacing/>
        <w:rPr>
          <w:rFonts w:ascii="宋体" w:cs="宋体"/>
          <w:b/>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8CF401D">
      <w:pPr>
        <w:spacing w:beforeLines="100" w:afterLines="50" w:line="520" w:lineRule="exact"/>
        <w:jc w:val="center"/>
        <w:rPr>
          <w:rFonts w:ascii="宋体" w:cs="宋体"/>
          <w:color w:val="auto"/>
          <w:sz w:val="32"/>
          <w:szCs w:val="32"/>
          <w:highlight w:val="none"/>
        </w:rPr>
      </w:pPr>
      <w:r>
        <w:rPr>
          <w:rFonts w:ascii="宋体" w:cs="宋体"/>
          <w:b/>
          <w:color w:val="auto"/>
          <w:sz w:val="32"/>
          <w:szCs w:val="32"/>
          <w:highlight w:val="none"/>
        </w:rPr>
        <w:br w:type="page"/>
      </w:r>
      <w:r>
        <w:rPr>
          <w:rFonts w:hint="eastAsia" w:ascii="宋体" w:hAnsi="宋体" w:cs="宋体"/>
          <w:bCs/>
          <w:color w:val="auto"/>
          <w:sz w:val="44"/>
          <w:szCs w:val="44"/>
          <w:highlight w:val="none"/>
        </w:rPr>
        <w:t>法定代表人身份证明</w:t>
      </w:r>
    </w:p>
    <w:p w14:paraId="65C2F41F">
      <w:pPr>
        <w:spacing w:line="360" w:lineRule="auto"/>
        <w:ind w:left="540"/>
        <w:contextualSpacing/>
        <w:rPr>
          <w:rFonts w:ascii="宋体" w:cs="宋体"/>
          <w:color w:val="auto"/>
          <w:sz w:val="32"/>
          <w:szCs w:val="32"/>
          <w:highlight w:val="none"/>
        </w:rPr>
      </w:pPr>
    </w:p>
    <w:p w14:paraId="241CA349">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供应商名称：</w:t>
      </w:r>
      <w:r>
        <w:rPr>
          <w:rFonts w:ascii="宋体" w:hAnsi="宋体" w:cs="宋体"/>
          <w:color w:val="auto"/>
          <w:sz w:val="24"/>
          <w:highlight w:val="none"/>
          <w:u w:val="single"/>
        </w:rPr>
        <w:t xml:space="preserve">                                                        </w:t>
      </w:r>
    </w:p>
    <w:p w14:paraId="4365D61A">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single"/>
        </w:rPr>
        <w:t xml:space="preserve">                                                        </w:t>
      </w:r>
    </w:p>
    <w:p w14:paraId="18021272">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姓</w:t>
      </w:r>
      <w:r>
        <w:rPr>
          <w:rFonts w:ascii="宋体" w:hAnsi="宋体" w:cs="宋体"/>
          <w:color w:val="auto"/>
          <w:sz w:val="24"/>
          <w:highlight w:val="none"/>
        </w:rPr>
        <w:t xml:space="preserve">    </w:t>
      </w:r>
      <w:r>
        <w:rPr>
          <w:rFonts w:hint="eastAsia" w:ascii="宋体" w:hAnsi="宋体" w:cs="宋体"/>
          <w:color w:val="auto"/>
          <w:sz w:val="24"/>
          <w:highlight w:val="none"/>
        </w:rPr>
        <w:t>名：</w:t>
      </w:r>
      <w:r>
        <w:rPr>
          <w:rFonts w:ascii="宋体" w:hAnsi="宋体" w:cs="宋体"/>
          <w:color w:val="auto"/>
          <w:sz w:val="24"/>
          <w:highlight w:val="none"/>
          <w:u w:val="single"/>
        </w:rPr>
        <w:t xml:space="preserve">                </w:t>
      </w:r>
      <w:r>
        <w:rPr>
          <w:rFonts w:hint="eastAsia" w:ascii="宋体" w:hAnsi="宋体" w:cs="宋体"/>
          <w:color w:val="auto"/>
          <w:sz w:val="24"/>
          <w:highlight w:val="none"/>
        </w:rPr>
        <w:t>性</w:t>
      </w:r>
      <w:r>
        <w:rPr>
          <w:rFonts w:ascii="宋体" w:hAnsi="宋体" w:cs="宋体"/>
          <w:color w:val="auto"/>
          <w:sz w:val="24"/>
          <w:highlight w:val="none"/>
        </w:rPr>
        <w:t xml:space="preserve">     </w:t>
      </w:r>
      <w:r>
        <w:rPr>
          <w:rFonts w:hint="eastAsia" w:ascii="宋体" w:hAnsi="宋体" w:cs="宋体"/>
          <w:color w:val="auto"/>
          <w:sz w:val="24"/>
          <w:highlight w:val="none"/>
        </w:rPr>
        <w:t>别：</w:t>
      </w:r>
      <w:r>
        <w:rPr>
          <w:rFonts w:ascii="宋体" w:hAnsi="宋体" w:cs="宋体"/>
          <w:color w:val="auto"/>
          <w:sz w:val="24"/>
          <w:highlight w:val="none"/>
          <w:u w:val="single"/>
        </w:rPr>
        <w:t xml:space="preserve">                </w:t>
      </w:r>
    </w:p>
    <w:p w14:paraId="72B503DB">
      <w:pPr>
        <w:spacing w:line="360" w:lineRule="auto"/>
        <w:ind w:left="540"/>
        <w:contextualSpacing/>
        <w:rPr>
          <w:rFonts w:ascii="宋体" w:cs="宋体"/>
          <w:color w:val="auto"/>
          <w:sz w:val="24"/>
          <w:highlight w:val="none"/>
          <w:u w:val="single"/>
        </w:rPr>
      </w:pP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龄：</w:t>
      </w:r>
      <w:r>
        <w:rPr>
          <w:rFonts w:ascii="宋体" w:hAnsi="宋体" w:cs="宋体"/>
          <w:color w:val="auto"/>
          <w:sz w:val="24"/>
          <w:highlight w:val="none"/>
          <w:u w:val="single"/>
        </w:rPr>
        <w:t xml:space="preserve">                </w:t>
      </w:r>
      <w:r>
        <w:rPr>
          <w:rFonts w:hint="eastAsia" w:ascii="宋体" w:hAnsi="宋体" w:cs="宋体"/>
          <w:color w:val="auto"/>
          <w:sz w:val="24"/>
          <w:highlight w:val="none"/>
        </w:rPr>
        <w:t>职</w:t>
      </w:r>
      <w:r>
        <w:rPr>
          <w:rFonts w:ascii="宋体" w:hAnsi="宋体" w:cs="宋体"/>
          <w:color w:val="auto"/>
          <w:sz w:val="24"/>
          <w:highlight w:val="none"/>
        </w:rPr>
        <w:t xml:space="preserve">     </w:t>
      </w:r>
      <w:r>
        <w:rPr>
          <w:rFonts w:hint="eastAsia" w:ascii="宋体" w:hAnsi="宋体" w:cs="宋体"/>
          <w:color w:val="auto"/>
          <w:sz w:val="24"/>
          <w:highlight w:val="none"/>
        </w:rPr>
        <w:t>务：</w:t>
      </w:r>
      <w:r>
        <w:rPr>
          <w:rFonts w:ascii="宋体" w:hAnsi="宋体" w:cs="宋体"/>
          <w:color w:val="auto"/>
          <w:sz w:val="24"/>
          <w:highlight w:val="none"/>
          <w:u w:val="single"/>
        </w:rPr>
        <w:t xml:space="preserve">                </w:t>
      </w:r>
    </w:p>
    <w:p w14:paraId="09EE8492">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34494FEF">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1515886">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特此证明。</w:t>
      </w:r>
    </w:p>
    <w:p w14:paraId="7EF01DDA">
      <w:pPr>
        <w:spacing w:line="360" w:lineRule="auto"/>
        <w:ind w:left="540"/>
        <w:contextualSpacing/>
        <w:rPr>
          <w:rFonts w:ascii="宋体" w:cs="宋体"/>
          <w:color w:val="auto"/>
          <w:sz w:val="24"/>
          <w:highlight w:val="none"/>
        </w:rPr>
      </w:pPr>
    </w:p>
    <w:p w14:paraId="7594A577">
      <w:pPr>
        <w:spacing w:line="360" w:lineRule="auto"/>
        <w:ind w:left="540"/>
        <w:contextualSpacing/>
        <w:rPr>
          <w:rFonts w:ascii="宋体" w:cs="宋体"/>
          <w:color w:val="auto"/>
          <w:sz w:val="24"/>
          <w:highlight w:val="none"/>
        </w:rPr>
      </w:pPr>
    </w:p>
    <w:p w14:paraId="1C750B42">
      <w:pPr>
        <w:spacing w:line="360" w:lineRule="auto"/>
        <w:ind w:left="540"/>
        <w:contextualSpacing/>
        <w:rPr>
          <w:rFonts w:ascii="宋体" w:cs="宋体"/>
          <w:color w:val="auto"/>
          <w:sz w:val="24"/>
          <w:highlight w:val="none"/>
        </w:rPr>
      </w:pPr>
    </w:p>
    <w:p w14:paraId="3B8CF34B">
      <w:pPr>
        <w:spacing w:line="360" w:lineRule="auto"/>
        <w:ind w:left="540"/>
        <w:contextualSpacing/>
        <w:rPr>
          <w:rFonts w:ascii="宋体" w:cs="宋体"/>
          <w:color w:val="auto"/>
          <w:sz w:val="24"/>
          <w:highlight w:val="none"/>
        </w:rPr>
      </w:pPr>
      <w:r>
        <w:rPr>
          <w:rFonts w:hint="eastAsia" w:ascii="宋体" w:hAnsi="宋体" w:cs="宋体"/>
          <w:color w:val="auto"/>
          <w:sz w:val="24"/>
          <w:highlight w:val="none"/>
        </w:rPr>
        <w:t>附件：法定代表人有效身份证正反面复印件</w:t>
      </w:r>
    </w:p>
    <w:p w14:paraId="44372870">
      <w:pPr>
        <w:spacing w:line="360" w:lineRule="auto"/>
        <w:ind w:left="540"/>
        <w:contextualSpacing/>
        <w:rPr>
          <w:rFonts w:ascii="宋体" w:cs="宋体"/>
          <w:color w:val="auto"/>
          <w:sz w:val="24"/>
          <w:highlight w:val="none"/>
        </w:rPr>
      </w:pPr>
    </w:p>
    <w:p w14:paraId="2257980C">
      <w:pPr>
        <w:spacing w:line="360" w:lineRule="auto"/>
        <w:ind w:left="540"/>
        <w:contextualSpacing/>
        <w:jc w:val="center"/>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供应商（盖公章）：</w:t>
      </w:r>
      <w:r>
        <w:rPr>
          <w:rFonts w:ascii="宋体" w:hAnsi="宋体" w:cs="宋体"/>
          <w:color w:val="auto"/>
          <w:sz w:val="24"/>
          <w:highlight w:val="none"/>
          <w:u w:val="single"/>
        </w:rPr>
        <w:t xml:space="preserve">               </w:t>
      </w:r>
    </w:p>
    <w:p w14:paraId="4D72828F">
      <w:pPr>
        <w:spacing w:line="360" w:lineRule="auto"/>
        <w:contextualSpacing/>
        <w:jc w:val="right"/>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2750AA28">
      <w:pPr>
        <w:spacing w:line="360" w:lineRule="auto"/>
        <w:contextualSpacing/>
        <w:jc w:val="center"/>
        <w:rPr>
          <w:rFonts w:ascii="宋体" w:cs="宋体"/>
          <w:b/>
          <w:color w:val="auto"/>
          <w:sz w:val="24"/>
          <w:highlight w:val="none"/>
        </w:rPr>
      </w:pPr>
    </w:p>
    <w:p w14:paraId="1094D44E">
      <w:pPr>
        <w:spacing w:line="360" w:lineRule="auto"/>
        <w:contextualSpacing/>
        <w:jc w:val="left"/>
        <w:rPr>
          <w:rFonts w:ascii="宋体" w:cs="宋体"/>
          <w:color w:val="auto"/>
          <w:sz w:val="24"/>
          <w:highlight w:val="none"/>
        </w:rPr>
      </w:pPr>
    </w:p>
    <w:p w14:paraId="14E746E8">
      <w:pPr>
        <w:adjustRightInd w:val="0"/>
        <w:snapToGrid w:val="0"/>
        <w:spacing w:line="300" w:lineRule="auto"/>
        <w:jc w:val="left"/>
        <w:rPr>
          <w:rFonts w:ascii="宋体" w:cs="宋体"/>
          <w:b/>
          <w:color w:val="auto"/>
          <w:szCs w:val="21"/>
          <w:highlight w:val="none"/>
        </w:rPr>
      </w:pPr>
    </w:p>
    <w:p w14:paraId="2200498F">
      <w:pPr>
        <w:spacing w:line="500" w:lineRule="exact"/>
        <w:jc w:val="center"/>
        <w:rPr>
          <w:rFonts w:ascii="宋体" w:cs="宋体"/>
          <w:color w:val="auto"/>
          <w:sz w:val="44"/>
          <w:szCs w:val="44"/>
          <w:highlight w:val="none"/>
        </w:rPr>
      </w:pPr>
      <w:r>
        <w:rPr>
          <w:rFonts w:ascii="宋体" w:cs="宋体"/>
          <w:color w:val="auto"/>
          <w:sz w:val="44"/>
          <w:szCs w:val="44"/>
          <w:highlight w:val="none"/>
        </w:rPr>
        <w:br w:type="page"/>
      </w:r>
      <w:r>
        <w:rPr>
          <w:rFonts w:ascii="宋体" w:hAnsi="宋体" w:cs="宋体"/>
          <w:color w:val="auto"/>
          <w:sz w:val="44"/>
          <w:szCs w:val="44"/>
          <w:highlight w:val="none"/>
        </w:rPr>
        <w:t xml:space="preserve"> </w:t>
      </w:r>
    </w:p>
    <w:p w14:paraId="729AFACE">
      <w:pPr>
        <w:spacing w:line="520" w:lineRule="exact"/>
        <w:jc w:val="center"/>
        <w:rPr>
          <w:rFonts w:ascii="宋体" w:cs="宋体"/>
          <w:color w:val="auto"/>
          <w:sz w:val="44"/>
          <w:szCs w:val="44"/>
          <w:highlight w:val="none"/>
        </w:rPr>
      </w:pPr>
      <w:bookmarkStart w:id="52" w:name="_Hlk65853643"/>
      <w:r>
        <w:rPr>
          <w:rFonts w:hint="eastAsia" w:ascii="宋体" w:hAnsi="宋体" w:cs="宋体"/>
          <w:color w:val="auto"/>
          <w:sz w:val="44"/>
          <w:szCs w:val="44"/>
          <w:highlight w:val="none"/>
        </w:rPr>
        <w:t>授权委托书</w:t>
      </w:r>
    </w:p>
    <w:p w14:paraId="3C39AC97">
      <w:pPr>
        <w:spacing w:line="520" w:lineRule="exact"/>
        <w:jc w:val="center"/>
        <w:rPr>
          <w:rFonts w:ascii="宋体" w:cs="宋体"/>
          <w:color w:val="auto"/>
          <w:sz w:val="44"/>
          <w:szCs w:val="44"/>
          <w:highlight w:val="none"/>
        </w:rPr>
      </w:pPr>
      <w:r>
        <w:rPr>
          <w:rFonts w:hint="eastAsia" w:ascii="宋体" w:hAnsi="宋体" w:cs="宋体"/>
          <w:color w:val="auto"/>
          <w:sz w:val="32"/>
          <w:szCs w:val="32"/>
          <w:highlight w:val="none"/>
        </w:rPr>
        <w:t>（如有委托时）</w:t>
      </w:r>
    </w:p>
    <w:p w14:paraId="700641BB">
      <w:pPr>
        <w:spacing w:line="520" w:lineRule="exact"/>
        <w:rPr>
          <w:rFonts w:ascii="宋体" w:cs="宋体"/>
          <w:color w:val="auto"/>
          <w:sz w:val="32"/>
          <w:szCs w:val="32"/>
          <w:highlight w:val="none"/>
        </w:rPr>
      </w:pPr>
    </w:p>
    <w:p w14:paraId="09F461A6">
      <w:pPr>
        <w:spacing w:line="360" w:lineRule="auto"/>
        <w:rPr>
          <w:rFonts w:asci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63FE4E4">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我</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（供应商名称）</w:t>
      </w:r>
      <w:r>
        <w:rPr>
          <w:rFonts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w:t>
      </w:r>
      <w:r>
        <w:rPr>
          <w:rFonts w:ascii="宋体" w:hAnsi="宋体" w:cs="宋体"/>
          <w:color w:val="auto"/>
          <w:sz w:val="24"/>
          <w:highlight w:val="none"/>
          <w:u w:val="single"/>
        </w:rPr>
        <w:t>/</w:t>
      </w:r>
      <w:r>
        <w:rPr>
          <w:rFonts w:hint="eastAsia" w:ascii="宋体" w:hAnsi="宋体" w:cs="宋体"/>
          <w:color w:val="auto"/>
          <w:sz w:val="24"/>
          <w:highlight w:val="none"/>
          <w:u w:val="single"/>
        </w:rPr>
        <w:t>负责人</w:t>
      </w:r>
      <w:r>
        <w:rPr>
          <w:rFonts w:ascii="宋体" w:hAnsi="宋体" w:cs="宋体"/>
          <w:color w:val="auto"/>
          <w:sz w:val="24"/>
          <w:highlight w:val="none"/>
          <w:u w:val="single"/>
        </w:rPr>
        <w:t>/</w:t>
      </w:r>
      <w:r>
        <w:rPr>
          <w:rFonts w:hint="eastAsia" w:ascii="宋体" w:hAnsi="宋体" w:cs="宋体"/>
          <w:color w:val="auto"/>
          <w:sz w:val="24"/>
          <w:highlight w:val="none"/>
          <w:u w:val="single"/>
        </w:rPr>
        <w:t>自然人本人</w:t>
      </w:r>
      <w:r>
        <w:rPr>
          <w:rFonts w:hint="eastAsia" w:ascii="宋体" w:hAnsi="宋体" w:cs="宋体"/>
          <w:color w:val="auto"/>
          <w:sz w:val="24"/>
          <w:highlight w:val="none"/>
        </w:rPr>
        <w:t>），现授权</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w:t>
      </w:r>
      <w:r>
        <w:rPr>
          <w:rFonts w:ascii="宋体" w:hAnsi="宋体" w:cs="宋体"/>
          <w:color w:val="auto"/>
          <w:sz w:val="24"/>
          <w:highlight w:val="none"/>
          <w:u w:val="single"/>
        </w:rPr>
        <w:t xml:space="preserve"> </w:t>
      </w:r>
      <w:r>
        <w:rPr>
          <w:rFonts w:hint="eastAsia" w:ascii="宋体" w:hAnsi="宋体" w:cs="宋体"/>
          <w:color w:val="auto"/>
          <w:sz w:val="24"/>
          <w:highlight w:val="none"/>
        </w:rPr>
        <w:t>以我方的名义参加</w:t>
      </w:r>
      <w:r>
        <w:rPr>
          <w:rFonts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9355A48">
      <w:pPr>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我方对委托代理人的签字事项负全部责任。</w:t>
      </w:r>
    </w:p>
    <w:p w14:paraId="2A6E94D8">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301F5AA">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委托代理人无转委托权，特此委托。</w:t>
      </w:r>
    </w:p>
    <w:p w14:paraId="30905807">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14099CE">
      <w:pPr>
        <w:spacing w:line="360" w:lineRule="auto"/>
        <w:rPr>
          <w:rFonts w:ascii="宋体" w:cs="宋体"/>
          <w:color w:val="auto"/>
          <w:sz w:val="24"/>
          <w:highlight w:val="none"/>
        </w:rPr>
      </w:pPr>
    </w:p>
    <w:p w14:paraId="5D7270B9">
      <w:pPr>
        <w:spacing w:line="360" w:lineRule="auto"/>
        <w:rPr>
          <w:rFonts w:ascii="宋体" w:cs="宋体"/>
          <w:color w:val="auto"/>
          <w:sz w:val="24"/>
          <w:highlight w:val="none"/>
        </w:rPr>
      </w:pPr>
      <w:r>
        <w:rPr>
          <w:rFonts w:hint="eastAsia" w:ascii="宋体" w:hAnsi="宋体" w:cs="宋体"/>
          <w:color w:val="auto"/>
          <w:sz w:val="24"/>
          <w:highlight w:val="none"/>
        </w:rPr>
        <w:t>委托代理人（签字）：</w:t>
      </w:r>
      <w:r>
        <w:rPr>
          <w:rFonts w:ascii="宋体" w:hAnsi="宋体" w:cs="宋体"/>
          <w:color w:val="auto"/>
          <w:sz w:val="24"/>
          <w:highlight w:val="none"/>
        </w:rPr>
        <w:t xml:space="preserve">         </w:t>
      </w:r>
      <w:r>
        <w:rPr>
          <w:rFonts w:hint="eastAsia" w:ascii="宋体" w:hAnsi="宋体" w:cs="宋体"/>
          <w:color w:val="auto"/>
          <w:sz w:val="24"/>
          <w:highlight w:val="none"/>
        </w:rPr>
        <w:t>法定代表人（签字或者盖章）：</w:t>
      </w:r>
      <w:r>
        <w:rPr>
          <w:rFonts w:ascii="宋体" w:hAnsi="宋体" w:cs="宋体"/>
          <w:color w:val="auto"/>
          <w:sz w:val="24"/>
          <w:highlight w:val="none"/>
        </w:rPr>
        <w:t xml:space="preserve">                    </w:t>
      </w:r>
    </w:p>
    <w:p w14:paraId="086031DA">
      <w:pPr>
        <w:spacing w:line="360" w:lineRule="auto"/>
        <w:rPr>
          <w:rFonts w:ascii="宋体" w:cs="宋体"/>
          <w:color w:val="auto"/>
          <w:sz w:val="24"/>
          <w:highlight w:val="none"/>
        </w:rPr>
      </w:pPr>
      <w:r>
        <w:rPr>
          <w:rFonts w:hint="eastAsia" w:ascii="宋体" w:hAnsi="宋体" w:cs="宋体"/>
          <w:color w:val="auto"/>
          <w:sz w:val="24"/>
          <w:highlight w:val="none"/>
        </w:rPr>
        <w:t>委托代理人身份证号码：</w:t>
      </w:r>
      <w:r>
        <w:rPr>
          <w:rFonts w:ascii="宋体" w:hAnsi="宋体" w:cs="宋体"/>
          <w:color w:val="auto"/>
          <w:sz w:val="24"/>
          <w:highlight w:val="none"/>
        </w:rPr>
        <w:t xml:space="preserve">                              </w:t>
      </w:r>
    </w:p>
    <w:p w14:paraId="1F70B152">
      <w:pPr>
        <w:spacing w:line="360" w:lineRule="auto"/>
        <w:rPr>
          <w:rFonts w:ascii="宋体" w:cs="宋体"/>
          <w:color w:val="auto"/>
          <w:sz w:val="24"/>
          <w:highlight w:val="none"/>
        </w:rPr>
      </w:pPr>
      <w:r>
        <w:rPr>
          <w:rFonts w:ascii="宋体" w:hAnsi="宋体" w:cs="宋体"/>
          <w:color w:val="auto"/>
          <w:sz w:val="24"/>
          <w:highlight w:val="none"/>
        </w:rPr>
        <w:t xml:space="preserve">                                </w:t>
      </w:r>
    </w:p>
    <w:p w14:paraId="714ECECE">
      <w:pPr>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供应商（盖公章）：</w:t>
      </w:r>
      <w:r>
        <w:rPr>
          <w:rFonts w:ascii="宋体" w:hAnsi="宋体" w:cs="宋体"/>
          <w:color w:val="auto"/>
          <w:sz w:val="24"/>
          <w:highlight w:val="none"/>
        </w:rPr>
        <w:t xml:space="preserve">                      </w:t>
      </w:r>
    </w:p>
    <w:p w14:paraId="4BD1B0AF">
      <w:pPr>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EA60833">
      <w:pPr>
        <w:spacing w:line="360" w:lineRule="auto"/>
        <w:rPr>
          <w:rFonts w:ascii="宋体" w:cs="宋体"/>
          <w:color w:val="auto"/>
          <w:sz w:val="24"/>
          <w:highlight w:val="none"/>
        </w:rPr>
      </w:pPr>
    </w:p>
    <w:p w14:paraId="2688BC8A">
      <w:pPr>
        <w:spacing w:line="360" w:lineRule="auto"/>
        <w:rPr>
          <w:rFonts w:asci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 xml:space="preserve">1. </w:t>
      </w:r>
      <w:r>
        <w:rPr>
          <w:rFonts w:hint="eastAsia" w:ascii="宋体" w:hAnsi="宋体" w:cs="宋体"/>
          <w:color w:val="auto"/>
          <w:sz w:val="24"/>
          <w:highlight w:val="none"/>
        </w:rPr>
        <w:t>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178B2B6E">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bookmarkStart w:id="53" w:name="_Hlk65853109"/>
      <w:bookmarkStart w:id="54" w:name="_Hlk65853542"/>
      <w:r>
        <w:rPr>
          <w:rFonts w:hint="eastAsia" w:ascii="宋体" w:hAnsi="宋体" w:cs="宋体"/>
          <w:color w:val="auto"/>
          <w:sz w:val="24"/>
          <w:highlight w:val="none"/>
        </w:rPr>
        <w:t>法人、其他组织竞标时“我方”是指“我单位”，自然人竞标时“我方”是指“本人”。</w:t>
      </w:r>
      <w:bookmarkEnd w:id="53"/>
    </w:p>
    <w:bookmarkEnd w:id="54"/>
    <w:p w14:paraId="43BE28E8">
      <w:pPr>
        <w:spacing w:line="360" w:lineRule="auto"/>
        <w:ind w:firstLine="420" w:firstLineChars="200"/>
        <w:jc w:val="left"/>
        <w:rPr>
          <w:rFonts w:ascii="宋体" w:cs="宋体"/>
          <w:color w:val="auto"/>
          <w:szCs w:val="21"/>
          <w:highlight w:val="none"/>
        </w:rPr>
      </w:pPr>
    </w:p>
    <w:bookmarkEnd w:id="52"/>
    <w:p w14:paraId="32DB57F3">
      <w:pPr>
        <w:rPr>
          <w:rFonts w:ascii="宋体" w:cs="宋体"/>
          <w:bCs/>
          <w:color w:val="auto"/>
          <w:sz w:val="44"/>
          <w:szCs w:val="44"/>
          <w:highlight w:val="none"/>
        </w:rPr>
      </w:pPr>
      <w:r>
        <w:rPr>
          <w:rFonts w:ascii="宋体" w:cs="宋体"/>
          <w:bCs/>
          <w:color w:val="auto"/>
          <w:sz w:val="44"/>
          <w:szCs w:val="44"/>
          <w:highlight w:val="none"/>
        </w:rPr>
        <w:br w:type="page"/>
      </w:r>
    </w:p>
    <w:p w14:paraId="669C0790">
      <w:pPr>
        <w:spacing w:line="500" w:lineRule="exact"/>
        <w:jc w:val="center"/>
        <w:rPr>
          <w:rFonts w:ascii="宋体" w:cs="宋体"/>
          <w:bCs/>
          <w:color w:val="auto"/>
          <w:sz w:val="44"/>
          <w:szCs w:val="44"/>
          <w:highlight w:val="none"/>
        </w:rPr>
      </w:pPr>
      <w:r>
        <w:rPr>
          <w:rFonts w:hint="eastAsia" w:ascii="宋体" w:hAnsi="宋体" w:cs="宋体"/>
          <w:bCs/>
          <w:color w:val="auto"/>
          <w:sz w:val="44"/>
          <w:szCs w:val="44"/>
          <w:highlight w:val="none"/>
        </w:rPr>
        <w:t>商务要求偏离表</w:t>
      </w:r>
    </w:p>
    <w:p w14:paraId="094B7EE9">
      <w:pPr>
        <w:spacing w:line="360" w:lineRule="auto"/>
        <w:contextualSpacing/>
        <w:jc w:val="left"/>
        <w:rPr>
          <w:rFonts w:ascii="宋体" w:cs="宋体"/>
          <w:color w:val="auto"/>
          <w:sz w:val="24"/>
          <w:highlight w:val="none"/>
        </w:rPr>
      </w:pPr>
    </w:p>
    <w:p w14:paraId="3C62608E">
      <w:pPr>
        <w:pStyle w:val="19"/>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Ansi="宋体" w:cs="宋体"/>
          <w:color w:val="auto"/>
          <w:sz w:val="24"/>
          <w:szCs w:val="24"/>
          <w:highlight w:val="none"/>
          <w:u w:val="single"/>
        </w:rPr>
        <w:t xml:space="preserve">              </w:t>
      </w:r>
    </w:p>
    <w:p w14:paraId="7A89342B">
      <w:pPr>
        <w:spacing w:line="360" w:lineRule="auto"/>
        <w:contextualSpacing/>
        <w:jc w:val="left"/>
        <w:rPr>
          <w:rFonts w:ascii="宋体" w:cs="宋体"/>
          <w:color w:val="auto"/>
          <w:sz w:val="24"/>
          <w:highlight w:val="none"/>
          <w:u w:val="single"/>
        </w:rPr>
      </w:pPr>
    </w:p>
    <w:tbl>
      <w:tblPr>
        <w:tblStyle w:val="3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9F81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3A687FD3">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61A885D">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F5AE67F">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26F18BA1">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偏离说明</w:t>
            </w:r>
          </w:p>
        </w:tc>
      </w:tr>
      <w:tr w14:paraId="45F87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401B5549">
            <w:pPr>
              <w:jc w:val="center"/>
              <w:rPr>
                <w:rFonts w:ascii="宋体" w:cs="宋体"/>
                <w:color w:val="auto"/>
                <w:sz w:val="24"/>
                <w:highlight w:val="none"/>
              </w:rPr>
            </w:pPr>
            <w:r>
              <w:rPr>
                <w:rFonts w:hint="eastAsia" w:ascii="宋体" w:hAnsi="宋体" w:cs="宋体"/>
                <w:bCs/>
                <w:color w:val="auto"/>
                <w:sz w:val="24"/>
                <w:highlight w:val="none"/>
              </w:rPr>
              <w:t>磋商报价要求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607A5F37">
            <w:pPr>
              <w:spacing w:line="360" w:lineRule="auto"/>
              <w:contextualSpacing/>
              <w:jc w:val="center"/>
              <w:rPr>
                <w:rFonts w:asci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E90EA5A">
            <w:pPr>
              <w:spacing w:line="360" w:lineRule="auto"/>
              <w:contextualSpacing/>
              <w:jc w:val="center"/>
              <w:rPr>
                <w:rFonts w:asci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61C59CB">
            <w:pPr>
              <w:spacing w:line="360" w:lineRule="auto"/>
              <w:contextualSpacing/>
              <w:jc w:val="center"/>
              <w:rPr>
                <w:rFonts w:ascii="宋体" w:cs="宋体"/>
                <w:color w:val="auto"/>
                <w:sz w:val="24"/>
                <w:highlight w:val="none"/>
              </w:rPr>
            </w:pPr>
          </w:p>
        </w:tc>
      </w:tr>
      <w:tr w14:paraId="080E3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bottom w:val="single" w:color="auto" w:sz="4" w:space="0"/>
              <w:right w:val="single" w:color="auto" w:sz="4" w:space="0"/>
            </w:tcBorders>
            <w:vAlign w:val="center"/>
          </w:tcPr>
          <w:p w14:paraId="211BBA49">
            <w:pPr>
              <w:jc w:val="center"/>
              <w:rPr>
                <w:rFonts w:ascii="宋体" w:cs="宋体"/>
                <w:color w:val="auto"/>
                <w:sz w:val="24"/>
                <w:highlight w:val="none"/>
              </w:rPr>
            </w:pPr>
            <w:r>
              <w:rPr>
                <w:rFonts w:hint="eastAsia" w:ascii="宋体" w:hAnsi="宋体" w:cs="宋体"/>
                <w:color w:val="auto"/>
                <w:sz w:val="24"/>
                <w:highlight w:val="none"/>
              </w:rPr>
              <w:t>合同履约期限</w:t>
            </w:r>
          </w:p>
        </w:tc>
        <w:tc>
          <w:tcPr>
            <w:tcW w:w="2668" w:type="dxa"/>
            <w:tcBorders>
              <w:top w:val="single" w:color="auto" w:sz="4" w:space="0"/>
              <w:left w:val="single" w:color="auto" w:sz="4" w:space="0"/>
              <w:bottom w:val="single" w:color="auto" w:sz="4" w:space="0"/>
              <w:right w:val="single" w:color="auto" w:sz="4" w:space="0"/>
            </w:tcBorders>
            <w:vAlign w:val="center"/>
          </w:tcPr>
          <w:p w14:paraId="5995FA46">
            <w:pPr>
              <w:spacing w:line="360" w:lineRule="auto"/>
              <w:contextualSpacing/>
              <w:jc w:val="center"/>
              <w:rPr>
                <w:rFonts w:asci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E2B1ADF">
            <w:pPr>
              <w:spacing w:line="360" w:lineRule="auto"/>
              <w:ind w:left="43"/>
              <w:contextualSpacing/>
              <w:jc w:val="center"/>
              <w:rPr>
                <w:rFonts w:asci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330BEC7">
            <w:pPr>
              <w:spacing w:line="360" w:lineRule="auto"/>
              <w:ind w:left="43"/>
              <w:contextualSpacing/>
              <w:jc w:val="center"/>
              <w:rPr>
                <w:rFonts w:ascii="宋体" w:cs="宋体"/>
                <w:color w:val="auto"/>
                <w:sz w:val="24"/>
                <w:highlight w:val="none"/>
              </w:rPr>
            </w:pPr>
          </w:p>
        </w:tc>
      </w:tr>
      <w:tr w14:paraId="6F9B3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59F8BB71">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3C84470">
            <w:pPr>
              <w:spacing w:line="360" w:lineRule="auto"/>
              <w:contextualSpacing/>
              <w:jc w:val="center"/>
              <w:rPr>
                <w:rFonts w:asci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13A1D06">
            <w:pPr>
              <w:spacing w:line="360" w:lineRule="auto"/>
              <w:contextualSpacing/>
              <w:jc w:val="center"/>
              <w:rPr>
                <w:rFonts w:asci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188C3AA3">
            <w:pPr>
              <w:spacing w:line="360" w:lineRule="auto"/>
              <w:contextualSpacing/>
              <w:jc w:val="center"/>
              <w:rPr>
                <w:rFonts w:ascii="宋体" w:cs="宋体"/>
                <w:color w:val="auto"/>
                <w:sz w:val="24"/>
                <w:highlight w:val="none"/>
              </w:rPr>
            </w:pPr>
          </w:p>
        </w:tc>
      </w:tr>
      <w:tr w14:paraId="019F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75D3669D">
            <w:pPr>
              <w:spacing w:line="360" w:lineRule="auto"/>
              <w:contextualSpacing/>
              <w:jc w:val="center"/>
              <w:rPr>
                <w:rFonts w:asci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22C0DE48">
            <w:pPr>
              <w:spacing w:line="360" w:lineRule="auto"/>
              <w:contextualSpacing/>
              <w:jc w:val="center"/>
              <w:rPr>
                <w:rFonts w:asci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48250F1">
            <w:pPr>
              <w:spacing w:line="360" w:lineRule="auto"/>
              <w:contextualSpacing/>
              <w:jc w:val="center"/>
              <w:rPr>
                <w:rFonts w:ascii="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1A3ABF47">
            <w:pPr>
              <w:spacing w:line="360" w:lineRule="auto"/>
              <w:contextualSpacing/>
              <w:jc w:val="center"/>
              <w:rPr>
                <w:rFonts w:ascii="宋体" w:cs="宋体"/>
                <w:color w:val="auto"/>
                <w:sz w:val="24"/>
                <w:highlight w:val="none"/>
              </w:rPr>
            </w:pPr>
          </w:p>
        </w:tc>
      </w:tr>
    </w:tbl>
    <w:p w14:paraId="517E171E">
      <w:pPr>
        <w:pStyle w:val="14"/>
        <w:spacing w:after="0" w:line="360" w:lineRule="auto"/>
        <w:contextualSpacing/>
        <w:rPr>
          <w:rFonts w:ascii="宋体" w:cs="宋体"/>
          <w:color w:val="auto"/>
          <w:kern w:val="0"/>
          <w:sz w:val="24"/>
          <w:szCs w:val="24"/>
          <w:highlight w:val="none"/>
        </w:rPr>
      </w:pPr>
    </w:p>
    <w:p w14:paraId="7DC48A5C">
      <w:pPr>
        <w:pStyle w:val="14"/>
        <w:spacing w:after="0" w:line="360" w:lineRule="auto"/>
        <w:ind w:firstLine="240" w:firstLineChars="100"/>
        <w:contextualSpacing/>
        <w:rPr>
          <w:rFonts w:ascii="宋体" w:cs="宋体"/>
          <w:color w:val="auto"/>
          <w:kern w:val="0"/>
          <w:sz w:val="24"/>
          <w:szCs w:val="24"/>
          <w:highlight w:val="none"/>
        </w:rPr>
      </w:pPr>
    </w:p>
    <w:p w14:paraId="0C3BE010">
      <w:pPr>
        <w:pStyle w:val="14"/>
        <w:spacing w:after="0" w:line="360" w:lineRule="auto"/>
        <w:ind w:firstLine="240" w:firstLineChars="100"/>
        <w:contextualSpacing/>
        <w:rPr>
          <w:rFonts w:ascii="宋体" w:cs="宋体"/>
          <w:color w:val="auto"/>
          <w:kern w:val="0"/>
          <w:sz w:val="24"/>
          <w:szCs w:val="24"/>
          <w:highlight w:val="none"/>
        </w:rPr>
      </w:pPr>
    </w:p>
    <w:p w14:paraId="270CE603">
      <w:pPr>
        <w:pStyle w:val="14"/>
        <w:spacing w:after="0" w:line="360" w:lineRule="auto"/>
        <w:ind w:firstLine="240" w:firstLineChars="100"/>
        <w:contextualSpacing/>
        <w:rPr>
          <w:rFonts w:ascii="宋体" w:cs="宋体"/>
          <w:color w:val="auto"/>
          <w:kern w:val="0"/>
          <w:sz w:val="24"/>
          <w:szCs w:val="24"/>
          <w:highlight w:val="none"/>
        </w:rPr>
      </w:pPr>
    </w:p>
    <w:p w14:paraId="027C2B53">
      <w:pPr>
        <w:pStyle w:val="14"/>
        <w:spacing w:after="0" w:line="360" w:lineRule="auto"/>
        <w:ind w:firstLine="240" w:firstLineChars="100"/>
        <w:contextualSpacing/>
        <w:rPr>
          <w:rFonts w:ascii="宋体" w:cs="宋体"/>
          <w:color w:val="auto"/>
          <w:kern w:val="0"/>
          <w:sz w:val="24"/>
          <w:szCs w:val="24"/>
          <w:highlight w:val="none"/>
        </w:rPr>
      </w:pPr>
    </w:p>
    <w:p w14:paraId="775178F2">
      <w:pPr>
        <w:pStyle w:val="14"/>
        <w:spacing w:after="0" w:line="360" w:lineRule="auto"/>
        <w:ind w:firstLine="240" w:firstLineChars="100"/>
        <w:contextualSpacing/>
        <w:rPr>
          <w:rFonts w:ascii="宋体" w:cs="宋体"/>
          <w:color w:val="auto"/>
          <w:kern w:val="0"/>
          <w:sz w:val="24"/>
          <w:szCs w:val="24"/>
          <w:highlight w:val="none"/>
        </w:rPr>
      </w:pPr>
    </w:p>
    <w:p w14:paraId="29A68349">
      <w:pPr>
        <w:pStyle w:val="14"/>
        <w:spacing w:after="0" w:line="360" w:lineRule="auto"/>
        <w:ind w:firstLine="240" w:firstLineChars="100"/>
        <w:contextualSpacing/>
        <w:rPr>
          <w:rFonts w:ascii="宋体" w:cs="宋体"/>
          <w:color w:val="auto"/>
          <w:kern w:val="0"/>
          <w:sz w:val="24"/>
          <w:szCs w:val="24"/>
          <w:highlight w:val="none"/>
        </w:rPr>
      </w:pPr>
    </w:p>
    <w:p w14:paraId="561B04B7">
      <w:pPr>
        <w:pStyle w:val="14"/>
        <w:spacing w:after="0" w:line="360" w:lineRule="auto"/>
        <w:ind w:firstLine="240" w:firstLineChars="100"/>
        <w:contextualSpacing/>
        <w:rPr>
          <w:rFonts w:ascii="宋体" w:cs="宋体"/>
          <w:color w:val="auto"/>
          <w:kern w:val="0"/>
          <w:sz w:val="24"/>
          <w:szCs w:val="24"/>
          <w:highlight w:val="none"/>
        </w:rPr>
      </w:pPr>
      <w:r>
        <w:rPr>
          <w:rFonts w:hint="eastAsia" w:ascii="宋体" w:hAnsi="宋体" w:cs="宋体"/>
          <w:color w:val="auto"/>
          <w:kern w:val="0"/>
          <w:sz w:val="24"/>
          <w:szCs w:val="24"/>
          <w:highlight w:val="none"/>
        </w:rPr>
        <w:t>注：</w:t>
      </w:r>
    </w:p>
    <w:p w14:paraId="76196623">
      <w:pPr>
        <w:pStyle w:val="14"/>
        <w:spacing w:after="0" w:line="360" w:lineRule="auto"/>
        <w:contextualSpacing/>
        <w:rPr>
          <w:rFonts w:asci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说明：应对照磋商文件“第三章</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采购需求”中的商务要求逐条作出明确响应，并作出偏离说明。</w:t>
      </w:r>
    </w:p>
    <w:p w14:paraId="45D39C50">
      <w:pPr>
        <w:spacing w:line="360" w:lineRule="auto"/>
        <w:contextualSpacing/>
        <w:jc w:val="left"/>
        <w:rPr>
          <w:rFonts w:ascii="宋体" w:cs="宋体"/>
          <w:color w:val="auto"/>
          <w:sz w:val="24"/>
          <w:highlight w:val="none"/>
          <w:u w:val="single"/>
        </w:rPr>
      </w:pPr>
      <w:r>
        <w:rPr>
          <w:rFonts w:ascii="宋体" w:hAnsi="宋体" w:cs="宋体"/>
          <w:color w:val="auto"/>
          <w:kern w:val="0"/>
          <w:sz w:val="24"/>
          <w:highlight w:val="none"/>
        </w:rPr>
        <w:t>2.</w:t>
      </w:r>
      <w:r>
        <w:rPr>
          <w:rFonts w:hint="eastAsia" w:ascii="宋体" w:hAnsi="宋体" w:cs="宋体"/>
          <w:color w:val="auto"/>
          <w:kern w:val="0"/>
          <w:sz w:val="24"/>
          <w:highlight w:val="none"/>
        </w:rPr>
        <w:t>供应商应根据自身的承诺，对照磋商文件要求在“偏离说明”中注明“正偏离”、“负偏离”或者“无偏离”。既不属于“正偏离”也不属于“负偏离”即为“无偏离”。</w:t>
      </w:r>
    </w:p>
    <w:p w14:paraId="09DA4167">
      <w:pPr>
        <w:spacing w:line="360" w:lineRule="auto"/>
        <w:ind w:right="-817" w:rightChars="-389"/>
        <w:contextualSpacing/>
        <w:rPr>
          <w:rFonts w:ascii="宋体" w:cs="宋体"/>
          <w:color w:val="auto"/>
          <w:sz w:val="24"/>
          <w:highlight w:val="none"/>
        </w:rPr>
      </w:pPr>
    </w:p>
    <w:p w14:paraId="0B223D72">
      <w:pPr>
        <w:spacing w:line="360" w:lineRule="auto"/>
        <w:ind w:right="-817" w:rightChars="-389" w:firstLine="4800" w:firstLineChars="2000"/>
        <w:contextualSpacing/>
        <w:rPr>
          <w:rFonts w:ascii="宋体" w:cs="宋体"/>
          <w:color w:val="auto"/>
          <w:sz w:val="24"/>
          <w:highlight w:val="none"/>
        </w:rPr>
      </w:pPr>
      <w:r>
        <w:rPr>
          <w:rFonts w:hint="eastAsia" w:ascii="宋体" w:hAnsi="宋体" w:cs="宋体"/>
          <w:color w:val="auto"/>
          <w:sz w:val="24"/>
          <w:highlight w:val="none"/>
        </w:rPr>
        <w:t>法定代表人或者委托代理人（签字）：</w:t>
      </w:r>
      <w:r>
        <w:rPr>
          <w:rFonts w:ascii="宋体" w:hAnsi="宋体" w:cs="宋体"/>
          <w:color w:val="auto"/>
          <w:sz w:val="24"/>
          <w:highlight w:val="none"/>
        </w:rPr>
        <w:t xml:space="preserve">                    </w:t>
      </w:r>
    </w:p>
    <w:p w14:paraId="1FBF8DEB">
      <w:pPr>
        <w:spacing w:line="360" w:lineRule="auto"/>
        <w:ind w:right="-817" w:rightChars="-389" w:firstLine="4800" w:firstLineChars="2000"/>
        <w:contextualSpacing/>
        <w:rPr>
          <w:rFonts w:ascii="宋体" w:cs="宋体"/>
          <w:color w:val="auto"/>
          <w:sz w:val="24"/>
          <w:highlight w:val="none"/>
        </w:rPr>
      </w:pPr>
      <w:r>
        <w:rPr>
          <w:rFonts w:hint="eastAsia" w:ascii="宋体" w:hAnsi="宋体" w:cs="宋体"/>
          <w:color w:val="auto"/>
          <w:sz w:val="24"/>
          <w:highlight w:val="none"/>
        </w:rPr>
        <w:t>供应商（盖公章）：</w:t>
      </w:r>
      <w:r>
        <w:rPr>
          <w:rFonts w:ascii="宋体" w:hAnsi="宋体" w:cs="宋体"/>
          <w:color w:val="auto"/>
          <w:sz w:val="24"/>
          <w:highlight w:val="none"/>
        </w:rPr>
        <w:t xml:space="preserve">      </w:t>
      </w:r>
    </w:p>
    <w:p w14:paraId="2CE023D2">
      <w:pPr>
        <w:spacing w:line="360" w:lineRule="auto"/>
        <w:ind w:right="-817" w:rightChars="-389" w:firstLine="4800" w:firstLineChars="2000"/>
        <w:contextualSpacing/>
        <w:rPr>
          <w:rFonts w:ascii="宋体" w:cs="宋体"/>
          <w:bCs/>
          <w:color w:val="auto"/>
          <w:sz w:val="44"/>
          <w:szCs w:val="4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340206B6">
      <w:pPr>
        <w:adjustRightInd w:val="0"/>
        <w:snapToGrid w:val="0"/>
        <w:spacing w:line="520" w:lineRule="exact"/>
        <w:ind w:firstLine="7040" w:firstLineChars="1600"/>
        <w:jc w:val="center"/>
        <w:rPr>
          <w:rFonts w:ascii="宋体" w:cs="宋体"/>
          <w:bCs/>
          <w:color w:val="auto"/>
          <w:sz w:val="44"/>
          <w:szCs w:val="44"/>
          <w:highlight w:val="none"/>
        </w:rPr>
      </w:pPr>
    </w:p>
    <w:p w14:paraId="5A3BCC76">
      <w:pPr>
        <w:adjustRightInd w:val="0"/>
        <w:snapToGrid w:val="0"/>
        <w:spacing w:line="520" w:lineRule="exact"/>
        <w:ind w:firstLine="7040" w:firstLineChars="1600"/>
        <w:jc w:val="center"/>
        <w:rPr>
          <w:rFonts w:ascii="宋体" w:cs="宋体"/>
          <w:bCs/>
          <w:color w:val="auto"/>
          <w:sz w:val="44"/>
          <w:szCs w:val="44"/>
          <w:highlight w:val="none"/>
        </w:rPr>
      </w:pPr>
    </w:p>
    <w:p w14:paraId="3FFFA6BE">
      <w:pPr>
        <w:adjustRightInd w:val="0"/>
        <w:snapToGrid w:val="0"/>
        <w:spacing w:line="520" w:lineRule="exact"/>
        <w:ind w:firstLine="7040" w:firstLineChars="1600"/>
        <w:jc w:val="center"/>
        <w:rPr>
          <w:rFonts w:ascii="宋体" w:cs="宋体"/>
          <w:bCs/>
          <w:color w:val="auto"/>
          <w:sz w:val="44"/>
          <w:szCs w:val="44"/>
          <w:highlight w:val="none"/>
        </w:rPr>
      </w:pPr>
    </w:p>
    <w:p w14:paraId="67AC36A5">
      <w:pPr>
        <w:adjustRightInd w:val="0"/>
        <w:snapToGrid w:val="0"/>
        <w:spacing w:line="300" w:lineRule="auto"/>
        <w:jc w:val="center"/>
        <w:rPr>
          <w:rFonts w:ascii="宋体" w:cs="宋体"/>
          <w:bCs/>
          <w:color w:val="auto"/>
          <w:sz w:val="44"/>
          <w:szCs w:val="44"/>
          <w:highlight w:val="none"/>
        </w:rPr>
      </w:pPr>
      <w:r>
        <w:rPr>
          <w:rFonts w:asci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481F4942">
      <w:pPr>
        <w:spacing w:line="520" w:lineRule="exact"/>
        <w:rPr>
          <w:rFonts w:ascii="宋体" w:cs="宋体"/>
          <w:color w:val="auto"/>
          <w:sz w:val="32"/>
          <w:szCs w:val="32"/>
          <w:highlight w:val="none"/>
        </w:rPr>
      </w:pPr>
    </w:p>
    <w:p w14:paraId="3E6C965A">
      <w:pPr>
        <w:spacing w:line="360" w:lineRule="auto"/>
        <w:contextualSpacing/>
        <w:rPr>
          <w:rFonts w:ascii="宋体" w:cs="宋体"/>
          <w:color w:val="auto"/>
          <w:sz w:val="24"/>
          <w:highlight w:val="none"/>
          <w:u w:val="single"/>
        </w:rPr>
      </w:pPr>
      <w:r>
        <w:rPr>
          <w:rFonts w:hint="eastAsia" w:ascii="宋体" w:hAnsi="宋体" w:cs="宋体"/>
          <w:color w:val="auto"/>
          <w:sz w:val="24"/>
          <w:highlight w:val="none"/>
        </w:rPr>
        <w:t>采购项目编号：</w:t>
      </w:r>
      <w:r>
        <w:rPr>
          <w:rFonts w:ascii="宋体" w:hAnsi="宋体" w:cs="宋体"/>
          <w:color w:val="auto"/>
          <w:sz w:val="24"/>
          <w:highlight w:val="none"/>
          <w:u w:val="single"/>
        </w:rPr>
        <w:t xml:space="preserve">                 </w:t>
      </w:r>
    </w:p>
    <w:p w14:paraId="78470DB0">
      <w:pPr>
        <w:spacing w:line="360" w:lineRule="auto"/>
        <w:contextualSpacing/>
        <w:rPr>
          <w:rFonts w:ascii="宋体" w:cs="宋体"/>
          <w:color w:val="auto"/>
          <w:sz w:val="24"/>
          <w:highlight w:val="none"/>
        </w:rPr>
      </w:pPr>
      <w:r>
        <w:rPr>
          <w:rFonts w:hint="eastAsia" w:ascii="宋体" w:hAnsi="宋体" w:cs="宋体"/>
          <w:color w:val="auto"/>
          <w:sz w:val="24"/>
          <w:highlight w:val="none"/>
        </w:rPr>
        <w:t>采购项目名称：</w:t>
      </w:r>
      <w:r>
        <w:rPr>
          <w:rFonts w:ascii="宋体" w:hAnsi="宋体" w:cs="宋体"/>
          <w:color w:val="auto"/>
          <w:sz w:val="24"/>
          <w:highlight w:val="none"/>
          <w:u w:val="single"/>
        </w:rPr>
        <w:t xml:space="preserve">                 </w:t>
      </w:r>
    </w:p>
    <w:p w14:paraId="7E2712AB">
      <w:pPr>
        <w:spacing w:line="360" w:lineRule="auto"/>
        <w:contextualSpacing/>
        <w:rPr>
          <w:rFonts w:ascii="宋体" w:cs="宋体"/>
          <w:color w:val="auto"/>
          <w:sz w:val="24"/>
          <w:highlight w:val="none"/>
          <w:u w:val="single"/>
        </w:rPr>
      </w:pPr>
      <w:r>
        <w:rPr>
          <w:rFonts w:hint="eastAsia" w:ascii="宋体" w:hAnsi="宋体" w:cs="宋体"/>
          <w:color w:val="auto"/>
          <w:sz w:val="24"/>
          <w:highlight w:val="none"/>
        </w:rPr>
        <w:t>分标号：</w:t>
      </w:r>
      <w:r>
        <w:rPr>
          <w:rFonts w:ascii="宋体" w:hAnsi="宋体" w:cs="宋体"/>
          <w:color w:val="auto"/>
          <w:sz w:val="24"/>
          <w:highlight w:val="none"/>
          <w:u w:val="single"/>
        </w:rPr>
        <w:t xml:space="preserve">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1"/>
        <w:gridCol w:w="992"/>
        <w:gridCol w:w="3292"/>
        <w:gridCol w:w="2963"/>
        <w:gridCol w:w="1616"/>
      </w:tblGrid>
      <w:tr w14:paraId="22DAB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503" w:type="pct"/>
            <w:tcBorders>
              <w:top w:val="single" w:color="auto" w:sz="4" w:space="0"/>
            </w:tcBorders>
            <w:vAlign w:val="center"/>
          </w:tcPr>
          <w:p w14:paraId="7840ED64">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55" w:name="_Toc254970588"/>
            <w:bookmarkStart w:id="56" w:name="_Toc297193185"/>
            <w:bookmarkStart w:id="57" w:name="_Toc295404981"/>
            <w:bookmarkStart w:id="58" w:name="_Toc301781611"/>
            <w:bookmarkStart w:id="59" w:name="_Toc173211900"/>
            <w:bookmarkStart w:id="60" w:name="_Toc373333689"/>
            <w:bookmarkStart w:id="61" w:name="_Toc254970729"/>
            <w:bookmarkStart w:id="62" w:name="_Toc383699906"/>
            <w:bookmarkStart w:id="63" w:name="_Toc173066401"/>
            <w:r>
              <w:rPr>
                <w:rFonts w:hint="eastAsia" w:ascii="宋体" w:hAnsi="宋体" w:eastAsia="宋体" w:cs="宋体"/>
                <w:color w:val="auto"/>
                <w:kern w:val="2"/>
                <w:sz w:val="24"/>
                <w:szCs w:val="24"/>
                <w:highlight w:val="none"/>
              </w:rPr>
              <w:t>序号</w:t>
            </w:r>
            <w:bookmarkEnd w:id="55"/>
            <w:bookmarkEnd w:id="56"/>
            <w:bookmarkEnd w:id="57"/>
            <w:bookmarkEnd w:id="58"/>
            <w:bookmarkEnd w:id="59"/>
            <w:bookmarkEnd w:id="60"/>
            <w:bookmarkEnd w:id="61"/>
            <w:bookmarkEnd w:id="62"/>
            <w:bookmarkEnd w:id="63"/>
          </w:p>
        </w:tc>
        <w:tc>
          <w:tcPr>
            <w:tcW w:w="503" w:type="pct"/>
            <w:tcBorders>
              <w:top w:val="single" w:color="auto" w:sz="4" w:space="0"/>
              <w:right w:val="single" w:color="auto" w:sz="4" w:space="0"/>
            </w:tcBorders>
            <w:vAlign w:val="center"/>
          </w:tcPr>
          <w:p w14:paraId="12398AE0">
            <w:pPr>
              <w:pStyle w:val="16"/>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1670" w:type="pct"/>
            <w:tcBorders>
              <w:top w:val="single" w:color="auto" w:sz="4" w:space="0"/>
              <w:left w:val="single" w:color="auto" w:sz="4" w:space="0"/>
            </w:tcBorders>
            <w:vAlign w:val="center"/>
          </w:tcPr>
          <w:p w14:paraId="2335ADCD">
            <w:pPr>
              <w:pStyle w:val="16"/>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1503" w:type="pct"/>
            <w:tcBorders>
              <w:top w:val="single" w:color="auto" w:sz="4" w:space="0"/>
            </w:tcBorders>
            <w:vAlign w:val="center"/>
          </w:tcPr>
          <w:p w14:paraId="3AE71D85">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64" w:name="_Toc383699908"/>
            <w:bookmarkStart w:id="65" w:name="_Toc254970731"/>
            <w:bookmarkStart w:id="66" w:name="_Toc295404983"/>
            <w:bookmarkStart w:id="67" w:name="_Toc373333691"/>
            <w:bookmarkStart w:id="68" w:name="_Toc301781613"/>
            <w:bookmarkStart w:id="69" w:name="_Toc173066403"/>
            <w:bookmarkStart w:id="70" w:name="_Toc254970590"/>
            <w:bookmarkStart w:id="71" w:name="_Toc297193187"/>
            <w:bookmarkStart w:id="72" w:name="_Toc173211902"/>
            <w:r>
              <w:rPr>
                <w:rFonts w:hint="eastAsia" w:ascii="宋体" w:hAnsi="宋体" w:eastAsia="宋体" w:cs="宋体"/>
                <w:color w:val="auto"/>
                <w:kern w:val="2"/>
                <w:sz w:val="24"/>
                <w:szCs w:val="24"/>
                <w:highlight w:val="none"/>
              </w:rPr>
              <w:t>竞标响应</w:t>
            </w:r>
            <w:bookmarkEnd w:id="64"/>
            <w:bookmarkEnd w:id="65"/>
            <w:bookmarkEnd w:id="66"/>
            <w:bookmarkEnd w:id="67"/>
            <w:bookmarkEnd w:id="68"/>
            <w:bookmarkEnd w:id="69"/>
            <w:bookmarkEnd w:id="70"/>
            <w:bookmarkEnd w:id="71"/>
            <w:bookmarkEnd w:id="72"/>
          </w:p>
        </w:tc>
        <w:tc>
          <w:tcPr>
            <w:tcW w:w="820" w:type="pct"/>
            <w:tcBorders>
              <w:top w:val="single" w:color="auto" w:sz="4" w:space="0"/>
            </w:tcBorders>
            <w:vAlign w:val="center"/>
          </w:tcPr>
          <w:p w14:paraId="2B8FA000">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73" w:name="_Toc373333692"/>
            <w:bookmarkStart w:id="74" w:name="_Toc383699909"/>
            <w:bookmarkStart w:id="75" w:name="_Toc295404984"/>
            <w:bookmarkStart w:id="76" w:name="_Toc254970732"/>
            <w:bookmarkStart w:id="77" w:name="_Toc254970591"/>
            <w:bookmarkStart w:id="78" w:name="_Toc297193188"/>
            <w:bookmarkStart w:id="79" w:name="_Toc173066404"/>
            <w:bookmarkStart w:id="80" w:name="_Toc301781614"/>
            <w:bookmarkStart w:id="81" w:name="_Toc173211903"/>
            <w:r>
              <w:rPr>
                <w:rFonts w:hint="eastAsia" w:ascii="宋体" w:hAnsi="宋体" w:eastAsia="宋体" w:cs="宋体"/>
                <w:color w:val="auto"/>
                <w:kern w:val="2"/>
                <w:sz w:val="24"/>
                <w:szCs w:val="24"/>
                <w:highlight w:val="none"/>
              </w:rPr>
              <w:t>偏离</w:t>
            </w:r>
            <w:bookmarkEnd w:id="73"/>
            <w:bookmarkEnd w:id="74"/>
            <w:bookmarkEnd w:id="75"/>
            <w:bookmarkEnd w:id="76"/>
            <w:bookmarkEnd w:id="77"/>
            <w:bookmarkEnd w:id="78"/>
            <w:bookmarkEnd w:id="79"/>
            <w:bookmarkEnd w:id="80"/>
            <w:bookmarkEnd w:id="81"/>
            <w:bookmarkStart w:id="82" w:name="_Toc373333693"/>
            <w:bookmarkStart w:id="83" w:name="_Toc297193189"/>
            <w:bookmarkStart w:id="84" w:name="_Toc173066405"/>
            <w:bookmarkStart w:id="85" w:name="_Toc254970592"/>
            <w:bookmarkStart w:id="86" w:name="_Toc173211904"/>
            <w:bookmarkStart w:id="87" w:name="_Toc383699910"/>
            <w:bookmarkStart w:id="88" w:name="_Toc295404985"/>
            <w:bookmarkStart w:id="89" w:name="_Toc301781615"/>
            <w:bookmarkStart w:id="90" w:name="_Toc254970733"/>
            <w:r>
              <w:rPr>
                <w:rFonts w:hint="eastAsia" w:ascii="宋体" w:hAnsi="宋体" w:eastAsia="宋体" w:cs="宋体"/>
                <w:color w:val="auto"/>
                <w:kern w:val="2"/>
                <w:sz w:val="24"/>
                <w:szCs w:val="24"/>
                <w:highlight w:val="none"/>
              </w:rPr>
              <w:t>说明</w:t>
            </w:r>
            <w:bookmarkEnd w:id="82"/>
            <w:bookmarkEnd w:id="83"/>
            <w:bookmarkEnd w:id="84"/>
            <w:bookmarkEnd w:id="85"/>
            <w:bookmarkEnd w:id="86"/>
            <w:bookmarkEnd w:id="87"/>
            <w:bookmarkEnd w:id="88"/>
            <w:bookmarkEnd w:id="89"/>
            <w:bookmarkEnd w:id="90"/>
          </w:p>
        </w:tc>
      </w:tr>
      <w:tr w14:paraId="26A02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C70847E">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91" w:name="_Toc295404986"/>
            <w:bookmarkStart w:id="92" w:name="_Toc301781616"/>
            <w:bookmarkStart w:id="93" w:name="_Toc373333694"/>
            <w:bookmarkStart w:id="94" w:name="_Toc254970734"/>
            <w:bookmarkStart w:id="95" w:name="_Toc383699911"/>
            <w:bookmarkStart w:id="96" w:name="_Toc173211905"/>
            <w:bookmarkStart w:id="97" w:name="_Toc297193190"/>
            <w:bookmarkStart w:id="98" w:name="_Toc173066406"/>
            <w:bookmarkStart w:id="99" w:name="_Toc254970593"/>
            <w:r>
              <w:rPr>
                <w:rFonts w:ascii="宋体" w:hAnsi="宋体" w:eastAsia="宋体" w:cs="宋体"/>
                <w:color w:val="auto"/>
                <w:kern w:val="2"/>
                <w:sz w:val="24"/>
                <w:szCs w:val="24"/>
                <w:highlight w:val="none"/>
              </w:rPr>
              <w:t>1</w:t>
            </w:r>
            <w:bookmarkEnd w:id="91"/>
            <w:bookmarkEnd w:id="92"/>
            <w:bookmarkEnd w:id="93"/>
            <w:bookmarkEnd w:id="94"/>
            <w:bookmarkEnd w:id="95"/>
            <w:bookmarkEnd w:id="96"/>
            <w:bookmarkEnd w:id="97"/>
            <w:bookmarkEnd w:id="98"/>
            <w:bookmarkEnd w:id="99"/>
          </w:p>
        </w:tc>
        <w:tc>
          <w:tcPr>
            <w:tcW w:w="503" w:type="pct"/>
            <w:tcBorders>
              <w:right w:val="single" w:color="auto" w:sz="4" w:space="0"/>
            </w:tcBorders>
            <w:vAlign w:val="center"/>
          </w:tcPr>
          <w:p w14:paraId="64B03281">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CA5AB36">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38147E74">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1AF2058F">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6ACAAC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5C679E7">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00" w:name="_Toc254970735"/>
            <w:bookmarkStart w:id="101" w:name="_Toc373333695"/>
            <w:bookmarkStart w:id="102" w:name="_Toc173211906"/>
            <w:bookmarkStart w:id="103" w:name="_Toc301781617"/>
            <w:bookmarkStart w:id="104" w:name="_Toc383699912"/>
            <w:bookmarkStart w:id="105" w:name="_Toc173066407"/>
            <w:bookmarkStart w:id="106" w:name="_Toc297193191"/>
            <w:bookmarkStart w:id="107" w:name="_Toc254970594"/>
            <w:bookmarkStart w:id="108" w:name="_Toc295404987"/>
            <w:r>
              <w:rPr>
                <w:rFonts w:ascii="宋体" w:hAnsi="宋体" w:eastAsia="宋体" w:cs="宋体"/>
                <w:color w:val="auto"/>
                <w:kern w:val="2"/>
                <w:sz w:val="24"/>
                <w:szCs w:val="24"/>
                <w:highlight w:val="none"/>
              </w:rPr>
              <w:t>2</w:t>
            </w:r>
            <w:bookmarkEnd w:id="100"/>
            <w:bookmarkEnd w:id="101"/>
            <w:bookmarkEnd w:id="102"/>
            <w:bookmarkEnd w:id="103"/>
            <w:bookmarkEnd w:id="104"/>
            <w:bookmarkEnd w:id="105"/>
            <w:bookmarkEnd w:id="106"/>
            <w:bookmarkEnd w:id="107"/>
            <w:bookmarkEnd w:id="108"/>
          </w:p>
        </w:tc>
        <w:tc>
          <w:tcPr>
            <w:tcW w:w="503" w:type="pct"/>
            <w:tcBorders>
              <w:right w:val="single" w:color="auto" w:sz="4" w:space="0"/>
            </w:tcBorders>
            <w:vAlign w:val="center"/>
          </w:tcPr>
          <w:p w14:paraId="4E0DBD81">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CE536BC">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26DC3AC4">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1C372ECA">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127BB0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B14E9D6">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09" w:name="_Toc254970595"/>
            <w:bookmarkStart w:id="110" w:name="_Toc373333696"/>
            <w:bookmarkStart w:id="111" w:name="_Toc301781618"/>
            <w:bookmarkStart w:id="112" w:name="_Toc383699913"/>
            <w:bookmarkStart w:id="113" w:name="_Toc173066408"/>
            <w:bookmarkStart w:id="114" w:name="_Toc295404988"/>
            <w:bookmarkStart w:id="115" w:name="_Toc254970736"/>
            <w:bookmarkStart w:id="116" w:name="_Toc297193192"/>
            <w:bookmarkStart w:id="117" w:name="_Toc173211907"/>
            <w:r>
              <w:rPr>
                <w:rFonts w:ascii="宋体" w:hAnsi="宋体" w:eastAsia="宋体" w:cs="宋体"/>
                <w:color w:val="auto"/>
                <w:kern w:val="2"/>
                <w:sz w:val="24"/>
                <w:szCs w:val="24"/>
                <w:highlight w:val="none"/>
              </w:rPr>
              <w:t>3</w:t>
            </w:r>
            <w:bookmarkEnd w:id="109"/>
            <w:bookmarkEnd w:id="110"/>
            <w:bookmarkEnd w:id="111"/>
            <w:bookmarkEnd w:id="112"/>
            <w:bookmarkEnd w:id="113"/>
            <w:bookmarkEnd w:id="114"/>
            <w:bookmarkEnd w:id="115"/>
            <w:bookmarkEnd w:id="116"/>
            <w:bookmarkEnd w:id="117"/>
          </w:p>
        </w:tc>
        <w:tc>
          <w:tcPr>
            <w:tcW w:w="503" w:type="pct"/>
            <w:tcBorders>
              <w:right w:val="single" w:color="auto" w:sz="4" w:space="0"/>
            </w:tcBorders>
            <w:vAlign w:val="center"/>
          </w:tcPr>
          <w:p w14:paraId="0063F4DD">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04CD2B0C">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0E55D20D">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4D22E442">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7AAC8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6D028ED">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18" w:name="_Toc254970596"/>
            <w:bookmarkStart w:id="119" w:name="_Toc173211908"/>
            <w:bookmarkStart w:id="120" w:name="_Toc301781619"/>
            <w:bookmarkStart w:id="121" w:name="_Toc383699914"/>
            <w:bookmarkStart w:id="122" w:name="_Toc295404989"/>
            <w:bookmarkStart w:id="123" w:name="_Toc297193193"/>
            <w:bookmarkStart w:id="124" w:name="_Toc373333697"/>
            <w:bookmarkStart w:id="125" w:name="_Toc254970737"/>
            <w:bookmarkStart w:id="126" w:name="_Toc173066409"/>
            <w:r>
              <w:rPr>
                <w:rFonts w:ascii="宋体" w:hAnsi="宋体" w:eastAsia="宋体" w:cs="宋体"/>
                <w:color w:val="auto"/>
                <w:kern w:val="2"/>
                <w:sz w:val="24"/>
                <w:szCs w:val="24"/>
                <w:highlight w:val="none"/>
              </w:rPr>
              <w:t>4</w:t>
            </w:r>
            <w:bookmarkEnd w:id="118"/>
            <w:bookmarkEnd w:id="119"/>
            <w:bookmarkEnd w:id="120"/>
            <w:bookmarkEnd w:id="121"/>
            <w:bookmarkEnd w:id="122"/>
            <w:bookmarkEnd w:id="123"/>
            <w:bookmarkEnd w:id="124"/>
            <w:bookmarkEnd w:id="125"/>
            <w:bookmarkEnd w:id="126"/>
          </w:p>
        </w:tc>
        <w:tc>
          <w:tcPr>
            <w:tcW w:w="503" w:type="pct"/>
            <w:tcBorders>
              <w:right w:val="single" w:color="auto" w:sz="4" w:space="0"/>
            </w:tcBorders>
            <w:vAlign w:val="center"/>
          </w:tcPr>
          <w:p w14:paraId="4B1755D3">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D978D6E">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2C0EDA05">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57DC4E24">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16407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EE5B5FE">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27" w:name="_Toc173066410"/>
            <w:bookmarkStart w:id="128" w:name="_Toc295404990"/>
            <w:bookmarkStart w:id="129" w:name="_Toc254970738"/>
            <w:bookmarkStart w:id="130" w:name="_Toc301781620"/>
            <w:bookmarkStart w:id="131" w:name="_Toc373333698"/>
            <w:bookmarkStart w:id="132" w:name="_Toc383699915"/>
            <w:bookmarkStart w:id="133" w:name="_Toc173211909"/>
            <w:bookmarkStart w:id="134" w:name="_Toc297193194"/>
            <w:bookmarkStart w:id="135" w:name="_Toc254970597"/>
            <w:r>
              <w:rPr>
                <w:rFonts w:ascii="宋体" w:hAnsi="宋体" w:eastAsia="宋体" w:cs="宋体"/>
                <w:color w:val="auto"/>
                <w:kern w:val="2"/>
                <w:sz w:val="24"/>
                <w:szCs w:val="24"/>
                <w:highlight w:val="none"/>
              </w:rPr>
              <w:t>5</w:t>
            </w:r>
            <w:bookmarkEnd w:id="127"/>
            <w:bookmarkEnd w:id="128"/>
            <w:bookmarkEnd w:id="129"/>
            <w:bookmarkEnd w:id="130"/>
            <w:bookmarkEnd w:id="131"/>
            <w:bookmarkEnd w:id="132"/>
            <w:bookmarkEnd w:id="133"/>
            <w:bookmarkEnd w:id="134"/>
            <w:bookmarkEnd w:id="135"/>
          </w:p>
        </w:tc>
        <w:tc>
          <w:tcPr>
            <w:tcW w:w="503" w:type="pct"/>
            <w:tcBorders>
              <w:right w:val="single" w:color="auto" w:sz="4" w:space="0"/>
            </w:tcBorders>
            <w:vAlign w:val="center"/>
          </w:tcPr>
          <w:p w14:paraId="1C318A45">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A800462">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522665B6">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31E56BD3">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546AF8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bottom w:val="single" w:color="auto" w:sz="4" w:space="0"/>
            </w:tcBorders>
            <w:vAlign w:val="center"/>
          </w:tcPr>
          <w:p w14:paraId="1A1E002F">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36" w:name="_Toc295404991"/>
            <w:bookmarkStart w:id="137" w:name="_Toc254970602"/>
            <w:bookmarkStart w:id="138" w:name="_Toc173066415"/>
            <w:bookmarkStart w:id="139" w:name="_Toc383699916"/>
            <w:bookmarkStart w:id="140" w:name="_Toc254970743"/>
            <w:bookmarkStart w:id="141" w:name="_Toc297193195"/>
            <w:bookmarkStart w:id="142" w:name="_Toc301781621"/>
            <w:bookmarkStart w:id="143" w:name="_Toc373333699"/>
            <w:bookmarkStart w:id="144" w:name="_Toc173211914"/>
            <w:r>
              <w:rPr>
                <w:rFonts w:hint="eastAsia" w:ascii="宋体" w:hAnsi="宋体" w:eastAsia="宋体" w:cs="宋体"/>
                <w:color w:val="auto"/>
                <w:kern w:val="2"/>
                <w:sz w:val="24"/>
                <w:szCs w:val="24"/>
                <w:highlight w:val="none"/>
              </w:rPr>
              <w:t>…</w:t>
            </w:r>
            <w:bookmarkEnd w:id="136"/>
            <w:bookmarkEnd w:id="137"/>
            <w:bookmarkEnd w:id="138"/>
            <w:bookmarkEnd w:id="139"/>
            <w:bookmarkEnd w:id="140"/>
            <w:bookmarkEnd w:id="141"/>
            <w:bookmarkEnd w:id="142"/>
            <w:bookmarkEnd w:id="143"/>
            <w:bookmarkEnd w:id="144"/>
          </w:p>
        </w:tc>
        <w:tc>
          <w:tcPr>
            <w:tcW w:w="503" w:type="pct"/>
            <w:tcBorders>
              <w:bottom w:val="single" w:color="auto" w:sz="4" w:space="0"/>
              <w:right w:val="single" w:color="auto" w:sz="4" w:space="0"/>
            </w:tcBorders>
            <w:vAlign w:val="center"/>
          </w:tcPr>
          <w:p w14:paraId="02D87BF2">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bottom w:val="single" w:color="auto" w:sz="4" w:space="0"/>
            </w:tcBorders>
            <w:vAlign w:val="center"/>
          </w:tcPr>
          <w:p w14:paraId="29B293B4">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tcBorders>
              <w:bottom w:val="single" w:color="auto" w:sz="4" w:space="0"/>
            </w:tcBorders>
            <w:vAlign w:val="center"/>
          </w:tcPr>
          <w:p w14:paraId="3314EAEC">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tcBorders>
              <w:bottom w:val="single" w:color="auto" w:sz="4" w:space="0"/>
            </w:tcBorders>
            <w:vAlign w:val="center"/>
          </w:tcPr>
          <w:p w14:paraId="6C69CF62">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bl>
    <w:p w14:paraId="3A61486C">
      <w:pPr>
        <w:adjustRightInd w:val="0"/>
        <w:spacing w:line="360" w:lineRule="auto"/>
        <w:contextualSpacing/>
        <w:rPr>
          <w:rFonts w:ascii="宋体" w:cs="宋体"/>
          <w:color w:val="auto"/>
          <w:sz w:val="24"/>
          <w:highlight w:val="none"/>
        </w:rPr>
      </w:pPr>
    </w:p>
    <w:p w14:paraId="70D7993C">
      <w:pPr>
        <w:pStyle w:val="16"/>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DA166B7">
      <w:pPr>
        <w:pStyle w:val="16"/>
        <w:spacing w:line="360" w:lineRule="auto"/>
        <w:ind w:firstLine="0" w:firstLineChars="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说明：应对照磋商文件“第三章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采购需求”中的技术要求逐条作出明确响应，并作出偏离说明。</w:t>
      </w:r>
    </w:p>
    <w:p w14:paraId="3F296C84">
      <w:pPr>
        <w:pStyle w:val="16"/>
        <w:spacing w:line="360" w:lineRule="auto"/>
        <w:ind w:firstLine="0" w:firstLineChars="0"/>
        <w:contextualSpacing/>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供应商应根据自身的承诺，对照磋商文件要求，在“偏离说明”中注明“正偏离”、“负偏离”或者“无偏离”。既不属于“正偏离”也不属于“负偏离”即为“无偏离”。</w:t>
      </w:r>
    </w:p>
    <w:p w14:paraId="1918531B">
      <w:pPr>
        <w:spacing w:line="360" w:lineRule="auto"/>
        <w:ind w:right="-817" w:rightChars="-389"/>
        <w:contextualSpacing/>
        <w:rPr>
          <w:rFonts w:ascii="宋体" w:cs="宋体"/>
          <w:color w:val="auto"/>
          <w:sz w:val="24"/>
          <w:highlight w:val="none"/>
        </w:rPr>
      </w:pPr>
    </w:p>
    <w:p w14:paraId="73808EA1">
      <w:pPr>
        <w:spacing w:line="360" w:lineRule="auto"/>
        <w:ind w:right="-817" w:rightChars="-389" w:firstLine="960" w:firstLineChars="400"/>
        <w:contextualSpacing/>
        <w:rPr>
          <w:rFonts w:ascii="宋体" w:cs="宋体"/>
          <w:color w:val="auto"/>
          <w:sz w:val="24"/>
          <w:highlight w:val="none"/>
        </w:rPr>
      </w:pPr>
      <w:r>
        <w:rPr>
          <w:rFonts w:hint="eastAsia" w:ascii="宋体" w:hAnsi="宋体" w:cs="宋体"/>
          <w:color w:val="auto"/>
          <w:sz w:val="24"/>
          <w:highlight w:val="none"/>
        </w:rPr>
        <w:t>法定代表人或者委托代理人（签字）：</w:t>
      </w:r>
      <w:r>
        <w:rPr>
          <w:rFonts w:ascii="宋体" w:hAnsi="宋体" w:cs="宋体"/>
          <w:color w:val="auto"/>
          <w:sz w:val="24"/>
          <w:highlight w:val="none"/>
        </w:rPr>
        <w:t xml:space="preserve">                    </w:t>
      </w:r>
    </w:p>
    <w:p w14:paraId="0E3F19A4">
      <w:pPr>
        <w:spacing w:line="360" w:lineRule="auto"/>
        <w:ind w:right="-817" w:rightChars="-389" w:firstLine="2640" w:firstLineChars="1100"/>
        <w:contextualSpacing/>
        <w:rPr>
          <w:rFonts w:ascii="宋体" w:cs="宋体"/>
          <w:color w:val="auto"/>
          <w:sz w:val="24"/>
          <w:highlight w:val="none"/>
        </w:rPr>
      </w:pPr>
      <w:r>
        <w:rPr>
          <w:rFonts w:hint="eastAsia" w:ascii="宋体" w:hAnsi="宋体" w:cs="宋体"/>
          <w:color w:val="auto"/>
          <w:sz w:val="24"/>
          <w:highlight w:val="none"/>
        </w:rPr>
        <w:t>供应商（盖公章）：</w:t>
      </w:r>
      <w:r>
        <w:rPr>
          <w:rFonts w:ascii="宋体" w:hAnsi="宋体" w:cs="宋体"/>
          <w:color w:val="auto"/>
          <w:sz w:val="24"/>
          <w:highlight w:val="none"/>
        </w:rPr>
        <w:t xml:space="preserve">      </w:t>
      </w:r>
    </w:p>
    <w:p w14:paraId="2FBD1782">
      <w:pPr>
        <w:spacing w:line="360" w:lineRule="auto"/>
        <w:ind w:right="-817" w:rightChars="-389" w:firstLine="4080" w:firstLineChars="1700"/>
        <w:contextualSpacing/>
        <w:rPr>
          <w:rFonts w:asci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5552753F">
      <w:pPr>
        <w:snapToGrid w:val="0"/>
        <w:spacing w:beforeLines="50" w:after="50"/>
        <w:ind w:left="142"/>
        <w:jc w:val="left"/>
        <w:rPr>
          <w:rFonts w:ascii="宋体" w:cs="宋体"/>
          <w:b/>
          <w:color w:val="auto"/>
          <w:sz w:val="24"/>
          <w:highlight w:val="none"/>
        </w:rPr>
      </w:pPr>
      <w:r>
        <w:rPr>
          <w:rFonts w:ascii="宋体" w:cs="宋体"/>
          <w:color w:val="auto"/>
          <w:sz w:val="24"/>
          <w:highlight w:val="none"/>
        </w:rPr>
        <w:br w:type="page"/>
      </w:r>
      <w:r>
        <w:rPr>
          <w:rFonts w:hint="eastAsia" w:ascii="宋体" w:hAnsi="宋体" w:cs="宋体"/>
          <w:b/>
          <w:color w:val="auto"/>
          <w:sz w:val="24"/>
          <w:highlight w:val="none"/>
        </w:rPr>
        <w:t>项目实施人员一览表格式</w:t>
      </w:r>
    </w:p>
    <w:p w14:paraId="41DE8E2B">
      <w:pPr>
        <w:snapToGrid w:val="0"/>
        <w:spacing w:beforeLines="50" w:after="50"/>
        <w:ind w:left="142"/>
        <w:jc w:val="left"/>
        <w:rPr>
          <w:rFonts w:ascii="宋体" w:cs="宋体"/>
          <w:b/>
          <w:color w:val="auto"/>
          <w:sz w:val="24"/>
          <w:highlight w:val="none"/>
        </w:rPr>
      </w:pPr>
    </w:p>
    <w:p w14:paraId="0CB7BAAC">
      <w:pPr>
        <w:spacing w:line="360" w:lineRule="auto"/>
        <w:ind w:left="142"/>
        <w:contextualSpacing/>
        <w:jc w:val="center"/>
        <w:rPr>
          <w:rFonts w:ascii="宋体" w:cs="宋体"/>
          <w:b/>
          <w:color w:val="auto"/>
          <w:sz w:val="32"/>
          <w:szCs w:val="32"/>
          <w:highlight w:val="none"/>
        </w:rPr>
      </w:pPr>
      <w:r>
        <w:rPr>
          <w:rFonts w:hint="eastAsia" w:ascii="宋体" w:hAnsi="宋体" w:cs="宋体"/>
          <w:b/>
          <w:color w:val="auto"/>
          <w:sz w:val="32"/>
          <w:szCs w:val="32"/>
          <w:highlight w:val="none"/>
        </w:rPr>
        <w:t>项目实施人员一览表</w:t>
      </w:r>
    </w:p>
    <w:p w14:paraId="6612C9CC">
      <w:pPr>
        <w:pStyle w:val="19"/>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05"/>
        <w:gridCol w:w="1309"/>
        <w:gridCol w:w="1956"/>
        <w:gridCol w:w="1935"/>
      </w:tblGrid>
      <w:tr w14:paraId="4E9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F8C544">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549A2887">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职务</w:t>
            </w:r>
          </w:p>
        </w:tc>
        <w:tc>
          <w:tcPr>
            <w:tcW w:w="2905" w:type="dxa"/>
            <w:vAlign w:val="center"/>
          </w:tcPr>
          <w:p w14:paraId="2536AF2E">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309" w:type="dxa"/>
            <w:vAlign w:val="center"/>
          </w:tcPr>
          <w:p w14:paraId="20E02256">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证书编号</w:t>
            </w:r>
          </w:p>
        </w:tc>
        <w:tc>
          <w:tcPr>
            <w:tcW w:w="1956" w:type="dxa"/>
            <w:vAlign w:val="center"/>
          </w:tcPr>
          <w:p w14:paraId="55BBEAF5">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参加本单位</w:t>
            </w:r>
          </w:p>
          <w:p w14:paraId="2BF9C737">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工作时间</w:t>
            </w:r>
          </w:p>
        </w:tc>
        <w:tc>
          <w:tcPr>
            <w:tcW w:w="1935" w:type="dxa"/>
            <w:vAlign w:val="center"/>
          </w:tcPr>
          <w:p w14:paraId="2EFFE1AA">
            <w:pPr>
              <w:spacing w:line="360" w:lineRule="auto"/>
              <w:contextualSpacing/>
              <w:jc w:val="center"/>
              <w:rPr>
                <w:rFonts w:ascii="宋体" w:cs="宋体"/>
                <w:color w:val="auto"/>
                <w:sz w:val="24"/>
                <w:szCs w:val="20"/>
                <w:highlight w:val="none"/>
              </w:rPr>
            </w:pPr>
            <w:r>
              <w:rPr>
                <w:rFonts w:hint="eastAsia" w:ascii="宋体" w:hAnsi="宋体" w:cs="宋体"/>
                <w:color w:val="auto"/>
                <w:sz w:val="24"/>
                <w:szCs w:val="20"/>
                <w:highlight w:val="none"/>
              </w:rPr>
              <w:t>劳动合同编号</w:t>
            </w:r>
          </w:p>
        </w:tc>
      </w:tr>
      <w:tr w14:paraId="64D1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1EF6D9">
            <w:pPr>
              <w:spacing w:line="360" w:lineRule="auto"/>
              <w:contextualSpacing/>
              <w:jc w:val="center"/>
              <w:rPr>
                <w:rFonts w:ascii="宋体" w:cs="宋体"/>
                <w:color w:val="auto"/>
                <w:sz w:val="24"/>
                <w:szCs w:val="20"/>
                <w:highlight w:val="none"/>
              </w:rPr>
            </w:pPr>
          </w:p>
        </w:tc>
        <w:tc>
          <w:tcPr>
            <w:tcW w:w="709" w:type="dxa"/>
            <w:vAlign w:val="center"/>
          </w:tcPr>
          <w:p w14:paraId="6C076414">
            <w:pPr>
              <w:spacing w:line="360" w:lineRule="auto"/>
              <w:contextualSpacing/>
              <w:jc w:val="center"/>
              <w:rPr>
                <w:rFonts w:ascii="宋体" w:cs="宋体"/>
                <w:color w:val="auto"/>
                <w:sz w:val="24"/>
                <w:szCs w:val="20"/>
                <w:highlight w:val="none"/>
              </w:rPr>
            </w:pPr>
          </w:p>
        </w:tc>
        <w:tc>
          <w:tcPr>
            <w:tcW w:w="2905" w:type="dxa"/>
            <w:vAlign w:val="center"/>
          </w:tcPr>
          <w:p w14:paraId="3016F66E">
            <w:pPr>
              <w:spacing w:line="360" w:lineRule="auto"/>
              <w:contextualSpacing/>
              <w:jc w:val="center"/>
              <w:rPr>
                <w:rFonts w:ascii="宋体" w:cs="宋体"/>
                <w:color w:val="auto"/>
                <w:sz w:val="24"/>
                <w:szCs w:val="20"/>
                <w:highlight w:val="none"/>
              </w:rPr>
            </w:pPr>
          </w:p>
        </w:tc>
        <w:tc>
          <w:tcPr>
            <w:tcW w:w="1309" w:type="dxa"/>
            <w:vAlign w:val="center"/>
          </w:tcPr>
          <w:p w14:paraId="148DE28C">
            <w:pPr>
              <w:spacing w:line="360" w:lineRule="auto"/>
              <w:contextualSpacing/>
              <w:jc w:val="center"/>
              <w:rPr>
                <w:rFonts w:ascii="宋体" w:cs="宋体"/>
                <w:color w:val="auto"/>
                <w:sz w:val="24"/>
                <w:szCs w:val="20"/>
                <w:highlight w:val="none"/>
              </w:rPr>
            </w:pPr>
          </w:p>
        </w:tc>
        <w:tc>
          <w:tcPr>
            <w:tcW w:w="1956" w:type="dxa"/>
            <w:vAlign w:val="center"/>
          </w:tcPr>
          <w:p w14:paraId="40216A53">
            <w:pPr>
              <w:spacing w:line="360" w:lineRule="auto"/>
              <w:contextualSpacing/>
              <w:jc w:val="center"/>
              <w:rPr>
                <w:rFonts w:ascii="宋体" w:cs="宋体"/>
                <w:color w:val="auto"/>
                <w:sz w:val="24"/>
                <w:szCs w:val="20"/>
                <w:highlight w:val="none"/>
              </w:rPr>
            </w:pPr>
          </w:p>
        </w:tc>
        <w:tc>
          <w:tcPr>
            <w:tcW w:w="1935" w:type="dxa"/>
            <w:vAlign w:val="center"/>
          </w:tcPr>
          <w:p w14:paraId="54C22789">
            <w:pPr>
              <w:spacing w:line="360" w:lineRule="auto"/>
              <w:contextualSpacing/>
              <w:jc w:val="center"/>
              <w:rPr>
                <w:rFonts w:ascii="宋体" w:cs="宋体"/>
                <w:color w:val="auto"/>
                <w:sz w:val="24"/>
                <w:szCs w:val="20"/>
                <w:highlight w:val="none"/>
              </w:rPr>
            </w:pPr>
          </w:p>
        </w:tc>
      </w:tr>
      <w:tr w14:paraId="0B2F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DE2864">
            <w:pPr>
              <w:spacing w:line="360" w:lineRule="auto"/>
              <w:contextualSpacing/>
              <w:jc w:val="center"/>
              <w:rPr>
                <w:rFonts w:ascii="宋体" w:cs="宋体"/>
                <w:color w:val="auto"/>
                <w:sz w:val="24"/>
                <w:szCs w:val="20"/>
                <w:highlight w:val="none"/>
              </w:rPr>
            </w:pPr>
          </w:p>
        </w:tc>
        <w:tc>
          <w:tcPr>
            <w:tcW w:w="709" w:type="dxa"/>
            <w:vAlign w:val="center"/>
          </w:tcPr>
          <w:p w14:paraId="40A087D1">
            <w:pPr>
              <w:spacing w:line="360" w:lineRule="auto"/>
              <w:contextualSpacing/>
              <w:jc w:val="center"/>
              <w:rPr>
                <w:rFonts w:ascii="宋体" w:cs="宋体"/>
                <w:color w:val="auto"/>
                <w:sz w:val="24"/>
                <w:szCs w:val="20"/>
                <w:highlight w:val="none"/>
              </w:rPr>
            </w:pPr>
          </w:p>
        </w:tc>
        <w:tc>
          <w:tcPr>
            <w:tcW w:w="2905" w:type="dxa"/>
            <w:vAlign w:val="center"/>
          </w:tcPr>
          <w:p w14:paraId="085CBDBD">
            <w:pPr>
              <w:spacing w:line="360" w:lineRule="auto"/>
              <w:contextualSpacing/>
              <w:jc w:val="center"/>
              <w:rPr>
                <w:rFonts w:ascii="宋体" w:cs="宋体"/>
                <w:color w:val="auto"/>
                <w:sz w:val="24"/>
                <w:szCs w:val="20"/>
                <w:highlight w:val="none"/>
              </w:rPr>
            </w:pPr>
          </w:p>
        </w:tc>
        <w:tc>
          <w:tcPr>
            <w:tcW w:w="1309" w:type="dxa"/>
            <w:vAlign w:val="center"/>
          </w:tcPr>
          <w:p w14:paraId="625346E9">
            <w:pPr>
              <w:spacing w:line="360" w:lineRule="auto"/>
              <w:contextualSpacing/>
              <w:jc w:val="center"/>
              <w:rPr>
                <w:rFonts w:ascii="宋体" w:cs="宋体"/>
                <w:color w:val="auto"/>
                <w:sz w:val="24"/>
                <w:szCs w:val="20"/>
                <w:highlight w:val="none"/>
              </w:rPr>
            </w:pPr>
          </w:p>
        </w:tc>
        <w:tc>
          <w:tcPr>
            <w:tcW w:w="1956" w:type="dxa"/>
            <w:vAlign w:val="center"/>
          </w:tcPr>
          <w:p w14:paraId="5D071451">
            <w:pPr>
              <w:spacing w:line="360" w:lineRule="auto"/>
              <w:contextualSpacing/>
              <w:jc w:val="center"/>
              <w:rPr>
                <w:rFonts w:ascii="宋体" w:cs="宋体"/>
                <w:color w:val="auto"/>
                <w:sz w:val="24"/>
                <w:szCs w:val="20"/>
                <w:highlight w:val="none"/>
              </w:rPr>
            </w:pPr>
          </w:p>
        </w:tc>
        <w:tc>
          <w:tcPr>
            <w:tcW w:w="1935" w:type="dxa"/>
            <w:vAlign w:val="center"/>
          </w:tcPr>
          <w:p w14:paraId="0E41719C">
            <w:pPr>
              <w:spacing w:line="360" w:lineRule="auto"/>
              <w:contextualSpacing/>
              <w:jc w:val="center"/>
              <w:rPr>
                <w:rFonts w:ascii="宋体" w:cs="宋体"/>
                <w:color w:val="auto"/>
                <w:sz w:val="24"/>
                <w:szCs w:val="20"/>
                <w:highlight w:val="none"/>
              </w:rPr>
            </w:pPr>
          </w:p>
        </w:tc>
      </w:tr>
      <w:tr w14:paraId="6470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F7BFBA">
            <w:pPr>
              <w:spacing w:line="360" w:lineRule="auto"/>
              <w:contextualSpacing/>
              <w:jc w:val="center"/>
              <w:rPr>
                <w:rFonts w:ascii="宋体" w:cs="宋体"/>
                <w:color w:val="auto"/>
                <w:sz w:val="24"/>
                <w:szCs w:val="20"/>
                <w:highlight w:val="none"/>
              </w:rPr>
            </w:pPr>
          </w:p>
        </w:tc>
        <w:tc>
          <w:tcPr>
            <w:tcW w:w="709" w:type="dxa"/>
            <w:vAlign w:val="center"/>
          </w:tcPr>
          <w:p w14:paraId="6345B156">
            <w:pPr>
              <w:spacing w:line="360" w:lineRule="auto"/>
              <w:contextualSpacing/>
              <w:jc w:val="center"/>
              <w:rPr>
                <w:rFonts w:ascii="宋体" w:cs="宋体"/>
                <w:color w:val="auto"/>
                <w:sz w:val="24"/>
                <w:szCs w:val="20"/>
                <w:highlight w:val="none"/>
              </w:rPr>
            </w:pPr>
          </w:p>
        </w:tc>
        <w:tc>
          <w:tcPr>
            <w:tcW w:w="2905" w:type="dxa"/>
            <w:vAlign w:val="center"/>
          </w:tcPr>
          <w:p w14:paraId="23D5FAC1">
            <w:pPr>
              <w:spacing w:line="360" w:lineRule="auto"/>
              <w:contextualSpacing/>
              <w:jc w:val="center"/>
              <w:rPr>
                <w:rFonts w:ascii="宋体" w:cs="宋体"/>
                <w:color w:val="auto"/>
                <w:sz w:val="24"/>
                <w:szCs w:val="20"/>
                <w:highlight w:val="none"/>
              </w:rPr>
            </w:pPr>
          </w:p>
        </w:tc>
        <w:tc>
          <w:tcPr>
            <w:tcW w:w="1309" w:type="dxa"/>
            <w:vAlign w:val="center"/>
          </w:tcPr>
          <w:p w14:paraId="2BC5CF62">
            <w:pPr>
              <w:spacing w:line="360" w:lineRule="auto"/>
              <w:contextualSpacing/>
              <w:jc w:val="center"/>
              <w:rPr>
                <w:rFonts w:ascii="宋体" w:cs="宋体"/>
                <w:color w:val="auto"/>
                <w:sz w:val="24"/>
                <w:szCs w:val="20"/>
                <w:highlight w:val="none"/>
              </w:rPr>
            </w:pPr>
          </w:p>
        </w:tc>
        <w:tc>
          <w:tcPr>
            <w:tcW w:w="1956" w:type="dxa"/>
            <w:vAlign w:val="center"/>
          </w:tcPr>
          <w:p w14:paraId="1A628AA8">
            <w:pPr>
              <w:spacing w:line="360" w:lineRule="auto"/>
              <w:contextualSpacing/>
              <w:jc w:val="center"/>
              <w:rPr>
                <w:rFonts w:ascii="宋体" w:cs="宋体"/>
                <w:color w:val="auto"/>
                <w:sz w:val="24"/>
                <w:szCs w:val="20"/>
                <w:highlight w:val="none"/>
              </w:rPr>
            </w:pPr>
          </w:p>
        </w:tc>
        <w:tc>
          <w:tcPr>
            <w:tcW w:w="1935" w:type="dxa"/>
            <w:vAlign w:val="center"/>
          </w:tcPr>
          <w:p w14:paraId="5A226F50">
            <w:pPr>
              <w:spacing w:line="360" w:lineRule="auto"/>
              <w:contextualSpacing/>
              <w:jc w:val="center"/>
              <w:rPr>
                <w:rFonts w:ascii="宋体" w:cs="宋体"/>
                <w:color w:val="auto"/>
                <w:sz w:val="24"/>
                <w:szCs w:val="20"/>
                <w:highlight w:val="none"/>
              </w:rPr>
            </w:pPr>
          </w:p>
        </w:tc>
      </w:tr>
    </w:tbl>
    <w:p w14:paraId="613218D7">
      <w:pPr>
        <w:spacing w:line="360" w:lineRule="auto"/>
        <w:contextualSpacing/>
        <w:jc w:val="left"/>
        <w:rPr>
          <w:rFonts w:ascii="宋体" w:cs="宋体"/>
          <w:color w:val="auto"/>
          <w:sz w:val="24"/>
          <w:szCs w:val="20"/>
          <w:highlight w:val="none"/>
        </w:rPr>
      </w:pPr>
      <w:r>
        <w:rPr>
          <w:rFonts w:hint="eastAsia" w:ascii="宋体" w:hAnsi="宋体" w:cs="宋体"/>
          <w:color w:val="auto"/>
          <w:sz w:val="24"/>
          <w:szCs w:val="20"/>
          <w:highlight w:val="none"/>
        </w:rPr>
        <w:t>注：</w:t>
      </w:r>
    </w:p>
    <w:p w14:paraId="7C5F92C1">
      <w:pPr>
        <w:spacing w:line="360" w:lineRule="auto"/>
        <w:contextualSpacing/>
        <w:jc w:val="left"/>
        <w:rPr>
          <w:rFonts w:ascii="宋体" w:cs="宋体"/>
          <w:color w:val="auto"/>
          <w:sz w:val="24"/>
          <w:szCs w:val="20"/>
          <w:highlight w:val="none"/>
        </w:rPr>
      </w:pPr>
      <w:r>
        <w:rPr>
          <w:rFonts w:ascii="宋体" w:hAnsi="宋体" w:cs="宋体"/>
          <w:color w:val="auto"/>
          <w:sz w:val="24"/>
          <w:szCs w:val="20"/>
          <w:highlight w:val="none"/>
        </w:rPr>
        <w:t>1.</w:t>
      </w:r>
      <w:r>
        <w:rPr>
          <w:rFonts w:hint="eastAsia" w:ascii="宋体" w:hAnsi="宋体" w:cs="宋体"/>
          <w:color w:val="auto"/>
          <w:sz w:val="24"/>
          <w:szCs w:val="20"/>
          <w:highlight w:val="none"/>
        </w:rPr>
        <w:t>在填写时，如本表格不适合供应商的实际情况，可根据本表格式自行制表填写。</w:t>
      </w:r>
    </w:p>
    <w:p w14:paraId="088767BD">
      <w:pPr>
        <w:spacing w:line="360" w:lineRule="auto"/>
        <w:contextualSpacing/>
        <w:jc w:val="left"/>
        <w:rPr>
          <w:rFonts w:ascii="宋体" w:cs="宋体"/>
          <w:color w:val="auto"/>
          <w:sz w:val="24"/>
          <w:szCs w:val="20"/>
          <w:highlight w:val="none"/>
        </w:rPr>
      </w:pPr>
      <w:r>
        <w:rPr>
          <w:rFonts w:ascii="宋体" w:hAnsi="宋体" w:cs="宋体"/>
          <w:color w:val="auto"/>
          <w:sz w:val="24"/>
          <w:szCs w:val="20"/>
          <w:highlight w:val="none"/>
        </w:rPr>
        <w:t>2.</w:t>
      </w:r>
      <w:r>
        <w:rPr>
          <w:rFonts w:hint="eastAsia" w:ascii="宋体" w:hAnsi="宋体" w:cs="宋体"/>
          <w:color w:val="auto"/>
          <w:sz w:val="24"/>
          <w:szCs w:val="20"/>
          <w:highlight w:val="none"/>
        </w:rPr>
        <w:t>供应商应当附本表所列证书的复印件并加盖供应商公章。</w:t>
      </w:r>
    </w:p>
    <w:p w14:paraId="2672D11D">
      <w:pPr>
        <w:spacing w:line="360" w:lineRule="auto"/>
        <w:contextualSpacing/>
        <w:rPr>
          <w:rFonts w:asci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ascii="宋体" w:hAnsi="宋体" w:cs="宋体"/>
          <w:color w:val="auto"/>
          <w:spacing w:val="20"/>
          <w:sz w:val="24"/>
          <w:highlight w:val="none"/>
          <w:u w:val="single"/>
        </w:rPr>
        <w:t xml:space="preserve">        </w:t>
      </w:r>
    </w:p>
    <w:p w14:paraId="4FAF88E1">
      <w:pPr>
        <w:spacing w:line="360" w:lineRule="auto"/>
        <w:contextualSpacing/>
        <w:jc w:val="left"/>
        <w:rPr>
          <w:rFonts w:ascii="宋体" w:cs="宋体"/>
          <w:color w:val="auto"/>
          <w:sz w:val="24"/>
          <w:szCs w:val="20"/>
          <w:highlight w:val="none"/>
        </w:rPr>
      </w:pPr>
      <w:r>
        <w:rPr>
          <w:rFonts w:hint="eastAsia" w:ascii="宋体" w:hAnsi="宋体" w:cs="宋体"/>
          <w:color w:val="auto"/>
          <w:spacing w:val="20"/>
          <w:sz w:val="24"/>
          <w:highlight w:val="none"/>
        </w:rPr>
        <w:t>供应商（盖公章）：</w:t>
      </w:r>
      <w:r>
        <w:rPr>
          <w:rFonts w:ascii="宋体" w:hAnsi="宋体" w:cs="宋体"/>
          <w:color w:val="auto"/>
          <w:spacing w:val="20"/>
          <w:sz w:val="24"/>
          <w:highlight w:val="none"/>
          <w:u w:val="singl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期：</w:t>
      </w:r>
      <w:r>
        <w:rPr>
          <w:rFonts w:ascii="宋体" w:hAnsi="宋体" w:cs="宋体"/>
          <w:color w:val="auto"/>
          <w:spacing w:val="20"/>
          <w:sz w:val="24"/>
          <w:highlight w:val="none"/>
          <w:u w:val="single"/>
        </w:rPr>
        <w:t xml:space="preserve">         </w:t>
      </w:r>
    </w:p>
    <w:p w14:paraId="5D010126">
      <w:pPr>
        <w:snapToGrid w:val="0"/>
        <w:spacing w:before="50" w:afterLines="50"/>
        <w:jc w:val="left"/>
        <w:rPr>
          <w:rFonts w:ascii="宋体" w:cs="宋体"/>
          <w:color w:val="auto"/>
          <w:sz w:val="24"/>
          <w:szCs w:val="20"/>
          <w:highlight w:val="none"/>
        </w:rPr>
      </w:pPr>
    </w:p>
    <w:p w14:paraId="200B40BB">
      <w:pPr>
        <w:snapToGrid w:val="0"/>
        <w:spacing w:before="50" w:after="50" w:line="360" w:lineRule="auto"/>
        <w:ind w:right="-817" w:rightChars="-389" w:firstLine="5461" w:firstLineChars="1700"/>
        <w:rPr>
          <w:rFonts w:ascii="宋体" w:cs="宋体"/>
          <w:b/>
          <w:color w:val="auto"/>
          <w:sz w:val="32"/>
          <w:szCs w:val="32"/>
          <w:highlight w:val="none"/>
        </w:rPr>
      </w:pPr>
    </w:p>
    <w:p w14:paraId="2EEBE32C">
      <w:pPr>
        <w:spacing w:line="300" w:lineRule="auto"/>
        <w:rPr>
          <w:rFonts w:ascii="宋体" w:cs="宋体"/>
          <w:color w:val="auto"/>
          <w:szCs w:val="21"/>
          <w:highlight w:val="none"/>
        </w:rPr>
      </w:pPr>
      <w:r>
        <w:rPr>
          <w:rFonts w:ascii="宋体" w:cs="宋体"/>
          <w:b/>
          <w:bCs/>
          <w:color w:val="auto"/>
          <w:sz w:val="24"/>
          <w:highlight w:val="none"/>
        </w:rPr>
        <w:br w:type="page"/>
      </w:r>
      <w:r>
        <w:rPr>
          <w:rFonts w:hint="eastAsia" w:ascii="宋体" w:hAnsi="宋体" w:cs="宋体"/>
          <w:b/>
          <w:bCs/>
          <w:color w:val="auto"/>
          <w:sz w:val="24"/>
          <w:highlight w:val="none"/>
        </w:rPr>
        <w:t>其他文书、文件格式</w:t>
      </w:r>
    </w:p>
    <w:p w14:paraId="6612ADD0">
      <w:pPr>
        <w:jc w:val="center"/>
        <w:rPr>
          <w:rFonts w:ascii="宋体" w:cs="宋体"/>
          <w:color w:val="auto"/>
          <w:sz w:val="44"/>
          <w:szCs w:val="44"/>
          <w:highlight w:val="none"/>
        </w:rPr>
      </w:pPr>
      <w:bookmarkStart w:id="145" w:name="_Toc71365926"/>
      <w:r>
        <w:rPr>
          <w:rFonts w:hint="eastAsia" w:ascii="宋体" w:hAnsi="宋体" w:cs="宋体"/>
          <w:color w:val="auto"/>
          <w:sz w:val="44"/>
          <w:szCs w:val="44"/>
          <w:highlight w:val="none"/>
        </w:rPr>
        <w:t>中小企业声明函（服务）</w:t>
      </w:r>
      <w:bookmarkEnd w:id="145"/>
    </w:p>
    <w:p w14:paraId="4F68AFDE">
      <w:pPr>
        <w:spacing w:before="2" w:line="500" w:lineRule="exact"/>
        <w:ind w:firstLine="708" w:firstLineChars="294"/>
        <w:rPr>
          <w:rFonts w:ascii="宋体" w:cs="宋体"/>
          <w:b/>
          <w:bCs/>
          <w:color w:val="auto"/>
          <w:sz w:val="24"/>
          <w:highlight w:val="none"/>
        </w:rPr>
      </w:pPr>
    </w:p>
    <w:p w14:paraId="16C25C5C">
      <w:pPr>
        <w:pStyle w:val="15"/>
        <w:spacing w:line="500" w:lineRule="exact"/>
        <w:ind w:right="142" w:firstLine="705" w:firstLineChars="294"/>
        <w:rPr>
          <w:rFonts w:asci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53D34CBF">
      <w:pPr>
        <w:tabs>
          <w:tab w:val="left" w:pos="1384"/>
          <w:tab w:val="left" w:pos="4562"/>
          <w:tab w:val="left" w:pos="6803"/>
        </w:tabs>
        <w:spacing w:before="13" w:line="500" w:lineRule="exact"/>
        <w:ind w:right="142" w:firstLine="772" w:firstLineChars="322"/>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97EFC3B">
      <w:pPr>
        <w:tabs>
          <w:tab w:val="left" w:pos="1065"/>
          <w:tab w:val="left" w:pos="4262"/>
          <w:tab w:val="left" w:pos="6477"/>
        </w:tabs>
        <w:spacing w:before="20" w:line="500" w:lineRule="exact"/>
        <w:ind w:right="84" w:firstLine="772" w:firstLineChars="322"/>
        <w:rPr>
          <w:rFonts w:ascii="宋体" w:cs="宋体"/>
          <w:color w:val="auto"/>
          <w:sz w:val="24"/>
          <w:highlight w:val="none"/>
          <w:u w:val="single"/>
        </w:rPr>
      </w:pPr>
      <w:r>
        <w:rPr>
          <w:rFonts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372D75A">
      <w:pPr>
        <w:pStyle w:val="15"/>
        <w:spacing w:before="34" w:line="500" w:lineRule="exact"/>
        <w:ind w:right="142" w:firstLine="705" w:firstLineChars="294"/>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 </w:t>
      </w:r>
    </w:p>
    <w:p w14:paraId="654F75B3">
      <w:pPr>
        <w:pStyle w:val="15"/>
        <w:spacing w:before="34" w:line="500" w:lineRule="exact"/>
        <w:ind w:right="142" w:firstLine="705" w:firstLineChars="294"/>
        <w:rPr>
          <w:rFonts w:asci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6625A87">
      <w:pPr>
        <w:pStyle w:val="15"/>
        <w:spacing w:before="25" w:line="500" w:lineRule="exact"/>
        <w:ind w:right="142" w:firstLine="705" w:firstLineChars="294"/>
        <w:rPr>
          <w:rFonts w:asci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271D242">
      <w:pPr>
        <w:pStyle w:val="15"/>
        <w:spacing w:before="56" w:line="500" w:lineRule="exact"/>
        <w:ind w:right="1808" w:firstLine="705" w:firstLineChars="294"/>
        <w:rPr>
          <w:rFonts w:ascii="宋体" w:cs="宋体"/>
          <w:color w:val="auto"/>
          <w:sz w:val="24"/>
          <w:highlight w:val="none"/>
        </w:rPr>
      </w:pPr>
    </w:p>
    <w:p w14:paraId="5CD871DF">
      <w:pPr>
        <w:pStyle w:val="15"/>
        <w:spacing w:before="56" w:line="500" w:lineRule="exact"/>
        <w:ind w:right="650" w:firstLine="5625" w:firstLineChars="2344"/>
        <w:rPr>
          <w:rFonts w:ascii="宋体" w:cs="宋体"/>
          <w:color w:val="auto"/>
          <w:sz w:val="24"/>
          <w:highlight w:val="none"/>
        </w:rPr>
      </w:pPr>
      <w:r>
        <w:rPr>
          <w:rFonts w:hint="eastAsia" w:ascii="宋体" w:hAnsi="宋体" w:cs="宋体"/>
          <w:color w:val="auto"/>
          <w:sz w:val="24"/>
          <w:highlight w:val="none"/>
        </w:rPr>
        <w:t>企业名称（章）：</w:t>
      </w:r>
      <w:r>
        <w:rPr>
          <w:rFonts w:ascii="宋体" w:hAnsi="宋体" w:cs="宋体"/>
          <w:color w:val="auto"/>
          <w:sz w:val="24"/>
          <w:highlight w:val="none"/>
        </w:rPr>
        <w:t xml:space="preserve"> </w:t>
      </w:r>
    </w:p>
    <w:p w14:paraId="21C2716D">
      <w:pPr>
        <w:pStyle w:val="15"/>
        <w:spacing w:before="56" w:line="500" w:lineRule="exact"/>
        <w:ind w:right="1808" w:firstLine="5625" w:firstLineChars="2344"/>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p>
    <w:p w14:paraId="6036E732">
      <w:pPr>
        <w:spacing w:line="520" w:lineRule="exact"/>
        <w:jc w:val="left"/>
        <w:rPr>
          <w:rFonts w:ascii="宋体" w:cs="宋体"/>
          <w:color w:val="auto"/>
          <w:sz w:val="24"/>
          <w:highlight w:val="none"/>
        </w:rPr>
      </w:pPr>
      <w:r>
        <w:rPr>
          <w:rFonts w:hint="eastAsia" w:ascii="宋体" w:hAnsi="宋体" w:cs="宋体"/>
          <w:color w:val="auto"/>
          <w:sz w:val="24"/>
          <w:highlight w:val="none"/>
        </w:rPr>
        <w:t>注：享受《政府采购促进中小企业发展管理办法》（财库〔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号）规定的中小企业扶持政策的，采购人、采购代理机构应当随成交结果公开成交供应商的《中小企业声明函》。从业人员、营业收入、资产总额填报上一年度数据，无上一年度数据的新成立企业可不填报。</w:t>
      </w:r>
    </w:p>
    <w:p w14:paraId="5983D698">
      <w:pPr>
        <w:spacing w:line="520" w:lineRule="exact"/>
        <w:jc w:val="center"/>
        <w:rPr>
          <w:rFonts w:ascii="宋体" w:cs="宋体"/>
          <w:color w:val="auto"/>
          <w:sz w:val="24"/>
          <w:highlight w:val="none"/>
        </w:rPr>
      </w:pPr>
    </w:p>
    <w:p w14:paraId="28B51339">
      <w:pPr>
        <w:pStyle w:val="19"/>
        <w:jc w:val="left"/>
        <w:rPr>
          <w:rFonts w:hAnsi="宋体" w:cs="宋体"/>
          <w:color w:val="auto"/>
          <w:sz w:val="32"/>
          <w:szCs w:val="32"/>
          <w:highlight w:val="none"/>
        </w:rPr>
      </w:pPr>
      <w:r>
        <w:rPr>
          <w:rFonts w:hAnsi="宋体" w:cs="宋体"/>
          <w:color w:val="auto"/>
          <w:sz w:val="24"/>
          <w:highlight w:val="none"/>
        </w:rPr>
        <w:br w:type="page"/>
      </w:r>
      <w:r>
        <w:rPr>
          <w:rFonts w:hint="eastAsia" w:hAnsi="宋体" w:cs="宋体"/>
          <w:color w:val="auto"/>
          <w:sz w:val="32"/>
          <w:szCs w:val="32"/>
          <w:highlight w:val="none"/>
        </w:rPr>
        <w:t>附：</w:t>
      </w:r>
    </w:p>
    <w:p w14:paraId="11531915">
      <w:pPr>
        <w:jc w:val="center"/>
        <w:rPr>
          <w:rFonts w:ascii="宋体" w:cs="宋体"/>
          <w:color w:val="auto"/>
          <w:sz w:val="44"/>
          <w:szCs w:val="44"/>
          <w:highlight w:val="none"/>
        </w:rPr>
      </w:pPr>
      <w:r>
        <w:rPr>
          <w:rFonts w:hint="eastAsia" w:ascii="宋体" w:hAnsi="宋体" w:cs="宋体"/>
          <w:color w:val="auto"/>
          <w:sz w:val="44"/>
          <w:szCs w:val="44"/>
          <w:highlight w:val="none"/>
        </w:rPr>
        <w:t>中小微企业划型标准</w:t>
      </w:r>
    </w:p>
    <w:p w14:paraId="1199FF44">
      <w:pPr>
        <w:ind w:left="1871"/>
        <w:rPr>
          <w:rFonts w:ascii="宋体" w:cs="宋体"/>
          <w:color w:val="auto"/>
          <w:szCs w:val="21"/>
          <w:highlight w:val="none"/>
        </w:rPr>
      </w:pPr>
    </w:p>
    <w:tbl>
      <w:tblPr>
        <w:tblStyle w:val="33"/>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00D48F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BDEEB5A">
            <w:pPr>
              <w:widowControl/>
              <w:jc w:val="left"/>
              <w:rPr>
                <w:rFonts w:asci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5A287324">
            <w:pPr>
              <w:widowControl/>
              <w:jc w:val="left"/>
              <w:rPr>
                <w:rFonts w:asci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24234796">
            <w:pPr>
              <w:widowControl/>
              <w:jc w:val="left"/>
              <w:rPr>
                <w:rFonts w:asci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2F06A90B">
            <w:pPr>
              <w:widowControl/>
              <w:jc w:val="left"/>
              <w:rPr>
                <w:rFonts w:asci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4FD80CD6">
            <w:pPr>
              <w:widowControl/>
              <w:jc w:val="left"/>
              <w:rPr>
                <w:rFonts w:asci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5B4E1489">
            <w:pPr>
              <w:widowControl/>
              <w:jc w:val="left"/>
              <w:rPr>
                <w:rFonts w:ascii="宋体" w:cs="宋体"/>
                <w:b/>
                <w:color w:val="auto"/>
                <w:kern w:val="0"/>
                <w:sz w:val="24"/>
                <w:highlight w:val="none"/>
              </w:rPr>
            </w:pPr>
            <w:r>
              <w:rPr>
                <w:rFonts w:hint="eastAsia" w:ascii="宋体" w:hAnsi="宋体" w:cs="宋体"/>
                <w:b/>
                <w:color w:val="auto"/>
                <w:kern w:val="0"/>
                <w:sz w:val="24"/>
                <w:highlight w:val="none"/>
              </w:rPr>
              <w:t>微型</w:t>
            </w:r>
          </w:p>
        </w:tc>
      </w:tr>
      <w:tr w14:paraId="39687364">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AAC0D17">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40A8DB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62589BB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1A1D80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40" w:type="dxa"/>
            <w:tcBorders>
              <w:top w:val="nil"/>
              <w:left w:val="nil"/>
              <w:bottom w:val="single" w:color="auto" w:sz="4" w:space="0"/>
              <w:right w:val="single" w:color="auto" w:sz="4" w:space="0"/>
            </w:tcBorders>
            <w:vAlign w:val="center"/>
          </w:tcPr>
          <w:p w14:paraId="7B3A990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925" w:type="dxa"/>
            <w:tcBorders>
              <w:top w:val="nil"/>
              <w:left w:val="nil"/>
              <w:bottom w:val="single" w:color="auto" w:sz="4" w:space="0"/>
              <w:right w:val="single" w:color="auto" w:sz="4" w:space="0"/>
            </w:tcBorders>
            <w:vAlign w:val="center"/>
          </w:tcPr>
          <w:p w14:paraId="5E4AC98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78E702F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3E83A9C">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7FCB796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6D5027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A4DC3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40" w:type="dxa"/>
            <w:tcBorders>
              <w:top w:val="nil"/>
              <w:left w:val="nil"/>
              <w:bottom w:val="single" w:color="auto" w:sz="4" w:space="0"/>
              <w:right w:val="single" w:color="auto" w:sz="4" w:space="0"/>
            </w:tcBorders>
            <w:vAlign w:val="center"/>
          </w:tcPr>
          <w:p w14:paraId="7EB3829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25" w:type="dxa"/>
            <w:tcBorders>
              <w:top w:val="nil"/>
              <w:left w:val="nil"/>
              <w:bottom w:val="single" w:color="auto" w:sz="4" w:space="0"/>
              <w:right w:val="single" w:color="auto" w:sz="4" w:space="0"/>
            </w:tcBorders>
            <w:vAlign w:val="center"/>
          </w:tcPr>
          <w:p w14:paraId="5545C21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3B54FE3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0CCAFC">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B8FC4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A75EC2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D9E94C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40" w:type="dxa"/>
            <w:tcBorders>
              <w:top w:val="nil"/>
              <w:left w:val="nil"/>
              <w:bottom w:val="single" w:color="auto" w:sz="4" w:space="0"/>
              <w:right w:val="single" w:color="auto" w:sz="4" w:space="0"/>
            </w:tcBorders>
            <w:vAlign w:val="center"/>
          </w:tcPr>
          <w:p w14:paraId="10CF06C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25" w:type="dxa"/>
            <w:tcBorders>
              <w:top w:val="nil"/>
              <w:left w:val="nil"/>
              <w:bottom w:val="single" w:color="auto" w:sz="4" w:space="0"/>
              <w:right w:val="single" w:color="auto" w:sz="4" w:space="0"/>
            </w:tcBorders>
            <w:vAlign w:val="center"/>
          </w:tcPr>
          <w:p w14:paraId="775A774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50A4D77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34EF52">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EE63BE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1939049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4E0AC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6000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40" w:type="dxa"/>
            <w:tcBorders>
              <w:top w:val="nil"/>
              <w:left w:val="nil"/>
              <w:bottom w:val="single" w:color="auto" w:sz="4" w:space="0"/>
              <w:right w:val="single" w:color="auto" w:sz="4" w:space="0"/>
            </w:tcBorders>
            <w:vAlign w:val="center"/>
          </w:tcPr>
          <w:p w14:paraId="61A520D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6000</w:t>
            </w:r>
          </w:p>
        </w:tc>
        <w:tc>
          <w:tcPr>
            <w:tcW w:w="925" w:type="dxa"/>
            <w:tcBorders>
              <w:top w:val="nil"/>
              <w:left w:val="nil"/>
              <w:bottom w:val="single" w:color="auto" w:sz="4" w:space="0"/>
              <w:right w:val="single" w:color="auto" w:sz="4" w:space="0"/>
            </w:tcBorders>
            <w:vAlign w:val="center"/>
          </w:tcPr>
          <w:p w14:paraId="70C8E4A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1DA2223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1604B18">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AE9F60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498C16B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5CE324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440" w:type="dxa"/>
            <w:tcBorders>
              <w:top w:val="nil"/>
              <w:left w:val="nil"/>
              <w:bottom w:val="single" w:color="auto" w:sz="4" w:space="0"/>
              <w:right w:val="single" w:color="auto" w:sz="4" w:space="0"/>
            </w:tcBorders>
            <w:vAlign w:val="center"/>
          </w:tcPr>
          <w:p w14:paraId="2D53C2A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25" w:type="dxa"/>
            <w:tcBorders>
              <w:top w:val="nil"/>
              <w:left w:val="nil"/>
              <w:bottom w:val="single" w:color="auto" w:sz="4" w:space="0"/>
              <w:right w:val="single" w:color="auto" w:sz="4" w:space="0"/>
            </w:tcBorders>
            <w:vAlign w:val="center"/>
          </w:tcPr>
          <w:p w14:paraId="369652A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1603A2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8AA0B7">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3442A6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659D6E7">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73F6DE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40" w:type="dxa"/>
            <w:tcBorders>
              <w:top w:val="nil"/>
              <w:left w:val="nil"/>
              <w:bottom w:val="single" w:color="auto" w:sz="4" w:space="0"/>
              <w:right w:val="single" w:color="auto" w:sz="4" w:space="0"/>
            </w:tcBorders>
            <w:vAlign w:val="center"/>
          </w:tcPr>
          <w:p w14:paraId="0F2F2E4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c>
          <w:tcPr>
            <w:tcW w:w="925" w:type="dxa"/>
            <w:tcBorders>
              <w:top w:val="nil"/>
              <w:left w:val="nil"/>
              <w:bottom w:val="single" w:color="auto" w:sz="4" w:space="0"/>
              <w:right w:val="single" w:color="auto" w:sz="4" w:space="0"/>
            </w:tcBorders>
            <w:vAlign w:val="center"/>
          </w:tcPr>
          <w:p w14:paraId="4D56298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w:t>
            </w:r>
          </w:p>
        </w:tc>
      </w:tr>
      <w:tr w14:paraId="6A0C4C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1C1A3">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031C8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27D28BB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330D1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440" w:type="dxa"/>
            <w:tcBorders>
              <w:top w:val="nil"/>
              <w:left w:val="nil"/>
              <w:bottom w:val="single" w:color="auto" w:sz="4" w:space="0"/>
              <w:right w:val="single" w:color="auto" w:sz="4" w:space="0"/>
            </w:tcBorders>
            <w:vAlign w:val="center"/>
          </w:tcPr>
          <w:p w14:paraId="66F36E0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25" w:type="dxa"/>
            <w:tcBorders>
              <w:top w:val="nil"/>
              <w:left w:val="nil"/>
              <w:bottom w:val="single" w:color="auto" w:sz="4" w:space="0"/>
              <w:right w:val="single" w:color="auto" w:sz="4" w:space="0"/>
            </w:tcBorders>
            <w:vAlign w:val="center"/>
          </w:tcPr>
          <w:p w14:paraId="2241667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r>
      <w:tr w14:paraId="70C820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FCA8D6">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5A40BA1">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E58182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774AE1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47C27AB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c>
          <w:tcPr>
            <w:tcW w:w="925" w:type="dxa"/>
            <w:tcBorders>
              <w:top w:val="nil"/>
              <w:left w:val="nil"/>
              <w:bottom w:val="single" w:color="auto" w:sz="4" w:space="0"/>
              <w:right w:val="single" w:color="auto" w:sz="4" w:space="0"/>
            </w:tcBorders>
            <w:vAlign w:val="center"/>
          </w:tcPr>
          <w:p w14:paraId="01D3144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36C33DC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94AD767">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F334F0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5E116A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18521C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440" w:type="dxa"/>
            <w:tcBorders>
              <w:top w:val="nil"/>
              <w:left w:val="nil"/>
              <w:bottom w:val="single" w:color="auto" w:sz="4" w:space="0"/>
              <w:right w:val="single" w:color="auto" w:sz="4" w:space="0"/>
            </w:tcBorders>
            <w:vAlign w:val="center"/>
          </w:tcPr>
          <w:p w14:paraId="0876EED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925" w:type="dxa"/>
            <w:tcBorders>
              <w:top w:val="nil"/>
              <w:left w:val="nil"/>
              <w:bottom w:val="single" w:color="auto" w:sz="4" w:space="0"/>
              <w:right w:val="single" w:color="auto" w:sz="4" w:space="0"/>
            </w:tcBorders>
            <w:vAlign w:val="center"/>
          </w:tcPr>
          <w:p w14:paraId="1A7382E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7CDDE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AD6E4C">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5F2799F">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66B5C9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CD5D2D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40" w:type="dxa"/>
            <w:tcBorders>
              <w:top w:val="nil"/>
              <w:left w:val="nil"/>
              <w:bottom w:val="single" w:color="auto" w:sz="4" w:space="0"/>
              <w:right w:val="single" w:color="auto" w:sz="4" w:space="0"/>
            </w:tcBorders>
            <w:vAlign w:val="center"/>
          </w:tcPr>
          <w:p w14:paraId="12A6F99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25" w:type="dxa"/>
            <w:tcBorders>
              <w:top w:val="nil"/>
              <w:left w:val="nil"/>
              <w:bottom w:val="single" w:color="auto" w:sz="4" w:space="0"/>
              <w:right w:val="single" w:color="auto" w:sz="4" w:space="0"/>
            </w:tcBorders>
            <w:vAlign w:val="center"/>
          </w:tcPr>
          <w:p w14:paraId="3B21F91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19D35CF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C541031">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93611EA">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9B4EC3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0D76D2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40" w:type="dxa"/>
            <w:tcBorders>
              <w:top w:val="nil"/>
              <w:left w:val="nil"/>
              <w:bottom w:val="single" w:color="auto" w:sz="4" w:space="0"/>
              <w:right w:val="single" w:color="auto" w:sz="4" w:space="0"/>
            </w:tcBorders>
            <w:vAlign w:val="center"/>
          </w:tcPr>
          <w:p w14:paraId="472A211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w:t>
            </w:r>
          </w:p>
        </w:tc>
        <w:tc>
          <w:tcPr>
            <w:tcW w:w="925" w:type="dxa"/>
            <w:tcBorders>
              <w:top w:val="nil"/>
              <w:left w:val="nil"/>
              <w:bottom w:val="single" w:color="auto" w:sz="4" w:space="0"/>
              <w:right w:val="single" w:color="auto" w:sz="4" w:space="0"/>
            </w:tcBorders>
            <w:vAlign w:val="center"/>
          </w:tcPr>
          <w:p w14:paraId="339741E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r>
      <w:tr w14:paraId="19924D0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4A6366">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D6A6BF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4A0E034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4637FB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440" w:type="dxa"/>
            <w:tcBorders>
              <w:top w:val="nil"/>
              <w:left w:val="nil"/>
              <w:bottom w:val="single" w:color="auto" w:sz="4" w:space="0"/>
              <w:right w:val="single" w:color="auto" w:sz="4" w:space="0"/>
            </w:tcBorders>
            <w:vAlign w:val="center"/>
          </w:tcPr>
          <w:p w14:paraId="4B9931C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227F843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3DE8E2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9BE65E">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ED4C891">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F6B16F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5829B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40" w:type="dxa"/>
            <w:tcBorders>
              <w:top w:val="nil"/>
              <w:left w:val="nil"/>
              <w:bottom w:val="single" w:color="auto" w:sz="4" w:space="0"/>
              <w:right w:val="single" w:color="auto" w:sz="4" w:space="0"/>
            </w:tcBorders>
            <w:vAlign w:val="center"/>
          </w:tcPr>
          <w:p w14:paraId="4399E0C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25" w:type="dxa"/>
            <w:tcBorders>
              <w:top w:val="nil"/>
              <w:left w:val="nil"/>
              <w:bottom w:val="single" w:color="auto" w:sz="4" w:space="0"/>
              <w:right w:val="single" w:color="auto" w:sz="4" w:space="0"/>
            </w:tcBorders>
            <w:vAlign w:val="center"/>
          </w:tcPr>
          <w:p w14:paraId="7A375BA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155ECA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539B2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556274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27110D4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7DA056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40" w:type="dxa"/>
            <w:tcBorders>
              <w:top w:val="nil"/>
              <w:left w:val="nil"/>
              <w:bottom w:val="single" w:color="auto" w:sz="4" w:space="0"/>
              <w:right w:val="single" w:color="auto" w:sz="4" w:space="0"/>
            </w:tcBorders>
            <w:vAlign w:val="center"/>
          </w:tcPr>
          <w:p w14:paraId="3F64E91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25" w:type="dxa"/>
            <w:tcBorders>
              <w:top w:val="nil"/>
              <w:left w:val="nil"/>
              <w:bottom w:val="single" w:color="auto" w:sz="4" w:space="0"/>
              <w:right w:val="single" w:color="auto" w:sz="4" w:space="0"/>
            </w:tcBorders>
            <w:vAlign w:val="center"/>
          </w:tcPr>
          <w:p w14:paraId="1FC59E3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5F173BC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06197D5">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32B542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25E9963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B032D4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440" w:type="dxa"/>
            <w:tcBorders>
              <w:top w:val="nil"/>
              <w:left w:val="nil"/>
              <w:bottom w:val="single" w:color="auto" w:sz="4" w:space="0"/>
              <w:right w:val="single" w:color="auto" w:sz="4" w:space="0"/>
            </w:tcBorders>
            <w:vAlign w:val="center"/>
          </w:tcPr>
          <w:p w14:paraId="2220771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25" w:type="dxa"/>
            <w:tcBorders>
              <w:top w:val="nil"/>
              <w:left w:val="nil"/>
              <w:bottom w:val="single" w:color="auto" w:sz="4" w:space="0"/>
              <w:right w:val="single" w:color="auto" w:sz="4" w:space="0"/>
            </w:tcBorders>
            <w:vAlign w:val="center"/>
          </w:tcPr>
          <w:p w14:paraId="01E3849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410F0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99931E">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32A418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B91645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4BAD58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4D0C432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4BEE2BD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23AF9A5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D576FF">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96DCEE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747D858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2A0C40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40" w:type="dxa"/>
            <w:tcBorders>
              <w:top w:val="nil"/>
              <w:left w:val="nil"/>
              <w:bottom w:val="single" w:color="auto" w:sz="4" w:space="0"/>
              <w:right w:val="single" w:color="auto" w:sz="4" w:space="0"/>
            </w:tcBorders>
            <w:vAlign w:val="center"/>
          </w:tcPr>
          <w:p w14:paraId="058FAAF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25" w:type="dxa"/>
            <w:tcBorders>
              <w:top w:val="nil"/>
              <w:left w:val="nil"/>
              <w:bottom w:val="single" w:color="auto" w:sz="4" w:space="0"/>
              <w:right w:val="single" w:color="auto" w:sz="4" w:space="0"/>
            </w:tcBorders>
            <w:vAlign w:val="center"/>
          </w:tcPr>
          <w:p w14:paraId="4B3446A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4A84D7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BDCD95A">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37059B2F">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4AA2437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A30578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62B38EB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16C8434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8CDDE6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AC2170C">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74B2FA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44E3C40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524440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40" w:type="dxa"/>
            <w:tcBorders>
              <w:top w:val="nil"/>
              <w:left w:val="nil"/>
              <w:bottom w:val="single" w:color="auto" w:sz="4" w:space="0"/>
              <w:right w:val="single" w:color="auto" w:sz="4" w:space="0"/>
            </w:tcBorders>
            <w:vAlign w:val="center"/>
          </w:tcPr>
          <w:p w14:paraId="2A180C6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925" w:type="dxa"/>
            <w:tcBorders>
              <w:top w:val="nil"/>
              <w:left w:val="nil"/>
              <w:bottom w:val="single" w:color="auto" w:sz="4" w:space="0"/>
              <w:right w:val="single" w:color="auto" w:sz="4" w:space="0"/>
            </w:tcBorders>
            <w:vAlign w:val="center"/>
          </w:tcPr>
          <w:p w14:paraId="32BD3FE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F7E02A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208AC2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F99161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24310EF">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6247BE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440" w:type="dxa"/>
            <w:tcBorders>
              <w:top w:val="nil"/>
              <w:left w:val="nil"/>
              <w:bottom w:val="single" w:color="auto" w:sz="4" w:space="0"/>
              <w:right w:val="single" w:color="auto" w:sz="4" w:space="0"/>
            </w:tcBorders>
            <w:vAlign w:val="center"/>
          </w:tcPr>
          <w:p w14:paraId="2AC071E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567ACAB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9FCB5F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42C30AF">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C8BEAA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7F908FD1">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500014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440" w:type="dxa"/>
            <w:tcBorders>
              <w:top w:val="nil"/>
              <w:left w:val="nil"/>
              <w:bottom w:val="single" w:color="auto" w:sz="4" w:space="0"/>
              <w:right w:val="single" w:color="auto" w:sz="4" w:space="0"/>
            </w:tcBorders>
            <w:vAlign w:val="center"/>
          </w:tcPr>
          <w:p w14:paraId="0F08339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25" w:type="dxa"/>
            <w:tcBorders>
              <w:top w:val="nil"/>
              <w:left w:val="nil"/>
              <w:bottom w:val="single" w:color="auto" w:sz="4" w:space="0"/>
              <w:right w:val="single" w:color="auto" w:sz="4" w:space="0"/>
            </w:tcBorders>
            <w:vAlign w:val="center"/>
          </w:tcPr>
          <w:p w14:paraId="59763C9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D3E2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5D099F6">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905878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1CD5BFC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B2FD1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5849A69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3BC3C29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60BBDA1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751EE58">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04D615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53D5C7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38EB2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40" w:type="dxa"/>
            <w:tcBorders>
              <w:top w:val="nil"/>
              <w:left w:val="nil"/>
              <w:bottom w:val="single" w:color="auto" w:sz="4" w:space="0"/>
              <w:right w:val="single" w:color="auto" w:sz="4" w:space="0"/>
            </w:tcBorders>
            <w:vAlign w:val="center"/>
          </w:tcPr>
          <w:p w14:paraId="0978291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25" w:type="dxa"/>
            <w:tcBorders>
              <w:top w:val="nil"/>
              <w:left w:val="nil"/>
              <w:bottom w:val="single" w:color="auto" w:sz="4" w:space="0"/>
              <w:right w:val="single" w:color="auto" w:sz="4" w:space="0"/>
            </w:tcBorders>
            <w:vAlign w:val="center"/>
          </w:tcPr>
          <w:p w14:paraId="22FDFD5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39FC377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AF0022">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4C183877">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54A8712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3AC5B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440" w:type="dxa"/>
            <w:tcBorders>
              <w:top w:val="nil"/>
              <w:left w:val="nil"/>
              <w:bottom w:val="single" w:color="auto" w:sz="4" w:space="0"/>
              <w:right w:val="single" w:color="auto" w:sz="4" w:space="0"/>
            </w:tcBorders>
            <w:vAlign w:val="center"/>
          </w:tcPr>
          <w:p w14:paraId="71F4A99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25" w:type="dxa"/>
            <w:tcBorders>
              <w:top w:val="nil"/>
              <w:left w:val="nil"/>
              <w:bottom w:val="single" w:color="auto" w:sz="4" w:space="0"/>
              <w:right w:val="single" w:color="auto" w:sz="4" w:space="0"/>
            </w:tcBorders>
            <w:vAlign w:val="center"/>
          </w:tcPr>
          <w:p w14:paraId="75E2F7C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77FCA9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39C0C2">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99AFA0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175B066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105DEE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440" w:type="dxa"/>
            <w:tcBorders>
              <w:top w:val="nil"/>
              <w:left w:val="nil"/>
              <w:bottom w:val="single" w:color="auto" w:sz="4" w:space="0"/>
              <w:right w:val="single" w:color="auto" w:sz="4" w:space="0"/>
            </w:tcBorders>
            <w:vAlign w:val="center"/>
          </w:tcPr>
          <w:p w14:paraId="7BC2833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925" w:type="dxa"/>
            <w:tcBorders>
              <w:top w:val="nil"/>
              <w:left w:val="nil"/>
              <w:bottom w:val="single" w:color="auto" w:sz="4" w:space="0"/>
              <w:right w:val="single" w:color="auto" w:sz="4" w:space="0"/>
            </w:tcBorders>
            <w:vAlign w:val="center"/>
          </w:tcPr>
          <w:p w14:paraId="701208F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r>
      <w:tr w14:paraId="61B678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361EF62">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4D2A1C3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386C447C">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AD652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440" w:type="dxa"/>
            <w:tcBorders>
              <w:top w:val="nil"/>
              <w:left w:val="nil"/>
              <w:bottom w:val="single" w:color="auto" w:sz="4" w:space="0"/>
              <w:right w:val="single" w:color="auto" w:sz="4" w:space="0"/>
            </w:tcBorders>
            <w:vAlign w:val="center"/>
          </w:tcPr>
          <w:p w14:paraId="4F1EFE7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925" w:type="dxa"/>
            <w:tcBorders>
              <w:top w:val="nil"/>
              <w:left w:val="nil"/>
              <w:bottom w:val="single" w:color="auto" w:sz="4" w:space="0"/>
              <w:right w:val="single" w:color="auto" w:sz="4" w:space="0"/>
            </w:tcBorders>
            <w:vAlign w:val="center"/>
          </w:tcPr>
          <w:p w14:paraId="3B37889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9B9EAA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56F847">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990B7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1088286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6E2AC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440" w:type="dxa"/>
            <w:tcBorders>
              <w:top w:val="nil"/>
              <w:left w:val="nil"/>
              <w:bottom w:val="single" w:color="auto" w:sz="4" w:space="0"/>
              <w:right w:val="single" w:color="auto" w:sz="4" w:space="0"/>
            </w:tcBorders>
            <w:vAlign w:val="center"/>
          </w:tcPr>
          <w:p w14:paraId="6BB1631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925" w:type="dxa"/>
            <w:tcBorders>
              <w:top w:val="nil"/>
              <w:left w:val="nil"/>
              <w:bottom w:val="single" w:color="auto" w:sz="4" w:space="0"/>
              <w:right w:val="single" w:color="auto" w:sz="4" w:space="0"/>
            </w:tcBorders>
            <w:vAlign w:val="center"/>
          </w:tcPr>
          <w:p w14:paraId="2163A52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r>
      <w:tr w14:paraId="555D2E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9362B53">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BFCEE2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0E20AE7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741EC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48563EE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187692A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D13604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C33912">
            <w:pPr>
              <w:widowControl/>
              <w:jc w:val="left"/>
              <w:rPr>
                <w:rFonts w:asci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B1310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56ABE15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5CEBC1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8000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440" w:type="dxa"/>
            <w:tcBorders>
              <w:top w:val="nil"/>
              <w:left w:val="nil"/>
              <w:bottom w:val="single" w:color="auto" w:sz="4" w:space="0"/>
              <w:right w:val="single" w:color="auto" w:sz="4" w:space="0"/>
            </w:tcBorders>
            <w:vAlign w:val="center"/>
          </w:tcPr>
          <w:p w14:paraId="75241AB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w:t>
            </w:r>
          </w:p>
        </w:tc>
        <w:tc>
          <w:tcPr>
            <w:tcW w:w="925" w:type="dxa"/>
            <w:tcBorders>
              <w:top w:val="nil"/>
              <w:left w:val="nil"/>
              <w:bottom w:val="single" w:color="auto" w:sz="4" w:space="0"/>
              <w:right w:val="single" w:color="auto" w:sz="4" w:space="0"/>
            </w:tcBorders>
            <w:vAlign w:val="center"/>
          </w:tcPr>
          <w:p w14:paraId="79B7797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4AE914D">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120AC14">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B7CDD0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13" w:type="dxa"/>
            <w:tcBorders>
              <w:top w:val="nil"/>
              <w:left w:val="nil"/>
              <w:bottom w:val="single" w:color="auto" w:sz="4" w:space="0"/>
              <w:right w:val="single" w:color="auto" w:sz="4" w:space="0"/>
            </w:tcBorders>
            <w:vAlign w:val="center"/>
          </w:tcPr>
          <w:p w14:paraId="53C727C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947AC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440" w:type="dxa"/>
            <w:tcBorders>
              <w:top w:val="nil"/>
              <w:left w:val="nil"/>
              <w:bottom w:val="single" w:color="auto" w:sz="4" w:space="0"/>
              <w:right w:val="single" w:color="auto" w:sz="4" w:space="0"/>
            </w:tcBorders>
            <w:vAlign w:val="center"/>
          </w:tcPr>
          <w:p w14:paraId="5EF0D39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925" w:type="dxa"/>
            <w:tcBorders>
              <w:top w:val="nil"/>
              <w:left w:val="nil"/>
              <w:bottom w:val="single" w:color="auto" w:sz="4" w:space="0"/>
              <w:right w:val="single" w:color="auto" w:sz="4" w:space="0"/>
            </w:tcBorders>
            <w:vAlign w:val="center"/>
          </w:tcPr>
          <w:p w14:paraId="10A491E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bl>
    <w:p w14:paraId="5F291B5C">
      <w:pPr>
        <w:spacing w:line="360" w:lineRule="auto"/>
        <w:ind w:firstLine="525" w:firstLineChars="250"/>
        <w:rPr>
          <w:rFonts w:ascii="宋体" w:cs="宋体"/>
          <w:color w:val="auto"/>
          <w:szCs w:val="21"/>
          <w:highlight w:val="none"/>
        </w:rPr>
      </w:pPr>
    </w:p>
    <w:p w14:paraId="67957178">
      <w:pPr>
        <w:spacing w:line="360" w:lineRule="auto"/>
        <w:ind w:firstLine="525" w:firstLineChars="250"/>
        <w:rPr>
          <w:rFonts w:asci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ascii="宋体" w:hAnsi="宋体" w:cs="宋体"/>
          <w:color w:val="auto"/>
          <w:szCs w:val="21"/>
          <w:highlight w:val="none"/>
        </w:rPr>
        <w:t>[2011]300</w:t>
      </w:r>
      <w:r>
        <w:rPr>
          <w:rFonts w:hint="eastAsia" w:ascii="宋体" w:hAnsi="宋体" w:cs="宋体"/>
          <w:color w:val="auto"/>
          <w:szCs w:val="21"/>
          <w:highlight w:val="none"/>
        </w:rPr>
        <w:t>号），大型、中型和小型企业须同时满足所列指标的下限，否则下划一档；微型企业只须满足所列指标中的一项即可。</w:t>
      </w:r>
    </w:p>
    <w:p w14:paraId="5CE1D717">
      <w:pPr>
        <w:spacing w:line="520" w:lineRule="exact"/>
        <w:jc w:val="center"/>
        <w:rPr>
          <w:rFonts w:ascii="宋体" w:cs="宋体"/>
          <w:color w:val="auto"/>
          <w:sz w:val="32"/>
          <w:szCs w:val="32"/>
          <w:highlight w:val="none"/>
        </w:rPr>
      </w:pPr>
      <w:r>
        <w:rPr>
          <w:rFonts w:ascii="宋体" w:cs="宋体"/>
          <w:color w:val="auto"/>
          <w:sz w:val="24"/>
          <w:highlight w:val="none"/>
        </w:rPr>
        <w:br w:type="page"/>
      </w:r>
      <w:r>
        <w:rPr>
          <w:rFonts w:hint="eastAsia" w:ascii="宋体" w:hAnsi="宋体" w:cs="宋体"/>
          <w:color w:val="auto"/>
          <w:sz w:val="44"/>
          <w:szCs w:val="44"/>
          <w:highlight w:val="none"/>
        </w:rPr>
        <w:t>残疾人福利性单位声明函</w:t>
      </w:r>
    </w:p>
    <w:p w14:paraId="3AA16A69">
      <w:pPr>
        <w:spacing w:line="360" w:lineRule="auto"/>
        <w:contextualSpacing/>
        <w:rPr>
          <w:rFonts w:ascii="宋体" w:cs="宋体"/>
          <w:color w:val="auto"/>
          <w:sz w:val="32"/>
          <w:szCs w:val="32"/>
          <w:highlight w:val="none"/>
        </w:rPr>
      </w:pPr>
    </w:p>
    <w:p w14:paraId="0341162D">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本单位郑重声明，根据《财政部</w:t>
      </w:r>
      <w:r>
        <w:rPr>
          <w:rFonts w:ascii="宋体" w:hAnsi="宋体" w:cs="宋体"/>
          <w:color w:val="auto"/>
          <w:sz w:val="24"/>
          <w:highlight w:val="none"/>
        </w:rPr>
        <w:t xml:space="preserve"> </w:t>
      </w:r>
      <w:r>
        <w:rPr>
          <w:rFonts w:hint="eastAsia" w:ascii="宋体" w:hAnsi="宋体" w:cs="宋体"/>
          <w:color w:val="auto"/>
          <w:sz w:val="24"/>
          <w:highlight w:val="none"/>
        </w:rPr>
        <w:t>民政部</w:t>
      </w:r>
      <w:r>
        <w:rPr>
          <w:rFonts w:ascii="宋体" w:hAnsi="宋体" w:cs="宋体"/>
          <w:color w:val="auto"/>
          <w:sz w:val="24"/>
          <w:highlight w:val="none"/>
        </w:rPr>
        <w:t xml:space="preserve"> </w:t>
      </w:r>
      <w:r>
        <w:rPr>
          <w:rFonts w:hint="eastAsia" w:ascii="宋体" w:hAnsi="宋体" w:cs="宋体"/>
          <w:color w:val="auto"/>
          <w:sz w:val="24"/>
          <w:highlight w:val="none"/>
        </w:rPr>
        <w:t>中国残疾人联合会关于促进残疾人就业政府采购政策的通知》（财库〔</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141</w:t>
      </w:r>
      <w:r>
        <w:rPr>
          <w:rFonts w:hint="eastAsia" w:ascii="宋体" w:hAnsi="宋体" w:cs="宋体"/>
          <w:color w:val="auto"/>
          <w:sz w:val="24"/>
          <w:highlight w:val="none"/>
        </w:rPr>
        <w:t>号）的规定，本单位为符合条件的残疾人福利性单位，且本单位参加</w:t>
      </w:r>
      <w:r>
        <w:rPr>
          <w:rFonts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w:t>
      </w:r>
      <w:r>
        <w:rPr>
          <w:rFonts w:ascii="宋体" w:hAnsi="宋体" w:cs="宋体"/>
          <w:color w:val="auto"/>
          <w:sz w:val="24"/>
          <w:highlight w:val="none"/>
        </w:rPr>
        <w:t>/</w:t>
      </w:r>
      <w:r>
        <w:rPr>
          <w:rFonts w:hint="eastAsia" w:ascii="宋体" w:hAnsi="宋体" w:cs="宋体"/>
          <w:color w:val="auto"/>
          <w:sz w:val="24"/>
          <w:highlight w:val="none"/>
        </w:rPr>
        <w:t>提供服务），或者提供其他残疾人福利性单位制造的货物（不包括使用非残疾人福利性单位注册商标的货物）。</w:t>
      </w:r>
    </w:p>
    <w:p w14:paraId="5F21889E">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C7CDB9E">
      <w:pPr>
        <w:spacing w:line="360" w:lineRule="auto"/>
        <w:contextualSpacing/>
        <w:rPr>
          <w:rFonts w:ascii="宋体" w:cs="宋体"/>
          <w:color w:val="auto"/>
          <w:sz w:val="24"/>
          <w:highlight w:val="none"/>
        </w:rPr>
      </w:pPr>
    </w:p>
    <w:p w14:paraId="60B83A72">
      <w:pPr>
        <w:spacing w:line="360" w:lineRule="auto"/>
        <w:contextualSpacing/>
        <w:rPr>
          <w:rFonts w:ascii="宋体" w:cs="宋体"/>
          <w:color w:val="auto"/>
          <w:sz w:val="24"/>
          <w:highlight w:val="none"/>
        </w:rPr>
      </w:pPr>
    </w:p>
    <w:p w14:paraId="63CEE02C">
      <w:pPr>
        <w:spacing w:line="360" w:lineRule="auto"/>
        <w:contextualSpacing/>
        <w:rPr>
          <w:rFonts w:ascii="宋体" w:cs="宋体"/>
          <w:color w:val="auto"/>
          <w:sz w:val="24"/>
          <w:highlight w:val="none"/>
        </w:rPr>
      </w:pPr>
    </w:p>
    <w:p w14:paraId="1700EDB1">
      <w:pPr>
        <w:spacing w:line="360" w:lineRule="auto"/>
        <w:ind w:firstLine="2400" w:firstLineChars="1000"/>
        <w:contextualSpacing/>
        <w:rPr>
          <w:rFonts w:ascii="宋体" w:cs="宋体"/>
          <w:color w:val="auto"/>
          <w:sz w:val="24"/>
          <w:highlight w:val="none"/>
        </w:rPr>
      </w:pPr>
      <w:r>
        <w:rPr>
          <w:rFonts w:hint="eastAsia" w:ascii="宋体" w:hAnsi="宋体" w:cs="宋体"/>
          <w:color w:val="auto"/>
          <w:sz w:val="24"/>
          <w:highlight w:val="none"/>
        </w:rPr>
        <w:t>单位名称（盖章）：</w:t>
      </w:r>
    </w:p>
    <w:p w14:paraId="34A076E4">
      <w:pPr>
        <w:spacing w:line="360" w:lineRule="auto"/>
        <w:ind w:firstLine="3600" w:firstLineChars="1500"/>
        <w:contextualSpacing/>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p>
    <w:p w14:paraId="66BE8A27">
      <w:pPr>
        <w:spacing w:line="360" w:lineRule="auto"/>
        <w:contextualSpacing/>
        <w:rPr>
          <w:rFonts w:ascii="宋体" w:cs="宋体"/>
          <w:color w:val="auto"/>
          <w:sz w:val="24"/>
          <w:highlight w:val="none"/>
        </w:rPr>
      </w:pPr>
    </w:p>
    <w:p w14:paraId="735920E8">
      <w:pPr>
        <w:spacing w:line="360" w:lineRule="auto"/>
        <w:contextualSpacing/>
        <w:rPr>
          <w:rFonts w:ascii="宋体" w:cs="宋体"/>
          <w:color w:val="auto"/>
          <w:sz w:val="24"/>
          <w:highlight w:val="none"/>
        </w:rPr>
      </w:pPr>
    </w:p>
    <w:p w14:paraId="08CC25AB">
      <w:pPr>
        <w:spacing w:line="360" w:lineRule="auto"/>
        <w:contextualSpacing/>
        <w:rPr>
          <w:rFonts w:ascii="宋体" w:cs="宋体"/>
          <w:color w:val="auto"/>
          <w:sz w:val="24"/>
          <w:highlight w:val="none"/>
        </w:rPr>
      </w:pPr>
    </w:p>
    <w:p w14:paraId="6FD5C3B8">
      <w:pPr>
        <w:spacing w:line="360" w:lineRule="auto"/>
        <w:contextualSpacing/>
        <w:rPr>
          <w:rFonts w:asci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91D8560">
      <w:pPr>
        <w:spacing w:line="360" w:lineRule="auto"/>
        <w:jc w:val="center"/>
        <w:rPr>
          <w:rFonts w:ascii="宋体" w:cs="宋体"/>
          <w:color w:val="auto"/>
          <w:sz w:val="24"/>
          <w:highlight w:val="none"/>
        </w:rPr>
      </w:pPr>
      <w:r>
        <w:rPr>
          <w:rFonts w:ascii="宋体" w:cs="宋体"/>
          <w:color w:val="auto"/>
          <w:sz w:val="24"/>
          <w:highlight w:val="none"/>
        </w:rPr>
        <w:br w:type="page"/>
      </w:r>
    </w:p>
    <w:p w14:paraId="5AB27844">
      <w:pPr>
        <w:spacing w:line="360" w:lineRule="auto"/>
        <w:jc w:val="center"/>
        <w:rPr>
          <w:rFonts w:ascii="宋体" w:cs="宋体"/>
          <w:b/>
          <w:bCs/>
          <w:color w:val="auto"/>
          <w:sz w:val="32"/>
          <w:szCs w:val="32"/>
          <w:highlight w:val="none"/>
        </w:rPr>
      </w:pPr>
      <w:r>
        <w:rPr>
          <w:rFonts w:hint="eastAsia" w:ascii="宋体" w:hAnsi="宋体" w:cs="宋体"/>
          <w:color w:val="auto"/>
          <w:sz w:val="44"/>
          <w:szCs w:val="44"/>
          <w:highlight w:val="none"/>
        </w:rPr>
        <w:t>质疑函</w:t>
      </w:r>
      <w:r>
        <w:rPr>
          <w:rFonts w:hint="eastAsia" w:ascii="宋体" w:hAnsi="宋体" w:cs="宋体"/>
          <w:color w:val="auto"/>
          <w:sz w:val="28"/>
          <w:szCs w:val="28"/>
          <w:highlight w:val="none"/>
        </w:rPr>
        <w:t>（格式）</w:t>
      </w:r>
    </w:p>
    <w:p w14:paraId="679B5529">
      <w:pPr>
        <w:pStyle w:val="19"/>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73AE5EB">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59A7F1AE">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01B04A76">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p>
    <w:p w14:paraId="1A9414EF">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Ansi="宋体" w:cs="宋体"/>
          <w:bCs/>
          <w:color w:val="auto"/>
          <w:sz w:val="24"/>
          <w:szCs w:val="24"/>
          <w:highlight w:val="none"/>
          <w:u w:val="single"/>
        </w:rPr>
        <w:t xml:space="preserve">                      </w:t>
      </w:r>
    </w:p>
    <w:p w14:paraId="264E50CA">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p>
    <w:p w14:paraId="5B6E84D1">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3837FD76">
      <w:pPr>
        <w:pStyle w:val="19"/>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548D6A8">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Ansi="宋体" w:cs="宋体"/>
          <w:bCs/>
          <w:color w:val="auto"/>
          <w:sz w:val="24"/>
          <w:szCs w:val="24"/>
          <w:highlight w:val="none"/>
          <w:u w:val="single"/>
        </w:rPr>
        <w:t xml:space="preserve">                                     </w:t>
      </w:r>
    </w:p>
    <w:p w14:paraId="3A2CCEBE">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Ansi="宋体" w:cs="宋体"/>
          <w:bCs/>
          <w:color w:val="auto"/>
          <w:sz w:val="24"/>
          <w:szCs w:val="24"/>
          <w:highlight w:val="none"/>
          <w:u w:val="single"/>
        </w:rPr>
        <w:t xml:space="preserve">                                     </w:t>
      </w:r>
    </w:p>
    <w:p w14:paraId="3E19A127">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Ansi="宋体" w:cs="宋体"/>
          <w:bCs/>
          <w:color w:val="auto"/>
          <w:sz w:val="24"/>
          <w:szCs w:val="24"/>
          <w:highlight w:val="none"/>
          <w:u w:val="single"/>
        </w:rPr>
        <w:t xml:space="preserve">                                         </w:t>
      </w:r>
    </w:p>
    <w:p w14:paraId="35980D78">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42A2E3C">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w:t>
      </w:r>
      <w:r>
        <w:rPr>
          <w:rFonts w:hAnsi="宋体" w:cs="宋体"/>
          <w:color w:val="auto"/>
          <w:sz w:val="24"/>
          <w:szCs w:val="24"/>
          <w:highlight w:val="none"/>
        </w:rPr>
        <w:t xml:space="preserve">   </w:t>
      </w:r>
      <w:r>
        <w:rPr>
          <w:rFonts w:hint="eastAsia" w:hAnsi="宋体" w:cs="宋体"/>
          <w:color w:val="auto"/>
          <w:sz w:val="24"/>
          <w:szCs w:val="24"/>
          <w:highlight w:val="none"/>
        </w:rPr>
        <w:t>采购文件获取日期：</w:t>
      </w:r>
      <w:r>
        <w:rPr>
          <w:rFonts w:hAnsi="宋体" w:cs="宋体"/>
          <w:bCs/>
          <w:color w:val="auto"/>
          <w:sz w:val="24"/>
          <w:szCs w:val="24"/>
          <w:highlight w:val="none"/>
          <w:u w:val="single"/>
        </w:rPr>
        <w:t xml:space="preserve">                                   </w:t>
      </w:r>
    </w:p>
    <w:p w14:paraId="3F472FC4">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□采购过程</w:t>
      </w:r>
      <w:r>
        <w:rPr>
          <w:rFonts w:hAnsi="宋体" w:cs="宋体"/>
          <w:color w:val="auto"/>
          <w:sz w:val="24"/>
          <w:szCs w:val="24"/>
          <w:highlight w:val="none"/>
        </w:rPr>
        <w:t xml:space="preserve">   </w:t>
      </w:r>
    </w:p>
    <w:p w14:paraId="153AC4A7">
      <w:pPr>
        <w:pStyle w:val="19"/>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□成交结果</w:t>
      </w:r>
      <w:r>
        <w:rPr>
          <w:rFonts w:hAnsi="宋体" w:cs="宋体"/>
          <w:color w:val="auto"/>
          <w:sz w:val="24"/>
          <w:szCs w:val="24"/>
          <w:highlight w:val="none"/>
        </w:rPr>
        <w:t xml:space="preserve">   </w:t>
      </w:r>
    </w:p>
    <w:p w14:paraId="29DE8DAC">
      <w:pPr>
        <w:pStyle w:val="19"/>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7CCDA8B">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r>
        <w:rPr>
          <w:rFonts w:hAnsi="宋体" w:cs="宋体"/>
          <w:color w:val="auto"/>
          <w:sz w:val="24"/>
          <w:szCs w:val="24"/>
          <w:highlight w:val="none"/>
        </w:rPr>
        <w:t>1</w:t>
      </w:r>
      <w:r>
        <w:rPr>
          <w:rFonts w:hint="eastAsia" w:hAnsi="宋体" w:cs="宋体"/>
          <w:color w:val="auto"/>
          <w:sz w:val="24"/>
          <w:szCs w:val="24"/>
          <w:highlight w:val="none"/>
        </w:rPr>
        <w:t>：</w:t>
      </w:r>
      <w:r>
        <w:rPr>
          <w:rFonts w:hAnsi="宋体" w:cs="宋体"/>
          <w:bCs/>
          <w:color w:val="auto"/>
          <w:sz w:val="24"/>
          <w:szCs w:val="24"/>
          <w:highlight w:val="none"/>
          <w:u w:val="single"/>
        </w:rPr>
        <w:t xml:space="preserve">                                                                    </w:t>
      </w:r>
    </w:p>
    <w:p w14:paraId="58A08350">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Ansi="宋体" w:cs="宋体"/>
          <w:bCs/>
          <w:color w:val="auto"/>
          <w:sz w:val="24"/>
          <w:szCs w:val="24"/>
          <w:highlight w:val="none"/>
          <w:u w:val="single"/>
        </w:rPr>
        <w:t xml:space="preserve">                                                                      </w:t>
      </w:r>
    </w:p>
    <w:p w14:paraId="359E04BE">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Ansi="宋体" w:cs="宋体"/>
          <w:color w:val="auto"/>
          <w:sz w:val="24"/>
          <w:szCs w:val="24"/>
          <w:highlight w:val="none"/>
          <w:u w:val="single"/>
        </w:rPr>
        <w:t xml:space="preserve">                                                        </w:t>
      </w:r>
      <w:r>
        <w:rPr>
          <w:rFonts w:hAnsi="宋体" w:cs="宋体"/>
          <w:bCs/>
          <w:color w:val="auto"/>
          <w:sz w:val="24"/>
          <w:szCs w:val="24"/>
          <w:highlight w:val="none"/>
          <w:u w:val="single"/>
        </w:rPr>
        <w:t xml:space="preserve">               </w:t>
      </w:r>
    </w:p>
    <w:p w14:paraId="08C3D248">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r>
        <w:rPr>
          <w:rFonts w:hAnsi="宋体" w:cs="宋体"/>
          <w:color w:val="auto"/>
          <w:sz w:val="24"/>
          <w:szCs w:val="24"/>
          <w:highlight w:val="none"/>
        </w:rPr>
        <w:t>2</w:t>
      </w:r>
    </w:p>
    <w:p w14:paraId="5DF712F9">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EFE55B9">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AE6CCD1">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Ansi="宋体" w:cs="宋体"/>
          <w:bCs/>
          <w:color w:val="auto"/>
          <w:sz w:val="24"/>
          <w:szCs w:val="24"/>
          <w:highlight w:val="none"/>
          <w:u w:val="single"/>
        </w:rPr>
        <w:t xml:space="preserve">                                                                </w:t>
      </w:r>
    </w:p>
    <w:p w14:paraId="4044A2D8">
      <w:pPr>
        <w:pStyle w:val="19"/>
        <w:spacing w:line="360" w:lineRule="auto"/>
        <w:ind w:left="25" w:leftChars="12" w:firstLine="352" w:firstLineChars="147"/>
        <w:contextualSpacing/>
        <w:rPr>
          <w:rFonts w:hAnsi="宋体" w:cs="宋体"/>
          <w:color w:val="auto"/>
          <w:sz w:val="24"/>
          <w:szCs w:val="24"/>
          <w:highlight w:val="none"/>
        </w:rPr>
      </w:pPr>
    </w:p>
    <w:p w14:paraId="659BCEE7">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w:t>
      </w:r>
      <w:r>
        <w:rPr>
          <w:rFonts w:hAnsi="宋体" w:cs="宋体"/>
          <w:color w:val="auto"/>
          <w:sz w:val="24"/>
          <w:szCs w:val="24"/>
          <w:highlight w:val="none"/>
        </w:rPr>
        <w:t xml:space="preserve">                                       </w:t>
      </w:r>
      <w:r>
        <w:rPr>
          <w:rFonts w:hint="eastAsia" w:hAnsi="宋体" w:cs="宋体"/>
          <w:color w:val="auto"/>
          <w:sz w:val="24"/>
          <w:szCs w:val="24"/>
          <w:highlight w:val="none"/>
        </w:rPr>
        <w:t>公章：</w:t>
      </w:r>
    </w:p>
    <w:p w14:paraId="6C7CBC8C">
      <w:pPr>
        <w:pStyle w:val="19"/>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0A47B925">
      <w:pPr>
        <w:pStyle w:val="19"/>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2A1D74A1">
      <w:pPr>
        <w:pStyle w:val="19"/>
        <w:spacing w:line="360" w:lineRule="auto"/>
        <w:ind w:left="25" w:leftChars="12" w:firstLine="354" w:firstLineChars="147"/>
        <w:contextualSpacing/>
        <w:rPr>
          <w:rFonts w:hAnsi="宋体" w:cs="宋体"/>
          <w:b/>
          <w:bCs/>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供应商提出质疑时，应提交质疑函和必要的证明材料</w:t>
      </w:r>
      <w:r>
        <w:rPr>
          <w:rFonts w:hint="eastAsia" w:hAnsi="宋体" w:cs="宋体"/>
          <w:b/>
          <w:bCs/>
          <w:color w:val="auto"/>
          <w:sz w:val="24"/>
          <w:szCs w:val="24"/>
          <w:highlight w:val="none"/>
        </w:rPr>
        <w:t>。</w:t>
      </w:r>
    </w:p>
    <w:p w14:paraId="09FE5700">
      <w:pPr>
        <w:pStyle w:val="19"/>
        <w:spacing w:line="360" w:lineRule="auto"/>
        <w:ind w:left="25" w:leftChars="12" w:firstLine="354" w:firstLineChars="147"/>
        <w:contextualSpacing/>
        <w:rPr>
          <w:rFonts w:hAnsi="宋体" w:cs="宋体"/>
          <w:b/>
          <w:color w:val="auto"/>
          <w:sz w:val="24"/>
          <w:szCs w:val="24"/>
          <w:highlight w:val="none"/>
        </w:rPr>
      </w:pPr>
      <w:r>
        <w:rPr>
          <w:rFonts w:hAnsi="宋体" w:cs="宋体"/>
          <w:b/>
          <w:color w:val="auto"/>
          <w:sz w:val="24"/>
          <w:szCs w:val="24"/>
          <w:highlight w:val="none"/>
        </w:rPr>
        <w:t>2.</w:t>
      </w:r>
      <w:r>
        <w:rPr>
          <w:rFonts w:hint="eastAsia" w:hAnsi="宋体" w:cs="宋体"/>
          <w:b/>
          <w:color w:val="auto"/>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34DF73">
      <w:pPr>
        <w:pStyle w:val="19"/>
        <w:spacing w:line="360" w:lineRule="auto"/>
        <w:ind w:left="25" w:leftChars="12" w:firstLine="354" w:firstLineChars="147"/>
        <w:contextualSpacing/>
        <w:rPr>
          <w:rFonts w:hAnsi="宋体" w:cs="宋体"/>
          <w:b/>
          <w:color w:val="auto"/>
          <w:sz w:val="24"/>
          <w:szCs w:val="24"/>
          <w:highlight w:val="none"/>
        </w:rPr>
      </w:pPr>
      <w:r>
        <w:rPr>
          <w:rFonts w:hAnsi="宋体" w:cs="宋体"/>
          <w:b/>
          <w:color w:val="auto"/>
          <w:sz w:val="24"/>
          <w:szCs w:val="24"/>
          <w:highlight w:val="none"/>
        </w:rPr>
        <w:t>3.</w:t>
      </w:r>
      <w:r>
        <w:rPr>
          <w:rFonts w:hint="eastAsia" w:hAnsi="宋体" w:cs="宋体"/>
          <w:b/>
          <w:color w:val="auto"/>
          <w:sz w:val="24"/>
          <w:szCs w:val="24"/>
          <w:highlight w:val="none"/>
        </w:rPr>
        <w:t>质疑函的质疑事项应具体、明确，并有必要的事实依据和法律依据。</w:t>
      </w:r>
    </w:p>
    <w:p w14:paraId="722B7E7C">
      <w:pPr>
        <w:pStyle w:val="19"/>
        <w:spacing w:line="360" w:lineRule="auto"/>
        <w:ind w:left="25" w:leftChars="12" w:firstLine="354" w:firstLineChars="147"/>
        <w:contextualSpacing/>
        <w:rPr>
          <w:rFonts w:hAnsi="宋体" w:cs="宋体"/>
          <w:b/>
          <w:color w:val="auto"/>
          <w:sz w:val="24"/>
          <w:szCs w:val="24"/>
          <w:highlight w:val="none"/>
        </w:rPr>
      </w:pPr>
      <w:r>
        <w:rPr>
          <w:rFonts w:hAnsi="宋体" w:cs="宋体"/>
          <w:b/>
          <w:color w:val="auto"/>
          <w:sz w:val="24"/>
          <w:szCs w:val="24"/>
          <w:highlight w:val="none"/>
        </w:rPr>
        <w:t>4.</w:t>
      </w:r>
      <w:r>
        <w:rPr>
          <w:rFonts w:hint="eastAsia" w:hAnsi="宋体" w:cs="宋体"/>
          <w:b/>
          <w:color w:val="auto"/>
          <w:sz w:val="24"/>
          <w:szCs w:val="24"/>
          <w:highlight w:val="none"/>
        </w:rPr>
        <w:t>质疑函的质疑请求应与质疑事项相关。</w:t>
      </w:r>
    </w:p>
    <w:p w14:paraId="0DB371F0">
      <w:pPr>
        <w:pStyle w:val="19"/>
        <w:spacing w:line="360" w:lineRule="auto"/>
        <w:ind w:left="25" w:leftChars="12" w:firstLine="354" w:firstLineChars="147"/>
        <w:contextualSpacing/>
        <w:rPr>
          <w:rFonts w:hAnsi="宋体" w:cs="宋体"/>
          <w:b/>
          <w:color w:val="auto"/>
          <w:highlight w:val="none"/>
        </w:rPr>
      </w:pPr>
      <w:r>
        <w:rPr>
          <w:rFonts w:hAnsi="宋体" w:cs="宋体"/>
          <w:b/>
          <w:color w:val="auto"/>
          <w:sz w:val="24"/>
          <w:szCs w:val="24"/>
          <w:highlight w:val="none"/>
        </w:rPr>
        <w:t>5.</w:t>
      </w:r>
      <w:r>
        <w:rPr>
          <w:rFonts w:hint="eastAsia" w:hAnsi="宋体" w:cs="宋体"/>
          <w:b/>
          <w:color w:val="auto"/>
          <w:sz w:val="24"/>
          <w:szCs w:val="24"/>
          <w:highlight w:val="none"/>
        </w:rPr>
        <w:t>质疑供应商为法人或者其他组织的，质疑函应由法定代表人、主要负责人，或者其授权代表签字或者盖章，并加盖公章。</w:t>
      </w:r>
    </w:p>
    <w:p w14:paraId="0541D01D">
      <w:pPr>
        <w:pStyle w:val="19"/>
        <w:snapToGrid w:val="0"/>
        <w:rPr>
          <w:rFonts w:hAnsi="宋体" w:cs="宋体"/>
          <w:b/>
          <w:color w:val="auto"/>
          <w:sz w:val="24"/>
          <w:szCs w:val="24"/>
          <w:highlight w:val="none"/>
        </w:rPr>
      </w:pPr>
    </w:p>
    <w:p w14:paraId="786E76D5">
      <w:pPr>
        <w:rPr>
          <w:rFonts w:ascii="宋体" w:cs="宋体"/>
          <w:color w:val="auto"/>
          <w:sz w:val="32"/>
          <w:szCs w:val="40"/>
          <w:highlight w:val="none"/>
        </w:rPr>
      </w:pPr>
    </w:p>
    <w:p w14:paraId="2C213581">
      <w:pPr>
        <w:rPr>
          <w:rFonts w:ascii="宋体" w:cs="宋体"/>
          <w:color w:val="auto"/>
          <w:sz w:val="32"/>
          <w:szCs w:val="40"/>
          <w:highlight w:val="none"/>
        </w:rPr>
      </w:pPr>
    </w:p>
    <w:p w14:paraId="39348918">
      <w:pPr>
        <w:rPr>
          <w:rFonts w:ascii="宋体" w:cs="宋体"/>
          <w:color w:val="auto"/>
          <w:sz w:val="32"/>
          <w:szCs w:val="40"/>
          <w:highlight w:val="none"/>
        </w:rPr>
      </w:pPr>
    </w:p>
    <w:p w14:paraId="211B9295">
      <w:pPr>
        <w:rPr>
          <w:rFonts w:ascii="宋体" w:cs="宋体"/>
          <w:color w:val="auto"/>
          <w:sz w:val="32"/>
          <w:szCs w:val="40"/>
          <w:highlight w:val="none"/>
        </w:rPr>
      </w:pPr>
    </w:p>
    <w:p w14:paraId="628D9FDC">
      <w:pPr>
        <w:rPr>
          <w:rFonts w:ascii="宋体" w:cs="宋体"/>
          <w:color w:val="auto"/>
          <w:sz w:val="32"/>
          <w:szCs w:val="40"/>
          <w:highlight w:val="none"/>
        </w:rPr>
      </w:pPr>
    </w:p>
    <w:p w14:paraId="6122B467">
      <w:pPr>
        <w:rPr>
          <w:rFonts w:ascii="宋体" w:cs="宋体"/>
          <w:color w:val="auto"/>
          <w:sz w:val="32"/>
          <w:szCs w:val="40"/>
          <w:highlight w:val="none"/>
        </w:rPr>
      </w:pPr>
    </w:p>
    <w:p w14:paraId="4FCB1A96">
      <w:pPr>
        <w:rPr>
          <w:rFonts w:ascii="宋体" w:cs="宋体"/>
          <w:color w:val="auto"/>
          <w:sz w:val="32"/>
          <w:szCs w:val="40"/>
          <w:highlight w:val="none"/>
        </w:rPr>
      </w:pPr>
    </w:p>
    <w:p w14:paraId="2220E6D8">
      <w:pPr>
        <w:rPr>
          <w:rFonts w:ascii="宋体" w:cs="宋体"/>
          <w:color w:val="auto"/>
          <w:sz w:val="32"/>
          <w:szCs w:val="40"/>
          <w:highlight w:val="none"/>
        </w:rPr>
      </w:pPr>
    </w:p>
    <w:p w14:paraId="7C88FB05">
      <w:pPr>
        <w:rPr>
          <w:rFonts w:ascii="宋体" w:cs="宋体"/>
          <w:color w:val="auto"/>
          <w:sz w:val="32"/>
          <w:szCs w:val="40"/>
          <w:highlight w:val="none"/>
        </w:rPr>
      </w:pPr>
    </w:p>
    <w:p w14:paraId="1855147D">
      <w:pPr>
        <w:rPr>
          <w:rFonts w:ascii="宋体" w:cs="宋体"/>
          <w:color w:val="auto"/>
          <w:sz w:val="32"/>
          <w:szCs w:val="40"/>
          <w:highlight w:val="none"/>
        </w:rPr>
      </w:pPr>
    </w:p>
    <w:p w14:paraId="079820EA">
      <w:pPr>
        <w:rPr>
          <w:rFonts w:ascii="宋体" w:cs="宋体"/>
          <w:color w:val="auto"/>
          <w:sz w:val="32"/>
          <w:szCs w:val="40"/>
          <w:highlight w:val="none"/>
        </w:rPr>
      </w:pPr>
    </w:p>
    <w:p w14:paraId="74ABF0DE">
      <w:pPr>
        <w:rPr>
          <w:rFonts w:ascii="宋体" w:cs="宋体"/>
          <w:color w:val="auto"/>
          <w:sz w:val="32"/>
          <w:szCs w:val="40"/>
          <w:highlight w:val="none"/>
        </w:rPr>
      </w:pPr>
    </w:p>
    <w:p w14:paraId="738B95E7">
      <w:pPr>
        <w:rPr>
          <w:rFonts w:ascii="宋体" w:cs="宋体"/>
          <w:color w:val="auto"/>
          <w:sz w:val="32"/>
          <w:szCs w:val="40"/>
          <w:highlight w:val="none"/>
        </w:rPr>
      </w:pPr>
    </w:p>
    <w:p w14:paraId="0CF0B6E4">
      <w:pPr>
        <w:rPr>
          <w:rFonts w:ascii="宋体" w:cs="宋体"/>
          <w:color w:val="auto"/>
          <w:sz w:val="32"/>
          <w:szCs w:val="40"/>
          <w:highlight w:val="none"/>
        </w:rPr>
      </w:pPr>
    </w:p>
    <w:p w14:paraId="141D7DE8">
      <w:pPr>
        <w:spacing w:line="360" w:lineRule="auto"/>
        <w:jc w:val="center"/>
        <w:rPr>
          <w:rFonts w:ascii="宋体" w:cs="宋体"/>
          <w:color w:val="auto"/>
          <w:sz w:val="24"/>
          <w:highlight w:val="none"/>
        </w:rPr>
      </w:pPr>
      <w:r>
        <w:rPr>
          <w:rFonts w:asci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03B3D023">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3E8A223">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6811285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63D5C998">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w:t>
      </w:r>
      <w:r>
        <w:rPr>
          <w:rFonts w:hAnsi="宋体" w:cs="宋体"/>
          <w:bCs/>
          <w:color w:val="auto"/>
          <w:sz w:val="24"/>
          <w:szCs w:val="24"/>
          <w:highlight w:val="none"/>
        </w:rPr>
        <w:t>/</w:t>
      </w:r>
      <w:r>
        <w:rPr>
          <w:rFonts w:hint="eastAsia" w:hAnsi="宋体" w:cs="宋体"/>
          <w:bCs/>
          <w:color w:val="auto"/>
          <w:sz w:val="24"/>
          <w:szCs w:val="24"/>
          <w:highlight w:val="none"/>
        </w:rPr>
        <w:t>主要负责人：</w:t>
      </w:r>
      <w:r>
        <w:rPr>
          <w:rFonts w:hAnsi="宋体" w:cs="宋体"/>
          <w:bCs/>
          <w:color w:val="auto"/>
          <w:sz w:val="24"/>
          <w:szCs w:val="24"/>
          <w:highlight w:val="none"/>
          <w:u w:val="single"/>
        </w:rPr>
        <w:t xml:space="preserve">                                                         </w:t>
      </w:r>
    </w:p>
    <w:p w14:paraId="5A818075">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p>
    <w:p w14:paraId="67E70594">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p>
    <w:p w14:paraId="6CC15A88">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p>
    <w:p w14:paraId="60725371">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0781BFDC">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w:t>
      </w:r>
      <w:r>
        <w:rPr>
          <w:rFonts w:hAnsi="宋体" w:cs="宋体"/>
          <w:bCs/>
          <w:color w:val="auto"/>
          <w:sz w:val="24"/>
          <w:szCs w:val="24"/>
          <w:highlight w:val="none"/>
        </w:rPr>
        <w:t>1</w:t>
      </w:r>
      <w:r>
        <w:rPr>
          <w:rFonts w:hint="eastAsia" w:hAnsi="宋体" w:cs="宋体"/>
          <w:bCs/>
          <w:color w:val="auto"/>
          <w:sz w:val="24"/>
          <w:szCs w:val="24"/>
          <w:highlight w:val="none"/>
        </w:rPr>
        <w:t>：</w:t>
      </w:r>
    </w:p>
    <w:p w14:paraId="627E79D8">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p>
    <w:p w14:paraId="42457698">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128CC0CD">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p>
    <w:p w14:paraId="26BF1E22">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w:t>
      </w:r>
      <w:r>
        <w:rPr>
          <w:rFonts w:hAnsi="宋体" w:cs="宋体"/>
          <w:bCs/>
          <w:color w:val="auto"/>
          <w:sz w:val="24"/>
          <w:szCs w:val="24"/>
          <w:highlight w:val="none"/>
        </w:rPr>
        <w:t>2</w:t>
      </w:r>
      <w:r>
        <w:rPr>
          <w:rFonts w:hint="eastAsia" w:hAnsi="宋体" w:cs="宋体"/>
          <w:bCs/>
          <w:color w:val="auto"/>
          <w:sz w:val="24"/>
          <w:szCs w:val="24"/>
          <w:highlight w:val="none"/>
        </w:rPr>
        <w:t>：</w:t>
      </w:r>
    </w:p>
    <w:p w14:paraId="032D4DD7">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7726311">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Ansi="宋体" w:cs="宋体"/>
          <w:bCs/>
          <w:color w:val="auto"/>
          <w:sz w:val="24"/>
          <w:szCs w:val="24"/>
          <w:highlight w:val="none"/>
          <w:u w:val="single"/>
        </w:rPr>
        <w:t xml:space="preserve">                                                                       </w:t>
      </w:r>
    </w:p>
    <w:p w14:paraId="7A85EBDE">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Ansi="宋体" w:cs="宋体"/>
          <w:bCs/>
          <w:color w:val="auto"/>
          <w:sz w:val="24"/>
          <w:szCs w:val="24"/>
          <w:highlight w:val="none"/>
          <w:u w:val="single"/>
        </w:rPr>
        <w:t xml:space="preserve">                         </w:t>
      </w:r>
    </w:p>
    <w:p w14:paraId="34CDF20F">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Ansi="宋体" w:cs="宋体"/>
          <w:bCs/>
          <w:color w:val="auto"/>
          <w:sz w:val="24"/>
          <w:szCs w:val="24"/>
          <w:highlight w:val="none"/>
          <w:u w:val="single"/>
        </w:rPr>
        <w:t xml:space="preserve">                     </w:t>
      </w:r>
      <w:r>
        <w:rPr>
          <w:rFonts w:hAnsi="宋体" w:cs="宋体"/>
          <w:bCs/>
          <w:color w:val="auto"/>
          <w:sz w:val="24"/>
          <w:szCs w:val="24"/>
          <w:highlight w:val="none"/>
        </w:rPr>
        <w:t xml:space="preserve">                </w:t>
      </w:r>
    </w:p>
    <w:p w14:paraId="0FD29E5A">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AC41798">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Ansi="宋体" w:cs="宋体"/>
          <w:bCs/>
          <w:color w:val="auto"/>
          <w:sz w:val="24"/>
          <w:szCs w:val="24"/>
          <w:highlight w:val="none"/>
          <w:u w:val="single"/>
        </w:rPr>
        <w:t xml:space="preserve">                                                                   </w:t>
      </w:r>
    </w:p>
    <w:p w14:paraId="34E687A5">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Ansi="宋体" w:cs="宋体"/>
          <w:bCs/>
          <w:color w:val="auto"/>
          <w:sz w:val="24"/>
          <w:szCs w:val="24"/>
          <w:highlight w:val="none"/>
          <w:u w:val="single"/>
        </w:rPr>
        <w:t xml:space="preserve">                                          </w:t>
      </w:r>
    </w:p>
    <w:p w14:paraId="741BE09D">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Ansi="宋体" w:cs="宋体"/>
          <w:bCs/>
          <w:color w:val="auto"/>
          <w:sz w:val="24"/>
          <w:szCs w:val="24"/>
          <w:highlight w:val="none"/>
          <w:u w:val="single"/>
        </w:rPr>
        <w:t xml:space="preserve">                                                                        </w:t>
      </w:r>
    </w:p>
    <w:p w14:paraId="055BDA8E">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Ansi="宋体" w:cs="宋体"/>
          <w:bCs/>
          <w:color w:val="auto"/>
          <w:sz w:val="24"/>
          <w:szCs w:val="24"/>
          <w:highlight w:val="none"/>
          <w:u w:val="single"/>
        </w:rPr>
        <w:t xml:space="preserve">                                                                      </w:t>
      </w:r>
    </w:p>
    <w:p w14:paraId="3DBACB78">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w:t>
      </w:r>
      <w:r>
        <w:rPr>
          <w:rFonts w:hAnsi="宋体" w:cs="宋体"/>
          <w:bCs/>
          <w:color w:val="auto"/>
          <w:sz w:val="24"/>
          <w:szCs w:val="24"/>
          <w:highlight w:val="none"/>
          <w:u w:val="single"/>
        </w:rPr>
        <w:t>/</w:t>
      </w:r>
      <w:r>
        <w:rPr>
          <w:rFonts w:hint="eastAsia" w:hAnsi="宋体" w:cs="宋体"/>
          <w:bCs/>
          <w:color w:val="auto"/>
          <w:sz w:val="24"/>
          <w:szCs w:val="24"/>
          <w:highlight w:val="none"/>
          <w:u w:val="single"/>
        </w:rPr>
        <w:t>否</w:t>
      </w:r>
      <w:r>
        <w:rPr>
          <w:rFonts w:hint="eastAsia" w:hAnsi="宋体" w:cs="宋体"/>
          <w:bCs/>
          <w:color w:val="auto"/>
          <w:sz w:val="24"/>
          <w:szCs w:val="24"/>
          <w:highlight w:val="none"/>
        </w:rPr>
        <w:t>公告期限：</w:t>
      </w:r>
      <w:r>
        <w:rPr>
          <w:rFonts w:hAnsi="宋体" w:cs="宋体"/>
          <w:bCs/>
          <w:color w:val="auto"/>
          <w:sz w:val="24"/>
          <w:szCs w:val="24"/>
          <w:highlight w:val="none"/>
          <w:u w:val="single"/>
        </w:rPr>
        <w:t xml:space="preserve">                                                       </w:t>
      </w:r>
    </w:p>
    <w:p w14:paraId="1694044C">
      <w:pPr>
        <w:pStyle w:val="19"/>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w:t>
      </w:r>
      <w:r>
        <w:rPr>
          <w:rFonts w:hAnsi="宋体" w:cs="宋体"/>
          <w:bCs/>
          <w:color w:val="auto"/>
          <w:sz w:val="24"/>
          <w:szCs w:val="24"/>
          <w:highlight w:val="none"/>
          <w:u w:val="single"/>
        </w:rPr>
        <w:t>/</w:t>
      </w:r>
      <w:r>
        <w:rPr>
          <w:rFonts w:hint="eastAsia" w:hAnsi="宋体" w:cs="宋体"/>
          <w:bCs/>
          <w:color w:val="auto"/>
          <w:sz w:val="24"/>
          <w:szCs w:val="24"/>
          <w:highlight w:val="none"/>
          <w:u w:val="single"/>
        </w:rPr>
        <w:t>否</w:t>
      </w:r>
      <w:r>
        <w:rPr>
          <w:rFonts w:hint="eastAsia" w:hAnsi="宋体" w:cs="宋体"/>
          <w:bCs/>
          <w:color w:val="auto"/>
          <w:sz w:val="24"/>
          <w:szCs w:val="24"/>
          <w:highlight w:val="none"/>
        </w:rPr>
        <w:t>公告期限：</w:t>
      </w:r>
      <w:r>
        <w:rPr>
          <w:rFonts w:hAnsi="宋体" w:cs="宋体"/>
          <w:bCs/>
          <w:color w:val="auto"/>
          <w:sz w:val="24"/>
          <w:szCs w:val="24"/>
          <w:highlight w:val="none"/>
          <w:u w:val="single"/>
        </w:rPr>
        <w:t xml:space="preserve">                                                       </w:t>
      </w:r>
    </w:p>
    <w:p w14:paraId="5B97B2E7">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DF06F52">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日，向</w:t>
      </w:r>
      <w:r>
        <w:rPr>
          <w:rFonts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343F7219">
      <w:pPr>
        <w:pStyle w:val="19"/>
        <w:spacing w:line="360" w:lineRule="auto"/>
        <w:ind w:firstLine="241"/>
        <w:rPr>
          <w:rFonts w:hAnsi="宋体" w:cs="宋体"/>
          <w:bCs/>
          <w:color w:val="auto"/>
          <w:sz w:val="24"/>
          <w:szCs w:val="24"/>
          <w:highlight w:val="none"/>
          <w:u w:val="single"/>
        </w:rPr>
      </w:pPr>
      <w:r>
        <w:rPr>
          <w:rFonts w:hAnsi="宋体" w:cs="宋体"/>
          <w:color w:val="auto"/>
          <w:sz w:val="24"/>
          <w:szCs w:val="24"/>
          <w:highlight w:val="none"/>
        </w:rPr>
        <w:t xml:space="preserve">    </w:t>
      </w:r>
      <w:r>
        <w:rPr>
          <w:rFonts w:hAnsi="宋体" w:cs="宋体"/>
          <w:bCs/>
          <w:color w:val="auto"/>
          <w:sz w:val="24"/>
          <w:szCs w:val="24"/>
          <w:highlight w:val="none"/>
          <w:u w:val="single"/>
        </w:rPr>
        <w:t xml:space="preserve">                                                                                      </w:t>
      </w:r>
    </w:p>
    <w:p w14:paraId="0EAD0DC1">
      <w:pPr>
        <w:pStyle w:val="19"/>
        <w:spacing w:line="360" w:lineRule="auto"/>
        <w:ind w:firstLine="241"/>
        <w:rPr>
          <w:rFonts w:hAnsi="宋体" w:cs="宋体"/>
          <w:bCs/>
          <w:color w:val="auto"/>
          <w:sz w:val="24"/>
          <w:szCs w:val="24"/>
          <w:highlight w:val="none"/>
          <w:u w:val="single"/>
        </w:rPr>
      </w:pPr>
      <w:r>
        <w:rPr>
          <w:rFonts w:hAnsi="宋体" w:cs="宋体"/>
          <w:bCs/>
          <w:color w:val="auto"/>
          <w:sz w:val="24"/>
          <w:szCs w:val="24"/>
          <w:highlight w:val="none"/>
        </w:rPr>
        <w:t xml:space="preserve">    </w:t>
      </w:r>
      <w:r>
        <w:rPr>
          <w:rFonts w:hAnsi="宋体" w:cs="宋体"/>
          <w:bCs/>
          <w:color w:val="auto"/>
          <w:sz w:val="24"/>
          <w:szCs w:val="24"/>
          <w:highlight w:val="none"/>
          <w:u w:val="single"/>
        </w:rPr>
        <w:t xml:space="preserve">                                                                                      </w:t>
      </w:r>
    </w:p>
    <w:p w14:paraId="30A339E9">
      <w:pPr>
        <w:pStyle w:val="19"/>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w:t>
      </w:r>
      <w:r>
        <w:rPr>
          <w:rFonts w:hAnsi="宋体" w:cs="宋体"/>
          <w:bCs/>
          <w:color w:val="auto"/>
          <w:sz w:val="24"/>
          <w:szCs w:val="24"/>
          <w:highlight w:val="none"/>
          <w:u w:val="single"/>
        </w:rPr>
        <w:t>/</w:t>
      </w:r>
      <w:r>
        <w:rPr>
          <w:rFonts w:hint="eastAsia" w:hAnsi="宋体" w:cs="宋体"/>
          <w:bCs/>
          <w:color w:val="auto"/>
          <w:sz w:val="24"/>
          <w:szCs w:val="24"/>
          <w:highlight w:val="none"/>
          <w:u w:val="single"/>
        </w:rPr>
        <w:t>代理机构</w:t>
      </w:r>
      <w:r>
        <w:rPr>
          <w:rFonts w:hint="eastAsia" w:hAnsi="宋体" w:cs="宋体"/>
          <w:bCs/>
          <w:color w:val="auto"/>
          <w:sz w:val="24"/>
          <w:szCs w:val="24"/>
          <w:highlight w:val="none"/>
        </w:rPr>
        <w:t>于</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就质疑事项作出了答复</w:t>
      </w:r>
      <w:r>
        <w:rPr>
          <w:rFonts w:hAnsi="宋体" w:cs="宋体"/>
          <w:bCs/>
          <w:color w:val="auto"/>
          <w:sz w:val="24"/>
          <w:szCs w:val="24"/>
          <w:highlight w:val="none"/>
        </w:rPr>
        <w:t>/</w:t>
      </w:r>
      <w:r>
        <w:rPr>
          <w:rFonts w:hint="eastAsia" w:hAnsi="宋体" w:cs="宋体"/>
          <w:bCs/>
          <w:color w:val="auto"/>
          <w:sz w:val="24"/>
          <w:szCs w:val="24"/>
          <w:highlight w:val="none"/>
        </w:rPr>
        <w:t>没有在法定期限内作出答复。</w:t>
      </w:r>
      <w:r>
        <w:rPr>
          <w:rFonts w:hAnsi="宋体" w:cs="宋体"/>
          <w:bCs/>
          <w:color w:val="auto"/>
          <w:sz w:val="24"/>
          <w:szCs w:val="24"/>
          <w:highlight w:val="none"/>
        </w:rPr>
        <w:t xml:space="preserve">                                                                                             </w:t>
      </w:r>
    </w:p>
    <w:p w14:paraId="0F83A71E">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BAFC58B">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w:t>
      </w:r>
      <w:r>
        <w:rPr>
          <w:rFonts w:hAnsi="宋体" w:cs="宋体"/>
          <w:color w:val="auto"/>
          <w:sz w:val="24"/>
          <w:szCs w:val="24"/>
          <w:highlight w:val="none"/>
        </w:rPr>
        <w:t>1</w:t>
      </w:r>
      <w:r>
        <w:rPr>
          <w:rFonts w:hint="eastAsia" w:hAnsi="宋体" w:cs="宋体"/>
          <w:color w:val="auto"/>
          <w:sz w:val="24"/>
          <w:szCs w:val="24"/>
          <w:highlight w:val="none"/>
        </w:rPr>
        <w:t>：</w:t>
      </w:r>
      <w:r>
        <w:rPr>
          <w:rFonts w:hAnsi="宋体" w:cs="宋体"/>
          <w:bCs/>
          <w:color w:val="auto"/>
          <w:sz w:val="24"/>
          <w:szCs w:val="24"/>
          <w:highlight w:val="none"/>
          <w:u w:val="single"/>
        </w:rPr>
        <w:t xml:space="preserve">                                                                           </w:t>
      </w:r>
    </w:p>
    <w:p w14:paraId="6089CC9C">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Ansi="宋体" w:cs="宋体"/>
          <w:color w:val="auto"/>
          <w:sz w:val="24"/>
          <w:szCs w:val="24"/>
          <w:highlight w:val="none"/>
        </w:rPr>
        <w:t xml:space="preserve"> </w:t>
      </w:r>
      <w:r>
        <w:rPr>
          <w:rFonts w:hAnsi="宋体" w:cs="宋体"/>
          <w:bCs/>
          <w:color w:val="auto"/>
          <w:sz w:val="24"/>
          <w:szCs w:val="24"/>
          <w:highlight w:val="none"/>
          <w:u w:val="single"/>
        </w:rPr>
        <w:t xml:space="preserve">                                                                                      </w:t>
      </w:r>
    </w:p>
    <w:p w14:paraId="1D9CBA8A">
      <w:pPr>
        <w:pStyle w:val="19"/>
        <w:spacing w:line="360" w:lineRule="auto"/>
        <w:ind w:left="25" w:leftChars="12" w:firstLine="472" w:firstLineChars="197"/>
        <w:rPr>
          <w:rFonts w:hAnsi="宋体" w:cs="宋体"/>
          <w:color w:val="auto"/>
          <w:sz w:val="24"/>
          <w:szCs w:val="24"/>
          <w:highlight w:val="none"/>
        </w:rPr>
      </w:pPr>
      <w:r>
        <w:rPr>
          <w:rFonts w:hAnsi="宋体" w:cs="宋体"/>
          <w:bCs/>
          <w:color w:val="auto"/>
          <w:sz w:val="24"/>
          <w:szCs w:val="24"/>
          <w:highlight w:val="none"/>
          <w:u w:val="single"/>
        </w:rPr>
        <w:t xml:space="preserve">                                                                                        </w:t>
      </w:r>
    </w:p>
    <w:p w14:paraId="5CCBD93A">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Ansi="宋体" w:cs="宋体"/>
          <w:color w:val="auto"/>
          <w:sz w:val="24"/>
          <w:szCs w:val="24"/>
          <w:highlight w:val="none"/>
        </w:rPr>
        <w:t xml:space="preserve"> </w:t>
      </w:r>
      <w:r>
        <w:rPr>
          <w:rFonts w:hAnsi="宋体" w:cs="宋体"/>
          <w:bCs/>
          <w:color w:val="auto"/>
          <w:sz w:val="24"/>
          <w:szCs w:val="24"/>
          <w:highlight w:val="none"/>
          <w:u w:val="single"/>
        </w:rPr>
        <w:t xml:space="preserve">                                                                                      </w:t>
      </w:r>
    </w:p>
    <w:p w14:paraId="102C323D">
      <w:pPr>
        <w:pStyle w:val="19"/>
        <w:spacing w:line="360" w:lineRule="auto"/>
        <w:ind w:left="25" w:leftChars="12" w:firstLine="352" w:firstLineChars="147"/>
        <w:rPr>
          <w:rFonts w:hAnsi="宋体" w:cs="宋体"/>
          <w:bCs/>
          <w:color w:val="auto"/>
          <w:sz w:val="24"/>
          <w:szCs w:val="24"/>
          <w:highlight w:val="none"/>
          <w:u w:val="single"/>
        </w:rPr>
      </w:pPr>
      <w:r>
        <w:rPr>
          <w:rFonts w:hAnsi="宋体" w:cs="宋体"/>
          <w:bCs/>
          <w:color w:val="auto"/>
          <w:sz w:val="24"/>
          <w:szCs w:val="24"/>
          <w:highlight w:val="none"/>
        </w:rPr>
        <w:t xml:space="preserve"> </w:t>
      </w:r>
      <w:r>
        <w:rPr>
          <w:rFonts w:hAnsi="宋体" w:cs="宋体"/>
          <w:bCs/>
          <w:color w:val="auto"/>
          <w:sz w:val="24"/>
          <w:szCs w:val="24"/>
          <w:highlight w:val="none"/>
          <w:u w:val="single"/>
        </w:rPr>
        <w:t xml:space="preserve">                                                                                        </w:t>
      </w:r>
    </w:p>
    <w:p w14:paraId="416D7D24">
      <w:pPr>
        <w:pStyle w:val="19"/>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投诉事项</w:t>
      </w:r>
      <w:r>
        <w:rPr>
          <w:rFonts w:hAnsi="宋体" w:cs="宋体"/>
          <w:color w:val="auto"/>
          <w:sz w:val="24"/>
          <w:szCs w:val="24"/>
          <w:highlight w:val="none"/>
        </w:rPr>
        <w:t xml:space="preserve">2  </w:t>
      </w:r>
      <w:r>
        <w:rPr>
          <w:rFonts w:hAnsi="宋体" w:cs="宋体"/>
          <w:bCs/>
          <w:color w:val="auto"/>
          <w:sz w:val="24"/>
          <w:szCs w:val="24"/>
          <w:highlight w:val="none"/>
        </w:rPr>
        <w:t xml:space="preserve">   </w:t>
      </w:r>
    </w:p>
    <w:p w14:paraId="67E375CE">
      <w:pPr>
        <w:pStyle w:val="19"/>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C616373">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7F698B7">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Ansi="宋体" w:cs="宋体"/>
          <w:bCs/>
          <w:color w:val="auto"/>
          <w:sz w:val="24"/>
          <w:szCs w:val="24"/>
          <w:highlight w:val="none"/>
          <w:u w:val="single"/>
        </w:rPr>
        <w:t xml:space="preserve">                                                                                 </w:t>
      </w:r>
    </w:p>
    <w:p w14:paraId="4070618A">
      <w:pPr>
        <w:pStyle w:val="19"/>
        <w:spacing w:line="360" w:lineRule="auto"/>
        <w:ind w:left="25" w:leftChars="12" w:firstLine="352" w:firstLineChars="147"/>
        <w:rPr>
          <w:rFonts w:hAnsi="宋体" w:cs="宋体"/>
          <w:color w:val="auto"/>
          <w:sz w:val="24"/>
          <w:szCs w:val="24"/>
          <w:highlight w:val="none"/>
        </w:rPr>
      </w:pPr>
    </w:p>
    <w:p w14:paraId="56A81325">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w:t>
      </w:r>
      <w:r>
        <w:rPr>
          <w:rFonts w:hAnsi="宋体" w:cs="宋体"/>
          <w:color w:val="auto"/>
          <w:sz w:val="24"/>
          <w:szCs w:val="24"/>
          <w:highlight w:val="none"/>
        </w:rPr>
        <w:t xml:space="preserve">                                       </w:t>
      </w:r>
      <w:r>
        <w:rPr>
          <w:rFonts w:hint="eastAsia" w:hAnsi="宋体" w:cs="宋体"/>
          <w:color w:val="auto"/>
          <w:sz w:val="24"/>
          <w:szCs w:val="24"/>
          <w:highlight w:val="none"/>
        </w:rPr>
        <w:t>公章：</w:t>
      </w:r>
    </w:p>
    <w:p w14:paraId="23CD14FE">
      <w:pPr>
        <w:pStyle w:val="19"/>
        <w:spacing w:line="360" w:lineRule="auto"/>
        <w:ind w:left="25" w:leftChars="12" w:firstLine="352" w:firstLineChars="147"/>
        <w:rPr>
          <w:rFonts w:hAnsi="宋体" w:cs="宋体"/>
          <w:color w:val="auto"/>
          <w:sz w:val="24"/>
          <w:szCs w:val="24"/>
          <w:highlight w:val="none"/>
        </w:rPr>
      </w:pPr>
    </w:p>
    <w:p w14:paraId="52D2214D">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0F5BE2B">
      <w:pPr>
        <w:pStyle w:val="19"/>
        <w:spacing w:line="360" w:lineRule="auto"/>
        <w:ind w:left="25" w:leftChars="12" w:firstLine="472" w:firstLineChars="197"/>
        <w:rPr>
          <w:rFonts w:hAnsi="宋体" w:cs="宋体"/>
          <w:b/>
          <w:color w:val="auto"/>
          <w:sz w:val="24"/>
          <w:szCs w:val="24"/>
          <w:highlight w:val="none"/>
        </w:rPr>
      </w:pPr>
      <w:r>
        <w:rPr>
          <w:rFonts w:hAnsi="宋体" w:cs="宋体"/>
          <w:bCs/>
          <w:color w:val="auto"/>
          <w:sz w:val="24"/>
          <w:szCs w:val="24"/>
          <w:highlight w:val="none"/>
        </w:rPr>
        <w:t xml:space="preserve">                                                                                 </w:t>
      </w:r>
    </w:p>
    <w:p w14:paraId="3E50DEA4">
      <w:pPr>
        <w:pStyle w:val="19"/>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4FEE6BEB">
      <w:pPr>
        <w:pStyle w:val="19"/>
        <w:spacing w:line="360" w:lineRule="auto"/>
        <w:ind w:left="25" w:leftChars="12" w:firstLine="354" w:firstLineChars="147"/>
        <w:rPr>
          <w:rFonts w:hAnsi="宋体" w:cs="宋体"/>
          <w:b/>
          <w:bCs/>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15759AA">
      <w:pPr>
        <w:pStyle w:val="19"/>
        <w:spacing w:line="360" w:lineRule="auto"/>
        <w:ind w:left="25" w:leftChars="12" w:firstLine="354" w:firstLineChars="147"/>
        <w:rPr>
          <w:rFonts w:hAnsi="宋体" w:cs="宋体"/>
          <w:b/>
          <w:color w:val="auto"/>
          <w:sz w:val="24"/>
          <w:szCs w:val="24"/>
          <w:highlight w:val="none"/>
        </w:rPr>
      </w:pPr>
      <w:r>
        <w:rPr>
          <w:rFonts w:hAnsi="宋体" w:cs="宋体"/>
          <w:b/>
          <w:color w:val="auto"/>
          <w:sz w:val="24"/>
          <w:szCs w:val="24"/>
          <w:highlight w:val="none"/>
        </w:rPr>
        <w:t>2.</w:t>
      </w:r>
      <w:r>
        <w:rPr>
          <w:rFonts w:hint="eastAsia" w:hAnsi="宋体" w:cs="宋体"/>
          <w:b/>
          <w:color w:val="auto"/>
          <w:sz w:val="24"/>
          <w:szCs w:val="24"/>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2906B67E">
      <w:pPr>
        <w:pStyle w:val="19"/>
        <w:spacing w:line="360" w:lineRule="auto"/>
        <w:ind w:left="25" w:leftChars="12" w:firstLine="354" w:firstLineChars="147"/>
        <w:rPr>
          <w:rFonts w:hAnsi="宋体" w:cs="宋体"/>
          <w:b/>
          <w:color w:val="auto"/>
          <w:sz w:val="24"/>
          <w:szCs w:val="24"/>
          <w:highlight w:val="none"/>
        </w:rPr>
      </w:pPr>
      <w:r>
        <w:rPr>
          <w:rFonts w:hAnsi="宋体" w:cs="宋体"/>
          <w:b/>
          <w:color w:val="auto"/>
          <w:sz w:val="24"/>
          <w:szCs w:val="24"/>
          <w:highlight w:val="none"/>
        </w:rPr>
        <w:t>3.</w:t>
      </w:r>
      <w:r>
        <w:rPr>
          <w:rFonts w:hint="eastAsia" w:hAnsi="宋体" w:cs="宋体"/>
          <w:b/>
          <w:color w:val="auto"/>
          <w:sz w:val="24"/>
          <w:szCs w:val="24"/>
          <w:highlight w:val="none"/>
        </w:rPr>
        <w:t>投诉书应简要列明质疑事项，质疑函、质疑答复等作为附件材料提供。</w:t>
      </w:r>
    </w:p>
    <w:p w14:paraId="508805C8">
      <w:pPr>
        <w:pStyle w:val="19"/>
        <w:spacing w:line="360" w:lineRule="auto"/>
        <w:ind w:left="25" w:leftChars="12" w:firstLine="354" w:firstLineChars="147"/>
        <w:rPr>
          <w:rFonts w:hAnsi="宋体" w:cs="宋体"/>
          <w:b/>
          <w:color w:val="auto"/>
          <w:sz w:val="24"/>
          <w:szCs w:val="24"/>
          <w:highlight w:val="none"/>
        </w:rPr>
      </w:pPr>
      <w:r>
        <w:rPr>
          <w:rFonts w:hAnsi="宋体" w:cs="宋体"/>
          <w:b/>
          <w:color w:val="auto"/>
          <w:sz w:val="24"/>
          <w:szCs w:val="24"/>
          <w:highlight w:val="none"/>
        </w:rPr>
        <w:t>4.</w:t>
      </w:r>
      <w:r>
        <w:rPr>
          <w:rFonts w:hint="eastAsia" w:hAnsi="宋体" w:cs="宋体"/>
          <w:b/>
          <w:color w:val="auto"/>
          <w:sz w:val="24"/>
          <w:szCs w:val="24"/>
          <w:highlight w:val="none"/>
        </w:rPr>
        <w:t>投诉书的投诉事项应具体、明确，并有必要的事实依据和法律依据。</w:t>
      </w:r>
    </w:p>
    <w:p w14:paraId="698F9A58">
      <w:pPr>
        <w:pStyle w:val="19"/>
        <w:spacing w:line="360" w:lineRule="auto"/>
        <w:ind w:left="25" w:leftChars="12" w:firstLine="354" w:firstLineChars="147"/>
        <w:rPr>
          <w:rFonts w:hAnsi="宋体" w:cs="宋体"/>
          <w:b/>
          <w:color w:val="auto"/>
          <w:sz w:val="24"/>
          <w:szCs w:val="24"/>
          <w:highlight w:val="none"/>
        </w:rPr>
      </w:pPr>
      <w:r>
        <w:rPr>
          <w:rFonts w:hAnsi="宋体" w:cs="宋体"/>
          <w:b/>
          <w:color w:val="auto"/>
          <w:sz w:val="24"/>
          <w:szCs w:val="24"/>
          <w:highlight w:val="none"/>
        </w:rPr>
        <w:t>5.</w:t>
      </w:r>
      <w:r>
        <w:rPr>
          <w:rFonts w:hint="eastAsia" w:hAnsi="宋体" w:cs="宋体"/>
          <w:b/>
          <w:color w:val="auto"/>
          <w:sz w:val="24"/>
          <w:szCs w:val="24"/>
          <w:highlight w:val="none"/>
        </w:rPr>
        <w:t>投诉书的投诉请求应与投诉事项相关。</w:t>
      </w:r>
    </w:p>
    <w:p w14:paraId="62989FE0">
      <w:pPr>
        <w:pStyle w:val="19"/>
        <w:spacing w:line="360" w:lineRule="auto"/>
        <w:ind w:left="25" w:leftChars="12" w:firstLine="354" w:firstLineChars="147"/>
        <w:rPr>
          <w:rFonts w:hAnsi="宋体" w:cs="宋体"/>
          <w:b/>
          <w:color w:val="auto"/>
          <w:highlight w:val="none"/>
        </w:rPr>
      </w:pPr>
      <w:r>
        <w:rPr>
          <w:rFonts w:hAnsi="宋体" w:cs="宋体"/>
          <w:b/>
          <w:color w:val="auto"/>
          <w:sz w:val="24"/>
          <w:szCs w:val="24"/>
          <w:highlight w:val="none"/>
        </w:rPr>
        <w:t>6.</w:t>
      </w:r>
      <w:r>
        <w:rPr>
          <w:rFonts w:hint="eastAsia" w:hAnsi="宋体" w:cs="宋体"/>
          <w:b/>
          <w:color w:val="auto"/>
          <w:sz w:val="24"/>
          <w:szCs w:val="24"/>
          <w:highlight w:val="none"/>
        </w:rPr>
        <w:t>投诉人为法人或者其他组织的，投诉书应由法定代表人、主要负责人，或者其授权代表签字或者盖章，并加盖公章。</w:t>
      </w:r>
    </w:p>
    <w:p w14:paraId="50CDFD53">
      <w:pPr>
        <w:pStyle w:val="2"/>
        <w:rPr>
          <w:rFonts w:ascii="宋体" w:cs="宋体"/>
          <w:color w:val="auto"/>
          <w:szCs w:val="21"/>
          <w:highlight w:val="none"/>
        </w:rPr>
      </w:pPr>
      <w:bookmarkStart w:id="146" w:name="_Toc19603"/>
      <w:bookmarkStart w:id="147" w:name="_Toc1723"/>
      <w:bookmarkStart w:id="148" w:name="_Toc20110"/>
      <w:bookmarkStart w:id="149" w:name="_Toc11130"/>
      <w:bookmarkStart w:id="150" w:name="_Toc10662"/>
      <w:r>
        <w:rPr>
          <w:rFonts w:hint="eastAsia"/>
          <w:color w:val="auto"/>
          <w:highlight w:val="none"/>
        </w:rPr>
        <w:t>第六章</w:t>
      </w:r>
      <w:r>
        <w:rPr>
          <w:color w:val="auto"/>
          <w:highlight w:val="none"/>
        </w:rPr>
        <w:t xml:space="preserve"> </w:t>
      </w:r>
      <w:r>
        <w:rPr>
          <w:rFonts w:hint="eastAsia"/>
          <w:color w:val="auto"/>
          <w:highlight w:val="none"/>
        </w:rPr>
        <w:t>合同文本</w:t>
      </w:r>
      <w:bookmarkEnd w:id="146"/>
      <w:bookmarkEnd w:id="147"/>
      <w:bookmarkEnd w:id="148"/>
      <w:bookmarkEnd w:id="149"/>
      <w:bookmarkEnd w:id="150"/>
      <w:r>
        <w:rPr>
          <w:rFonts w:ascii="宋体" w:hAnsi="宋体" w:cs="宋体"/>
          <w:color w:val="auto"/>
          <w:szCs w:val="21"/>
          <w:highlight w:val="none"/>
        </w:rPr>
        <w:t xml:space="preserve">                                                            </w:t>
      </w:r>
    </w:p>
    <w:p w14:paraId="1117A857">
      <w:pPr>
        <w:spacing w:line="360" w:lineRule="auto"/>
        <w:ind w:right="800"/>
        <w:rPr>
          <w:rFonts w:ascii="宋体" w:cs="宋体"/>
          <w:color w:val="auto"/>
          <w:szCs w:val="21"/>
          <w:highlight w:val="none"/>
        </w:rPr>
      </w:pPr>
      <w:r>
        <w:rPr>
          <w:rFonts w:hint="eastAsia" w:ascii="宋体" w:hAnsi="宋体" w:cs="宋体"/>
          <w:color w:val="auto"/>
          <w:szCs w:val="21"/>
          <w:highlight w:val="none"/>
        </w:rPr>
        <w:t>分标：</w:t>
      </w:r>
    </w:p>
    <w:p w14:paraId="47849F60">
      <w:pPr>
        <w:spacing w:line="360" w:lineRule="auto"/>
        <w:ind w:right="800"/>
        <w:rPr>
          <w:rFonts w:ascii="宋体" w:cs="宋体"/>
          <w:bCs/>
          <w:color w:val="auto"/>
          <w:szCs w:val="21"/>
          <w:highlight w:val="none"/>
          <w:u w:val="single"/>
        </w:rPr>
      </w:pPr>
      <w:r>
        <w:rPr>
          <w:rFonts w:hint="eastAsia" w:ascii="宋体" w:hAnsi="宋体" w:cs="宋体"/>
          <w:color w:val="auto"/>
          <w:szCs w:val="21"/>
          <w:highlight w:val="none"/>
        </w:rPr>
        <w:t>采购计划号：</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p>
    <w:p w14:paraId="0C769563">
      <w:pPr>
        <w:spacing w:line="360" w:lineRule="auto"/>
        <w:rPr>
          <w:rFonts w:ascii="宋体" w:cs="宋体"/>
          <w:color w:val="auto"/>
          <w:szCs w:val="21"/>
          <w:highlight w:val="none"/>
          <w:u w:val="single"/>
        </w:rPr>
      </w:pPr>
      <w:r>
        <w:rPr>
          <w:rFonts w:hint="eastAsia" w:ascii="宋体" w:hAnsi="宋体" w:cs="宋体"/>
          <w:color w:val="auto"/>
          <w:szCs w:val="21"/>
          <w:highlight w:val="none"/>
        </w:rPr>
        <w:t>采购人（甲方）：</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供应商（乙方）：</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7B6086FE">
      <w:pPr>
        <w:spacing w:line="360" w:lineRule="auto"/>
        <w:rPr>
          <w:rFonts w:asci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78EB0DEC">
      <w:pPr>
        <w:spacing w:line="360" w:lineRule="auto"/>
        <w:rPr>
          <w:rFonts w:ascii="宋体" w:cs="宋体"/>
          <w:color w:val="auto"/>
          <w:szCs w:val="21"/>
          <w:highlight w:val="none"/>
          <w:u w:val="single"/>
        </w:rPr>
      </w:pPr>
      <w:r>
        <w:rPr>
          <w:rFonts w:hint="eastAsia" w:ascii="宋体" w:hAnsi="宋体" w:cs="宋体"/>
          <w:color w:val="auto"/>
          <w:szCs w:val="21"/>
          <w:highlight w:val="none"/>
        </w:rPr>
        <w:t>签订地点：</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签订时间：</w:t>
      </w:r>
      <w:r>
        <w:rPr>
          <w:rFonts w:ascii="宋体" w:hAnsi="宋体" w:cs="宋体"/>
          <w:color w:val="auto"/>
          <w:szCs w:val="21"/>
          <w:highlight w:val="none"/>
          <w:u w:val="single"/>
        </w:rPr>
        <w:t xml:space="preserve">                        </w:t>
      </w:r>
    </w:p>
    <w:p w14:paraId="4D849D4E">
      <w:pPr>
        <w:spacing w:line="360" w:lineRule="auto"/>
        <w:rPr>
          <w:rFonts w:asci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ascii="宋体" w:hAnsi="宋体" w:cs="宋体"/>
          <w:color w:val="auto"/>
          <w:szCs w:val="21"/>
          <w:highlight w:val="none"/>
          <w:u w:val="single"/>
        </w:rPr>
        <w:t>/</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6B713A4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根据《中华人民共和国政府采购法》、《中华人民共和国民法典》等法律、法规规定，按照磋商文件规定条款和乙方响应文件及其承诺，甲乙双方签订本合同。</w:t>
      </w:r>
    </w:p>
    <w:p w14:paraId="25BFEE77">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第一条　合同标的</w:t>
      </w:r>
    </w:p>
    <w:p w14:paraId="1AB007F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、项目一览表</w:t>
      </w:r>
    </w:p>
    <w:tbl>
      <w:tblPr>
        <w:tblStyle w:val="3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158924A">
        <w:tblPrEx>
          <w:tblCellMar>
            <w:top w:w="0" w:type="dxa"/>
            <w:left w:w="108" w:type="dxa"/>
            <w:bottom w:w="0" w:type="dxa"/>
            <w:right w:w="108" w:type="dxa"/>
          </w:tblCellMar>
        </w:tblPrEx>
        <w:trPr>
          <w:cantSplit/>
          <w:trHeight w:val="820" w:hRule="atLeast"/>
        </w:trPr>
        <w:tc>
          <w:tcPr>
            <w:tcW w:w="720" w:type="dxa"/>
            <w:vAlign w:val="center"/>
          </w:tcPr>
          <w:p w14:paraId="4602D3E8">
            <w:pPr>
              <w:spacing w:line="360" w:lineRule="auto"/>
              <w:jc w:val="center"/>
              <w:rPr>
                <w:rFonts w:ascii="宋体" w:cs="宋体"/>
                <w:color w:val="auto"/>
                <w:szCs w:val="21"/>
                <w:highlight w:val="none"/>
              </w:rPr>
            </w:pPr>
            <w:r>
              <w:rPr>
                <w:rFonts w:hint="eastAsia" w:ascii="宋体" w:hAnsi="宋体" w:cs="宋体"/>
                <w:color w:val="auto"/>
                <w:szCs w:val="21"/>
                <w:highlight w:val="none"/>
              </w:rPr>
              <w:t>序号</w:t>
            </w:r>
          </w:p>
        </w:tc>
        <w:tc>
          <w:tcPr>
            <w:tcW w:w="1213" w:type="dxa"/>
            <w:vAlign w:val="center"/>
          </w:tcPr>
          <w:p w14:paraId="2B64F097">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2400" w:type="dxa"/>
            <w:vAlign w:val="center"/>
          </w:tcPr>
          <w:p w14:paraId="6731F154">
            <w:pPr>
              <w:spacing w:line="360" w:lineRule="auto"/>
              <w:jc w:val="center"/>
              <w:rPr>
                <w:rFonts w:ascii="宋体" w:cs="宋体"/>
                <w:color w:val="auto"/>
                <w:szCs w:val="21"/>
                <w:highlight w:val="none"/>
              </w:rPr>
            </w:pPr>
            <w:r>
              <w:rPr>
                <w:rFonts w:hint="eastAsia" w:ascii="宋体" w:hAnsi="宋体" w:cs="宋体"/>
                <w:color w:val="auto"/>
                <w:szCs w:val="21"/>
                <w:highlight w:val="none"/>
              </w:rPr>
              <w:t>服务内容</w:t>
            </w:r>
          </w:p>
        </w:tc>
        <w:tc>
          <w:tcPr>
            <w:tcW w:w="1320" w:type="dxa"/>
            <w:vAlign w:val="center"/>
          </w:tcPr>
          <w:p w14:paraId="29E1F990">
            <w:pPr>
              <w:spacing w:line="360" w:lineRule="auto"/>
              <w:jc w:val="center"/>
              <w:rPr>
                <w:rFonts w:ascii="宋体" w:cs="宋体"/>
                <w:color w:val="auto"/>
                <w:szCs w:val="21"/>
                <w:highlight w:val="none"/>
              </w:rPr>
            </w:pPr>
            <w:r>
              <w:rPr>
                <w:rFonts w:hint="eastAsia" w:ascii="宋体" w:hAnsi="宋体" w:cs="宋体"/>
                <w:color w:val="auto"/>
                <w:szCs w:val="21"/>
                <w:highlight w:val="none"/>
              </w:rPr>
              <w:t>数</w:t>
            </w:r>
            <w:r>
              <w:rPr>
                <w:rFonts w:ascii="宋体" w:hAnsi="宋体" w:cs="宋体"/>
                <w:color w:val="auto"/>
                <w:szCs w:val="21"/>
                <w:highlight w:val="none"/>
              </w:rPr>
              <w:t xml:space="preserve">  </w:t>
            </w:r>
            <w:r>
              <w:rPr>
                <w:rFonts w:hint="eastAsia" w:ascii="宋体" w:hAnsi="宋体" w:cs="宋体"/>
                <w:color w:val="auto"/>
                <w:szCs w:val="21"/>
                <w:highlight w:val="none"/>
              </w:rPr>
              <w:t>量</w:t>
            </w:r>
          </w:p>
        </w:tc>
        <w:tc>
          <w:tcPr>
            <w:tcW w:w="1200" w:type="dxa"/>
            <w:vAlign w:val="center"/>
          </w:tcPr>
          <w:p w14:paraId="4BD7069A">
            <w:pPr>
              <w:spacing w:line="360" w:lineRule="auto"/>
              <w:jc w:val="center"/>
              <w:rPr>
                <w:rFonts w:ascii="宋体" w:cs="宋体"/>
                <w:color w:val="auto"/>
                <w:szCs w:val="21"/>
                <w:highlight w:val="none"/>
              </w:rPr>
            </w:pPr>
            <w:r>
              <w:rPr>
                <w:rFonts w:hint="eastAsia" w:ascii="宋体" w:hAnsi="宋体" w:cs="宋体"/>
                <w:color w:val="auto"/>
                <w:szCs w:val="21"/>
                <w:highlight w:val="none"/>
              </w:rPr>
              <w:t>单位</w:t>
            </w:r>
          </w:p>
        </w:tc>
        <w:tc>
          <w:tcPr>
            <w:tcW w:w="1300" w:type="dxa"/>
            <w:vAlign w:val="center"/>
          </w:tcPr>
          <w:p w14:paraId="43A20B35">
            <w:pPr>
              <w:spacing w:line="360" w:lineRule="auto"/>
              <w:jc w:val="center"/>
              <w:rPr>
                <w:rFonts w:ascii="宋体" w:cs="宋体"/>
                <w:color w:val="auto"/>
                <w:szCs w:val="21"/>
                <w:highlight w:val="none"/>
              </w:rPr>
            </w:pPr>
            <w:r>
              <w:rPr>
                <w:rFonts w:hint="eastAsia" w:ascii="宋体" w:hAnsi="宋体" w:cs="宋体"/>
                <w:color w:val="auto"/>
                <w:szCs w:val="21"/>
                <w:highlight w:val="none"/>
              </w:rPr>
              <w:t>单</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25B62793">
            <w:pPr>
              <w:spacing w:line="360" w:lineRule="auto"/>
              <w:jc w:val="center"/>
              <w:rPr>
                <w:rFonts w:ascii="宋体" w:cs="宋体"/>
                <w:color w:val="auto"/>
                <w:szCs w:val="21"/>
                <w:highlight w:val="none"/>
              </w:rPr>
            </w:pPr>
            <w:r>
              <w:rPr>
                <w:rFonts w:hint="eastAsia" w:ascii="宋体" w:hAnsi="宋体" w:cs="宋体"/>
                <w:color w:val="auto"/>
                <w:szCs w:val="21"/>
                <w:highlight w:val="none"/>
              </w:rPr>
              <w:t>（元）</w:t>
            </w:r>
          </w:p>
        </w:tc>
        <w:tc>
          <w:tcPr>
            <w:tcW w:w="1207" w:type="dxa"/>
            <w:vAlign w:val="center"/>
          </w:tcPr>
          <w:p w14:paraId="03F12226">
            <w:pPr>
              <w:spacing w:line="360" w:lineRule="auto"/>
              <w:jc w:val="center"/>
              <w:rPr>
                <w:rFonts w:ascii="宋体" w:cs="宋体"/>
                <w:color w:val="auto"/>
                <w:szCs w:val="21"/>
                <w:highlight w:val="none"/>
              </w:rPr>
            </w:pPr>
            <w:r>
              <w:rPr>
                <w:rFonts w:hint="eastAsia" w:ascii="宋体" w:hAnsi="宋体" w:cs="宋体"/>
                <w:color w:val="auto"/>
                <w:szCs w:val="21"/>
                <w:highlight w:val="none"/>
              </w:rPr>
              <w:t>总</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534CC1A3">
            <w:pPr>
              <w:spacing w:line="360" w:lineRule="auto"/>
              <w:jc w:val="center"/>
              <w:rPr>
                <w:rFonts w:ascii="宋体" w:cs="宋体"/>
                <w:color w:val="auto"/>
                <w:szCs w:val="21"/>
                <w:highlight w:val="none"/>
              </w:rPr>
            </w:pPr>
            <w:r>
              <w:rPr>
                <w:rFonts w:hint="eastAsia" w:ascii="宋体" w:hAnsi="宋体" w:cs="宋体"/>
                <w:color w:val="auto"/>
                <w:szCs w:val="21"/>
                <w:highlight w:val="none"/>
              </w:rPr>
              <w:t>（元）</w:t>
            </w:r>
          </w:p>
        </w:tc>
      </w:tr>
      <w:tr w14:paraId="631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66D35614">
            <w:pPr>
              <w:spacing w:line="360" w:lineRule="auto"/>
              <w:jc w:val="center"/>
              <w:rPr>
                <w:rFonts w:ascii="宋体" w:cs="宋体"/>
                <w:color w:val="auto"/>
                <w:szCs w:val="21"/>
                <w:highlight w:val="none"/>
              </w:rPr>
            </w:pPr>
          </w:p>
        </w:tc>
        <w:tc>
          <w:tcPr>
            <w:tcW w:w="1213" w:type="dxa"/>
            <w:vAlign w:val="center"/>
          </w:tcPr>
          <w:p w14:paraId="20739D64">
            <w:pPr>
              <w:spacing w:line="360" w:lineRule="auto"/>
              <w:jc w:val="center"/>
              <w:rPr>
                <w:rFonts w:ascii="宋体" w:cs="宋体"/>
                <w:color w:val="auto"/>
                <w:szCs w:val="21"/>
                <w:highlight w:val="none"/>
              </w:rPr>
            </w:pPr>
          </w:p>
        </w:tc>
        <w:tc>
          <w:tcPr>
            <w:tcW w:w="2400" w:type="dxa"/>
            <w:vAlign w:val="center"/>
          </w:tcPr>
          <w:p w14:paraId="78DC0784">
            <w:pPr>
              <w:spacing w:line="360" w:lineRule="auto"/>
              <w:jc w:val="center"/>
              <w:rPr>
                <w:rFonts w:ascii="宋体" w:cs="宋体"/>
                <w:color w:val="auto"/>
                <w:szCs w:val="21"/>
                <w:highlight w:val="none"/>
              </w:rPr>
            </w:pPr>
          </w:p>
        </w:tc>
        <w:tc>
          <w:tcPr>
            <w:tcW w:w="1320" w:type="dxa"/>
            <w:vAlign w:val="center"/>
          </w:tcPr>
          <w:p w14:paraId="4FDCEB29">
            <w:pPr>
              <w:spacing w:line="360" w:lineRule="auto"/>
              <w:jc w:val="center"/>
              <w:rPr>
                <w:rFonts w:ascii="宋体" w:cs="宋体"/>
                <w:color w:val="auto"/>
                <w:szCs w:val="21"/>
                <w:highlight w:val="none"/>
              </w:rPr>
            </w:pPr>
          </w:p>
        </w:tc>
        <w:tc>
          <w:tcPr>
            <w:tcW w:w="1200" w:type="dxa"/>
            <w:vAlign w:val="center"/>
          </w:tcPr>
          <w:p w14:paraId="0A2D78D9">
            <w:pPr>
              <w:spacing w:line="360" w:lineRule="auto"/>
              <w:jc w:val="center"/>
              <w:rPr>
                <w:rFonts w:ascii="宋体" w:cs="宋体"/>
                <w:color w:val="auto"/>
                <w:szCs w:val="21"/>
                <w:highlight w:val="none"/>
              </w:rPr>
            </w:pPr>
          </w:p>
        </w:tc>
        <w:tc>
          <w:tcPr>
            <w:tcW w:w="1300" w:type="dxa"/>
            <w:vAlign w:val="center"/>
          </w:tcPr>
          <w:p w14:paraId="08D7F790">
            <w:pPr>
              <w:spacing w:line="360" w:lineRule="auto"/>
              <w:jc w:val="center"/>
              <w:rPr>
                <w:rFonts w:ascii="宋体" w:cs="宋体"/>
                <w:color w:val="auto"/>
                <w:szCs w:val="21"/>
                <w:highlight w:val="none"/>
              </w:rPr>
            </w:pPr>
          </w:p>
        </w:tc>
        <w:tc>
          <w:tcPr>
            <w:tcW w:w="1207" w:type="dxa"/>
            <w:vAlign w:val="center"/>
          </w:tcPr>
          <w:p w14:paraId="0A4F34A7">
            <w:pPr>
              <w:spacing w:line="360" w:lineRule="auto"/>
              <w:jc w:val="center"/>
              <w:rPr>
                <w:rFonts w:ascii="宋体" w:cs="宋体"/>
                <w:color w:val="auto"/>
                <w:szCs w:val="21"/>
                <w:highlight w:val="none"/>
              </w:rPr>
            </w:pPr>
          </w:p>
        </w:tc>
      </w:tr>
      <w:tr w14:paraId="0088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6712A79D">
            <w:pPr>
              <w:spacing w:line="360" w:lineRule="auto"/>
              <w:jc w:val="center"/>
              <w:rPr>
                <w:rFonts w:ascii="宋体" w:cs="宋体"/>
                <w:color w:val="auto"/>
                <w:szCs w:val="21"/>
                <w:highlight w:val="none"/>
              </w:rPr>
            </w:pPr>
            <w:r>
              <w:rPr>
                <w:rFonts w:hint="eastAsia" w:ascii="宋体" w:hAnsi="宋体" w:cs="宋体"/>
                <w:color w:val="auto"/>
                <w:szCs w:val="21"/>
                <w:highlight w:val="none"/>
              </w:rPr>
              <w:t>详见报价表</w:t>
            </w:r>
          </w:p>
        </w:tc>
      </w:tr>
      <w:tr w14:paraId="2A4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4FA1412E">
            <w:pPr>
              <w:spacing w:line="360" w:lineRule="auto"/>
              <w:rPr>
                <w:rFonts w:asci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tc>
      </w:tr>
    </w:tbl>
    <w:p w14:paraId="701D58C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合同合计金额包括但不限于满足本次竞标全部采购需求所应提供的服务，以及伴随的货物的价格；包含竞标服务、货物、、运输（含保险）、安装（如有）、调试、检验、技术服务、培训、税费等所有费用。如磋商文件对其另有规定的，从其规定。</w:t>
      </w:r>
    </w:p>
    <w:p w14:paraId="70800B82">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第二条　质量保证</w:t>
      </w:r>
    </w:p>
    <w:p w14:paraId="31A8099D">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73FD90D9">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第三条　权利保证</w:t>
      </w:r>
    </w:p>
    <w:p w14:paraId="7BA255C9">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、乙方应保证所提供服务在使用时不会侵犯任何第三方的专利权、商标权、著作权等知识产权及其他合法权利，且所有权、处分权等没有受到任何限制。</w:t>
      </w:r>
    </w:p>
    <w:p w14:paraId="07D16404">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39AEA91">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第四条　交付和验收</w:t>
      </w:r>
    </w:p>
    <w:p w14:paraId="6BEC1F2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、合同履约期限：</w:t>
      </w:r>
      <w:r>
        <w:rPr>
          <w:rFonts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BEEA160">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、乙方应按响应文件的承诺向甲方提供相应的服务，并提供所服务内容的相关技术资料。</w:t>
      </w:r>
    </w:p>
    <w:p w14:paraId="717B2FD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、乙方提供不符合响应文件和本合同规定的服务成果，甲方有权拒绝接受。</w:t>
      </w:r>
    </w:p>
    <w:p w14:paraId="56D2669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134CFB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、甲乙双方应按照《广西壮族自治区政府采购项目履约验收管理办法》、双方合同、响应文件验收。</w:t>
      </w:r>
    </w:p>
    <w:p w14:paraId="3ECCF11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2828184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48778169">
      <w:pPr>
        <w:snapToGrid w:val="0"/>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第五条</w:t>
      </w:r>
      <w:r>
        <w:rPr>
          <w:rFonts w:ascii="宋体" w:hAnsi="宋体" w:cs="宋体"/>
          <w:b/>
          <w:color w:val="auto"/>
          <w:szCs w:val="21"/>
          <w:highlight w:val="none"/>
        </w:rPr>
        <w:t xml:space="preserve">  </w:t>
      </w:r>
      <w:r>
        <w:rPr>
          <w:rFonts w:hint="eastAsia" w:ascii="宋体" w:hAnsi="宋体" w:cs="宋体"/>
          <w:b/>
          <w:color w:val="auto"/>
          <w:szCs w:val="21"/>
          <w:highlight w:val="none"/>
        </w:rPr>
        <w:t>后续服务及培训</w:t>
      </w:r>
    </w:p>
    <w:p w14:paraId="7AC0F311">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、乙方应按照国家有关法律法规和本合同所附的《后续服务承诺》要求为甲方提供相应的后续服务。</w:t>
      </w:r>
    </w:p>
    <w:p w14:paraId="4D31440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、甲方应提供必要测试条件（如场地、电源、水源等）。</w:t>
      </w:r>
    </w:p>
    <w:p w14:paraId="2C38E66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、乙方负责甲方有关人员的培训。培训时间、地点：</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2F70C6D">
      <w:pPr>
        <w:snapToGrid w:val="0"/>
        <w:spacing w:line="360" w:lineRule="auto"/>
        <w:ind w:firstLine="422" w:firstLineChars="200"/>
        <w:rPr>
          <w:rFonts w:ascii="宋体" w:cs="宋体"/>
          <w:color w:val="auto"/>
          <w:szCs w:val="21"/>
          <w:highlight w:val="none"/>
          <w:u w:val="single"/>
        </w:rPr>
      </w:pPr>
      <w:r>
        <w:rPr>
          <w:rFonts w:hint="eastAsia" w:ascii="宋体" w:hAnsi="宋体" w:cs="宋体"/>
          <w:b/>
          <w:color w:val="auto"/>
          <w:szCs w:val="21"/>
          <w:highlight w:val="none"/>
        </w:rPr>
        <w:t>第六条　付款方式</w:t>
      </w:r>
    </w:p>
    <w:p w14:paraId="0028504E">
      <w:pPr>
        <w:snapToGrid w:val="0"/>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付款方式：</w:t>
      </w:r>
      <w:r>
        <w:rPr>
          <w:rFonts w:ascii="宋体" w:hAnsi="宋体" w:cs="宋体"/>
          <w:bCs/>
          <w:color w:val="auto"/>
          <w:szCs w:val="21"/>
          <w:highlight w:val="none"/>
          <w:u w:val="single"/>
        </w:rPr>
        <w:t xml:space="preserve">                       </w:t>
      </w:r>
    </w:p>
    <w:p w14:paraId="07C63616">
      <w:pPr>
        <w:snapToGrid w:val="0"/>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第七条　履约保证金</w:t>
      </w:r>
    </w:p>
    <w:p w14:paraId="51D2B575">
      <w:pPr>
        <w:spacing w:line="360" w:lineRule="auto"/>
        <w:ind w:firstLine="420" w:firstLineChars="200"/>
        <w:rPr>
          <w:rFonts w:ascii="宋体" w:cs="宋体"/>
          <w:b/>
          <w:color w:val="auto"/>
          <w:szCs w:val="21"/>
          <w:highlight w:val="none"/>
        </w:rPr>
      </w:pPr>
      <w:r>
        <w:rPr>
          <w:rFonts w:hint="eastAsia" w:ascii="宋体" w:hAnsi="宋体" w:cs="宋体"/>
          <w:color w:val="auto"/>
          <w:szCs w:val="21"/>
          <w:highlight w:val="none"/>
        </w:rPr>
        <w:t>本项目不收取履约保证金</w:t>
      </w:r>
    </w:p>
    <w:p w14:paraId="37D0C8C4">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第八条</w:t>
      </w:r>
      <w:r>
        <w:rPr>
          <w:rFonts w:ascii="宋体" w:hAnsi="宋体" w:cs="宋体"/>
          <w:b/>
          <w:color w:val="auto"/>
          <w:szCs w:val="21"/>
          <w:highlight w:val="none"/>
        </w:rPr>
        <w:t xml:space="preserve">  </w:t>
      </w:r>
      <w:r>
        <w:rPr>
          <w:rFonts w:hint="eastAsia" w:ascii="宋体" w:hAnsi="宋体" w:cs="宋体"/>
          <w:b/>
          <w:color w:val="auto"/>
          <w:szCs w:val="21"/>
          <w:highlight w:val="none"/>
        </w:rPr>
        <w:t>税费</w:t>
      </w:r>
    </w:p>
    <w:p w14:paraId="1A18408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本合同执行中依法产生的应由甲方或者乙方承担的一切税费均由乙方负担，合同另有约定的除外。</w:t>
      </w:r>
    </w:p>
    <w:p w14:paraId="0DF64D98">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第九条　违约责任</w:t>
      </w:r>
    </w:p>
    <w:p w14:paraId="4506141D">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、除不可抗力原因外，乙方没有按照合同规定的时间提供服务的，甲方可要求乙方支付违约金。每推迟一天按合同金额的</w:t>
      </w:r>
      <w:r>
        <w:rPr>
          <w:rFonts w:ascii="宋体" w:hAnsi="宋体" w:cs="宋体"/>
          <w:color w:val="auto"/>
          <w:szCs w:val="21"/>
          <w:highlight w:val="none"/>
        </w:rPr>
        <w:t>3</w:t>
      </w:r>
      <w:r>
        <w:rPr>
          <w:rFonts w:hint="eastAsia" w:ascii="宋体" w:hAnsi="宋体" w:cs="宋体"/>
          <w:color w:val="auto"/>
          <w:szCs w:val="21"/>
          <w:highlight w:val="none"/>
        </w:rPr>
        <w:t>‰支付违约金，该违约金累计不超过合同金额的</w:t>
      </w:r>
      <w:r>
        <w:rPr>
          <w:rFonts w:ascii="宋体" w:hAnsi="宋体" w:cs="宋体"/>
          <w:color w:val="auto"/>
          <w:szCs w:val="21"/>
          <w:highlight w:val="none"/>
        </w:rPr>
        <w:t>10%</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1EFBB84B">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、乙方提供的服务如侵犯了第三方合法权益而引发的任何纠纷或者诉讼，均由乙方负责交涉并承担全部责任。同时，甲方有权单方解除合同，合同金额没有支付的，不再支付；已经支付的，甲方有权追回，</w:t>
      </w:r>
    </w:p>
    <w:p w14:paraId="0795B44D">
      <w:pPr>
        <w:snapToGrid w:val="0"/>
        <w:spacing w:line="360" w:lineRule="auto"/>
        <w:rPr>
          <w:rFonts w:ascii="宋体" w:cs="宋体"/>
          <w:color w:val="auto"/>
          <w:szCs w:val="21"/>
          <w:highlight w:val="none"/>
        </w:rPr>
      </w:pPr>
      <w:r>
        <w:rPr>
          <w:rFonts w:hint="eastAsia" w:ascii="宋体" w:hAnsi="宋体" w:cs="宋体"/>
          <w:color w:val="auto"/>
          <w:szCs w:val="21"/>
          <w:highlight w:val="none"/>
        </w:rPr>
        <w:t>且乙方应按合同金额</w:t>
      </w:r>
      <w:r>
        <w:rPr>
          <w:rFonts w:ascii="宋体" w:hAnsi="宋体" w:cs="宋体"/>
          <w:color w:val="auto"/>
          <w:szCs w:val="21"/>
          <w:highlight w:val="none"/>
        </w:rPr>
        <w:t>20%</w:t>
      </w:r>
      <w:r>
        <w:rPr>
          <w:rFonts w:hint="eastAsia" w:ascii="宋体" w:hAnsi="宋体" w:cs="宋体"/>
          <w:color w:val="auto"/>
          <w:szCs w:val="21"/>
          <w:highlight w:val="none"/>
        </w:rPr>
        <w:t>承担违约金，违约金无法弥补甲方损失的，乙方应当继续赔偿。</w:t>
      </w:r>
    </w:p>
    <w:p w14:paraId="617F029F">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、甲方延期付款的，每天向乙方偿付延期款额</w:t>
      </w:r>
      <w:r>
        <w:rPr>
          <w:rFonts w:ascii="宋体" w:hAnsi="宋体" w:cs="宋体"/>
          <w:color w:val="auto"/>
          <w:szCs w:val="21"/>
          <w:highlight w:val="none"/>
        </w:rPr>
        <w:t>3</w:t>
      </w:r>
      <w:r>
        <w:rPr>
          <w:rFonts w:hint="eastAsia" w:ascii="宋体" w:hAnsi="宋体" w:cs="宋体"/>
          <w:color w:val="auto"/>
          <w:szCs w:val="21"/>
          <w:highlight w:val="none"/>
        </w:rPr>
        <w:t>‰违约金，但违约金累计不得超过延期款额</w:t>
      </w:r>
      <w:r>
        <w:rPr>
          <w:rFonts w:ascii="宋体" w:hAnsi="宋体" w:cs="宋体"/>
          <w:color w:val="auto"/>
          <w:szCs w:val="21"/>
          <w:highlight w:val="none"/>
        </w:rPr>
        <w:t>5%</w:t>
      </w:r>
      <w:r>
        <w:rPr>
          <w:rFonts w:hint="eastAsia" w:ascii="宋体" w:hAnsi="宋体" w:cs="宋体"/>
          <w:color w:val="auto"/>
          <w:szCs w:val="21"/>
          <w:highlight w:val="none"/>
        </w:rPr>
        <w:t>。</w:t>
      </w:r>
    </w:p>
    <w:p w14:paraId="77609AA8">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、乙方所提供的服务成果、数量、技术参数要求</w:t>
      </w:r>
      <w:r>
        <w:rPr>
          <w:rFonts w:ascii="宋体" w:hAnsi="宋体" w:cs="宋体"/>
          <w:color w:val="auto"/>
          <w:szCs w:val="21"/>
          <w:highlight w:val="none"/>
        </w:rPr>
        <w:t>(</w:t>
      </w:r>
      <w:r>
        <w:rPr>
          <w:rFonts w:hint="eastAsia" w:ascii="宋体" w:hAnsi="宋体" w:cs="宋体"/>
          <w:color w:val="auto"/>
          <w:szCs w:val="21"/>
          <w:highlight w:val="none"/>
        </w:rPr>
        <w:t>技术参数需求</w:t>
      </w:r>
      <w:r>
        <w:rPr>
          <w:rFonts w:ascii="宋体" w:hAnsi="宋体" w:cs="宋体"/>
          <w:color w:val="auto"/>
          <w:szCs w:val="21"/>
          <w:highlight w:val="none"/>
        </w:rPr>
        <w:t>)</w:t>
      </w:r>
      <w:r>
        <w:rPr>
          <w:rFonts w:hint="eastAsia" w:ascii="宋体" w:hAnsi="宋体" w:cs="宋体"/>
          <w:color w:val="auto"/>
          <w:szCs w:val="21"/>
          <w:highlight w:val="none"/>
        </w:rPr>
        <w:t>等不符合甲方要求的，应及时整改；乙方在甲方规定期限内不能完成整改的或无正当理由拒绝整改或经整改后仍不能达到甲方要求的，甲方有权终止合同，追回已付款项，并按本合同总价的</w:t>
      </w:r>
      <w:r>
        <w:rPr>
          <w:rFonts w:ascii="宋体" w:hAnsi="宋体" w:cs="宋体"/>
          <w:color w:val="auto"/>
          <w:szCs w:val="21"/>
          <w:highlight w:val="none"/>
        </w:rPr>
        <w:t>10%</w:t>
      </w:r>
      <w:r>
        <w:rPr>
          <w:rFonts w:hint="eastAsia" w:ascii="宋体" w:hAnsi="宋体" w:cs="宋体"/>
          <w:color w:val="auto"/>
          <w:szCs w:val="21"/>
          <w:highlight w:val="none"/>
        </w:rPr>
        <w:t>计算违约金。</w:t>
      </w:r>
    </w:p>
    <w:p w14:paraId="18964311">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、甲方有权依据采购文件、响应文件及乙方的磋商承诺对乙方的服务人员进行管理或要求更换，对于甲方要求更换服务人员的，乙方应无条件及时更换</w:t>
      </w:r>
      <w:r>
        <w:rPr>
          <w:rFonts w:ascii="宋体" w:hAnsi="宋体" w:cs="宋体"/>
          <w:color w:val="auto"/>
          <w:szCs w:val="21"/>
          <w:highlight w:val="none"/>
        </w:rPr>
        <w:t>;</w:t>
      </w:r>
      <w:r>
        <w:rPr>
          <w:rFonts w:hint="eastAsia" w:ascii="宋体" w:hAnsi="宋体" w:cs="宋体"/>
          <w:color w:val="auto"/>
          <w:szCs w:val="21"/>
          <w:highlight w:val="none"/>
        </w:rPr>
        <w:t>乙方拒绝更换的，甲方有权终止合同，并按本合同总价的</w:t>
      </w:r>
      <w:r>
        <w:rPr>
          <w:rFonts w:ascii="宋体" w:hAnsi="宋体" w:cs="宋体"/>
          <w:color w:val="auto"/>
          <w:szCs w:val="21"/>
          <w:highlight w:val="none"/>
        </w:rPr>
        <w:t>10%</w:t>
      </w:r>
      <w:r>
        <w:rPr>
          <w:rFonts w:hint="eastAsia" w:ascii="宋体" w:hAnsi="宋体" w:cs="宋体"/>
          <w:color w:val="auto"/>
          <w:szCs w:val="21"/>
          <w:highlight w:val="none"/>
        </w:rPr>
        <w:t>计算违约金。</w:t>
      </w:r>
    </w:p>
    <w:p w14:paraId="76F57BD7">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、乙方未按本合同和响应文件中规定的服务承诺提供后续服务的，乙方应按本合同总金额的</w:t>
      </w:r>
      <w:r>
        <w:rPr>
          <w:rFonts w:ascii="宋体" w:hAnsi="宋体" w:cs="宋体"/>
          <w:color w:val="auto"/>
          <w:szCs w:val="21"/>
          <w:highlight w:val="none"/>
        </w:rPr>
        <w:t>5%/</w:t>
      </w:r>
      <w:r>
        <w:rPr>
          <w:rFonts w:hint="eastAsia" w:ascii="宋体" w:hAnsi="宋体" w:cs="宋体"/>
          <w:color w:val="auto"/>
          <w:szCs w:val="21"/>
          <w:highlight w:val="none"/>
        </w:rPr>
        <w:t>次向甲方支付违约金。</w:t>
      </w:r>
    </w:p>
    <w:p w14:paraId="2579D6B0">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、乙方提供的服务及其成果在服务期及售后期内，因设计缺陷或其它质量原因造成的问题，由乙方负责处理并承担费用。</w:t>
      </w:r>
    </w:p>
    <w:p w14:paraId="4C6EE472">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由于乙方提供的产品和服务达不到磋商文件规定的服务质量、技术要求，致使验收不合格的，甲方不予验收，直至乙方按合同要求进行整改使该项目完全达到规定的技术及服务要求，整改期间产生的一切费用由乙方负责并承担逾期交付的违约责任。</w:t>
      </w:r>
    </w:p>
    <w:p w14:paraId="0245D980">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、乙方不能就所成交的项目进行分包、转包，如发现乙方有分包、转包现象，甲方有权单方解除合同，同时乙方应向甲方支付合同总金额</w:t>
      </w:r>
      <w:r>
        <w:rPr>
          <w:rFonts w:ascii="宋体" w:hAnsi="宋体" w:cs="宋体"/>
          <w:color w:val="auto"/>
          <w:szCs w:val="21"/>
          <w:highlight w:val="none"/>
        </w:rPr>
        <w:t>20%</w:t>
      </w:r>
      <w:r>
        <w:rPr>
          <w:rFonts w:hint="eastAsia" w:ascii="宋体" w:hAnsi="宋体" w:cs="宋体"/>
          <w:color w:val="auto"/>
          <w:szCs w:val="21"/>
          <w:highlight w:val="none"/>
        </w:rPr>
        <w:t>的违约金，由此造成的损失由乙方负责。</w:t>
      </w:r>
    </w:p>
    <w:p w14:paraId="51E9A54B">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、本合同有效期内，乙方因自身原因要求终止或解除合同，应返还甲方已付款项，并按合同总价款的</w:t>
      </w:r>
      <w:r>
        <w:rPr>
          <w:rFonts w:ascii="宋体" w:hAnsi="宋体" w:cs="宋体"/>
          <w:color w:val="auto"/>
          <w:szCs w:val="21"/>
          <w:highlight w:val="none"/>
        </w:rPr>
        <w:t>20%</w:t>
      </w:r>
      <w:r>
        <w:rPr>
          <w:rFonts w:hint="eastAsia" w:ascii="宋体" w:hAnsi="宋体" w:cs="宋体"/>
          <w:color w:val="auto"/>
          <w:szCs w:val="21"/>
          <w:highlight w:val="none"/>
        </w:rPr>
        <w:t>承担违约责任。</w:t>
      </w:r>
    </w:p>
    <w:p w14:paraId="17CD49E0">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、如乙方违反合同约定的信息安全及保密要求，每违反一次收取合同总金额</w:t>
      </w:r>
      <w:r>
        <w:rPr>
          <w:rFonts w:ascii="宋体" w:hAnsi="宋体" w:cs="宋体"/>
          <w:color w:val="auto"/>
          <w:szCs w:val="21"/>
          <w:highlight w:val="none"/>
        </w:rPr>
        <w:t>0.2%</w:t>
      </w:r>
      <w:r>
        <w:rPr>
          <w:rFonts w:hint="eastAsia" w:ascii="宋体" w:hAnsi="宋体" w:cs="宋体"/>
          <w:color w:val="auto"/>
          <w:szCs w:val="21"/>
          <w:highlight w:val="none"/>
        </w:rPr>
        <w:t>的违约金，累计不超过合同总金额的</w:t>
      </w:r>
      <w:r>
        <w:rPr>
          <w:rFonts w:ascii="宋体" w:hAnsi="宋体" w:cs="宋体"/>
          <w:color w:val="auto"/>
          <w:szCs w:val="21"/>
          <w:highlight w:val="none"/>
        </w:rPr>
        <w:t>30%</w:t>
      </w:r>
      <w:r>
        <w:rPr>
          <w:rFonts w:hint="eastAsia" w:ascii="宋体" w:hAnsi="宋体" w:cs="宋体"/>
          <w:color w:val="auto"/>
          <w:szCs w:val="21"/>
          <w:highlight w:val="none"/>
        </w:rPr>
        <w:t>，违约金不足以弥补甲方实际损失的，乙方还应支付赔偿金。</w:t>
      </w:r>
    </w:p>
    <w:p w14:paraId="4766CF43">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、其它违约行为按合同总金额的</w:t>
      </w:r>
      <w:r>
        <w:rPr>
          <w:rFonts w:ascii="宋体" w:hAnsi="宋体" w:cs="宋体"/>
          <w:color w:val="auto"/>
          <w:szCs w:val="21"/>
          <w:highlight w:val="none"/>
        </w:rPr>
        <w:t>5%</w:t>
      </w:r>
      <w:r>
        <w:rPr>
          <w:rFonts w:hint="eastAsia" w:ascii="宋体" w:hAnsi="宋体" w:cs="宋体"/>
          <w:color w:val="auto"/>
          <w:szCs w:val="21"/>
          <w:highlight w:val="none"/>
        </w:rPr>
        <w:t>收取违约金。</w:t>
      </w:r>
    </w:p>
    <w:p w14:paraId="042C0A2C">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、本条所称损失是指一方因另一方违约而遭受的全部经济损失</w:t>
      </w:r>
      <w:r>
        <w:rPr>
          <w:rFonts w:ascii="宋体" w:hAnsi="宋体" w:cs="宋体"/>
          <w:color w:val="auto"/>
          <w:szCs w:val="21"/>
          <w:highlight w:val="none"/>
        </w:rPr>
        <w:t>(</w:t>
      </w:r>
      <w:r>
        <w:rPr>
          <w:rFonts w:hint="eastAsia" w:ascii="宋体" w:hAnsi="宋体" w:cs="宋体"/>
          <w:color w:val="auto"/>
          <w:szCs w:val="21"/>
          <w:highlight w:val="none"/>
        </w:rPr>
        <w:t>包括但不限于直接损失、间接损失及实现债权的费用，如诉讼费、律师费、差旅费、调查费、财产保全责任险保险费等</w:t>
      </w:r>
      <w:r>
        <w:rPr>
          <w:rFonts w:ascii="宋体" w:hAnsi="宋体" w:cs="宋体"/>
          <w:color w:val="auto"/>
          <w:szCs w:val="21"/>
          <w:highlight w:val="none"/>
        </w:rPr>
        <w:t>)</w:t>
      </w:r>
      <w:r>
        <w:rPr>
          <w:rFonts w:hint="eastAsia" w:ascii="宋体" w:hAnsi="宋体" w:cs="宋体"/>
          <w:color w:val="auto"/>
          <w:szCs w:val="21"/>
          <w:highlight w:val="none"/>
        </w:rPr>
        <w:t>。</w:t>
      </w:r>
    </w:p>
    <w:p w14:paraId="59269066">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第十条</w:t>
      </w:r>
      <w:r>
        <w:rPr>
          <w:rFonts w:ascii="宋体" w:hAnsi="宋体" w:cs="宋体"/>
          <w:b/>
          <w:color w:val="auto"/>
          <w:szCs w:val="21"/>
          <w:highlight w:val="none"/>
        </w:rPr>
        <w:t xml:space="preserve">  </w:t>
      </w:r>
      <w:r>
        <w:rPr>
          <w:rFonts w:hint="eastAsia" w:ascii="宋体" w:hAnsi="宋体" w:cs="宋体"/>
          <w:b/>
          <w:color w:val="auto"/>
          <w:szCs w:val="21"/>
          <w:highlight w:val="none"/>
        </w:rPr>
        <w:t>不可抗力事件处理</w:t>
      </w:r>
    </w:p>
    <w:p w14:paraId="2773F97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70E8F06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、不可抗力事件发生后，应立即通知对方，并寄送有关权威机构出具的证明。</w:t>
      </w:r>
    </w:p>
    <w:p w14:paraId="376D8D7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、不可抗力事件延续一百二十天以上，双方应通过友好协商，确定是否继续履行合同。</w:t>
      </w:r>
    </w:p>
    <w:p w14:paraId="06AE39C4">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第十一条</w:t>
      </w:r>
      <w:r>
        <w:rPr>
          <w:rFonts w:ascii="宋体" w:hAnsi="宋体" w:cs="宋体"/>
          <w:b/>
          <w:color w:val="auto"/>
          <w:szCs w:val="21"/>
          <w:highlight w:val="none"/>
        </w:rPr>
        <w:t xml:space="preserve">  </w:t>
      </w:r>
      <w:r>
        <w:rPr>
          <w:rFonts w:hint="eastAsia" w:ascii="宋体" w:hAnsi="宋体" w:cs="宋体"/>
          <w:b/>
          <w:color w:val="auto"/>
          <w:szCs w:val="21"/>
          <w:highlight w:val="none"/>
        </w:rPr>
        <w:t>合同争议解决</w:t>
      </w:r>
    </w:p>
    <w:p w14:paraId="3694EAF3">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490C9BE4">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11D4098B">
      <w:pPr>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、诉讼期间，本合同继续履行。</w:t>
      </w:r>
    </w:p>
    <w:p w14:paraId="55746D0C">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第十二条</w:t>
      </w:r>
      <w:r>
        <w:rPr>
          <w:rFonts w:ascii="宋体" w:hAnsi="宋体" w:cs="宋体"/>
          <w:b/>
          <w:color w:val="auto"/>
          <w:szCs w:val="21"/>
          <w:highlight w:val="none"/>
        </w:rPr>
        <w:t xml:space="preserve">  </w:t>
      </w:r>
      <w:r>
        <w:rPr>
          <w:rFonts w:hint="eastAsia" w:ascii="宋体" w:hAnsi="宋体" w:cs="宋体"/>
          <w:b/>
          <w:color w:val="auto"/>
          <w:szCs w:val="21"/>
          <w:highlight w:val="none"/>
        </w:rPr>
        <w:t>合同生效及其它</w:t>
      </w:r>
    </w:p>
    <w:p w14:paraId="648B314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、合同经双方法定代表人或者授权代表签字并加盖单位公章后生效。</w:t>
      </w:r>
    </w:p>
    <w:p w14:paraId="018272A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、合同执行中涉及采购资金和采购内容修改或者补充的，须经财政部门审批，并签书面补充协议报财政部门备案，方可作为主合同不可分割的一部分。</w:t>
      </w:r>
    </w:p>
    <w:p w14:paraId="41DFE1F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、本合同未尽事宜，遵照《中华人民共和国民法典》有关条文执行。</w:t>
      </w:r>
    </w:p>
    <w:p w14:paraId="6FF92129">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第十三条　合同的变更、终止与转让</w:t>
      </w:r>
    </w:p>
    <w:p w14:paraId="055D4A5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62DB95E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、乙方不得擅自转让其应履行的合同义务。</w:t>
      </w:r>
    </w:p>
    <w:p w14:paraId="50FE1828">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第十四条　签订本合同依据</w:t>
      </w:r>
    </w:p>
    <w:p w14:paraId="23BCB9E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、成交通知书；</w:t>
      </w:r>
    </w:p>
    <w:p w14:paraId="783D7AC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、竞标报价表；</w:t>
      </w:r>
    </w:p>
    <w:p w14:paraId="30788AC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、商务要求偏离表和技术要求偏离表；</w:t>
      </w:r>
    </w:p>
    <w:p w14:paraId="2450257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、服务承诺书；</w:t>
      </w:r>
    </w:p>
    <w:p w14:paraId="618597B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、响应文件中的其他相关文件。</w:t>
      </w:r>
    </w:p>
    <w:p w14:paraId="064AED0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49EAA3B4">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本合同一式六份，具有同等法律效力，采购代理机构一份，甲方三份、乙方两份。</w:t>
      </w:r>
    </w:p>
    <w:p w14:paraId="094CA36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本合同甲乙双方签字盖章后生效，本合同自签订之日起</w:t>
      </w:r>
      <w:r>
        <w:rPr>
          <w:rFonts w:ascii="宋体" w:hAnsi="宋体" w:cs="宋体"/>
          <w:color w:val="auto"/>
          <w:szCs w:val="21"/>
          <w:highlight w:val="none"/>
        </w:rPr>
        <w:t>2</w:t>
      </w:r>
      <w:r>
        <w:rPr>
          <w:rFonts w:hint="eastAsia" w:ascii="宋体" w:hAnsi="宋体" w:cs="宋体"/>
          <w:color w:val="auto"/>
          <w:szCs w:val="21"/>
          <w:highlight w:val="none"/>
        </w:rPr>
        <w:t>个工作日内，甲方应当将采购合同在广西壮族自治区财政厅指定的媒体上公告。</w:t>
      </w:r>
    </w:p>
    <w:tbl>
      <w:tblPr>
        <w:tblStyle w:val="33"/>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BD8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vAlign w:val="center"/>
          </w:tcPr>
          <w:p w14:paraId="6F936B7B">
            <w:pPr>
              <w:snapToGrid w:val="0"/>
              <w:spacing w:line="360" w:lineRule="auto"/>
              <w:rPr>
                <w:rFonts w:ascii="宋体" w:cs="宋体"/>
                <w:color w:val="auto"/>
                <w:szCs w:val="21"/>
                <w:highlight w:val="none"/>
              </w:rPr>
            </w:pPr>
            <w:r>
              <w:rPr>
                <w:rFonts w:hint="eastAsia" w:ascii="宋体" w:hAnsi="宋体" w:cs="宋体"/>
                <w:color w:val="auto"/>
                <w:szCs w:val="21"/>
                <w:highlight w:val="none"/>
              </w:rPr>
              <w:t>甲方：（章）</w:t>
            </w:r>
          </w:p>
          <w:p w14:paraId="0552BC87">
            <w:pPr>
              <w:snapToGrid w:val="0"/>
              <w:spacing w:line="360" w:lineRule="auto"/>
              <w:rPr>
                <w:rFonts w:ascii="宋体" w:cs="宋体"/>
                <w:color w:val="auto"/>
                <w:szCs w:val="21"/>
                <w:highlight w:val="none"/>
              </w:rPr>
            </w:pPr>
          </w:p>
          <w:p w14:paraId="4CE50CBC">
            <w:pPr>
              <w:snapToGrid w:val="0"/>
              <w:spacing w:line="360" w:lineRule="auto"/>
              <w:rPr>
                <w:rFonts w:ascii="宋体" w:cs="宋体"/>
                <w:color w:val="auto"/>
                <w:szCs w:val="21"/>
                <w:highlight w:val="none"/>
              </w:rPr>
            </w:pPr>
          </w:p>
          <w:p w14:paraId="644ADB22">
            <w:pPr>
              <w:snapToGrid w:val="0"/>
              <w:spacing w:line="360" w:lineRule="auto"/>
              <w:ind w:firstLine="945" w:firstLineChars="450"/>
              <w:jc w:val="right"/>
              <w:rPr>
                <w:rFonts w:ascii="宋体" w:cs="宋体"/>
                <w:color w:val="auto"/>
                <w:szCs w:val="21"/>
                <w:highlight w:val="none"/>
              </w:rPr>
            </w:pPr>
          </w:p>
          <w:p w14:paraId="4790A7D9">
            <w:pPr>
              <w:snapToGrid w:val="0"/>
              <w:spacing w:line="360" w:lineRule="auto"/>
              <w:ind w:firstLine="945" w:firstLineChars="450"/>
              <w:jc w:val="right"/>
              <w:rPr>
                <w:rFonts w:ascii="宋体" w:cs="宋体"/>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tc>
        <w:tc>
          <w:tcPr>
            <w:tcW w:w="4583" w:type="dxa"/>
            <w:vAlign w:val="center"/>
          </w:tcPr>
          <w:p w14:paraId="26F19893">
            <w:pPr>
              <w:snapToGrid w:val="0"/>
              <w:spacing w:line="360" w:lineRule="auto"/>
              <w:rPr>
                <w:rFonts w:ascii="宋体" w:cs="宋体"/>
                <w:color w:val="auto"/>
                <w:szCs w:val="21"/>
                <w:highlight w:val="none"/>
              </w:rPr>
            </w:pPr>
            <w:r>
              <w:rPr>
                <w:rFonts w:hint="eastAsia" w:ascii="宋体" w:hAnsi="宋体" w:cs="宋体"/>
                <w:color w:val="auto"/>
                <w:szCs w:val="21"/>
                <w:highlight w:val="none"/>
              </w:rPr>
              <w:t>乙方：（章）</w:t>
            </w:r>
            <w:r>
              <w:rPr>
                <w:rFonts w:ascii="宋体" w:hAnsi="宋体" w:cs="宋体"/>
                <w:color w:val="auto"/>
                <w:szCs w:val="21"/>
                <w:highlight w:val="none"/>
              </w:rPr>
              <w:t xml:space="preserve">       </w:t>
            </w:r>
          </w:p>
          <w:p w14:paraId="3DF8E65C">
            <w:pPr>
              <w:snapToGrid w:val="0"/>
              <w:spacing w:line="360" w:lineRule="auto"/>
              <w:rPr>
                <w:rFonts w:ascii="宋体" w:cs="宋体"/>
                <w:color w:val="auto"/>
                <w:szCs w:val="21"/>
                <w:highlight w:val="none"/>
              </w:rPr>
            </w:pPr>
          </w:p>
          <w:p w14:paraId="68ACE37F">
            <w:pPr>
              <w:snapToGrid w:val="0"/>
              <w:spacing w:line="360" w:lineRule="auto"/>
              <w:rPr>
                <w:rFonts w:ascii="宋体" w:cs="宋体"/>
                <w:color w:val="auto"/>
                <w:szCs w:val="21"/>
                <w:highlight w:val="none"/>
              </w:rPr>
            </w:pPr>
            <w:r>
              <w:rPr>
                <w:rFonts w:ascii="宋体" w:hAnsi="宋体" w:cs="宋体"/>
                <w:color w:val="auto"/>
                <w:szCs w:val="21"/>
                <w:highlight w:val="none"/>
              </w:rPr>
              <w:t xml:space="preserve">       </w:t>
            </w:r>
          </w:p>
          <w:p w14:paraId="74DDA691">
            <w:pPr>
              <w:snapToGrid w:val="0"/>
              <w:spacing w:line="360" w:lineRule="auto"/>
              <w:jc w:val="right"/>
              <w:rPr>
                <w:rFonts w:ascii="宋体" w:cs="宋体"/>
                <w:color w:val="auto"/>
                <w:szCs w:val="21"/>
                <w:highlight w:val="none"/>
              </w:rPr>
            </w:pPr>
          </w:p>
          <w:p w14:paraId="50D787A2">
            <w:pPr>
              <w:snapToGrid w:val="0"/>
              <w:spacing w:line="360" w:lineRule="auto"/>
              <w:jc w:val="right"/>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tc>
      </w:tr>
      <w:tr w14:paraId="3C07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1D715BA6">
            <w:pPr>
              <w:snapToGrid w:val="0"/>
              <w:spacing w:line="360" w:lineRule="auto"/>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vAlign w:val="center"/>
          </w:tcPr>
          <w:p w14:paraId="140D3078">
            <w:pPr>
              <w:snapToGrid w:val="0"/>
              <w:spacing w:line="360" w:lineRule="auto"/>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r>
      <w:tr w14:paraId="7A6D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2AB4D378">
            <w:pPr>
              <w:snapToGrid w:val="0"/>
              <w:spacing w:line="360" w:lineRule="auto"/>
              <w:rPr>
                <w:rFonts w:ascii="宋体" w:cs="宋体"/>
                <w:color w:val="auto"/>
                <w:szCs w:val="21"/>
                <w:highlight w:val="none"/>
              </w:rPr>
            </w:pPr>
            <w:r>
              <w:rPr>
                <w:rFonts w:hint="eastAsia" w:ascii="宋体" w:hAnsi="宋体" w:cs="宋体"/>
                <w:color w:val="auto"/>
                <w:szCs w:val="21"/>
                <w:highlight w:val="none"/>
              </w:rPr>
              <w:t>法定代表人：</w:t>
            </w:r>
          </w:p>
        </w:tc>
        <w:tc>
          <w:tcPr>
            <w:tcW w:w="4583" w:type="dxa"/>
            <w:vAlign w:val="center"/>
          </w:tcPr>
          <w:p w14:paraId="588839CD">
            <w:pPr>
              <w:snapToGrid w:val="0"/>
              <w:spacing w:line="360" w:lineRule="auto"/>
              <w:rPr>
                <w:rFonts w:ascii="宋体" w:cs="宋体"/>
                <w:color w:val="auto"/>
                <w:szCs w:val="21"/>
                <w:highlight w:val="none"/>
              </w:rPr>
            </w:pPr>
            <w:r>
              <w:rPr>
                <w:rFonts w:hint="eastAsia" w:ascii="宋体" w:hAnsi="宋体" w:cs="宋体"/>
                <w:color w:val="auto"/>
                <w:szCs w:val="21"/>
                <w:highlight w:val="none"/>
              </w:rPr>
              <w:t>法定代表人：</w:t>
            </w:r>
          </w:p>
        </w:tc>
      </w:tr>
      <w:tr w14:paraId="7CF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2955F144">
            <w:pPr>
              <w:snapToGrid w:val="0"/>
              <w:spacing w:line="360" w:lineRule="auto"/>
              <w:rPr>
                <w:rFonts w:ascii="宋体" w:cs="宋体"/>
                <w:color w:val="auto"/>
                <w:szCs w:val="21"/>
                <w:highlight w:val="none"/>
              </w:rPr>
            </w:pPr>
            <w:r>
              <w:rPr>
                <w:rFonts w:hint="eastAsia" w:ascii="宋体" w:hAnsi="宋体" w:cs="宋体"/>
                <w:color w:val="auto"/>
                <w:szCs w:val="21"/>
                <w:highlight w:val="none"/>
              </w:rPr>
              <w:t>委托代理人：</w:t>
            </w:r>
          </w:p>
        </w:tc>
        <w:tc>
          <w:tcPr>
            <w:tcW w:w="4583" w:type="dxa"/>
            <w:vAlign w:val="center"/>
          </w:tcPr>
          <w:p w14:paraId="255D072C">
            <w:pPr>
              <w:snapToGrid w:val="0"/>
              <w:spacing w:line="360" w:lineRule="auto"/>
              <w:rPr>
                <w:rFonts w:ascii="宋体" w:cs="宋体"/>
                <w:color w:val="auto"/>
                <w:szCs w:val="21"/>
                <w:highlight w:val="none"/>
              </w:rPr>
            </w:pPr>
            <w:r>
              <w:rPr>
                <w:rFonts w:hint="eastAsia" w:ascii="宋体" w:hAnsi="宋体" w:cs="宋体"/>
                <w:color w:val="auto"/>
                <w:szCs w:val="21"/>
                <w:highlight w:val="none"/>
              </w:rPr>
              <w:t>委托代理人：</w:t>
            </w:r>
          </w:p>
        </w:tc>
      </w:tr>
      <w:tr w14:paraId="673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63B1E853">
            <w:pPr>
              <w:snapToGrid w:val="0"/>
              <w:spacing w:line="360" w:lineRule="auto"/>
              <w:rPr>
                <w:rFonts w:ascii="宋体" w:cs="宋体"/>
                <w:color w:val="auto"/>
                <w:szCs w:val="21"/>
                <w:highlight w:val="none"/>
              </w:rPr>
            </w:pPr>
            <w:r>
              <w:rPr>
                <w:rFonts w:hint="eastAsia" w:ascii="宋体" w:hAnsi="宋体" w:cs="宋体"/>
                <w:color w:val="auto"/>
                <w:szCs w:val="21"/>
                <w:highlight w:val="none"/>
              </w:rPr>
              <w:t>电话：</w:t>
            </w:r>
          </w:p>
        </w:tc>
        <w:tc>
          <w:tcPr>
            <w:tcW w:w="4583" w:type="dxa"/>
            <w:vAlign w:val="center"/>
          </w:tcPr>
          <w:p w14:paraId="2CFF8B9A">
            <w:pPr>
              <w:snapToGrid w:val="0"/>
              <w:spacing w:line="360" w:lineRule="auto"/>
              <w:rPr>
                <w:rFonts w:ascii="宋体" w:cs="宋体"/>
                <w:color w:val="auto"/>
                <w:szCs w:val="21"/>
                <w:highlight w:val="none"/>
              </w:rPr>
            </w:pPr>
            <w:r>
              <w:rPr>
                <w:rFonts w:hint="eastAsia" w:ascii="宋体" w:hAnsi="宋体" w:cs="宋体"/>
                <w:color w:val="auto"/>
                <w:szCs w:val="21"/>
                <w:highlight w:val="none"/>
              </w:rPr>
              <w:t>电话：</w:t>
            </w:r>
          </w:p>
        </w:tc>
      </w:tr>
      <w:tr w14:paraId="7525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446298A2">
            <w:pPr>
              <w:snapToGrid w:val="0"/>
              <w:spacing w:line="360" w:lineRule="auto"/>
              <w:rPr>
                <w:rFonts w:ascii="宋体" w:cs="宋体"/>
                <w:color w:val="auto"/>
                <w:szCs w:val="21"/>
                <w:highlight w:val="none"/>
              </w:rPr>
            </w:pPr>
            <w:r>
              <w:rPr>
                <w:rFonts w:hint="eastAsia" w:ascii="宋体" w:hAnsi="宋体" w:cs="宋体"/>
                <w:color w:val="auto"/>
                <w:szCs w:val="21"/>
                <w:highlight w:val="none"/>
              </w:rPr>
              <w:t>开户银行：</w:t>
            </w:r>
            <w:r>
              <w:rPr>
                <w:rFonts w:ascii="宋体" w:hAnsi="宋体" w:cs="宋体"/>
                <w:color w:val="auto"/>
                <w:szCs w:val="21"/>
                <w:highlight w:val="none"/>
              </w:rPr>
              <w:t xml:space="preserve"> </w:t>
            </w:r>
          </w:p>
        </w:tc>
        <w:tc>
          <w:tcPr>
            <w:tcW w:w="4583" w:type="dxa"/>
            <w:vAlign w:val="center"/>
          </w:tcPr>
          <w:p w14:paraId="6E6E1B65">
            <w:pPr>
              <w:snapToGrid w:val="0"/>
              <w:spacing w:line="360" w:lineRule="auto"/>
              <w:rPr>
                <w:rFonts w:ascii="宋体" w:cs="宋体"/>
                <w:color w:val="auto"/>
                <w:szCs w:val="21"/>
                <w:highlight w:val="none"/>
              </w:rPr>
            </w:pPr>
            <w:r>
              <w:rPr>
                <w:rFonts w:hint="eastAsia" w:ascii="宋体" w:hAnsi="宋体" w:cs="宋体"/>
                <w:color w:val="auto"/>
                <w:szCs w:val="21"/>
                <w:highlight w:val="none"/>
              </w:rPr>
              <w:t>开户银行：</w:t>
            </w:r>
            <w:r>
              <w:rPr>
                <w:rFonts w:ascii="宋体" w:hAnsi="宋体" w:cs="宋体"/>
                <w:color w:val="auto"/>
                <w:szCs w:val="21"/>
                <w:highlight w:val="none"/>
              </w:rPr>
              <w:t xml:space="preserve"> </w:t>
            </w:r>
          </w:p>
        </w:tc>
      </w:tr>
      <w:tr w14:paraId="7122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2DD1C3C9">
            <w:pPr>
              <w:snapToGrid w:val="0"/>
              <w:spacing w:line="360" w:lineRule="auto"/>
              <w:rPr>
                <w:rFonts w:ascii="宋体" w:cs="宋体"/>
                <w:color w:val="auto"/>
                <w:szCs w:val="21"/>
                <w:highlight w:val="none"/>
              </w:rPr>
            </w:pPr>
            <w:r>
              <w:rPr>
                <w:rFonts w:hint="eastAsia" w:ascii="宋体" w:hAnsi="宋体" w:cs="宋体"/>
                <w:color w:val="auto"/>
                <w:szCs w:val="21"/>
                <w:highlight w:val="none"/>
              </w:rPr>
              <w:t>账号：</w:t>
            </w:r>
          </w:p>
        </w:tc>
        <w:tc>
          <w:tcPr>
            <w:tcW w:w="4583" w:type="dxa"/>
            <w:vAlign w:val="center"/>
          </w:tcPr>
          <w:p w14:paraId="06FD1BFF">
            <w:pPr>
              <w:snapToGrid w:val="0"/>
              <w:spacing w:line="360" w:lineRule="auto"/>
              <w:rPr>
                <w:rFonts w:ascii="宋体" w:cs="宋体"/>
                <w:color w:val="auto"/>
                <w:szCs w:val="21"/>
                <w:highlight w:val="none"/>
              </w:rPr>
            </w:pPr>
            <w:r>
              <w:rPr>
                <w:rFonts w:hint="eastAsia" w:ascii="宋体" w:hAnsi="宋体" w:cs="宋体"/>
                <w:color w:val="auto"/>
                <w:szCs w:val="21"/>
                <w:highlight w:val="none"/>
              </w:rPr>
              <w:t>账号：</w:t>
            </w:r>
          </w:p>
        </w:tc>
      </w:tr>
      <w:tr w14:paraId="6F9D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vAlign w:val="center"/>
          </w:tcPr>
          <w:p w14:paraId="4156CC85">
            <w:pPr>
              <w:snapToGrid w:val="0"/>
              <w:spacing w:line="360" w:lineRule="auto"/>
              <w:rPr>
                <w:rFonts w:ascii="宋体" w:cs="宋体"/>
                <w:color w:val="auto"/>
                <w:szCs w:val="21"/>
                <w:highlight w:val="none"/>
              </w:rPr>
            </w:pPr>
            <w:r>
              <w:rPr>
                <w:rFonts w:hint="eastAsia" w:ascii="宋体" w:hAnsi="宋体" w:cs="宋体"/>
                <w:color w:val="auto"/>
                <w:szCs w:val="21"/>
                <w:highlight w:val="none"/>
              </w:rPr>
              <w:t>邮政编码：</w:t>
            </w:r>
          </w:p>
        </w:tc>
        <w:tc>
          <w:tcPr>
            <w:tcW w:w="4583" w:type="dxa"/>
            <w:vAlign w:val="center"/>
          </w:tcPr>
          <w:p w14:paraId="09DBF5A4">
            <w:pPr>
              <w:snapToGrid w:val="0"/>
              <w:spacing w:line="360" w:lineRule="auto"/>
              <w:rPr>
                <w:rFonts w:ascii="宋体" w:cs="宋体"/>
                <w:color w:val="auto"/>
                <w:szCs w:val="21"/>
                <w:highlight w:val="none"/>
              </w:rPr>
            </w:pPr>
            <w:r>
              <w:rPr>
                <w:rFonts w:hint="eastAsia" w:ascii="宋体" w:hAnsi="宋体" w:cs="宋体"/>
                <w:color w:val="auto"/>
                <w:szCs w:val="21"/>
                <w:highlight w:val="none"/>
              </w:rPr>
              <w:t>邮政编码：</w:t>
            </w:r>
          </w:p>
        </w:tc>
      </w:tr>
    </w:tbl>
    <w:p w14:paraId="035BFFA2">
      <w:pPr>
        <w:widowControl/>
        <w:jc w:val="left"/>
        <w:rPr>
          <w:rFonts w:ascii="宋体" w:cs="宋体"/>
          <w:color w:val="auto"/>
          <w:sz w:val="20"/>
          <w:szCs w:val="20"/>
          <w:highlight w:val="none"/>
        </w:rPr>
      </w:pPr>
    </w:p>
    <w:p w14:paraId="14ACA1BA">
      <w:pPr>
        <w:spacing w:before="4"/>
        <w:rPr>
          <w:rFonts w:ascii="宋体" w:cs="宋体"/>
          <w:color w:val="auto"/>
          <w:sz w:val="6"/>
          <w:szCs w:val="6"/>
          <w:highlight w:val="none"/>
        </w:rPr>
      </w:pPr>
    </w:p>
    <w:p w14:paraId="4D409F88">
      <w:pPr>
        <w:spacing w:before="4"/>
        <w:rPr>
          <w:rFonts w:ascii="宋体" w:cs="宋体"/>
          <w:color w:val="auto"/>
          <w:sz w:val="6"/>
          <w:szCs w:val="6"/>
          <w:highlight w:val="none"/>
        </w:rPr>
      </w:pPr>
    </w:p>
    <w:sectPr>
      <w:footerReference r:id="rId12" w:type="first"/>
      <w:footerReference r:id="rId11" w:type="default"/>
      <w:pgSz w:w="11906" w:h="16838"/>
      <w:pgMar w:top="1247" w:right="1134" w:bottom="1247"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344E">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DD42F3">
                          <w:pPr>
                            <w:pStyle w:val="22"/>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Oz/cgBAACeAwAADgAAAGRycy9lMm9Eb2MueG1srVPNjtMwEL4j8Q6W&#10;7zRp0aI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drNc&#10;vUw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sjs/3IAQAAngMAAA4AAAAAAAAAAQAgAAAAHgEAAGRycy9lMm9Eb2Mu&#10;eG1sUEsFBgAAAAAGAAYAWQEAAFgFAAAAAA==&#10;">
              <v:fill on="f" focussize="0,0"/>
              <v:stroke on="f"/>
              <v:imagedata o:title=""/>
              <o:lock v:ext="edit" aspectratio="f"/>
              <v:textbox inset="0mm,0mm,0mm,0mm" style="mso-fit-shape-to-text:t;">
                <w:txbxContent>
                  <w:p w14:paraId="20DD42F3">
                    <w:pPr>
                      <w:pStyle w:val="22"/>
                    </w:pPr>
                    <w:r>
                      <w:fldChar w:fldCharType="begin"/>
                    </w:r>
                    <w:r>
                      <w:instrText xml:space="preserve"> PAGE  \* MERGEFORMAT </w:instrText>
                    </w:r>
                    <w:r>
                      <w:fldChar w:fldCharType="separate"/>
                    </w:r>
                    <w:r>
                      <w:t>87</w:t>
                    </w:r>
                    <w:r>
                      <w:fldChar w:fldCharType="end"/>
                    </w:r>
                  </w:p>
                </w:txbxContent>
              </v:textbox>
            </v:shape>
          </w:pict>
        </mc:Fallback>
      </mc:AlternateContent>
    </w:r>
  </w:p>
  <w:p w14:paraId="78DA2657">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518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38F9">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947AF1"/>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HoU8gBAACeAwAADgAAAGRycy9lMm9Eb2MueG1srVPNjtMwEL4j8Q6W&#10;7zRpBas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rfcGaFoQe/fP92+fHr8vMre7Vc&#10;vUw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lB6FPIAQAAngMAAA4AAAAAAAAAAQAgAAAAHgEAAGRycy9lMm9Eb2Mu&#10;eG1sUEsFBgAAAAAGAAYAWQEAAFgFAAAAAA==&#10;">
              <v:fill on="f" focussize="0,0"/>
              <v:stroke on="f"/>
              <v:imagedata o:title=""/>
              <o:lock v:ext="edit" aspectratio="f"/>
              <v:textbox inset="0mm,0mm,0mm,0mm" style="mso-fit-shape-to-text:t;">
                <w:txbxContent>
                  <w:p w14:paraId="2A947AF1"/>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EE4B">
    <w:pPr>
      <w:pStyle w:val="22"/>
      <w:tabs>
        <w:tab w:val="center" w:pos="4439"/>
        <w:tab w:val="clear" w:pos="4153"/>
      </w:tabs>
      <w:jc w:val="both"/>
    </w:pPr>
  </w:p>
  <w:p w14:paraId="72846AD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CA38">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4797B6"/>
                      </w:txbxContent>
                    </wps:txbx>
                    <wps:bodyPr wrap="none" lIns="0" tIns="0" rIns="0" bIns="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W6PMgBAACeAwAADgAAAGRycy9lMm9Eb2MueG1srVPNjtMwEL4j8Q6W&#10;7zRpJZY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q/4s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wVujzIAQAAngMAAA4AAAAAAAAAAQAgAAAAHgEAAGRycy9lMm9Eb2Mu&#10;eG1sUEsFBgAAAAAGAAYAWQEAAFgFAAAAAA==&#10;">
              <v:fill on="f" focussize="0,0"/>
              <v:stroke on="f"/>
              <v:imagedata o:title=""/>
              <o:lock v:ext="edit" aspectratio="f"/>
              <v:textbox inset="0mm,0mm,0mm,0mm" style="mso-fit-shape-to-text:t;">
                <w:txbxContent>
                  <w:p w14:paraId="5D4797B6"/>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4A9F">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953335">
                          <w:pPr>
                            <w:pStyle w:val="22"/>
                            <w:jc w:val="center"/>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Wu+ckBAACeAwAADgAAAGRycy9lMm9Eb2MueG1srVPNjtMwEL4j8Q6W&#10;7zRpE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l4t&#10;V8ukUO+xosI7T6VxeAsD7c0cRwom4kMbbPoSJUZ50vd81VcNkcl0ab1ar0tKScrNDuEXD9d9wPhO&#10;gWXJqHmgB8y6itMHjGPpXJK6ObjVxuRHNO6vAGGOEZW3YLqdmIwTJysO+2Git4fmTOx62oSaO1p8&#10;zsx7R0KnpZmNMBv7yUgd0b85RhojT5dQRyhilRx6tsxvWrG0F3/6uerht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Za75yQEAAJ4DAAAOAAAAAAAAAAEAIAAAAB4BAABkcnMvZTJvRG9j&#10;LnhtbFBLBQYAAAAABgAGAFkBAABZBQAAAAA=&#10;">
              <v:fill on="f" focussize="0,0"/>
              <v:stroke on="f"/>
              <v:imagedata o:title=""/>
              <o:lock v:ext="edit" aspectratio="f"/>
              <v:textbox inset="0mm,0mm,0mm,0mm" style="mso-fit-shape-to-text:t;">
                <w:txbxContent>
                  <w:p w14:paraId="09953335">
                    <w:pPr>
                      <w:pStyle w:val="22"/>
                      <w:jc w:val="center"/>
                    </w:pPr>
                    <w:r>
                      <w:fldChar w:fldCharType="begin"/>
                    </w:r>
                    <w:r>
                      <w:instrText xml:space="preserve"> PAGE  \* MERGEFORMAT </w:instrText>
                    </w:r>
                    <w:r>
                      <w:fldChar w:fldCharType="separate"/>
                    </w:r>
                    <w:r>
                      <w:t>55</w:t>
                    </w:r>
                    <w:r>
                      <w:fldChar w:fldCharType="end"/>
                    </w:r>
                  </w:p>
                </w:txbxContent>
              </v:textbox>
            </v:shape>
          </w:pict>
        </mc:Fallback>
      </mc:AlternateContent>
    </w:r>
  </w:p>
  <w:p w14:paraId="3736595C">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7ED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1CCDE">
                          <w:pPr>
                            <w:pStyle w:val="2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YXsskBAACe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51heyyQEAAJ4DAAAOAAAAAAAAAAEAIAAAAB4BAABkcnMvZTJvRG9j&#10;LnhtbFBLBQYAAAAABgAGAFkBAABZBQAAAAA=&#10;">
              <v:fill on="f" focussize="0,0"/>
              <v:stroke on="f"/>
              <v:imagedata o:title=""/>
              <o:lock v:ext="edit" aspectratio="f"/>
              <v:textbox inset="0mm,0mm,0mm,0mm" style="mso-fit-shape-to-text:t;">
                <w:txbxContent>
                  <w:p w14:paraId="44D1CCD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AA9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259A">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FFD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75099"/>
    <w:multiLevelType w:val="multilevel"/>
    <w:tmpl w:val="5EE75099"/>
    <w:lvl w:ilvl="0" w:tentative="0">
      <w:start w:val="1"/>
      <w:numFmt w:val="chineseCountingThousand"/>
      <w:pStyle w:val="94"/>
      <w:suff w:val="nothing"/>
      <w:lvlText w:val="第%1章 "/>
      <w:lvlJc w:val="left"/>
      <w:pPr>
        <w:ind w:left="200"/>
      </w:pPr>
      <w:rPr>
        <w:rFonts w:hint="eastAsia" w:ascii="黑体" w:hAnsi="黑体" w:eastAsia="黑体" w:cs="宋体"/>
        <w:b w:val="0"/>
        <w:i w:val="0"/>
        <w:sz w:val="36"/>
      </w:rPr>
    </w:lvl>
    <w:lvl w:ilvl="1" w:tentative="0">
      <w:start w:val="1"/>
      <w:numFmt w:val="chineseCountingThousand"/>
      <w:suff w:val="nothing"/>
      <w:lvlText w:val="%2、"/>
      <w:lvlJc w:val="left"/>
      <w:pPr>
        <w:ind w:left="2978"/>
      </w:pPr>
      <w:rPr>
        <w:rFonts w:hint="eastAsia" w:ascii="黑体" w:hAnsi="黑体" w:eastAsia="黑体" w:cs="宋体"/>
        <w:b w:val="0"/>
        <w:i w:val="0"/>
        <w:sz w:val="32"/>
      </w:rPr>
    </w:lvl>
    <w:lvl w:ilvl="2" w:tentative="0">
      <w:start w:val="1"/>
      <w:numFmt w:val="decimal"/>
      <w:suff w:val="nothing"/>
      <w:lvlText w:val="%3."/>
      <w:lvlJc w:val="left"/>
      <w:pPr>
        <w:ind w:left="200"/>
      </w:pPr>
      <w:rPr>
        <w:rFonts w:hint="eastAsia" w:ascii="黑体" w:hAnsi="黑体" w:eastAsia="黑体" w:cs="宋体"/>
        <w:b w:val="0"/>
        <w:i w:val="0"/>
        <w:sz w:val="28"/>
      </w:rPr>
    </w:lvl>
    <w:lvl w:ilvl="3" w:tentative="0">
      <w:start w:val="1"/>
      <w:numFmt w:val="decimal"/>
      <w:suff w:val="nothing"/>
      <w:lvlText w:val="%3.%4 "/>
      <w:lvlJc w:val="left"/>
      <w:pPr>
        <w:tabs>
          <w:tab w:val="left" w:pos="0"/>
        </w:tabs>
        <w:ind w:left="200"/>
      </w:pPr>
      <w:rPr>
        <w:rFonts w:hint="eastAsia" w:ascii="宋体" w:hAnsi="宋体" w:eastAsia="宋体" w:cs="宋体"/>
        <w:b/>
        <w:i w:val="0"/>
        <w:sz w:val="24"/>
      </w:rPr>
    </w:lvl>
    <w:lvl w:ilvl="4" w:tentative="0">
      <w:start w:val="1"/>
      <w:numFmt w:val="decimal"/>
      <w:suff w:val="nothing"/>
      <w:lvlText w:val="%3.%4.%5 "/>
      <w:lvlJc w:val="left"/>
      <w:pPr>
        <w:tabs>
          <w:tab w:val="left" w:pos="0"/>
        </w:tabs>
      </w:pPr>
      <w:rPr>
        <w:rFonts w:hint="eastAsia" w:ascii="宋体" w:hAnsi="宋体" w:eastAsia="宋体" w:cs="宋体"/>
        <w:b/>
      </w:rPr>
    </w:lvl>
    <w:lvl w:ilvl="5" w:tentative="0">
      <w:start w:val="1"/>
      <w:numFmt w:val="decimal"/>
      <w:suff w:val="nothing"/>
      <w:lvlText w:val="%3.%4.%5.%6 "/>
      <w:lvlJc w:val="left"/>
      <w:pPr>
        <w:tabs>
          <w:tab w:val="left" w:pos="0"/>
        </w:tabs>
        <w:ind w:left="20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cs="Times New Roman"/>
      </w:rPr>
    </w:lvl>
    <w:lvl w:ilvl="8" w:tentative="0">
      <w:start w:val="1"/>
      <w:numFmt w:val="lowerRoman"/>
      <w:suff w:val="nothing"/>
      <w:lvlText w:val="%9. "/>
      <w:lvlJc w:val="left"/>
      <w:pPr>
        <w:ind w:left="200"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revisionView w:markup="0"/>
  <w:trackRevisions w:val="1"/>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Nzg2NzY5NzM5NWYzYjBlNTA3MTIyZDljZTlhZmEifQ=="/>
    <w:docVar w:name="KSO_WPS_MARK_KEY" w:val="b95ecb36-b825-4aab-a484-008294de2a68"/>
  </w:docVars>
  <w:rsids>
    <w:rsidRoot w:val="00F34B14"/>
    <w:rsid w:val="00000672"/>
    <w:rsid w:val="00001013"/>
    <w:rsid w:val="00001799"/>
    <w:rsid w:val="00001AF2"/>
    <w:rsid w:val="00001ECA"/>
    <w:rsid w:val="00002D29"/>
    <w:rsid w:val="00002EAF"/>
    <w:rsid w:val="00003B93"/>
    <w:rsid w:val="0000474D"/>
    <w:rsid w:val="00005164"/>
    <w:rsid w:val="00005FDF"/>
    <w:rsid w:val="00006851"/>
    <w:rsid w:val="00006AC0"/>
    <w:rsid w:val="000070B3"/>
    <w:rsid w:val="000076B8"/>
    <w:rsid w:val="000109DC"/>
    <w:rsid w:val="00010D39"/>
    <w:rsid w:val="0001172C"/>
    <w:rsid w:val="00011BC9"/>
    <w:rsid w:val="00011C99"/>
    <w:rsid w:val="00012854"/>
    <w:rsid w:val="000129DB"/>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7F2"/>
    <w:rsid w:val="00020813"/>
    <w:rsid w:val="000220B2"/>
    <w:rsid w:val="0002264C"/>
    <w:rsid w:val="00022731"/>
    <w:rsid w:val="00022792"/>
    <w:rsid w:val="00024463"/>
    <w:rsid w:val="00025461"/>
    <w:rsid w:val="00025636"/>
    <w:rsid w:val="00025E36"/>
    <w:rsid w:val="00026855"/>
    <w:rsid w:val="00026886"/>
    <w:rsid w:val="0002785D"/>
    <w:rsid w:val="000279F1"/>
    <w:rsid w:val="000307BE"/>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2BC8"/>
    <w:rsid w:val="00073F47"/>
    <w:rsid w:val="0007492F"/>
    <w:rsid w:val="00074ED8"/>
    <w:rsid w:val="00075B7E"/>
    <w:rsid w:val="00077266"/>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0E"/>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6829"/>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29A2"/>
    <w:rsid w:val="000D320C"/>
    <w:rsid w:val="000D341C"/>
    <w:rsid w:val="000D411D"/>
    <w:rsid w:val="000D4589"/>
    <w:rsid w:val="000D4809"/>
    <w:rsid w:val="000D73DD"/>
    <w:rsid w:val="000E1C51"/>
    <w:rsid w:val="000E28AB"/>
    <w:rsid w:val="000E2E3E"/>
    <w:rsid w:val="000E310E"/>
    <w:rsid w:val="000E3583"/>
    <w:rsid w:val="000E370E"/>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339"/>
    <w:rsid w:val="000F7AF4"/>
    <w:rsid w:val="000F7C33"/>
    <w:rsid w:val="000F7F0C"/>
    <w:rsid w:val="001004D6"/>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2B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2A96"/>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600"/>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541"/>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A20"/>
    <w:rsid w:val="001A6B27"/>
    <w:rsid w:val="001A6D8B"/>
    <w:rsid w:val="001A6DAA"/>
    <w:rsid w:val="001A7717"/>
    <w:rsid w:val="001A793A"/>
    <w:rsid w:val="001B125A"/>
    <w:rsid w:val="001B1EBA"/>
    <w:rsid w:val="001B2142"/>
    <w:rsid w:val="001B2C23"/>
    <w:rsid w:val="001B2F2B"/>
    <w:rsid w:val="001B327A"/>
    <w:rsid w:val="001B3338"/>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318C"/>
    <w:rsid w:val="001C35C4"/>
    <w:rsid w:val="001C37B7"/>
    <w:rsid w:val="001C4287"/>
    <w:rsid w:val="001C4479"/>
    <w:rsid w:val="001C5190"/>
    <w:rsid w:val="001C6081"/>
    <w:rsid w:val="001C73EB"/>
    <w:rsid w:val="001C7B48"/>
    <w:rsid w:val="001C7CFB"/>
    <w:rsid w:val="001D0A5D"/>
    <w:rsid w:val="001D0CFB"/>
    <w:rsid w:val="001D1A0D"/>
    <w:rsid w:val="001D343C"/>
    <w:rsid w:val="001D4BBD"/>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2FDF"/>
    <w:rsid w:val="001F3356"/>
    <w:rsid w:val="001F3C63"/>
    <w:rsid w:val="001F4460"/>
    <w:rsid w:val="001F6F91"/>
    <w:rsid w:val="001F711A"/>
    <w:rsid w:val="001F75B0"/>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12F6"/>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495"/>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145"/>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260"/>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4C"/>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5579"/>
    <w:rsid w:val="003667B0"/>
    <w:rsid w:val="003667DD"/>
    <w:rsid w:val="00366B48"/>
    <w:rsid w:val="00366E6E"/>
    <w:rsid w:val="00367764"/>
    <w:rsid w:val="00370316"/>
    <w:rsid w:val="00370D59"/>
    <w:rsid w:val="00370DC7"/>
    <w:rsid w:val="00371CBD"/>
    <w:rsid w:val="00371F20"/>
    <w:rsid w:val="003721E3"/>
    <w:rsid w:val="00372B98"/>
    <w:rsid w:val="003737B7"/>
    <w:rsid w:val="0037392D"/>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5130"/>
    <w:rsid w:val="003861F0"/>
    <w:rsid w:val="00387051"/>
    <w:rsid w:val="00387ECF"/>
    <w:rsid w:val="0039021B"/>
    <w:rsid w:val="003903F7"/>
    <w:rsid w:val="00390429"/>
    <w:rsid w:val="00390666"/>
    <w:rsid w:val="003906A0"/>
    <w:rsid w:val="00391E03"/>
    <w:rsid w:val="003931AF"/>
    <w:rsid w:val="0039366C"/>
    <w:rsid w:val="00393EC8"/>
    <w:rsid w:val="00394456"/>
    <w:rsid w:val="00395E42"/>
    <w:rsid w:val="00396409"/>
    <w:rsid w:val="00396A2D"/>
    <w:rsid w:val="00396FC3"/>
    <w:rsid w:val="00397494"/>
    <w:rsid w:val="003A19C0"/>
    <w:rsid w:val="003A1A94"/>
    <w:rsid w:val="003A204E"/>
    <w:rsid w:val="003A2D25"/>
    <w:rsid w:val="003A5728"/>
    <w:rsid w:val="003A60AB"/>
    <w:rsid w:val="003A60E7"/>
    <w:rsid w:val="003A7092"/>
    <w:rsid w:val="003A72A1"/>
    <w:rsid w:val="003A7611"/>
    <w:rsid w:val="003A7D1F"/>
    <w:rsid w:val="003A7D3E"/>
    <w:rsid w:val="003B0A61"/>
    <w:rsid w:val="003B0B6A"/>
    <w:rsid w:val="003B22F7"/>
    <w:rsid w:val="003B29CF"/>
    <w:rsid w:val="003B3A90"/>
    <w:rsid w:val="003B3D01"/>
    <w:rsid w:val="003B4D34"/>
    <w:rsid w:val="003B534F"/>
    <w:rsid w:val="003B751E"/>
    <w:rsid w:val="003B7A79"/>
    <w:rsid w:val="003C065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29B7"/>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7AF"/>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1"/>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0879"/>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3C"/>
    <w:rsid w:val="004A6CB0"/>
    <w:rsid w:val="004A70FF"/>
    <w:rsid w:val="004A7EDE"/>
    <w:rsid w:val="004B0D93"/>
    <w:rsid w:val="004B1FA4"/>
    <w:rsid w:val="004B23EC"/>
    <w:rsid w:val="004B29AC"/>
    <w:rsid w:val="004B35DF"/>
    <w:rsid w:val="004B3627"/>
    <w:rsid w:val="004B4922"/>
    <w:rsid w:val="004B57DF"/>
    <w:rsid w:val="004B5976"/>
    <w:rsid w:val="004B60F7"/>
    <w:rsid w:val="004B6496"/>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4AF"/>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6A7"/>
    <w:rsid w:val="00543AF4"/>
    <w:rsid w:val="00543F53"/>
    <w:rsid w:val="00544191"/>
    <w:rsid w:val="0054440C"/>
    <w:rsid w:val="005448EC"/>
    <w:rsid w:val="00544C0A"/>
    <w:rsid w:val="00544F39"/>
    <w:rsid w:val="005457FB"/>
    <w:rsid w:val="005458CD"/>
    <w:rsid w:val="00546F89"/>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730"/>
    <w:rsid w:val="00561B97"/>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3D"/>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D7A7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359B3"/>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4E5D"/>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022"/>
    <w:rsid w:val="00690437"/>
    <w:rsid w:val="00690679"/>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0132"/>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D7E24"/>
    <w:rsid w:val="006E0754"/>
    <w:rsid w:val="006E2668"/>
    <w:rsid w:val="006E2D39"/>
    <w:rsid w:val="006E2D63"/>
    <w:rsid w:val="006E32B0"/>
    <w:rsid w:val="006E348E"/>
    <w:rsid w:val="006E396A"/>
    <w:rsid w:val="006E3D63"/>
    <w:rsid w:val="006E585E"/>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2656"/>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3B99"/>
    <w:rsid w:val="00724044"/>
    <w:rsid w:val="007248D3"/>
    <w:rsid w:val="00724DF8"/>
    <w:rsid w:val="00725137"/>
    <w:rsid w:val="00725378"/>
    <w:rsid w:val="00727A43"/>
    <w:rsid w:val="00727FF2"/>
    <w:rsid w:val="00730550"/>
    <w:rsid w:val="00730C2A"/>
    <w:rsid w:val="00730FB4"/>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053"/>
    <w:rsid w:val="00757673"/>
    <w:rsid w:val="0076106D"/>
    <w:rsid w:val="007614DD"/>
    <w:rsid w:val="007623FB"/>
    <w:rsid w:val="00762517"/>
    <w:rsid w:val="00763240"/>
    <w:rsid w:val="0076354C"/>
    <w:rsid w:val="0076376A"/>
    <w:rsid w:val="007648AD"/>
    <w:rsid w:val="0076504E"/>
    <w:rsid w:val="0076554C"/>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0500"/>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5065"/>
    <w:rsid w:val="007E6914"/>
    <w:rsid w:val="007E6B65"/>
    <w:rsid w:val="007E7F78"/>
    <w:rsid w:val="007F0179"/>
    <w:rsid w:val="007F1D16"/>
    <w:rsid w:val="007F2C13"/>
    <w:rsid w:val="007F2CEC"/>
    <w:rsid w:val="007F3327"/>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2B6"/>
    <w:rsid w:val="008166F6"/>
    <w:rsid w:val="00816BE9"/>
    <w:rsid w:val="00817D10"/>
    <w:rsid w:val="00822518"/>
    <w:rsid w:val="008226F5"/>
    <w:rsid w:val="00823109"/>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152"/>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063A"/>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0CEC"/>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3E75"/>
    <w:rsid w:val="008C4371"/>
    <w:rsid w:val="008C43AD"/>
    <w:rsid w:val="008C6118"/>
    <w:rsid w:val="008C6341"/>
    <w:rsid w:val="008C653D"/>
    <w:rsid w:val="008C731F"/>
    <w:rsid w:val="008C74D9"/>
    <w:rsid w:val="008C7B1D"/>
    <w:rsid w:val="008D1804"/>
    <w:rsid w:val="008D2050"/>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2B3"/>
    <w:rsid w:val="008F33A9"/>
    <w:rsid w:val="008F357B"/>
    <w:rsid w:val="008F44CA"/>
    <w:rsid w:val="008F49D3"/>
    <w:rsid w:val="008F6519"/>
    <w:rsid w:val="008F7012"/>
    <w:rsid w:val="008F75B6"/>
    <w:rsid w:val="008F7ADA"/>
    <w:rsid w:val="008F7B17"/>
    <w:rsid w:val="00900042"/>
    <w:rsid w:val="0090008E"/>
    <w:rsid w:val="0090034B"/>
    <w:rsid w:val="0090087C"/>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A73"/>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67F5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87F24"/>
    <w:rsid w:val="00990225"/>
    <w:rsid w:val="00991307"/>
    <w:rsid w:val="00992A13"/>
    <w:rsid w:val="00994AAD"/>
    <w:rsid w:val="00995150"/>
    <w:rsid w:val="00995475"/>
    <w:rsid w:val="00995D67"/>
    <w:rsid w:val="00996E5D"/>
    <w:rsid w:val="00997613"/>
    <w:rsid w:val="009A013B"/>
    <w:rsid w:val="009A02F4"/>
    <w:rsid w:val="009A06BF"/>
    <w:rsid w:val="009A0D17"/>
    <w:rsid w:val="009A2494"/>
    <w:rsid w:val="009A32B1"/>
    <w:rsid w:val="009A33A3"/>
    <w:rsid w:val="009A36F2"/>
    <w:rsid w:val="009A40C3"/>
    <w:rsid w:val="009A40D5"/>
    <w:rsid w:val="009A5268"/>
    <w:rsid w:val="009A57D0"/>
    <w:rsid w:val="009A5BAA"/>
    <w:rsid w:val="009A6559"/>
    <w:rsid w:val="009A68FC"/>
    <w:rsid w:val="009A6CE4"/>
    <w:rsid w:val="009A6EC3"/>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B7DC0"/>
    <w:rsid w:val="009C079D"/>
    <w:rsid w:val="009C0D70"/>
    <w:rsid w:val="009C13D1"/>
    <w:rsid w:val="009C2913"/>
    <w:rsid w:val="009C2BD4"/>
    <w:rsid w:val="009C3E72"/>
    <w:rsid w:val="009C4AE8"/>
    <w:rsid w:val="009C5848"/>
    <w:rsid w:val="009C5AFE"/>
    <w:rsid w:val="009C5F31"/>
    <w:rsid w:val="009C6606"/>
    <w:rsid w:val="009C6CE5"/>
    <w:rsid w:val="009C6D50"/>
    <w:rsid w:val="009C7547"/>
    <w:rsid w:val="009D0199"/>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833"/>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AEC"/>
    <w:rsid w:val="00A23C18"/>
    <w:rsid w:val="00A23E0A"/>
    <w:rsid w:val="00A247B8"/>
    <w:rsid w:val="00A2495A"/>
    <w:rsid w:val="00A24C7A"/>
    <w:rsid w:val="00A24D8F"/>
    <w:rsid w:val="00A25B8B"/>
    <w:rsid w:val="00A266D3"/>
    <w:rsid w:val="00A2689F"/>
    <w:rsid w:val="00A26ECA"/>
    <w:rsid w:val="00A27461"/>
    <w:rsid w:val="00A27B41"/>
    <w:rsid w:val="00A27D67"/>
    <w:rsid w:val="00A30ABC"/>
    <w:rsid w:val="00A322B4"/>
    <w:rsid w:val="00A33B74"/>
    <w:rsid w:val="00A34381"/>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5C"/>
    <w:rsid w:val="00A504FA"/>
    <w:rsid w:val="00A5102E"/>
    <w:rsid w:val="00A5132E"/>
    <w:rsid w:val="00A51375"/>
    <w:rsid w:val="00A51533"/>
    <w:rsid w:val="00A52D36"/>
    <w:rsid w:val="00A531D4"/>
    <w:rsid w:val="00A54572"/>
    <w:rsid w:val="00A54DA4"/>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9FA"/>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2C54"/>
    <w:rsid w:val="00AB38CB"/>
    <w:rsid w:val="00AB3BEC"/>
    <w:rsid w:val="00AB44E4"/>
    <w:rsid w:val="00AB499C"/>
    <w:rsid w:val="00AB4AEB"/>
    <w:rsid w:val="00AB4E5F"/>
    <w:rsid w:val="00AB5352"/>
    <w:rsid w:val="00AB56AE"/>
    <w:rsid w:val="00AB62D5"/>
    <w:rsid w:val="00AB658E"/>
    <w:rsid w:val="00AB65B5"/>
    <w:rsid w:val="00AB6DCD"/>
    <w:rsid w:val="00AB6EE0"/>
    <w:rsid w:val="00AB73DC"/>
    <w:rsid w:val="00AC08E9"/>
    <w:rsid w:val="00AC17A2"/>
    <w:rsid w:val="00AC40B7"/>
    <w:rsid w:val="00AC4680"/>
    <w:rsid w:val="00AC516B"/>
    <w:rsid w:val="00AC531F"/>
    <w:rsid w:val="00AC5AAA"/>
    <w:rsid w:val="00AC5B36"/>
    <w:rsid w:val="00AC6377"/>
    <w:rsid w:val="00AC66A4"/>
    <w:rsid w:val="00AC6CB1"/>
    <w:rsid w:val="00AC75E9"/>
    <w:rsid w:val="00AC7D6D"/>
    <w:rsid w:val="00AD0091"/>
    <w:rsid w:val="00AD1A28"/>
    <w:rsid w:val="00AD23EF"/>
    <w:rsid w:val="00AD2662"/>
    <w:rsid w:val="00AD307B"/>
    <w:rsid w:val="00AD4014"/>
    <w:rsid w:val="00AD41B3"/>
    <w:rsid w:val="00AD5721"/>
    <w:rsid w:val="00AD663B"/>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5DB7"/>
    <w:rsid w:val="00AE7280"/>
    <w:rsid w:val="00AF01FA"/>
    <w:rsid w:val="00AF033A"/>
    <w:rsid w:val="00AF082B"/>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3F1F"/>
    <w:rsid w:val="00B247BB"/>
    <w:rsid w:val="00B2504A"/>
    <w:rsid w:val="00B25EE6"/>
    <w:rsid w:val="00B2685C"/>
    <w:rsid w:val="00B30CD6"/>
    <w:rsid w:val="00B3115A"/>
    <w:rsid w:val="00B31825"/>
    <w:rsid w:val="00B31A5C"/>
    <w:rsid w:val="00B32265"/>
    <w:rsid w:val="00B3276D"/>
    <w:rsid w:val="00B33B06"/>
    <w:rsid w:val="00B33C19"/>
    <w:rsid w:val="00B359E2"/>
    <w:rsid w:val="00B35A15"/>
    <w:rsid w:val="00B35B45"/>
    <w:rsid w:val="00B36A99"/>
    <w:rsid w:val="00B40143"/>
    <w:rsid w:val="00B42264"/>
    <w:rsid w:val="00B42A5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167"/>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87712"/>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9719E"/>
    <w:rsid w:val="00B97EEF"/>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49C7"/>
    <w:rsid w:val="00BC588C"/>
    <w:rsid w:val="00BC6785"/>
    <w:rsid w:val="00BC67FF"/>
    <w:rsid w:val="00BC6E73"/>
    <w:rsid w:val="00BC74D3"/>
    <w:rsid w:val="00BD0014"/>
    <w:rsid w:val="00BD01D8"/>
    <w:rsid w:val="00BD1A08"/>
    <w:rsid w:val="00BD255F"/>
    <w:rsid w:val="00BD2895"/>
    <w:rsid w:val="00BD4236"/>
    <w:rsid w:val="00BD483B"/>
    <w:rsid w:val="00BD5CD4"/>
    <w:rsid w:val="00BD65D9"/>
    <w:rsid w:val="00BD6DF3"/>
    <w:rsid w:val="00BD6E09"/>
    <w:rsid w:val="00BD6EF9"/>
    <w:rsid w:val="00BE0ACB"/>
    <w:rsid w:val="00BE180B"/>
    <w:rsid w:val="00BE2260"/>
    <w:rsid w:val="00BE32F3"/>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130"/>
    <w:rsid w:val="00C16EB9"/>
    <w:rsid w:val="00C1711B"/>
    <w:rsid w:val="00C17AE2"/>
    <w:rsid w:val="00C20140"/>
    <w:rsid w:val="00C20F27"/>
    <w:rsid w:val="00C210A1"/>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4A36"/>
    <w:rsid w:val="00C46B95"/>
    <w:rsid w:val="00C4712A"/>
    <w:rsid w:val="00C47F88"/>
    <w:rsid w:val="00C5034F"/>
    <w:rsid w:val="00C50830"/>
    <w:rsid w:val="00C52479"/>
    <w:rsid w:val="00C5266E"/>
    <w:rsid w:val="00C52C59"/>
    <w:rsid w:val="00C5349E"/>
    <w:rsid w:val="00C539FF"/>
    <w:rsid w:val="00C544BD"/>
    <w:rsid w:val="00C549BB"/>
    <w:rsid w:val="00C54D3D"/>
    <w:rsid w:val="00C55A30"/>
    <w:rsid w:val="00C56384"/>
    <w:rsid w:val="00C568B6"/>
    <w:rsid w:val="00C60F8C"/>
    <w:rsid w:val="00C61794"/>
    <w:rsid w:val="00C61CB4"/>
    <w:rsid w:val="00C6234C"/>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6CCF"/>
    <w:rsid w:val="00C77818"/>
    <w:rsid w:val="00C8063F"/>
    <w:rsid w:val="00C80931"/>
    <w:rsid w:val="00C81282"/>
    <w:rsid w:val="00C81972"/>
    <w:rsid w:val="00C827B4"/>
    <w:rsid w:val="00C82B40"/>
    <w:rsid w:val="00C83214"/>
    <w:rsid w:val="00C8329F"/>
    <w:rsid w:val="00C84F8A"/>
    <w:rsid w:val="00C85BA4"/>
    <w:rsid w:val="00C8618F"/>
    <w:rsid w:val="00C8625D"/>
    <w:rsid w:val="00C87F3F"/>
    <w:rsid w:val="00C90372"/>
    <w:rsid w:val="00C9041F"/>
    <w:rsid w:val="00C9112E"/>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1E61"/>
    <w:rsid w:val="00CA25C0"/>
    <w:rsid w:val="00CA2EA2"/>
    <w:rsid w:val="00CA3451"/>
    <w:rsid w:val="00CA35C6"/>
    <w:rsid w:val="00CA4669"/>
    <w:rsid w:val="00CA4948"/>
    <w:rsid w:val="00CA4FA3"/>
    <w:rsid w:val="00CA4FF9"/>
    <w:rsid w:val="00CA52F9"/>
    <w:rsid w:val="00CA5368"/>
    <w:rsid w:val="00CA568B"/>
    <w:rsid w:val="00CA573A"/>
    <w:rsid w:val="00CA584D"/>
    <w:rsid w:val="00CA5C58"/>
    <w:rsid w:val="00CA796D"/>
    <w:rsid w:val="00CB19D7"/>
    <w:rsid w:val="00CB19FE"/>
    <w:rsid w:val="00CB1C3F"/>
    <w:rsid w:val="00CB2364"/>
    <w:rsid w:val="00CB304C"/>
    <w:rsid w:val="00CB3933"/>
    <w:rsid w:val="00CB5010"/>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60E2"/>
    <w:rsid w:val="00CF7074"/>
    <w:rsid w:val="00CF7495"/>
    <w:rsid w:val="00D00E12"/>
    <w:rsid w:val="00D01CF9"/>
    <w:rsid w:val="00D02BF7"/>
    <w:rsid w:val="00D02FFD"/>
    <w:rsid w:val="00D0334D"/>
    <w:rsid w:val="00D0374D"/>
    <w:rsid w:val="00D06851"/>
    <w:rsid w:val="00D06D7B"/>
    <w:rsid w:val="00D06DA5"/>
    <w:rsid w:val="00D07191"/>
    <w:rsid w:val="00D07ECE"/>
    <w:rsid w:val="00D07F1D"/>
    <w:rsid w:val="00D10558"/>
    <w:rsid w:val="00D11D4D"/>
    <w:rsid w:val="00D126DC"/>
    <w:rsid w:val="00D12B03"/>
    <w:rsid w:val="00D13E70"/>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66D"/>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87FCE"/>
    <w:rsid w:val="00D9074A"/>
    <w:rsid w:val="00D9099E"/>
    <w:rsid w:val="00D9193A"/>
    <w:rsid w:val="00D923B2"/>
    <w:rsid w:val="00D92463"/>
    <w:rsid w:val="00D93E29"/>
    <w:rsid w:val="00D93E64"/>
    <w:rsid w:val="00D93F64"/>
    <w:rsid w:val="00D94CA4"/>
    <w:rsid w:val="00D95E99"/>
    <w:rsid w:val="00D965D5"/>
    <w:rsid w:val="00D97DA2"/>
    <w:rsid w:val="00DA0485"/>
    <w:rsid w:val="00DA1A3A"/>
    <w:rsid w:val="00DA2351"/>
    <w:rsid w:val="00DA249E"/>
    <w:rsid w:val="00DA29C6"/>
    <w:rsid w:val="00DA2D3D"/>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BB4"/>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55F"/>
    <w:rsid w:val="00DF1A70"/>
    <w:rsid w:val="00DF1E5F"/>
    <w:rsid w:val="00DF23A8"/>
    <w:rsid w:val="00DF2F27"/>
    <w:rsid w:val="00DF36B6"/>
    <w:rsid w:val="00DF4296"/>
    <w:rsid w:val="00DF5267"/>
    <w:rsid w:val="00DF53F0"/>
    <w:rsid w:val="00DF5F38"/>
    <w:rsid w:val="00DF6608"/>
    <w:rsid w:val="00DF69AF"/>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A9"/>
    <w:rsid w:val="00E477C3"/>
    <w:rsid w:val="00E51E16"/>
    <w:rsid w:val="00E52DED"/>
    <w:rsid w:val="00E53730"/>
    <w:rsid w:val="00E5438D"/>
    <w:rsid w:val="00E54511"/>
    <w:rsid w:val="00E54E50"/>
    <w:rsid w:val="00E54EC9"/>
    <w:rsid w:val="00E55288"/>
    <w:rsid w:val="00E57577"/>
    <w:rsid w:val="00E60A2E"/>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342"/>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8A3"/>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1905"/>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414"/>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67BED"/>
    <w:rsid w:val="00F70799"/>
    <w:rsid w:val="00F70A8B"/>
    <w:rsid w:val="00F70B8D"/>
    <w:rsid w:val="00F71936"/>
    <w:rsid w:val="00F724FB"/>
    <w:rsid w:val="00F726B8"/>
    <w:rsid w:val="00F72A26"/>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4849"/>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2E"/>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6E91"/>
    <w:rsid w:val="00FE7A68"/>
    <w:rsid w:val="00FF0231"/>
    <w:rsid w:val="00FF1C9B"/>
    <w:rsid w:val="00FF1D49"/>
    <w:rsid w:val="00FF203B"/>
    <w:rsid w:val="00FF2562"/>
    <w:rsid w:val="00FF2B6C"/>
    <w:rsid w:val="00FF3A41"/>
    <w:rsid w:val="00FF3E5B"/>
    <w:rsid w:val="00FF4C8E"/>
    <w:rsid w:val="00FF57E4"/>
    <w:rsid w:val="00FF62AA"/>
    <w:rsid w:val="00FF78E5"/>
    <w:rsid w:val="010827C0"/>
    <w:rsid w:val="0119677B"/>
    <w:rsid w:val="012C5FAF"/>
    <w:rsid w:val="01AF3D99"/>
    <w:rsid w:val="01B52C2D"/>
    <w:rsid w:val="01F91C73"/>
    <w:rsid w:val="01F96404"/>
    <w:rsid w:val="0201302D"/>
    <w:rsid w:val="02200AAA"/>
    <w:rsid w:val="02247ACE"/>
    <w:rsid w:val="02337361"/>
    <w:rsid w:val="02511F9D"/>
    <w:rsid w:val="0296130E"/>
    <w:rsid w:val="02D96D9E"/>
    <w:rsid w:val="02DB6B5E"/>
    <w:rsid w:val="03277FAD"/>
    <w:rsid w:val="03447834"/>
    <w:rsid w:val="035100F2"/>
    <w:rsid w:val="03637765"/>
    <w:rsid w:val="036543A8"/>
    <w:rsid w:val="03654FA1"/>
    <w:rsid w:val="037305CE"/>
    <w:rsid w:val="03A03330"/>
    <w:rsid w:val="03A314B8"/>
    <w:rsid w:val="03B7227C"/>
    <w:rsid w:val="03BB1D6C"/>
    <w:rsid w:val="03C5243A"/>
    <w:rsid w:val="03D82B98"/>
    <w:rsid w:val="03E47515"/>
    <w:rsid w:val="03F83E8B"/>
    <w:rsid w:val="03FF37B7"/>
    <w:rsid w:val="04140663"/>
    <w:rsid w:val="04181B28"/>
    <w:rsid w:val="0451328B"/>
    <w:rsid w:val="045C354F"/>
    <w:rsid w:val="046269DF"/>
    <w:rsid w:val="04BF763A"/>
    <w:rsid w:val="04CD61FB"/>
    <w:rsid w:val="04E433E1"/>
    <w:rsid w:val="04EF7F2B"/>
    <w:rsid w:val="04F55751"/>
    <w:rsid w:val="050140F6"/>
    <w:rsid w:val="05067536"/>
    <w:rsid w:val="051929AB"/>
    <w:rsid w:val="05305068"/>
    <w:rsid w:val="05A045FD"/>
    <w:rsid w:val="05A131E3"/>
    <w:rsid w:val="05AC1B2E"/>
    <w:rsid w:val="05C56868"/>
    <w:rsid w:val="05CB2E5F"/>
    <w:rsid w:val="061C715B"/>
    <w:rsid w:val="06472F82"/>
    <w:rsid w:val="06705FB0"/>
    <w:rsid w:val="068F128E"/>
    <w:rsid w:val="0693415D"/>
    <w:rsid w:val="06EF31F8"/>
    <w:rsid w:val="06F2558C"/>
    <w:rsid w:val="06F62EB9"/>
    <w:rsid w:val="06FD1328"/>
    <w:rsid w:val="07017BB4"/>
    <w:rsid w:val="07131CDD"/>
    <w:rsid w:val="07A33592"/>
    <w:rsid w:val="07B72767"/>
    <w:rsid w:val="07BB67DE"/>
    <w:rsid w:val="07D63618"/>
    <w:rsid w:val="07E43A81"/>
    <w:rsid w:val="07FB4E2D"/>
    <w:rsid w:val="08077E72"/>
    <w:rsid w:val="0832086E"/>
    <w:rsid w:val="083245C7"/>
    <w:rsid w:val="0843490A"/>
    <w:rsid w:val="08492301"/>
    <w:rsid w:val="08882DD0"/>
    <w:rsid w:val="08946FCA"/>
    <w:rsid w:val="08B576D2"/>
    <w:rsid w:val="08B80099"/>
    <w:rsid w:val="08C000DB"/>
    <w:rsid w:val="09364131"/>
    <w:rsid w:val="093F3D8B"/>
    <w:rsid w:val="09666C3E"/>
    <w:rsid w:val="096B752A"/>
    <w:rsid w:val="097474D2"/>
    <w:rsid w:val="0981726F"/>
    <w:rsid w:val="098F7F12"/>
    <w:rsid w:val="09925144"/>
    <w:rsid w:val="09C23374"/>
    <w:rsid w:val="09CA084E"/>
    <w:rsid w:val="09CC2AAC"/>
    <w:rsid w:val="09EF16FD"/>
    <w:rsid w:val="0A092713"/>
    <w:rsid w:val="0A09478D"/>
    <w:rsid w:val="0A256191"/>
    <w:rsid w:val="0A397E8E"/>
    <w:rsid w:val="0A3A5CCA"/>
    <w:rsid w:val="0A3D797F"/>
    <w:rsid w:val="0A423A07"/>
    <w:rsid w:val="0A4A5BF8"/>
    <w:rsid w:val="0A652D3E"/>
    <w:rsid w:val="0A6E5D8A"/>
    <w:rsid w:val="0A7F7F97"/>
    <w:rsid w:val="0AAF0151"/>
    <w:rsid w:val="0AD876A7"/>
    <w:rsid w:val="0B0E1130"/>
    <w:rsid w:val="0B305702"/>
    <w:rsid w:val="0B326F2A"/>
    <w:rsid w:val="0B372620"/>
    <w:rsid w:val="0B3E3044"/>
    <w:rsid w:val="0B5374D4"/>
    <w:rsid w:val="0BFE313E"/>
    <w:rsid w:val="0C1E2888"/>
    <w:rsid w:val="0C350E08"/>
    <w:rsid w:val="0C4C20FB"/>
    <w:rsid w:val="0C6531BD"/>
    <w:rsid w:val="0C8E61AF"/>
    <w:rsid w:val="0C8F1FE8"/>
    <w:rsid w:val="0C92213C"/>
    <w:rsid w:val="0CAF06D2"/>
    <w:rsid w:val="0CBE28CD"/>
    <w:rsid w:val="0CC2027E"/>
    <w:rsid w:val="0D7B16D9"/>
    <w:rsid w:val="0D84032B"/>
    <w:rsid w:val="0D860CD8"/>
    <w:rsid w:val="0D86392F"/>
    <w:rsid w:val="0DB13EEB"/>
    <w:rsid w:val="0DB735A4"/>
    <w:rsid w:val="0DDB49DD"/>
    <w:rsid w:val="0E14123E"/>
    <w:rsid w:val="0E6454B7"/>
    <w:rsid w:val="0E8A6F0A"/>
    <w:rsid w:val="0E9F560A"/>
    <w:rsid w:val="0ECE329B"/>
    <w:rsid w:val="0EE428AF"/>
    <w:rsid w:val="0EF645A0"/>
    <w:rsid w:val="0F094436"/>
    <w:rsid w:val="0F2A74C4"/>
    <w:rsid w:val="0F5A5D56"/>
    <w:rsid w:val="0F620A10"/>
    <w:rsid w:val="0F711E78"/>
    <w:rsid w:val="0F7729A5"/>
    <w:rsid w:val="0FA61B22"/>
    <w:rsid w:val="0FD02182"/>
    <w:rsid w:val="10014FAA"/>
    <w:rsid w:val="101E5B5C"/>
    <w:rsid w:val="104A1F3F"/>
    <w:rsid w:val="104A4BA3"/>
    <w:rsid w:val="107240FA"/>
    <w:rsid w:val="108D4996"/>
    <w:rsid w:val="10A27F31"/>
    <w:rsid w:val="10BC7C76"/>
    <w:rsid w:val="10DC1574"/>
    <w:rsid w:val="10E03CC6"/>
    <w:rsid w:val="11101D8E"/>
    <w:rsid w:val="113F5142"/>
    <w:rsid w:val="115B4B8E"/>
    <w:rsid w:val="118916FB"/>
    <w:rsid w:val="11927058"/>
    <w:rsid w:val="11BA7B07"/>
    <w:rsid w:val="11BD2243"/>
    <w:rsid w:val="11C14915"/>
    <w:rsid w:val="11F72B09"/>
    <w:rsid w:val="121045D6"/>
    <w:rsid w:val="122D02D9"/>
    <w:rsid w:val="122D2087"/>
    <w:rsid w:val="12743D83"/>
    <w:rsid w:val="128D0D77"/>
    <w:rsid w:val="12957C2C"/>
    <w:rsid w:val="12AD3208"/>
    <w:rsid w:val="12B96010"/>
    <w:rsid w:val="12FE2018"/>
    <w:rsid w:val="130628D8"/>
    <w:rsid w:val="131928BF"/>
    <w:rsid w:val="131B727A"/>
    <w:rsid w:val="135B2B22"/>
    <w:rsid w:val="137D5290"/>
    <w:rsid w:val="138A3509"/>
    <w:rsid w:val="13914897"/>
    <w:rsid w:val="13946135"/>
    <w:rsid w:val="13A7215A"/>
    <w:rsid w:val="13AF4F03"/>
    <w:rsid w:val="13E04CDB"/>
    <w:rsid w:val="1431745F"/>
    <w:rsid w:val="144A092A"/>
    <w:rsid w:val="144C7098"/>
    <w:rsid w:val="14566FC5"/>
    <w:rsid w:val="14704A54"/>
    <w:rsid w:val="14736E66"/>
    <w:rsid w:val="147F458F"/>
    <w:rsid w:val="14947BFE"/>
    <w:rsid w:val="149A00A4"/>
    <w:rsid w:val="14B10388"/>
    <w:rsid w:val="14D174E6"/>
    <w:rsid w:val="14E44281"/>
    <w:rsid w:val="15033573"/>
    <w:rsid w:val="1534169A"/>
    <w:rsid w:val="156068E6"/>
    <w:rsid w:val="156D538C"/>
    <w:rsid w:val="159B506F"/>
    <w:rsid w:val="15C03E03"/>
    <w:rsid w:val="15DD69A7"/>
    <w:rsid w:val="16140CAA"/>
    <w:rsid w:val="16290DB7"/>
    <w:rsid w:val="162A25EB"/>
    <w:rsid w:val="16353C00"/>
    <w:rsid w:val="16735895"/>
    <w:rsid w:val="16816E45"/>
    <w:rsid w:val="16881F81"/>
    <w:rsid w:val="16A24A72"/>
    <w:rsid w:val="16B54D41"/>
    <w:rsid w:val="16C653F4"/>
    <w:rsid w:val="16D01B7A"/>
    <w:rsid w:val="16D93709"/>
    <w:rsid w:val="16DA4AF9"/>
    <w:rsid w:val="16ED6288"/>
    <w:rsid w:val="16FA4BD2"/>
    <w:rsid w:val="16FD2A55"/>
    <w:rsid w:val="17001FDA"/>
    <w:rsid w:val="17067C1A"/>
    <w:rsid w:val="17233A58"/>
    <w:rsid w:val="173619DD"/>
    <w:rsid w:val="17366761"/>
    <w:rsid w:val="174E2EC4"/>
    <w:rsid w:val="17514A69"/>
    <w:rsid w:val="17567E8F"/>
    <w:rsid w:val="175D5180"/>
    <w:rsid w:val="1763654B"/>
    <w:rsid w:val="176F6C9D"/>
    <w:rsid w:val="177C01F0"/>
    <w:rsid w:val="179E3EFA"/>
    <w:rsid w:val="17A252C5"/>
    <w:rsid w:val="17C84600"/>
    <w:rsid w:val="17CE6630"/>
    <w:rsid w:val="17F4641B"/>
    <w:rsid w:val="181D494B"/>
    <w:rsid w:val="18291A50"/>
    <w:rsid w:val="1844637C"/>
    <w:rsid w:val="184B6E30"/>
    <w:rsid w:val="18573BB3"/>
    <w:rsid w:val="185F6D12"/>
    <w:rsid w:val="18772542"/>
    <w:rsid w:val="187F3D33"/>
    <w:rsid w:val="18820F70"/>
    <w:rsid w:val="18972950"/>
    <w:rsid w:val="18F558C8"/>
    <w:rsid w:val="191C10A7"/>
    <w:rsid w:val="192F0F26"/>
    <w:rsid w:val="194A4B48"/>
    <w:rsid w:val="195474DE"/>
    <w:rsid w:val="195B507D"/>
    <w:rsid w:val="19BE25EF"/>
    <w:rsid w:val="19EE7E5D"/>
    <w:rsid w:val="1A1D50D7"/>
    <w:rsid w:val="1A5F0EA6"/>
    <w:rsid w:val="1A7B3BAB"/>
    <w:rsid w:val="1A8B76DB"/>
    <w:rsid w:val="1A98650B"/>
    <w:rsid w:val="1AA94BBC"/>
    <w:rsid w:val="1AAA4452"/>
    <w:rsid w:val="1AC252C2"/>
    <w:rsid w:val="1AC44241"/>
    <w:rsid w:val="1AC63078"/>
    <w:rsid w:val="1AD11A1D"/>
    <w:rsid w:val="1AFF0AFE"/>
    <w:rsid w:val="1B412001"/>
    <w:rsid w:val="1B4F19F8"/>
    <w:rsid w:val="1B5A7857"/>
    <w:rsid w:val="1BA972F6"/>
    <w:rsid w:val="1BE50DD1"/>
    <w:rsid w:val="1C0C35DD"/>
    <w:rsid w:val="1C1F23FA"/>
    <w:rsid w:val="1C4306F9"/>
    <w:rsid w:val="1C4526C3"/>
    <w:rsid w:val="1C5D5C5E"/>
    <w:rsid w:val="1C6B432E"/>
    <w:rsid w:val="1C8101E5"/>
    <w:rsid w:val="1C8409D2"/>
    <w:rsid w:val="1C970A1D"/>
    <w:rsid w:val="1CB97998"/>
    <w:rsid w:val="1CCE2EE5"/>
    <w:rsid w:val="1CDA72AF"/>
    <w:rsid w:val="1CDF6F49"/>
    <w:rsid w:val="1CEF7146"/>
    <w:rsid w:val="1D0A6375"/>
    <w:rsid w:val="1D181B85"/>
    <w:rsid w:val="1D322C47"/>
    <w:rsid w:val="1DB7314C"/>
    <w:rsid w:val="1DBE272D"/>
    <w:rsid w:val="1DC31AF1"/>
    <w:rsid w:val="1DE1641B"/>
    <w:rsid w:val="1DE5046B"/>
    <w:rsid w:val="1E00340E"/>
    <w:rsid w:val="1E114F52"/>
    <w:rsid w:val="1E1F1D09"/>
    <w:rsid w:val="1E3E4FB4"/>
    <w:rsid w:val="1E4852D2"/>
    <w:rsid w:val="1E4F2A7A"/>
    <w:rsid w:val="1E694596"/>
    <w:rsid w:val="1E70765E"/>
    <w:rsid w:val="1E9621D4"/>
    <w:rsid w:val="1EB202A6"/>
    <w:rsid w:val="1EBD7CC9"/>
    <w:rsid w:val="1EC76CCF"/>
    <w:rsid w:val="1ECC44FA"/>
    <w:rsid w:val="1ED6486B"/>
    <w:rsid w:val="1EDB63FC"/>
    <w:rsid w:val="1F063325"/>
    <w:rsid w:val="1F1617FB"/>
    <w:rsid w:val="1F1C1B35"/>
    <w:rsid w:val="1F1F5219"/>
    <w:rsid w:val="1F300115"/>
    <w:rsid w:val="1F3A0E0F"/>
    <w:rsid w:val="1F5642FC"/>
    <w:rsid w:val="1F5F3A9B"/>
    <w:rsid w:val="1FAE057F"/>
    <w:rsid w:val="1FBC5DF5"/>
    <w:rsid w:val="1FD77AD6"/>
    <w:rsid w:val="1FF90588"/>
    <w:rsid w:val="2018762F"/>
    <w:rsid w:val="202A22FB"/>
    <w:rsid w:val="202B5346"/>
    <w:rsid w:val="202C2386"/>
    <w:rsid w:val="20400F91"/>
    <w:rsid w:val="20514B81"/>
    <w:rsid w:val="2056255B"/>
    <w:rsid w:val="20574407"/>
    <w:rsid w:val="206A570B"/>
    <w:rsid w:val="20BD452B"/>
    <w:rsid w:val="20C3623F"/>
    <w:rsid w:val="20DA182C"/>
    <w:rsid w:val="20F46465"/>
    <w:rsid w:val="20FD498D"/>
    <w:rsid w:val="210900A7"/>
    <w:rsid w:val="212156C5"/>
    <w:rsid w:val="2148258B"/>
    <w:rsid w:val="21611D4D"/>
    <w:rsid w:val="216B4602"/>
    <w:rsid w:val="21771E62"/>
    <w:rsid w:val="21781212"/>
    <w:rsid w:val="219142A2"/>
    <w:rsid w:val="21B83F86"/>
    <w:rsid w:val="21EA380F"/>
    <w:rsid w:val="220821C8"/>
    <w:rsid w:val="221178A8"/>
    <w:rsid w:val="221213CF"/>
    <w:rsid w:val="22327A92"/>
    <w:rsid w:val="223D23F1"/>
    <w:rsid w:val="2254540E"/>
    <w:rsid w:val="226C668D"/>
    <w:rsid w:val="22AD188F"/>
    <w:rsid w:val="22FF181D"/>
    <w:rsid w:val="230063DC"/>
    <w:rsid w:val="23151AAF"/>
    <w:rsid w:val="231D53A2"/>
    <w:rsid w:val="233429F8"/>
    <w:rsid w:val="23447FE4"/>
    <w:rsid w:val="235B5EFE"/>
    <w:rsid w:val="236D5383"/>
    <w:rsid w:val="23863CED"/>
    <w:rsid w:val="239A7798"/>
    <w:rsid w:val="239F377F"/>
    <w:rsid w:val="23A35E53"/>
    <w:rsid w:val="23AC2FF0"/>
    <w:rsid w:val="23B24AE2"/>
    <w:rsid w:val="23B7504C"/>
    <w:rsid w:val="23C84DE9"/>
    <w:rsid w:val="24042D45"/>
    <w:rsid w:val="2419690F"/>
    <w:rsid w:val="24571307"/>
    <w:rsid w:val="24715ECA"/>
    <w:rsid w:val="24754E93"/>
    <w:rsid w:val="247E43DB"/>
    <w:rsid w:val="24967F5F"/>
    <w:rsid w:val="249C557D"/>
    <w:rsid w:val="24D067A8"/>
    <w:rsid w:val="24F829C8"/>
    <w:rsid w:val="25110A2A"/>
    <w:rsid w:val="25145328"/>
    <w:rsid w:val="25240D0A"/>
    <w:rsid w:val="256C0944"/>
    <w:rsid w:val="25733194"/>
    <w:rsid w:val="25733DFD"/>
    <w:rsid w:val="258F03E8"/>
    <w:rsid w:val="25967363"/>
    <w:rsid w:val="259A582D"/>
    <w:rsid w:val="259F2E44"/>
    <w:rsid w:val="25E65E18"/>
    <w:rsid w:val="26446DE3"/>
    <w:rsid w:val="2674607E"/>
    <w:rsid w:val="267A740D"/>
    <w:rsid w:val="267E514F"/>
    <w:rsid w:val="269669E7"/>
    <w:rsid w:val="269E134D"/>
    <w:rsid w:val="26A270C1"/>
    <w:rsid w:val="26C64400"/>
    <w:rsid w:val="26CE2F65"/>
    <w:rsid w:val="26D7699F"/>
    <w:rsid w:val="26F62F37"/>
    <w:rsid w:val="26FB054E"/>
    <w:rsid w:val="27174C5C"/>
    <w:rsid w:val="272C0399"/>
    <w:rsid w:val="277A5AEB"/>
    <w:rsid w:val="2789543C"/>
    <w:rsid w:val="27AA633E"/>
    <w:rsid w:val="27AF043B"/>
    <w:rsid w:val="27B0578B"/>
    <w:rsid w:val="27B87198"/>
    <w:rsid w:val="27BC5F2F"/>
    <w:rsid w:val="27DC037F"/>
    <w:rsid w:val="28177609"/>
    <w:rsid w:val="281E1EFD"/>
    <w:rsid w:val="282E5245"/>
    <w:rsid w:val="287B5CFE"/>
    <w:rsid w:val="28A3717E"/>
    <w:rsid w:val="28CA2DE2"/>
    <w:rsid w:val="28CB21A2"/>
    <w:rsid w:val="29260276"/>
    <w:rsid w:val="29283150"/>
    <w:rsid w:val="29316245"/>
    <w:rsid w:val="299802D6"/>
    <w:rsid w:val="29AE5D4B"/>
    <w:rsid w:val="29B75078"/>
    <w:rsid w:val="29D75F7F"/>
    <w:rsid w:val="29E22D43"/>
    <w:rsid w:val="29FB2613"/>
    <w:rsid w:val="2A13795C"/>
    <w:rsid w:val="2A1E2D2D"/>
    <w:rsid w:val="2A353998"/>
    <w:rsid w:val="2A9D41C3"/>
    <w:rsid w:val="2AA212FD"/>
    <w:rsid w:val="2AA607D0"/>
    <w:rsid w:val="2AC179B2"/>
    <w:rsid w:val="2AF61758"/>
    <w:rsid w:val="2B095AA2"/>
    <w:rsid w:val="2B195E43"/>
    <w:rsid w:val="2B4B15CE"/>
    <w:rsid w:val="2B6C7A10"/>
    <w:rsid w:val="2B724B56"/>
    <w:rsid w:val="2B774624"/>
    <w:rsid w:val="2B81687D"/>
    <w:rsid w:val="2B8608E2"/>
    <w:rsid w:val="2B876854"/>
    <w:rsid w:val="2BA14AB8"/>
    <w:rsid w:val="2BB51EDD"/>
    <w:rsid w:val="2BD126E4"/>
    <w:rsid w:val="2BDD6474"/>
    <w:rsid w:val="2BEC6A86"/>
    <w:rsid w:val="2BEE242F"/>
    <w:rsid w:val="2BF074E3"/>
    <w:rsid w:val="2BF52B8C"/>
    <w:rsid w:val="2C35005E"/>
    <w:rsid w:val="2C45281E"/>
    <w:rsid w:val="2C7A72BE"/>
    <w:rsid w:val="2C864D5D"/>
    <w:rsid w:val="2C9A7D75"/>
    <w:rsid w:val="2CA64B3B"/>
    <w:rsid w:val="2CC17412"/>
    <w:rsid w:val="2CD60BF4"/>
    <w:rsid w:val="2CD86C3B"/>
    <w:rsid w:val="2D183B14"/>
    <w:rsid w:val="2D283E6C"/>
    <w:rsid w:val="2D6A73B0"/>
    <w:rsid w:val="2D770813"/>
    <w:rsid w:val="2D7C1E99"/>
    <w:rsid w:val="2D9350C5"/>
    <w:rsid w:val="2DA505AE"/>
    <w:rsid w:val="2DC45B3D"/>
    <w:rsid w:val="2DE735DA"/>
    <w:rsid w:val="2DF57CF0"/>
    <w:rsid w:val="2DF87595"/>
    <w:rsid w:val="2E1E4B22"/>
    <w:rsid w:val="2E426A62"/>
    <w:rsid w:val="2E4507CD"/>
    <w:rsid w:val="2E4B4177"/>
    <w:rsid w:val="2E4C78E1"/>
    <w:rsid w:val="2E587F47"/>
    <w:rsid w:val="2E65368C"/>
    <w:rsid w:val="2E70537D"/>
    <w:rsid w:val="2E716E3E"/>
    <w:rsid w:val="2E7B23A5"/>
    <w:rsid w:val="2E8452CD"/>
    <w:rsid w:val="2E8B665B"/>
    <w:rsid w:val="2E9976CE"/>
    <w:rsid w:val="2E9A74E5"/>
    <w:rsid w:val="2EA60904"/>
    <w:rsid w:val="2EB04DF3"/>
    <w:rsid w:val="2EE00DC3"/>
    <w:rsid w:val="2EF01DEE"/>
    <w:rsid w:val="2EFF05E8"/>
    <w:rsid w:val="2F0C6614"/>
    <w:rsid w:val="2F1877C3"/>
    <w:rsid w:val="2F3B2F8F"/>
    <w:rsid w:val="2F401D3C"/>
    <w:rsid w:val="2F4800A8"/>
    <w:rsid w:val="2F5051AF"/>
    <w:rsid w:val="2F5B24E1"/>
    <w:rsid w:val="2F80100D"/>
    <w:rsid w:val="2F9C5CDB"/>
    <w:rsid w:val="2FA23C5C"/>
    <w:rsid w:val="2FA95C88"/>
    <w:rsid w:val="2FBC149F"/>
    <w:rsid w:val="2FC93AD3"/>
    <w:rsid w:val="2FD61B58"/>
    <w:rsid w:val="2FD86E9B"/>
    <w:rsid w:val="2FDE37A5"/>
    <w:rsid w:val="2FE14059"/>
    <w:rsid w:val="2FF3270A"/>
    <w:rsid w:val="2FF80CC3"/>
    <w:rsid w:val="300A35B0"/>
    <w:rsid w:val="30221C48"/>
    <w:rsid w:val="3034687E"/>
    <w:rsid w:val="303B19BB"/>
    <w:rsid w:val="3041370F"/>
    <w:rsid w:val="30570A65"/>
    <w:rsid w:val="3060369A"/>
    <w:rsid w:val="30B87FED"/>
    <w:rsid w:val="30CF0057"/>
    <w:rsid w:val="30D0332C"/>
    <w:rsid w:val="30E5141E"/>
    <w:rsid w:val="30FE2A72"/>
    <w:rsid w:val="31002774"/>
    <w:rsid w:val="310148F0"/>
    <w:rsid w:val="312B50A3"/>
    <w:rsid w:val="313F18A3"/>
    <w:rsid w:val="31683980"/>
    <w:rsid w:val="31894FD2"/>
    <w:rsid w:val="318F27BC"/>
    <w:rsid w:val="31A55C86"/>
    <w:rsid w:val="31C5609D"/>
    <w:rsid w:val="31FF0F84"/>
    <w:rsid w:val="32057A20"/>
    <w:rsid w:val="3216448E"/>
    <w:rsid w:val="322A0A17"/>
    <w:rsid w:val="32453A27"/>
    <w:rsid w:val="32543208"/>
    <w:rsid w:val="3263064A"/>
    <w:rsid w:val="32A43132"/>
    <w:rsid w:val="32AC0C06"/>
    <w:rsid w:val="32BD2B5B"/>
    <w:rsid w:val="32EC7456"/>
    <w:rsid w:val="33272EB3"/>
    <w:rsid w:val="33344EF5"/>
    <w:rsid w:val="333472C1"/>
    <w:rsid w:val="334868C9"/>
    <w:rsid w:val="335135AD"/>
    <w:rsid w:val="335C05C6"/>
    <w:rsid w:val="338C209D"/>
    <w:rsid w:val="33C00B55"/>
    <w:rsid w:val="33E47F39"/>
    <w:rsid w:val="34015653"/>
    <w:rsid w:val="3438197C"/>
    <w:rsid w:val="3463556B"/>
    <w:rsid w:val="346F4329"/>
    <w:rsid w:val="349A203C"/>
    <w:rsid w:val="34AB094C"/>
    <w:rsid w:val="34D20697"/>
    <w:rsid w:val="350607E9"/>
    <w:rsid w:val="35066A3B"/>
    <w:rsid w:val="35147F85"/>
    <w:rsid w:val="353177BD"/>
    <w:rsid w:val="3537750C"/>
    <w:rsid w:val="3537798C"/>
    <w:rsid w:val="35464696"/>
    <w:rsid w:val="356B2D42"/>
    <w:rsid w:val="356C32E1"/>
    <w:rsid w:val="35725E7F"/>
    <w:rsid w:val="35737CAC"/>
    <w:rsid w:val="35784B06"/>
    <w:rsid w:val="358E67B3"/>
    <w:rsid w:val="359671E2"/>
    <w:rsid w:val="35C13FC9"/>
    <w:rsid w:val="35EF127D"/>
    <w:rsid w:val="36032A68"/>
    <w:rsid w:val="36107446"/>
    <w:rsid w:val="361376DE"/>
    <w:rsid w:val="36154A5C"/>
    <w:rsid w:val="364257B6"/>
    <w:rsid w:val="36575659"/>
    <w:rsid w:val="365810C1"/>
    <w:rsid w:val="36CC7811"/>
    <w:rsid w:val="36CD03FF"/>
    <w:rsid w:val="36D64360"/>
    <w:rsid w:val="36EB413B"/>
    <w:rsid w:val="36ED7342"/>
    <w:rsid w:val="36F01751"/>
    <w:rsid w:val="37205E40"/>
    <w:rsid w:val="37226CD7"/>
    <w:rsid w:val="37246F13"/>
    <w:rsid w:val="37353608"/>
    <w:rsid w:val="373D24BC"/>
    <w:rsid w:val="373D42AF"/>
    <w:rsid w:val="37517D16"/>
    <w:rsid w:val="37537F32"/>
    <w:rsid w:val="376D14AF"/>
    <w:rsid w:val="37EA5922"/>
    <w:rsid w:val="381D69EA"/>
    <w:rsid w:val="38251228"/>
    <w:rsid w:val="38276B93"/>
    <w:rsid w:val="382C2678"/>
    <w:rsid w:val="386F48F8"/>
    <w:rsid w:val="387A3C2D"/>
    <w:rsid w:val="388C36FB"/>
    <w:rsid w:val="38A8605B"/>
    <w:rsid w:val="38AC3431"/>
    <w:rsid w:val="38CE39D9"/>
    <w:rsid w:val="38D66725"/>
    <w:rsid w:val="38DB59A9"/>
    <w:rsid w:val="38E31989"/>
    <w:rsid w:val="38FC35F8"/>
    <w:rsid w:val="390A63CE"/>
    <w:rsid w:val="392F2E16"/>
    <w:rsid w:val="39522A4F"/>
    <w:rsid w:val="39803873"/>
    <w:rsid w:val="39B43358"/>
    <w:rsid w:val="39DE1D35"/>
    <w:rsid w:val="39E00529"/>
    <w:rsid w:val="3A0B64A7"/>
    <w:rsid w:val="3A2B2AA0"/>
    <w:rsid w:val="3A377697"/>
    <w:rsid w:val="3A3D0823"/>
    <w:rsid w:val="3A40479E"/>
    <w:rsid w:val="3A574DDA"/>
    <w:rsid w:val="3A790559"/>
    <w:rsid w:val="3A7E2CEE"/>
    <w:rsid w:val="3AC32CD9"/>
    <w:rsid w:val="3AD3075A"/>
    <w:rsid w:val="3AF74C02"/>
    <w:rsid w:val="3B08125F"/>
    <w:rsid w:val="3B117D69"/>
    <w:rsid w:val="3B143534"/>
    <w:rsid w:val="3B1B48C3"/>
    <w:rsid w:val="3B297712"/>
    <w:rsid w:val="3B535B37"/>
    <w:rsid w:val="3B6031D3"/>
    <w:rsid w:val="3B657F1A"/>
    <w:rsid w:val="3B6B6324"/>
    <w:rsid w:val="3B6C15C2"/>
    <w:rsid w:val="3B890DC1"/>
    <w:rsid w:val="3BA65070"/>
    <w:rsid w:val="3BBA50D2"/>
    <w:rsid w:val="3C0059A5"/>
    <w:rsid w:val="3C134E78"/>
    <w:rsid w:val="3C2D1349"/>
    <w:rsid w:val="3C406CD7"/>
    <w:rsid w:val="3C4A1903"/>
    <w:rsid w:val="3C4D31A2"/>
    <w:rsid w:val="3C526A0A"/>
    <w:rsid w:val="3C5E0698"/>
    <w:rsid w:val="3C6436E5"/>
    <w:rsid w:val="3C683F6D"/>
    <w:rsid w:val="3C686A41"/>
    <w:rsid w:val="3C88242C"/>
    <w:rsid w:val="3C885F88"/>
    <w:rsid w:val="3C8B21EB"/>
    <w:rsid w:val="3C926E07"/>
    <w:rsid w:val="3CA24F0A"/>
    <w:rsid w:val="3CB4104C"/>
    <w:rsid w:val="3CBD0327"/>
    <w:rsid w:val="3CCB6EDB"/>
    <w:rsid w:val="3D07507C"/>
    <w:rsid w:val="3D1141CF"/>
    <w:rsid w:val="3D1E051B"/>
    <w:rsid w:val="3D566798"/>
    <w:rsid w:val="3D580050"/>
    <w:rsid w:val="3D7F5B5C"/>
    <w:rsid w:val="3D812C57"/>
    <w:rsid w:val="3D8E57A9"/>
    <w:rsid w:val="3D9B618F"/>
    <w:rsid w:val="3DA05553"/>
    <w:rsid w:val="3DCC6348"/>
    <w:rsid w:val="3DEC579F"/>
    <w:rsid w:val="3DF6345D"/>
    <w:rsid w:val="3E034F5C"/>
    <w:rsid w:val="3E0D0E3B"/>
    <w:rsid w:val="3E1B68A6"/>
    <w:rsid w:val="3E233DBE"/>
    <w:rsid w:val="3E2B5515"/>
    <w:rsid w:val="3E3D2CEB"/>
    <w:rsid w:val="3E3F4D6C"/>
    <w:rsid w:val="3E4D4F28"/>
    <w:rsid w:val="3E524A9F"/>
    <w:rsid w:val="3E817133"/>
    <w:rsid w:val="3E8E4943"/>
    <w:rsid w:val="3EBC63BD"/>
    <w:rsid w:val="3ECB7CDF"/>
    <w:rsid w:val="3ECC7453"/>
    <w:rsid w:val="3ED61746"/>
    <w:rsid w:val="3ED92EC4"/>
    <w:rsid w:val="3EE13701"/>
    <w:rsid w:val="3F1A4BB3"/>
    <w:rsid w:val="3F3874BF"/>
    <w:rsid w:val="3F3E3276"/>
    <w:rsid w:val="3F5A2E5F"/>
    <w:rsid w:val="3F713622"/>
    <w:rsid w:val="3F765169"/>
    <w:rsid w:val="3F892743"/>
    <w:rsid w:val="3F9B4680"/>
    <w:rsid w:val="3FB362C2"/>
    <w:rsid w:val="3FB45515"/>
    <w:rsid w:val="3FB6105E"/>
    <w:rsid w:val="3FB90C6E"/>
    <w:rsid w:val="3FC731E3"/>
    <w:rsid w:val="3FCA4E37"/>
    <w:rsid w:val="3FEC0F24"/>
    <w:rsid w:val="3FEE07F8"/>
    <w:rsid w:val="400022D9"/>
    <w:rsid w:val="40153FD6"/>
    <w:rsid w:val="40192BA6"/>
    <w:rsid w:val="40A54907"/>
    <w:rsid w:val="40D44BB8"/>
    <w:rsid w:val="40F63E08"/>
    <w:rsid w:val="40F8373D"/>
    <w:rsid w:val="41114D6F"/>
    <w:rsid w:val="415039D4"/>
    <w:rsid w:val="416274F1"/>
    <w:rsid w:val="416B088F"/>
    <w:rsid w:val="41760AA5"/>
    <w:rsid w:val="41766EA9"/>
    <w:rsid w:val="41866B13"/>
    <w:rsid w:val="41935450"/>
    <w:rsid w:val="41AD09C3"/>
    <w:rsid w:val="41B65373"/>
    <w:rsid w:val="41C77F5B"/>
    <w:rsid w:val="41DE664A"/>
    <w:rsid w:val="41E6725D"/>
    <w:rsid w:val="41F77652"/>
    <w:rsid w:val="42131E80"/>
    <w:rsid w:val="4217445F"/>
    <w:rsid w:val="423D5A66"/>
    <w:rsid w:val="423D64EE"/>
    <w:rsid w:val="42550A18"/>
    <w:rsid w:val="426E308D"/>
    <w:rsid w:val="429D496A"/>
    <w:rsid w:val="42A038DB"/>
    <w:rsid w:val="42A16911"/>
    <w:rsid w:val="42C4395D"/>
    <w:rsid w:val="42F473A1"/>
    <w:rsid w:val="431A7B56"/>
    <w:rsid w:val="43362BE2"/>
    <w:rsid w:val="43602A2A"/>
    <w:rsid w:val="437217EA"/>
    <w:rsid w:val="4392187A"/>
    <w:rsid w:val="43AB7156"/>
    <w:rsid w:val="43DE0B83"/>
    <w:rsid w:val="441E62C0"/>
    <w:rsid w:val="442102EF"/>
    <w:rsid w:val="442D4712"/>
    <w:rsid w:val="4434212B"/>
    <w:rsid w:val="443C665A"/>
    <w:rsid w:val="44684A59"/>
    <w:rsid w:val="44916AD9"/>
    <w:rsid w:val="449D7506"/>
    <w:rsid w:val="44A71A4C"/>
    <w:rsid w:val="45062140"/>
    <w:rsid w:val="45085EB8"/>
    <w:rsid w:val="45325D14"/>
    <w:rsid w:val="45327DE5"/>
    <w:rsid w:val="45571063"/>
    <w:rsid w:val="456F23DB"/>
    <w:rsid w:val="45811C7C"/>
    <w:rsid w:val="45906116"/>
    <w:rsid w:val="45917908"/>
    <w:rsid w:val="45931B8C"/>
    <w:rsid w:val="459B015E"/>
    <w:rsid w:val="459B6D2C"/>
    <w:rsid w:val="45DF4F21"/>
    <w:rsid w:val="45EF2552"/>
    <w:rsid w:val="460B6AC0"/>
    <w:rsid w:val="463B22BD"/>
    <w:rsid w:val="464C1EC6"/>
    <w:rsid w:val="466E61EE"/>
    <w:rsid w:val="46733CB9"/>
    <w:rsid w:val="467550A7"/>
    <w:rsid w:val="468444A7"/>
    <w:rsid w:val="468B3EFB"/>
    <w:rsid w:val="468E6891"/>
    <w:rsid w:val="46955E71"/>
    <w:rsid w:val="46C95B1B"/>
    <w:rsid w:val="46FA2EE3"/>
    <w:rsid w:val="470A6193"/>
    <w:rsid w:val="471548BC"/>
    <w:rsid w:val="47385210"/>
    <w:rsid w:val="47555600"/>
    <w:rsid w:val="475F1FDB"/>
    <w:rsid w:val="476D1D47"/>
    <w:rsid w:val="479F0ACD"/>
    <w:rsid w:val="47A0743D"/>
    <w:rsid w:val="47A617A5"/>
    <w:rsid w:val="47C56F66"/>
    <w:rsid w:val="47D31E1A"/>
    <w:rsid w:val="47DC4F5C"/>
    <w:rsid w:val="47E359C9"/>
    <w:rsid w:val="4840005F"/>
    <w:rsid w:val="484F7DD9"/>
    <w:rsid w:val="48552BC8"/>
    <w:rsid w:val="48B40671"/>
    <w:rsid w:val="48BC6F7A"/>
    <w:rsid w:val="48CF0271"/>
    <w:rsid w:val="48F8074C"/>
    <w:rsid w:val="49042FF5"/>
    <w:rsid w:val="49076335"/>
    <w:rsid w:val="4922291D"/>
    <w:rsid w:val="492B4C09"/>
    <w:rsid w:val="492B6619"/>
    <w:rsid w:val="49604478"/>
    <w:rsid w:val="49667651"/>
    <w:rsid w:val="499B5738"/>
    <w:rsid w:val="499F244D"/>
    <w:rsid w:val="49B900C8"/>
    <w:rsid w:val="49CF169A"/>
    <w:rsid w:val="4A11580F"/>
    <w:rsid w:val="4A1953E5"/>
    <w:rsid w:val="4A1E617D"/>
    <w:rsid w:val="4A7E670F"/>
    <w:rsid w:val="4A970798"/>
    <w:rsid w:val="4A973F3F"/>
    <w:rsid w:val="4A9D48C2"/>
    <w:rsid w:val="4AA16A70"/>
    <w:rsid w:val="4ABB577A"/>
    <w:rsid w:val="4ABC3301"/>
    <w:rsid w:val="4AC31D20"/>
    <w:rsid w:val="4AC83F74"/>
    <w:rsid w:val="4ACE1952"/>
    <w:rsid w:val="4ACF10C7"/>
    <w:rsid w:val="4AF96BC7"/>
    <w:rsid w:val="4B0C003F"/>
    <w:rsid w:val="4B136655"/>
    <w:rsid w:val="4B643D98"/>
    <w:rsid w:val="4B702A09"/>
    <w:rsid w:val="4B862A85"/>
    <w:rsid w:val="4B8F39AF"/>
    <w:rsid w:val="4BA53E30"/>
    <w:rsid w:val="4BB94F2D"/>
    <w:rsid w:val="4BDD0672"/>
    <w:rsid w:val="4BDE3463"/>
    <w:rsid w:val="4BE33F9B"/>
    <w:rsid w:val="4BF36441"/>
    <w:rsid w:val="4C2832E3"/>
    <w:rsid w:val="4C4D68A6"/>
    <w:rsid w:val="4C6A0734"/>
    <w:rsid w:val="4C7E1155"/>
    <w:rsid w:val="4C8E7362"/>
    <w:rsid w:val="4C9F7D59"/>
    <w:rsid w:val="4CA010CC"/>
    <w:rsid w:val="4CB708CE"/>
    <w:rsid w:val="4CD7788D"/>
    <w:rsid w:val="4CDB23B6"/>
    <w:rsid w:val="4CDE5035"/>
    <w:rsid w:val="4CE54D31"/>
    <w:rsid w:val="4CEF36E2"/>
    <w:rsid w:val="4CEF4DC5"/>
    <w:rsid w:val="4D1D595E"/>
    <w:rsid w:val="4D2E492A"/>
    <w:rsid w:val="4D3B2BD5"/>
    <w:rsid w:val="4D5674A9"/>
    <w:rsid w:val="4DAD1323"/>
    <w:rsid w:val="4DAE0576"/>
    <w:rsid w:val="4DAE5A6A"/>
    <w:rsid w:val="4DB42372"/>
    <w:rsid w:val="4DB43081"/>
    <w:rsid w:val="4DBA440F"/>
    <w:rsid w:val="4DCC61A3"/>
    <w:rsid w:val="4DDA7116"/>
    <w:rsid w:val="4E257655"/>
    <w:rsid w:val="4E263853"/>
    <w:rsid w:val="4E2D4BE1"/>
    <w:rsid w:val="4E375A60"/>
    <w:rsid w:val="4E4A29CE"/>
    <w:rsid w:val="4E5A1BC6"/>
    <w:rsid w:val="4E612ADD"/>
    <w:rsid w:val="4E7B70F2"/>
    <w:rsid w:val="4EA54611"/>
    <w:rsid w:val="4ED01321"/>
    <w:rsid w:val="4EE01C53"/>
    <w:rsid w:val="4EF56E5A"/>
    <w:rsid w:val="4EFF09F2"/>
    <w:rsid w:val="4F013C28"/>
    <w:rsid w:val="4F017C92"/>
    <w:rsid w:val="4F372380"/>
    <w:rsid w:val="4F372FFB"/>
    <w:rsid w:val="4F373BA2"/>
    <w:rsid w:val="4F50685F"/>
    <w:rsid w:val="4F552D33"/>
    <w:rsid w:val="4F604F02"/>
    <w:rsid w:val="4F6D6A9E"/>
    <w:rsid w:val="4FA5794C"/>
    <w:rsid w:val="4FAC106B"/>
    <w:rsid w:val="4FAD6032"/>
    <w:rsid w:val="4FDC1C12"/>
    <w:rsid w:val="4FDD1914"/>
    <w:rsid w:val="4FED287A"/>
    <w:rsid w:val="500B4D93"/>
    <w:rsid w:val="500D6A78"/>
    <w:rsid w:val="50137E07"/>
    <w:rsid w:val="501F792A"/>
    <w:rsid w:val="502320A0"/>
    <w:rsid w:val="5025116D"/>
    <w:rsid w:val="505C3744"/>
    <w:rsid w:val="505E5526"/>
    <w:rsid w:val="50CE76FD"/>
    <w:rsid w:val="50DE66D4"/>
    <w:rsid w:val="5119769F"/>
    <w:rsid w:val="511F7661"/>
    <w:rsid w:val="51262341"/>
    <w:rsid w:val="512978E2"/>
    <w:rsid w:val="513E4D75"/>
    <w:rsid w:val="517F61AE"/>
    <w:rsid w:val="519C2EC4"/>
    <w:rsid w:val="51B94AD4"/>
    <w:rsid w:val="51D07D5D"/>
    <w:rsid w:val="51DF6918"/>
    <w:rsid w:val="521B663F"/>
    <w:rsid w:val="52395ECD"/>
    <w:rsid w:val="52575E63"/>
    <w:rsid w:val="52650DED"/>
    <w:rsid w:val="52860CDE"/>
    <w:rsid w:val="52887E58"/>
    <w:rsid w:val="52BD6456"/>
    <w:rsid w:val="52C10D75"/>
    <w:rsid w:val="52E71BFE"/>
    <w:rsid w:val="53120DFC"/>
    <w:rsid w:val="533F163E"/>
    <w:rsid w:val="53586243"/>
    <w:rsid w:val="53626BF3"/>
    <w:rsid w:val="53832C97"/>
    <w:rsid w:val="538536A3"/>
    <w:rsid w:val="53C27FF8"/>
    <w:rsid w:val="53D76A77"/>
    <w:rsid w:val="544246B9"/>
    <w:rsid w:val="54794B5F"/>
    <w:rsid w:val="549E1A80"/>
    <w:rsid w:val="54A77640"/>
    <w:rsid w:val="54BA1986"/>
    <w:rsid w:val="54C658F4"/>
    <w:rsid w:val="54EB3100"/>
    <w:rsid w:val="5503044A"/>
    <w:rsid w:val="550C4BD7"/>
    <w:rsid w:val="55102A40"/>
    <w:rsid w:val="55275A0F"/>
    <w:rsid w:val="55366A1E"/>
    <w:rsid w:val="554B0C61"/>
    <w:rsid w:val="554C1D56"/>
    <w:rsid w:val="555109BF"/>
    <w:rsid w:val="555278AF"/>
    <w:rsid w:val="55572986"/>
    <w:rsid w:val="55757355"/>
    <w:rsid w:val="558E2819"/>
    <w:rsid w:val="55991055"/>
    <w:rsid w:val="55C37BD9"/>
    <w:rsid w:val="55CE6CAA"/>
    <w:rsid w:val="55D2686D"/>
    <w:rsid w:val="55DD6EED"/>
    <w:rsid w:val="55E025CB"/>
    <w:rsid w:val="55E942E3"/>
    <w:rsid w:val="55FD5A13"/>
    <w:rsid w:val="56233DAE"/>
    <w:rsid w:val="564E6D54"/>
    <w:rsid w:val="56507986"/>
    <w:rsid w:val="565340FA"/>
    <w:rsid w:val="565A22EB"/>
    <w:rsid w:val="565C6063"/>
    <w:rsid w:val="566841AB"/>
    <w:rsid w:val="568C38D5"/>
    <w:rsid w:val="568D27BB"/>
    <w:rsid w:val="56AD5F59"/>
    <w:rsid w:val="56AE5057"/>
    <w:rsid w:val="56B04601"/>
    <w:rsid w:val="56B22127"/>
    <w:rsid w:val="56E764C8"/>
    <w:rsid w:val="570C524E"/>
    <w:rsid w:val="575136EE"/>
    <w:rsid w:val="57645F73"/>
    <w:rsid w:val="576E2576"/>
    <w:rsid w:val="579049BE"/>
    <w:rsid w:val="579B0E0D"/>
    <w:rsid w:val="57A40B60"/>
    <w:rsid w:val="57A66625"/>
    <w:rsid w:val="57AB06F3"/>
    <w:rsid w:val="57B12A52"/>
    <w:rsid w:val="57BB4B36"/>
    <w:rsid w:val="57E01845"/>
    <w:rsid w:val="57EE5248"/>
    <w:rsid w:val="584658BF"/>
    <w:rsid w:val="58777AE3"/>
    <w:rsid w:val="588F4785"/>
    <w:rsid w:val="58C5233B"/>
    <w:rsid w:val="58C70DCE"/>
    <w:rsid w:val="59080725"/>
    <w:rsid w:val="59114324"/>
    <w:rsid w:val="5952374E"/>
    <w:rsid w:val="59777658"/>
    <w:rsid w:val="597C6A1D"/>
    <w:rsid w:val="598F0487"/>
    <w:rsid w:val="598F04FE"/>
    <w:rsid w:val="59A860E0"/>
    <w:rsid w:val="59B43CF0"/>
    <w:rsid w:val="59BB47F5"/>
    <w:rsid w:val="59E30CB0"/>
    <w:rsid w:val="59EE5D29"/>
    <w:rsid w:val="5A161AA5"/>
    <w:rsid w:val="5A1E62F5"/>
    <w:rsid w:val="5A2F2CC8"/>
    <w:rsid w:val="5A5534F6"/>
    <w:rsid w:val="5A6516AD"/>
    <w:rsid w:val="5A7F64E2"/>
    <w:rsid w:val="5A8D7AED"/>
    <w:rsid w:val="5A8E77E6"/>
    <w:rsid w:val="5A981634"/>
    <w:rsid w:val="5A9E0BA0"/>
    <w:rsid w:val="5AB67D0C"/>
    <w:rsid w:val="5ADA3456"/>
    <w:rsid w:val="5ADB6D24"/>
    <w:rsid w:val="5AE05C9A"/>
    <w:rsid w:val="5AF947C9"/>
    <w:rsid w:val="5B060C94"/>
    <w:rsid w:val="5B1F1D55"/>
    <w:rsid w:val="5B20432C"/>
    <w:rsid w:val="5B317B51"/>
    <w:rsid w:val="5B4D68C3"/>
    <w:rsid w:val="5B5E10B5"/>
    <w:rsid w:val="5B6657AD"/>
    <w:rsid w:val="5B697EEF"/>
    <w:rsid w:val="5BD06439"/>
    <w:rsid w:val="5BFB00CD"/>
    <w:rsid w:val="5C10702D"/>
    <w:rsid w:val="5C1212B5"/>
    <w:rsid w:val="5C152601"/>
    <w:rsid w:val="5C2238AB"/>
    <w:rsid w:val="5C563555"/>
    <w:rsid w:val="5C581F57"/>
    <w:rsid w:val="5C591F03"/>
    <w:rsid w:val="5C5B5602"/>
    <w:rsid w:val="5C6A2968"/>
    <w:rsid w:val="5C877BB2"/>
    <w:rsid w:val="5C8A1B2F"/>
    <w:rsid w:val="5C9F4EFC"/>
    <w:rsid w:val="5CBB785C"/>
    <w:rsid w:val="5CCB58BF"/>
    <w:rsid w:val="5D2C3FDA"/>
    <w:rsid w:val="5D3F048D"/>
    <w:rsid w:val="5D501790"/>
    <w:rsid w:val="5D693414"/>
    <w:rsid w:val="5D7142FE"/>
    <w:rsid w:val="5D79648E"/>
    <w:rsid w:val="5D7E58D3"/>
    <w:rsid w:val="5D95186C"/>
    <w:rsid w:val="5DB744C7"/>
    <w:rsid w:val="5DD5494D"/>
    <w:rsid w:val="5DE1109B"/>
    <w:rsid w:val="5DED477A"/>
    <w:rsid w:val="5DF66D9E"/>
    <w:rsid w:val="5DFB43B4"/>
    <w:rsid w:val="5DFC351B"/>
    <w:rsid w:val="5E1426A9"/>
    <w:rsid w:val="5E1C56A1"/>
    <w:rsid w:val="5E251431"/>
    <w:rsid w:val="5E954808"/>
    <w:rsid w:val="5EA22C56"/>
    <w:rsid w:val="5EBA0DC9"/>
    <w:rsid w:val="5F324EA1"/>
    <w:rsid w:val="5F3B73F3"/>
    <w:rsid w:val="5F447FDD"/>
    <w:rsid w:val="5F463F63"/>
    <w:rsid w:val="5F561B72"/>
    <w:rsid w:val="5F5924E9"/>
    <w:rsid w:val="5F9D2229"/>
    <w:rsid w:val="5FCF5AF8"/>
    <w:rsid w:val="5FF44DA7"/>
    <w:rsid w:val="5FF732CD"/>
    <w:rsid w:val="5FF75D1E"/>
    <w:rsid w:val="600D6620"/>
    <w:rsid w:val="6037544B"/>
    <w:rsid w:val="603900D0"/>
    <w:rsid w:val="603B318E"/>
    <w:rsid w:val="60426464"/>
    <w:rsid w:val="6052125F"/>
    <w:rsid w:val="606007BB"/>
    <w:rsid w:val="60771CEC"/>
    <w:rsid w:val="609E54CA"/>
    <w:rsid w:val="60AC7F66"/>
    <w:rsid w:val="60C50CA9"/>
    <w:rsid w:val="60C95281"/>
    <w:rsid w:val="60EE58F6"/>
    <w:rsid w:val="611F485D"/>
    <w:rsid w:val="6149254E"/>
    <w:rsid w:val="615B1CEA"/>
    <w:rsid w:val="61665FE8"/>
    <w:rsid w:val="61730EFA"/>
    <w:rsid w:val="6180680C"/>
    <w:rsid w:val="6181445A"/>
    <w:rsid w:val="61AB60F1"/>
    <w:rsid w:val="61BF10D9"/>
    <w:rsid w:val="61CF0F32"/>
    <w:rsid w:val="61FC6D54"/>
    <w:rsid w:val="620470D5"/>
    <w:rsid w:val="62224475"/>
    <w:rsid w:val="623B56C7"/>
    <w:rsid w:val="62400F9F"/>
    <w:rsid w:val="625B6730"/>
    <w:rsid w:val="627209BD"/>
    <w:rsid w:val="628726BA"/>
    <w:rsid w:val="62AC22DC"/>
    <w:rsid w:val="62EF025F"/>
    <w:rsid w:val="632838CD"/>
    <w:rsid w:val="632B4122"/>
    <w:rsid w:val="635F7193"/>
    <w:rsid w:val="638A3663"/>
    <w:rsid w:val="638E37D8"/>
    <w:rsid w:val="63972D7A"/>
    <w:rsid w:val="63A22BFD"/>
    <w:rsid w:val="63BA6ABF"/>
    <w:rsid w:val="63CB6517"/>
    <w:rsid w:val="63D30291"/>
    <w:rsid w:val="63D61FE2"/>
    <w:rsid w:val="63E35DF8"/>
    <w:rsid w:val="63F33C04"/>
    <w:rsid w:val="64055F8C"/>
    <w:rsid w:val="645542BC"/>
    <w:rsid w:val="6472739A"/>
    <w:rsid w:val="64E45EF7"/>
    <w:rsid w:val="64F16511"/>
    <w:rsid w:val="64F56A29"/>
    <w:rsid w:val="64F91EF5"/>
    <w:rsid w:val="64FD3107"/>
    <w:rsid w:val="6507580D"/>
    <w:rsid w:val="6523128F"/>
    <w:rsid w:val="65353AE7"/>
    <w:rsid w:val="657607C4"/>
    <w:rsid w:val="65802BD8"/>
    <w:rsid w:val="65AA03FB"/>
    <w:rsid w:val="65B5753E"/>
    <w:rsid w:val="65BD4645"/>
    <w:rsid w:val="65BF0347"/>
    <w:rsid w:val="65F659AF"/>
    <w:rsid w:val="660E46E0"/>
    <w:rsid w:val="665C0356"/>
    <w:rsid w:val="66640969"/>
    <w:rsid w:val="66860F93"/>
    <w:rsid w:val="6691014E"/>
    <w:rsid w:val="6692427B"/>
    <w:rsid w:val="66BA15B6"/>
    <w:rsid w:val="66C64D00"/>
    <w:rsid w:val="66C87CCE"/>
    <w:rsid w:val="66C969E6"/>
    <w:rsid w:val="670C5884"/>
    <w:rsid w:val="671A52A0"/>
    <w:rsid w:val="6731217B"/>
    <w:rsid w:val="67424E02"/>
    <w:rsid w:val="674F5576"/>
    <w:rsid w:val="675D3EA4"/>
    <w:rsid w:val="677060D3"/>
    <w:rsid w:val="677243C5"/>
    <w:rsid w:val="677435B2"/>
    <w:rsid w:val="67902011"/>
    <w:rsid w:val="67C21F06"/>
    <w:rsid w:val="67EF75F1"/>
    <w:rsid w:val="680372D4"/>
    <w:rsid w:val="68352BB8"/>
    <w:rsid w:val="68412CE1"/>
    <w:rsid w:val="684F4F11"/>
    <w:rsid w:val="6859473E"/>
    <w:rsid w:val="68644A48"/>
    <w:rsid w:val="68AA5354"/>
    <w:rsid w:val="68BE60F6"/>
    <w:rsid w:val="68CF4DBB"/>
    <w:rsid w:val="68D128E1"/>
    <w:rsid w:val="68DA3D82"/>
    <w:rsid w:val="68DD74D8"/>
    <w:rsid w:val="68E151AE"/>
    <w:rsid w:val="69034A64"/>
    <w:rsid w:val="69104F01"/>
    <w:rsid w:val="69124F16"/>
    <w:rsid w:val="692C3C07"/>
    <w:rsid w:val="69540E1C"/>
    <w:rsid w:val="6973675D"/>
    <w:rsid w:val="69A2602B"/>
    <w:rsid w:val="69BA15C7"/>
    <w:rsid w:val="69BC61CC"/>
    <w:rsid w:val="69CD5C14"/>
    <w:rsid w:val="69CF0D33"/>
    <w:rsid w:val="69CF2482"/>
    <w:rsid w:val="69D72179"/>
    <w:rsid w:val="69FF347E"/>
    <w:rsid w:val="6A077EF9"/>
    <w:rsid w:val="6A2B7301"/>
    <w:rsid w:val="6A4378D2"/>
    <w:rsid w:val="6A503CD9"/>
    <w:rsid w:val="6AB57FE0"/>
    <w:rsid w:val="6ADB40DC"/>
    <w:rsid w:val="6AFE283B"/>
    <w:rsid w:val="6B4D4DA6"/>
    <w:rsid w:val="6B701BC9"/>
    <w:rsid w:val="6B9946B3"/>
    <w:rsid w:val="6BAC13E3"/>
    <w:rsid w:val="6BD13793"/>
    <w:rsid w:val="6BDD0871"/>
    <w:rsid w:val="6BF402A7"/>
    <w:rsid w:val="6C1E27F0"/>
    <w:rsid w:val="6C276F3A"/>
    <w:rsid w:val="6C5C5C0D"/>
    <w:rsid w:val="6C7007C7"/>
    <w:rsid w:val="6C763D3D"/>
    <w:rsid w:val="6C7C7008"/>
    <w:rsid w:val="6C8549F4"/>
    <w:rsid w:val="6C8B2DA7"/>
    <w:rsid w:val="6C8E32FA"/>
    <w:rsid w:val="6CEA5182"/>
    <w:rsid w:val="6CED5B4D"/>
    <w:rsid w:val="6D0B5802"/>
    <w:rsid w:val="6D6F1396"/>
    <w:rsid w:val="6D7361B0"/>
    <w:rsid w:val="6D7636BA"/>
    <w:rsid w:val="6D7952F5"/>
    <w:rsid w:val="6D945A51"/>
    <w:rsid w:val="6DA32372"/>
    <w:rsid w:val="6DB16529"/>
    <w:rsid w:val="6DBC51E2"/>
    <w:rsid w:val="6DD96DB6"/>
    <w:rsid w:val="6DE76850"/>
    <w:rsid w:val="6E296D1B"/>
    <w:rsid w:val="6E66310E"/>
    <w:rsid w:val="6E932DE0"/>
    <w:rsid w:val="6E992A0D"/>
    <w:rsid w:val="6EA7112B"/>
    <w:rsid w:val="6ECE2FB7"/>
    <w:rsid w:val="6EE47802"/>
    <w:rsid w:val="6EE97C7B"/>
    <w:rsid w:val="6EF91340"/>
    <w:rsid w:val="6EFB3C2C"/>
    <w:rsid w:val="6EFC020C"/>
    <w:rsid w:val="6EFD3419"/>
    <w:rsid w:val="6F1141AB"/>
    <w:rsid w:val="6F1B6617"/>
    <w:rsid w:val="6F234695"/>
    <w:rsid w:val="6F2A7F88"/>
    <w:rsid w:val="6F385179"/>
    <w:rsid w:val="6F410095"/>
    <w:rsid w:val="6F4E5CAC"/>
    <w:rsid w:val="6F4F27B2"/>
    <w:rsid w:val="6F534E46"/>
    <w:rsid w:val="6F5E1A6F"/>
    <w:rsid w:val="6F7F3327"/>
    <w:rsid w:val="6F80296B"/>
    <w:rsid w:val="6F8257BD"/>
    <w:rsid w:val="6F9B5E2B"/>
    <w:rsid w:val="6FB20BD4"/>
    <w:rsid w:val="6FB27657"/>
    <w:rsid w:val="6FBA59BE"/>
    <w:rsid w:val="6FE545C5"/>
    <w:rsid w:val="6FE949B4"/>
    <w:rsid w:val="70296B3E"/>
    <w:rsid w:val="7049646A"/>
    <w:rsid w:val="704C0C3E"/>
    <w:rsid w:val="7057153F"/>
    <w:rsid w:val="70611204"/>
    <w:rsid w:val="70BC724E"/>
    <w:rsid w:val="710C6DC7"/>
    <w:rsid w:val="7119271A"/>
    <w:rsid w:val="71621977"/>
    <w:rsid w:val="71650996"/>
    <w:rsid w:val="7165620F"/>
    <w:rsid w:val="717039F8"/>
    <w:rsid w:val="718F6E95"/>
    <w:rsid w:val="7197202C"/>
    <w:rsid w:val="71E75B6E"/>
    <w:rsid w:val="71EC42E8"/>
    <w:rsid w:val="71FD3831"/>
    <w:rsid w:val="721B697B"/>
    <w:rsid w:val="721C028A"/>
    <w:rsid w:val="72233A82"/>
    <w:rsid w:val="72565C05"/>
    <w:rsid w:val="72605B9A"/>
    <w:rsid w:val="727367B7"/>
    <w:rsid w:val="72971B60"/>
    <w:rsid w:val="729726A7"/>
    <w:rsid w:val="72C264DB"/>
    <w:rsid w:val="72C54B39"/>
    <w:rsid w:val="72C6616E"/>
    <w:rsid w:val="72D07765"/>
    <w:rsid w:val="72EB459F"/>
    <w:rsid w:val="72F35B4A"/>
    <w:rsid w:val="72FA0C86"/>
    <w:rsid w:val="73027B3B"/>
    <w:rsid w:val="730648A1"/>
    <w:rsid w:val="734B6169"/>
    <w:rsid w:val="735E7467"/>
    <w:rsid w:val="73707765"/>
    <w:rsid w:val="737E5413"/>
    <w:rsid w:val="739104B2"/>
    <w:rsid w:val="73942F67"/>
    <w:rsid w:val="73C951CB"/>
    <w:rsid w:val="73EB6821"/>
    <w:rsid w:val="74281823"/>
    <w:rsid w:val="74327C85"/>
    <w:rsid w:val="744C0855"/>
    <w:rsid w:val="74673DB7"/>
    <w:rsid w:val="747A3D00"/>
    <w:rsid w:val="747B1BB4"/>
    <w:rsid w:val="74A0585D"/>
    <w:rsid w:val="74BA1345"/>
    <w:rsid w:val="74D13AD5"/>
    <w:rsid w:val="74E50DAE"/>
    <w:rsid w:val="74FA2C30"/>
    <w:rsid w:val="7521699E"/>
    <w:rsid w:val="752C4326"/>
    <w:rsid w:val="752D668A"/>
    <w:rsid w:val="753B061B"/>
    <w:rsid w:val="754D5C4B"/>
    <w:rsid w:val="755723C0"/>
    <w:rsid w:val="75D27C98"/>
    <w:rsid w:val="75E82186"/>
    <w:rsid w:val="75E97127"/>
    <w:rsid w:val="75FD6934"/>
    <w:rsid w:val="761024BB"/>
    <w:rsid w:val="76183420"/>
    <w:rsid w:val="7630676D"/>
    <w:rsid w:val="763E6A68"/>
    <w:rsid w:val="764F0490"/>
    <w:rsid w:val="76591EC6"/>
    <w:rsid w:val="765C74B9"/>
    <w:rsid w:val="766F3739"/>
    <w:rsid w:val="76751ABE"/>
    <w:rsid w:val="76BA0E58"/>
    <w:rsid w:val="76C240A7"/>
    <w:rsid w:val="76CE33B8"/>
    <w:rsid w:val="76D637B8"/>
    <w:rsid w:val="76DA416A"/>
    <w:rsid w:val="76F229C2"/>
    <w:rsid w:val="77096395"/>
    <w:rsid w:val="770E33B0"/>
    <w:rsid w:val="771D13E7"/>
    <w:rsid w:val="77336515"/>
    <w:rsid w:val="774B7D02"/>
    <w:rsid w:val="775246B7"/>
    <w:rsid w:val="776D5ECB"/>
    <w:rsid w:val="77705C44"/>
    <w:rsid w:val="7772528F"/>
    <w:rsid w:val="77BA09E4"/>
    <w:rsid w:val="77DC4DFE"/>
    <w:rsid w:val="780A719E"/>
    <w:rsid w:val="781E69D1"/>
    <w:rsid w:val="78395DAD"/>
    <w:rsid w:val="78914753"/>
    <w:rsid w:val="78957D19"/>
    <w:rsid w:val="78B90C9C"/>
    <w:rsid w:val="78B95140"/>
    <w:rsid w:val="78BD30E4"/>
    <w:rsid w:val="78E81581"/>
    <w:rsid w:val="7901747F"/>
    <w:rsid w:val="7908420F"/>
    <w:rsid w:val="79720EA4"/>
    <w:rsid w:val="79781D2E"/>
    <w:rsid w:val="798E4CA2"/>
    <w:rsid w:val="79AD7444"/>
    <w:rsid w:val="79C36276"/>
    <w:rsid w:val="79E32474"/>
    <w:rsid w:val="7A0348C4"/>
    <w:rsid w:val="7A0B6B44"/>
    <w:rsid w:val="7A263B6B"/>
    <w:rsid w:val="7A2B5BC9"/>
    <w:rsid w:val="7A3C7DD6"/>
    <w:rsid w:val="7A454EDD"/>
    <w:rsid w:val="7A650681"/>
    <w:rsid w:val="7A7A34B3"/>
    <w:rsid w:val="7AA1584C"/>
    <w:rsid w:val="7AD87333"/>
    <w:rsid w:val="7AEF309B"/>
    <w:rsid w:val="7AF46346"/>
    <w:rsid w:val="7AF53DCD"/>
    <w:rsid w:val="7B0F5EBF"/>
    <w:rsid w:val="7B130FB9"/>
    <w:rsid w:val="7B324450"/>
    <w:rsid w:val="7B4F1915"/>
    <w:rsid w:val="7B5A4FB8"/>
    <w:rsid w:val="7B5B0730"/>
    <w:rsid w:val="7B656EB9"/>
    <w:rsid w:val="7B705F89"/>
    <w:rsid w:val="7BD32BE2"/>
    <w:rsid w:val="7BD71E38"/>
    <w:rsid w:val="7BD826EA"/>
    <w:rsid w:val="7BDF6C6B"/>
    <w:rsid w:val="7BE84708"/>
    <w:rsid w:val="7BEE62DE"/>
    <w:rsid w:val="7BF64EDE"/>
    <w:rsid w:val="7C09018C"/>
    <w:rsid w:val="7C400C1E"/>
    <w:rsid w:val="7C4128C5"/>
    <w:rsid w:val="7C75137E"/>
    <w:rsid w:val="7CBE0F77"/>
    <w:rsid w:val="7CF8403B"/>
    <w:rsid w:val="7D0C419B"/>
    <w:rsid w:val="7D181A6A"/>
    <w:rsid w:val="7D3D633F"/>
    <w:rsid w:val="7D42382D"/>
    <w:rsid w:val="7D513B99"/>
    <w:rsid w:val="7D537911"/>
    <w:rsid w:val="7D80675E"/>
    <w:rsid w:val="7D8F476B"/>
    <w:rsid w:val="7D951CD7"/>
    <w:rsid w:val="7DA03048"/>
    <w:rsid w:val="7DA37C8F"/>
    <w:rsid w:val="7DCF62C2"/>
    <w:rsid w:val="7DD11708"/>
    <w:rsid w:val="7DEE4A4F"/>
    <w:rsid w:val="7E036801"/>
    <w:rsid w:val="7E1339DF"/>
    <w:rsid w:val="7E171E3C"/>
    <w:rsid w:val="7E2412AD"/>
    <w:rsid w:val="7E3358F5"/>
    <w:rsid w:val="7E402F77"/>
    <w:rsid w:val="7E6A4D2C"/>
    <w:rsid w:val="7E8827C0"/>
    <w:rsid w:val="7EAE6230"/>
    <w:rsid w:val="7EBD579E"/>
    <w:rsid w:val="7EC167BD"/>
    <w:rsid w:val="7ECA3C03"/>
    <w:rsid w:val="7ED14F91"/>
    <w:rsid w:val="7EFE4FFA"/>
    <w:rsid w:val="7F0E3631"/>
    <w:rsid w:val="7F272D9E"/>
    <w:rsid w:val="7F823E73"/>
    <w:rsid w:val="7F961332"/>
    <w:rsid w:val="7FA206DC"/>
    <w:rsid w:val="7FCF6F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nhideWhenUsed="0" w:uiPriority="99" w:semiHidden="0" w:name="heading 7"/>
    <w:lsdException w:qFormat="1" w:unhideWhenUsed="0" w:uiPriority="99" w:semiHidden="0" w:name="heading 8"/>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qFormat="1" w:unhideWhenUsed="0" w:uiPriority="99" w:name="toc 6"/>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uiPriority="99"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9"/>
    <w:pPr>
      <w:keepNext/>
      <w:keepLines/>
      <w:spacing w:before="340" w:after="330" w:line="578" w:lineRule="auto"/>
      <w:jc w:val="center"/>
      <w:outlineLvl w:val="0"/>
    </w:pPr>
    <w:rPr>
      <w:b/>
      <w:bCs/>
      <w:kern w:val="44"/>
      <w:sz w:val="36"/>
      <w:szCs w:val="44"/>
    </w:rPr>
  </w:style>
  <w:style w:type="paragraph" w:styleId="3">
    <w:name w:val="heading 2"/>
    <w:basedOn w:val="1"/>
    <w:next w:val="1"/>
    <w:link w:val="4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43"/>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7"/>
    <w:link w:val="44"/>
    <w:qFormat/>
    <w:uiPriority w:val="99"/>
    <w:pPr>
      <w:keepNext/>
      <w:keepLines/>
      <w:spacing w:before="280" w:after="290" w:line="376" w:lineRule="auto"/>
      <w:outlineLvl w:val="4"/>
    </w:pPr>
    <w:rPr>
      <w:b/>
      <w:bCs/>
      <w:sz w:val="28"/>
      <w:szCs w:val="28"/>
    </w:rPr>
  </w:style>
  <w:style w:type="paragraph" w:styleId="8">
    <w:name w:val="heading 7"/>
    <w:basedOn w:val="1"/>
    <w:next w:val="1"/>
    <w:link w:val="45"/>
    <w:qFormat/>
    <w:uiPriority w:val="99"/>
    <w:pPr>
      <w:keepNext/>
      <w:keepLines/>
      <w:spacing w:before="240" w:after="64" w:line="320" w:lineRule="auto"/>
      <w:outlineLvl w:val="6"/>
    </w:pPr>
    <w:rPr>
      <w:b/>
      <w:bCs/>
      <w:sz w:val="24"/>
    </w:rPr>
  </w:style>
  <w:style w:type="paragraph" w:styleId="9">
    <w:name w:val="heading 8"/>
    <w:basedOn w:val="1"/>
    <w:next w:val="1"/>
    <w:link w:val="46"/>
    <w:qFormat/>
    <w:uiPriority w:val="99"/>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0">
    <w:name w:val="index 8"/>
    <w:basedOn w:val="1"/>
    <w:next w:val="1"/>
    <w:qFormat/>
    <w:uiPriority w:val="99"/>
    <w:pPr>
      <w:ind w:left="2940"/>
    </w:pPr>
  </w:style>
  <w:style w:type="paragraph" w:styleId="11">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2">
    <w:name w:val="caption"/>
    <w:basedOn w:val="1"/>
    <w:next w:val="1"/>
    <w:qFormat/>
    <w:uiPriority w:val="99"/>
    <w:pPr>
      <w:spacing w:before="152" w:after="160"/>
    </w:pPr>
    <w:rPr>
      <w:rFonts w:ascii="Arial" w:hAnsi="Arial" w:eastAsia="黑体" w:cs="Arial"/>
      <w:sz w:val="20"/>
      <w:szCs w:val="20"/>
    </w:rPr>
  </w:style>
  <w:style w:type="paragraph" w:styleId="13">
    <w:name w:val="annotation text"/>
    <w:basedOn w:val="1"/>
    <w:link w:val="47"/>
    <w:qFormat/>
    <w:uiPriority w:val="99"/>
    <w:pPr>
      <w:jc w:val="left"/>
    </w:pPr>
  </w:style>
  <w:style w:type="paragraph" w:styleId="14">
    <w:name w:val="Body Text 3"/>
    <w:basedOn w:val="1"/>
    <w:link w:val="48"/>
    <w:qFormat/>
    <w:uiPriority w:val="99"/>
    <w:pPr>
      <w:spacing w:after="120"/>
    </w:pPr>
    <w:rPr>
      <w:sz w:val="16"/>
      <w:szCs w:val="16"/>
    </w:rPr>
  </w:style>
  <w:style w:type="paragraph" w:styleId="15">
    <w:name w:val="Body Text"/>
    <w:basedOn w:val="1"/>
    <w:link w:val="49"/>
    <w:qFormat/>
    <w:uiPriority w:val="99"/>
    <w:pPr>
      <w:spacing w:after="120"/>
    </w:pPr>
  </w:style>
  <w:style w:type="paragraph" w:styleId="16">
    <w:name w:val="Body Text Indent"/>
    <w:basedOn w:val="1"/>
    <w:link w:val="51"/>
    <w:qFormat/>
    <w:uiPriority w:val="99"/>
    <w:pPr>
      <w:ind w:firstLine="830" w:firstLineChars="352"/>
    </w:pPr>
    <w:rPr>
      <w:rFonts w:ascii="仿宋_GB2312" w:eastAsia="仿宋_GB2312"/>
      <w:kern w:val="0"/>
      <w:sz w:val="32"/>
      <w:szCs w:val="20"/>
    </w:rPr>
  </w:style>
  <w:style w:type="paragraph" w:styleId="17">
    <w:name w:val="List 2"/>
    <w:basedOn w:val="1"/>
    <w:qFormat/>
    <w:uiPriority w:val="99"/>
    <w:pPr>
      <w:ind w:left="100" w:leftChars="200" w:hanging="200" w:hangingChars="200"/>
      <w:contextualSpacing/>
    </w:pPr>
  </w:style>
  <w:style w:type="paragraph" w:styleId="18">
    <w:name w:val="Block Text"/>
    <w:basedOn w:val="1"/>
    <w:qFormat/>
    <w:locked/>
    <w:uiPriority w:val="99"/>
    <w:pPr>
      <w:adjustRightInd w:val="0"/>
      <w:ind w:left="420" w:right="33"/>
      <w:jc w:val="left"/>
      <w:textAlignment w:val="baseline"/>
    </w:pPr>
    <w:rPr>
      <w:kern w:val="0"/>
      <w:szCs w:val="20"/>
    </w:rPr>
  </w:style>
  <w:style w:type="paragraph" w:styleId="19">
    <w:name w:val="Plain Text"/>
    <w:basedOn w:val="1"/>
    <w:next w:val="1"/>
    <w:link w:val="52"/>
    <w:qFormat/>
    <w:uiPriority w:val="99"/>
    <w:rPr>
      <w:rFonts w:ascii="宋体" w:hAnsi="Courier New"/>
      <w:kern w:val="0"/>
      <w:sz w:val="20"/>
      <w:szCs w:val="21"/>
    </w:rPr>
  </w:style>
  <w:style w:type="paragraph" w:styleId="20">
    <w:name w:val="Date"/>
    <w:basedOn w:val="1"/>
    <w:next w:val="1"/>
    <w:link w:val="53"/>
    <w:qFormat/>
    <w:uiPriority w:val="99"/>
    <w:pPr>
      <w:ind w:left="100" w:leftChars="2500"/>
    </w:pPr>
  </w:style>
  <w:style w:type="paragraph" w:styleId="21">
    <w:name w:val="Balloon Text"/>
    <w:basedOn w:val="1"/>
    <w:link w:val="54"/>
    <w:semiHidden/>
    <w:qFormat/>
    <w:uiPriority w:val="99"/>
    <w:rPr>
      <w:sz w:val="18"/>
      <w:szCs w:val="18"/>
    </w:rPr>
  </w:style>
  <w:style w:type="paragraph" w:styleId="22">
    <w:name w:val="footer"/>
    <w:basedOn w:val="1"/>
    <w:link w:val="55"/>
    <w:qFormat/>
    <w:uiPriority w:val="99"/>
    <w:pPr>
      <w:tabs>
        <w:tab w:val="center" w:pos="4153"/>
        <w:tab w:val="right" w:pos="8306"/>
      </w:tabs>
      <w:snapToGrid w:val="0"/>
      <w:jc w:val="left"/>
    </w:pPr>
    <w:rPr>
      <w:kern w:val="0"/>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99"/>
  </w:style>
  <w:style w:type="paragraph" w:styleId="25">
    <w:name w:val="toc 6"/>
    <w:basedOn w:val="1"/>
    <w:next w:val="1"/>
    <w:semiHidden/>
    <w:qFormat/>
    <w:uiPriority w:val="99"/>
    <w:pPr>
      <w:ind w:left="2100" w:leftChars="1000"/>
    </w:pPr>
  </w:style>
  <w:style w:type="paragraph" w:styleId="26">
    <w:name w:val="toc 2"/>
    <w:basedOn w:val="1"/>
    <w:next w:val="1"/>
    <w:qFormat/>
    <w:uiPriority w:val="99"/>
    <w:pPr>
      <w:tabs>
        <w:tab w:val="right" w:leader="dot" w:pos="8296"/>
      </w:tabs>
      <w:ind w:left="420" w:leftChars="200"/>
    </w:pPr>
  </w:style>
  <w:style w:type="paragraph" w:styleId="27">
    <w:name w:val="Body Text 2"/>
    <w:basedOn w:val="1"/>
    <w:next w:val="15"/>
    <w:link w:val="57"/>
    <w:qFormat/>
    <w:uiPriority w:val="99"/>
    <w:pPr>
      <w:spacing w:line="480" w:lineRule="auto"/>
    </w:pPr>
    <w:rPr>
      <w:kern w:val="0"/>
      <w:sz w:val="20"/>
    </w:rPr>
  </w:style>
  <w:style w:type="paragraph" w:styleId="28">
    <w:name w:val="Normal (Web)"/>
    <w:basedOn w:val="1"/>
    <w:qFormat/>
    <w:uiPriority w:val="99"/>
    <w:rPr>
      <w:rFonts w:ascii="Calibri" w:hAnsi="Calibri"/>
      <w:kern w:val="0"/>
      <w:sz w:val="24"/>
    </w:rPr>
  </w:style>
  <w:style w:type="paragraph" w:styleId="29">
    <w:name w:val="Title"/>
    <w:basedOn w:val="1"/>
    <w:next w:val="1"/>
    <w:link w:val="58"/>
    <w:qFormat/>
    <w:uiPriority w:val="99"/>
    <w:pPr>
      <w:spacing w:before="60" w:after="120" w:line="560" w:lineRule="exact"/>
      <w:jc w:val="center"/>
      <w:outlineLvl w:val="0"/>
    </w:pPr>
    <w:rPr>
      <w:rFonts w:eastAsia="方正小标宋简体"/>
      <w:bCs/>
      <w:sz w:val="44"/>
      <w:szCs w:val="32"/>
    </w:rPr>
  </w:style>
  <w:style w:type="paragraph" w:styleId="30">
    <w:name w:val="annotation subject"/>
    <w:basedOn w:val="13"/>
    <w:next w:val="13"/>
    <w:link w:val="59"/>
    <w:qFormat/>
    <w:uiPriority w:val="99"/>
    <w:rPr>
      <w:b/>
      <w:bCs/>
    </w:rPr>
  </w:style>
  <w:style w:type="paragraph" w:styleId="31">
    <w:name w:val="Body Text First Indent"/>
    <w:basedOn w:val="15"/>
    <w:next w:val="25"/>
    <w:link w:val="50"/>
    <w:qFormat/>
    <w:uiPriority w:val="99"/>
    <w:pPr>
      <w:ind w:firstLine="420" w:firstLineChars="100"/>
    </w:pPr>
  </w:style>
  <w:style w:type="paragraph" w:styleId="32">
    <w:name w:val="Body Text First Indent 2"/>
    <w:basedOn w:val="16"/>
    <w:link w:val="60"/>
    <w:qFormat/>
    <w:uiPriority w:val="99"/>
    <w:pPr>
      <w:spacing w:line="360" w:lineRule="auto"/>
      <w:ind w:firstLine="0"/>
    </w:pPr>
    <w:rPr>
      <w:sz w:val="24"/>
    </w:rPr>
  </w:style>
  <w:style w:type="table" w:styleId="34">
    <w:name w:val="Table Grid"/>
    <w:basedOn w:val="3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locked/>
    <w:uiPriority w:val="22"/>
    <w:rPr>
      <w:b/>
    </w:rPr>
  </w:style>
  <w:style w:type="character" w:styleId="37">
    <w:name w:val="endnote reference"/>
    <w:basedOn w:val="35"/>
    <w:qFormat/>
    <w:uiPriority w:val="99"/>
    <w:rPr>
      <w:rFonts w:cs="Times New Roman"/>
      <w:vertAlign w:val="superscript"/>
    </w:rPr>
  </w:style>
  <w:style w:type="character" w:styleId="38">
    <w:name w:val="Hyperlink"/>
    <w:basedOn w:val="35"/>
    <w:qFormat/>
    <w:uiPriority w:val="99"/>
    <w:rPr>
      <w:rFonts w:cs="Times New Roman"/>
      <w:color w:val="0000FF"/>
      <w:u w:val="single"/>
    </w:rPr>
  </w:style>
  <w:style w:type="character" w:styleId="39">
    <w:name w:val="annotation reference"/>
    <w:basedOn w:val="35"/>
    <w:qFormat/>
    <w:uiPriority w:val="99"/>
    <w:rPr>
      <w:rFonts w:cs="Times New Roman"/>
      <w:sz w:val="21"/>
    </w:rPr>
  </w:style>
  <w:style w:type="character" w:customStyle="1" w:styleId="40">
    <w:name w:val="标题 1 Char"/>
    <w:basedOn w:val="35"/>
    <w:link w:val="2"/>
    <w:qFormat/>
    <w:locked/>
    <w:uiPriority w:val="99"/>
    <w:rPr>
      <w:rFonts w:ascii="Times New Roman" w:hAnsi="Times New Roman" w:eastAsia="宋体"/>
      <w:b/>
      <w:kern w:val="44"/>
      <w:sz w:val="44"/>
    </w:rPr>
  </w:style>
  <w:style w:type="character" w:customStyle="1" w:styleId="41">
    <w:name w:val="标题 2 Char1"/>
    <w:basedOn w:val="35"/>
    <w:link w:val="3"/>
    <w:qFormat/>
    <w:locked/>
    <w:uiPriority w:val="99"/>
    <w:rPr>
      <w:rFonts w:ascii="Cambria" w:hAnsi="Cambria" w:eastAsia="宋体"/>
      <w:b/>
      <w:kern w:val="2"/>
      <w:sz w:val="32"/>
    </w:rPr>
  </w:style>
  <w:style w:type="character" w:customStyle="1" w:styleId="42">
    <w:name w:val="标题 3 Char"/>
    <w:basedOn w:val="35"/>
    <w:link w:val="4"/>
    <w:semiHidden/>
    <w:qFormat/>
    <w:uiPriority w:val="9"/>
    <w:rPr>
      <w:b/>
      <w:bCs/>
      <w:sz w:val="32"/>
      <w:szCs w:val="32"/>
    </w:rPr>
  </w:style>
  <w:style w:type="character" w:customStyle="1" w:styleId="43">
    <w:name w:val="标题 4 Char"/>
    <w:basedOn w:val="35"/>
    <w:link w:val="5"/>
    <w:semiHidden/>
    <w:qFormat/>
    <w:uiPriority w:val="9"/>
    <w:rPr>
      <w:rFonts w:asciiTheme="majorHAnsi" w:hAnsiTheme="majorHAnsi" w:eastAsiaTheme="majorEastAsia" w:cstheme="majorBidi"/>
      <w:b/>
      <w:bCs/>
      <w:sz w:val="28"/>
      <w:szCs w:val="28"/>
    </w:rPr>
  </w:style>
  <w:style w:type="character" w:customStyle="1" w:styleId="44">
    <w:name w:val="标题 5 Char"/>
    <w:basedOn w:val="35"/>
    <w:link w:val="6"/>
    <w:semiHidden/>
    <w:qFormat/>
    <w:locked/>
    <w:uiPriority w:val="99"/>
    <w:rPr>
      <w:rFonts w:ascii="Times New Roman" w:hAnsi="Times New Roman"/>
      <w:b/>
      <w:kern w:val="2"/>
      <w:sz w:val="28"/>
    </w:rPr>
  </w:style>
  <w:style w:type="character" w:customStyle="1" w:styleId="45">
    <w:name w:val="标题 7 Char"/>
    <w:basedOn w:val="35"/>
    <w:link w:val="8"/>
    <w:qFormat/>
    <w:locked/>
    <w:uiPriority w:val="99"/>
    <w:rPr>
      <w:b/>
      <w:kern w:val="2"/>
      <w:sz w:val="24"/>
    </w:rPr>
  </w:style>
  <w:style w:type="character" w:customStyle="1" w:styleId="46">
    <w:name w:val="标题 8 Char1"/>
    <w:basedOn w:val="35"/>
    <w:link w:val="9"/>
    <w:semiHidden/>
    <w:qFormat/>
    <w:locked/>
    <w:uiPriority w:val="99"/>
    <w:rPr>
      <w:rFonts w:ascii="等线 Light" w:hAnsi="等线 Light" w:eastAsia="等线 Light"/>
      <w:kern w:val="2"/>
      <w:sz w:val="24"/>
    </w:rPr>
  </w:style>
  <w:style w:type="character" w:customStyle="1" w:styleId="47">
    <w:name w:val="批注文字 Char1"/>
    <w:basedOn w:val="35"/>
    <w:link w:val="13"/>
    <w:qFormat/>
    <w:locked/>
    <w:uiPriority w:val="99"/>
    <w:rPr>
      <w:rFonts w:ascii="Times New Roman" w:hAnsi="Times New Roman"/>
      <w:kern w:val="2"/>
      <w:sz w:val="24"/>
    </w:rPr>
  </w:style>
  <w:style w:type="character" w:customStyle="1" w:styleId="48">
    <w:name w:val="正文文本 3 Char"/>
    <w:basedOn w:val="35"/>
    <w:link w:val="14"/>
    <w:semiHidden/>
    <w:qFormat/>
    <w:locked/>
    <w:uiPriority w:val="99"/>
    <w:rPr>
      <w:kern w:val="2"/>
      <w:sz w:val="16"/>
    </w:rPr>
  </w:style>
  <w:style w:type="character" w:customStyle="1" w:styleId="49">
    <w:name w:val="正文文本 Char1"/>
    <w:basedOn w:val="35"/>
    <w:link w:val="15"/>
    <w:qFormat/>
    <w:locked/>
    <w:uiPriority w:val="99"/>
    <w:rPr>
      <w:rFonts w:ascii="Times New Roman" w:hAnsi="Times New Roman"/>
      <w:kern w:val="2"/>
      <w:sz w:val="24"/>
    </w:rPr>
  </w:style>
  <w:style w:type="character" w:customStyle="1" w:styleId="50">
    <w:name w:val="正文首行缩进 Char"/>
    <w:basedOn w:val="49"/>
    <w:link w:val="31"/>
    <w:semiHidden/>
    <w:qFormat/>
    <w:uiPriority w:val="99"/>
    <w:rPr>
      <w:szCs w:val="24"/>
    </w:rPr>
  </w:style>
  <w:style w:type="character" w:customStyle="1" w:styleId="51">
    <w:name w:val="正文文本缩进 Char"/>
    <w:basedOn w:val="35"/>
    <w:link w:val="16"/>
    <w:qFormat/>
    <w:locked/>
    <w:uiPriority w:val="99"/>
    <w:rPr>
      <w:rFonts w:ascii="仿宋_GB2312" w:hAnsi="Times New Roman" w:eastAsia="仿宋_GB2312"/>
      <w:sz w:val="20"/>
    </w:rPr>
  </w:style>
  <w:style w:type="character" w:customStyle="1" w:styleId="52">
    <w:name w:val="纯文本 Char1"/>
    <w:basedOn w:val="35"/>
    <w:link w:val="19"/>
    <w:qFormat/>
    <w:locked/>
    <w:uiPriority w:val="99"/>
    <w:rPr>
      <w:rFonts w:ascii="宋体" w:hAnsi="Courier New" w:eastAsia="宋体"/>
      <w:sz w:val="21"/>
    </w:rPr>
  </w:style>
  <w:style w:type="character" w:customStyle="1" w:styleId="53">
    <w:name w:val="日期 Char"/>
    <w:basedOn w:val="35"/>
    <w:link w:val="20"/>
    <w:semiHidden/>
    <w:qFormat/>
    <w:locked/>
    <w:uiPriority w:val="99"/>
    <w:rPr>
      <w:rFonts w:ascii="Times New Roman" w:hAnsi="Times New Roman"/>
      <w:kern w:val="2"/>
      <w:sz w:val="24"/>
    </w:rPr>
  </w:style>
  <w:style w:type="character" w:customStyle="1" w:styleId="54">
    <w:name w:val="批注框文本 Char"/>
    <w:basedOn w:val="35"/>
    <w:link w:val="21"/>
    <w:semiHidden/>
    <w:qFormat/>
    <w:uiPriority w:val="99"/>
    <w:rPr>
      <w:sz w:val="0"/>
      <w:szCs w:val="0"/>
    </w:rPr>
  </w:style>
  <w:style w:type="character" w:customStyle="1" w:styleId="55">
    <w:name w:val="页脚 Char"/>
    <w:basedOn w:val="35"/>
    <w:link w:val="22"/>
    <w:qFormat/>
    <w:locked/>
    <w:uiPriority w:val="99"/>
    <w:rPr>
      <w:sz w:val="18"/>
    </w:rPr>
  </w:style>
  <w:style w:type="character" w:customStyle="1" w:styleId="56">
    <w:name w:val="页眉 Char"/>
    <w:basedOn w:val="35"/>
    <w:link w:val="23"/>
    <w:qFormat/>
    <w:locked/>
    <w:uiPriority w:val="99"/>
    <w:rPr>
      <w:sz w:val="18"/>
    </w:rPr>
  </w:style>
  <w:style w:type="character" w:customStyle="1" w:styleId="57">
    <w:name w:val="正文文本 2 Char"/>
    <w:basedOn w:val="35"/>
    <w:link w:val="27"/>
    <w:semiHidden/>
    <w:qFormat/>
    <w:uiPriority w:val="99"/>
    <w:rPr>
      <w:szCs w:val="24"/>
    </w:rPr>
  </w:style>
  <w:style w:type="character" w:customStyle="1" w:styleId="58">
    <w:name w:val="标题 Char"/>
    <w:basedOn w:val="35"/>
    <w:link w:val="29"/>
    <w:qFormat/>
    <w:uiPriority w:val="10"/>
    <w:rPr>
      <w:rFonts w:asciiTheme="majorHAnsi" w:hAnsiTheme="majorHAnsi" w:cstheme="majorBidi"/>
      <w:b/>
      <w:bCs/>
      <w:sz w:val="32"/>
      <w:szCs w:val="32"/>
    </w:rPr>
  </w:style>
  <w:style w:type="character" w:customStyle="1" w:styleId="59">
    <w:name w:val="批注主题 Char"/>
    <w:basedOn w:val="47"/>
    <w:link w:val="30"/>
    <w:qFormat/>
    <w:locked/>
    <w:uiPriority w:val="99"/>
    <w:rPr>
      <w:b/>
    </w:rPr>
  </w:style>
  <w:style w:type="character" w:customStyle="1" w:styleId="60">
    <w:name w:val="正文首行缩进 2 Char"/>
    <w:basedOn w:val="51"/>
    <w:link w:val="32"/>
    <w:semiHidden/>
    <w:qFormat/>
    <w:uiPriority w:val="99"/>
    <w:rPr>
      <w:szCs w:val="24"/>
    </w:rPr>
  </w:style>
  <w:style w:type="paragraph" w:customStyle="1" w:styleId="61">
    <w:name w:val="目录 81"/>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customStyle="1" w:styleId="62">
    <w:name w:val="Default"/>
    <w:qFormat/>
    <w:uiPriority w:val="99"/>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63">
    <w:name w:val="表格文字"/>
    <w:basedOn w:val="1"/>
    <w:qFormat/>
    <w:uiPriority w:val="99"/>
    <w:pPr>
      <w:spacing w:before="25" w:after="25"/>
      <w:jc w:val="left"/>
    </w:pPr>
    <w:rPr>
      <w:bCs/>
      <w:spacing w:val="10"/>
      <w:kern w:val="0"/>
      <w:sz w:val="24"/>
    </w:rPr>
  </w:style>
  <w:style w:type="character" w:customStyle="1" w:styleId="64">
    <w:name w:val="标题 1 字符1"/>
    <w:qFormat/>
    <w:uiPriority w:val="99"/>
    <w:rPr>
      <w:b/>
      <w:kern w:val="44"/>
      <w:sz w:val="44"/>
    </w:rPr>
  </w:style>
  <w:style w:type="character" w:customStyle="1" w:styleId="65">
    <w:name w:val="textcontents"/>
    <w:qFormat/>
    <w:uiPriority w:val="99"/>
  </w:style>
  <w:style w:type="character" w:customStyle="1" w:styleId="66">
    <w:name w:val="批注文字 Char"/>
    <w:qFormat/>
    <w:uiPriority w:val="99"/>
    <w:rPr>
      <w:rFonts w:ascii="Times New Roman" w:hAnsi="Times New Roman"/>
      <w:kern w:val="2"/>
      <w:sz w:val="24"/>
    </w:rPr>
  </w:style>
  <w:style w:type="character" w:customStyle="1" w:styleId="67">
    <w:name w:val="纯文本 字符"/>
    <w:qFormat/>
    <w:uiPriority w:val="99"/>
    <w:rPr>
      <w:rFonts w:ascii="宋体" w:hAnsi="Courier New" w:eastAsia="宋体"/>
      <w:sz w:val="21"/>
    </w:rPr>
  </w:style>
  <w:style w:type="character" w:customStyle="1" w:styleId="68">
    <w:name w:val="纯文本 Char"/>
    <w:qFormat/>
    <w:uiPriority w:val="99"/>
    <w:rPr>
      <w:rFonts w:ascii="宋体" w:hAnsi="Courier New" w:eastAsia="宋体"/>
      <w:sz w:val="21"/>
    </w:rPr>
  </w:style>
  <w:style w:type="character" w:customStyle="1" w:styleId="69">
    <w:name w:val="纯文本 字符2"/>
    <w:qFormat/>
    <w:uiPriority w:val="99"/>
    <w:rPr>
      <w:rFonts w:ascii="宋体" w:hAnsi="Courier New" w:eastAsia="宋体"/>
      <w:sz w:val="21"/>
    </w:rPr>
  </w:style>
  <w:style w:type="character" w:customStyle="1" w:styleId="70">
    <w:name w:val="批注文字 字符1"/>
    <w:qFormat/>
    <w:uiPriority w:val="99"/>
    <w:rPr>
      <w:rFonts w:ascii="Times New Roman" w:hAnsi="Times New Roman"/>
      <w:kern w:val="2"/>
      <w:sz w:val="24"/>
    </w:rPr>
  </w:style>
  <w:style w:type="character" w:customStyle="1" w:styleId="71">
    <w:name w:val="正文文本 (26) + 间距 0 pt"/>
    <w:qFormat/>
    <w:uiPriority w:val="99"/>
    <w:rPr>
      <w:rFonts w:ascii="宋体" w:hAnsi="宋体" w:eastAsia="宋体"/>
      <w:color w:val="000000"/>
      <w:spacing w:val="0"/>
      <w:w w:val="100"/>
      <w:position w:val="0"/>
      <w:sz w:val="22"/>
      <w:u w:val="none"/>
      <w:lang w:val="zh-CN" w:eastAsia="zh-CN"/>
    </w:rPr>
  </w:style>
  <w:style w:type="character" w:customStyle="1" w:styleId="72">
    <w:name w:val="纯文本 字符1"/>
    <w:qFormat/>
    <w:uiPriority w:val="99"/>
    <w:rPr>
      <w:rFonts w:ascii="宋体" w:hAnsi="Courier New"/>
    </w:rPr>
  </w:style>
  <w:style w:type="character" w:customStyle="1" w:styleId="73">
    <w:name w:val="正文文本 Char"/>
    <w:qFormat/>
    <w:uiPriority w:val="99"/>
    <w:rPr>
      <w:rFonts w:ascii="Times New Roman" w:hAnsi="Times New Roman"/>
      <w:kern w:val="2"/>
      <w:sz w:val="24"/>
    </w:rPr>
  </w:style>
  <w:style w:type="character" w:customStyle="1" w:styleId="74">
    <w:name w:val="批注文字 字符"/>
    <w:qFormat/>
    <w:uiPriority w:val="99"/>
    <w:rPr>
      <w:rFonts w:ascii="Times New Roman" w:hAnsi="Times New Roman"/>
      <w:kern w:val="2"/>
      <w:sz w:val="24"/>
    </w:rPr>
  </w:style>
  <w:style w:type="character" w:customStyle="1" w:styleId="75">
    <w:name w:val="标题 2 Char"/>
    <w:qFormat/>
    <w:uiPriority w:val="99"/>
    <w:rPr>
      <w:rFonts w:ascii="Cambria" w:hAnsi="Cambria" w:eastAsia="宋体"/>
      <w:b/>
      <w:kern w:val="2"/>
      <w:sz w:val="32"/>
    </w:rPr>
  </w:style>
  <w:style w:type="character" w:customStyle="1" w:styleId="76">
    <w:name w:val="标题 8 Char"/>
    <w:qFormat/>
    <w:uiPriority w:val="99"/>
    <w:rPr>
      <w:rFonts w:ascii="Arial" w:hAnsi="Arial" w:eastAsia="黑体"/>
      <w:kern w:val="2"/>
      <w:sz w:val="24"/>
    </w:rPr>
  </w:style>
  <w:style w:type="character" w:customStyle="1" w:styleId="77">
    <w:name w:val="apple-style-span"/>
    <w:qFormat/>
    <w:uiPriority w:val="99"/>
  </w:style>
  <w:style w:type="paragraph" w:customStyle="1" w:styleId="78">
    <w:name w:val="默认段落字体 Para Char Char Char Char Char Char Char Char Char1 Char Char Char Char"/>
    <w:basedOn w:val="1"/>
    <w:qFormat/>
    <w:uiPriority w:val="99"/>
    <w:rPr>
      <w:rFonts w:ascii="Tahoma" w:hAnsi="Tahoma"/>
      <w:sz w:val="24"/>
      <w:szCs w:val="20"/>
    </w:rPr>
  </w:style>
  <w:style w:type="paragraph" w:customStyle="1" w:styleId="7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0">
    <w:name w:val="List Paragraph"/>
    <w:basedOn w:val="1"/>
    <w:qFormat/>
    <w:uiPriority w:val="99"/>
    <w:pPr>
      <w:ind w:firstLine="420" w:firstLineChars="200"/>
    </w:pPr>
  </w:style>
  <w:style w:type="paragraph" w:customStyle="1" w:styleId="81">
    <w:name w:val="Table Paragraph"/>
    <w:basedOn w:val="1"/>
    <w:qFormat/>
    <w:uiPriority w:val="99"/>
    <w:pPr>
      <w:jc w:val="left"/>
    </w:pPr>
    <w:rPr>
      <w:rFonts w:ascii="Calibri" w:hAnsi="Calibri"/>
      <w:kern w:val="0"/>
      <w:sz w:val="22"/>
      <w:szCs w:val="22"/>
      <w:lang w:eastAsia="en-US"/>
    </w:rPr>
  </w:style>
  <w:style w:type="character" w:customStyle="1" w:styleId="82">
    <w:name w:val="正文文本 字符"/>
    <w:qFormat/>
    <w:uiPriority w:val="99"/>
    <w:rPr>
      <w:rFonts w:ascii="Times New Roman" w:hAnsi="Times New Roman"/>
      <w:kern w:val="2"/>
      <w:sz w:val="24"/>
    </w:rPr>
  </w:style>
  <w:style w:type="character" w:customStyle="1" w:styleId="83">
    <w:name w:val="批注文字 Char2"/>
    <w:qFormat/>
    <w:uiPriority w:val="99"/>
    <w:rPr>
      <w:rFonts w:ascii="Times New Roman" w:hAnsi="Times New Roman"/>
      <w:kern w:val="2"/>
      <w:sz w:val="24"/>
    </w:rPr>
  </w:style>
  <w:style w:type="paragraph" w:customStyle="1" w:styleId="84">
    <w:name w:val="样式 正文缩进正文（首行缩进两字）首行缩进两字 + 首行缩进:  2 字符1"/>
    <w:basedOn w:val="7"/>
    <w:qFormat/>
    <w:uiPriority w:val="99"/>
    <w:pPr>
      <w:autoSpaceDE w:val="0"/>
      <w:autoSpaceDN w:val="0"/>
      <w:spacing w:beforeLines="50" w:afterLines="50" w:line="500" w:lineRule="exact"/>
      <w:ind w:firstLine="200"/>
      <w:jc w:val="left"/>
    </w:pPr>
    <w:rPr>
      <w:rFonts w:ascii="楷体_GB2312" w:eastAsia="楷体_GB2312"/>
      <w:color w:val="000000"/>
      <w:kern w:val="0"/>
      <w:sz w:val="28"/>
    </w:rPr>
  </w:style>
  <w:style w:type="paragraph" w:customStyle="1" w:styleId="85">
    <w:name w:val="列出段落3"/>
    <w:basedOn w:val="1"/>
    <w:qFormat/>
    <w:uiPriority w:val="99"/>
    <w:pPr>
      <w:widowControl/>
      <w:spacing w:line="400" w:lineRule="exact"/>
      <w:ind w:firstLine="420" w:firstLineChars="200"/>
      <w:jc w:val="left"/>
    </w:pPr>
  </w:style>
  <w:style w:type="paragraph" w:customStyle="1" w:styleId="86">
    <w:name w:val="正文文本2"/>
    <w:basedOn w:val="1"/>
    <w:qFormat/>
    <w:uiPriority w:val="99"/>
    <w:pPr>
      <w:shd w:val="clear" w:color="auto" w:fill="FFFFFF"/>
      <w:spacing w:after="300" w:line="240" w:lineRule="atLeast"/>
    </w:pPr>
    <w:rPr>
      <w:rFonts w:ascii="MingLiUfalt" w:hAnsi="MingLiUfalt" w:eastAsia="MingLiUfalt"/>
      <w:color w:val="000000"/>
      <w:kern w:val="0"/>
      <w:sz w:val="22"/>
      <w:szCs w:val="22"/>
      <w:shd w:val="clear" w:color="auto" w:fill="FFFFFF"/>
      <w:lang w:val="zh-TW"/>
    </w:rPr>
  </w:style>
  <w:style w:type="paragraph" w:customStyle="1" w:styleId="87">
    <w:name w:val="列出段落1"/>
    <w:qFormat/>
    <w:uiPriority w:val="99"/>
    <w:pPr>
      <w:ind w:firstLine="200" w:firstLineChars="200"/>
    </w:pPr>
    <w:rPr>
      <w:rFonts w:ascii="Calibri" w:hAnsi="Calibri" w:eastAsia="宋体" w:cs="Times New Roman"/>
      <w:kern w:val="2"/>
      <w:sz w:val="21"/>
      <w:szCs w:val="22"/>
      <w:lang w:val="en-US" w:eastAsia="zh-CN" w:bidi="ar-SA"/>
    </w:rPr>
  </w:style>
  <w:style w:type="table" w:customStyle="1" w:styleId="88">
    <w:name w:val="Table Normal1"/>
    <w:qFormat/>
    <w:uiPriority w:val="99"/>
    <w:tblPr>
      <w:tblCellMar>
        <w:top w:w="0" w:type="dxa"/>
        <w:left w:w="0" w:type="dxa"/>
        <w:bottom w:w="0" w:type="dxa"/>
        <w:right w:w="0" w:type="dxa"/>
      </w:tblCellMar>
    </w:tblPr>
  </w:style>
  <w:style w:type="paragraph" w:customStyle="1" w:styleId="89">
    <w:name w:val="正文文本首行缩进1"/>
    <w:basedOn w:val="15"/>
    <w:qFormat/>
    <w:uiPriority w:val="99"/>
    <w:pPr>
      <w:ind w:firstLine="100" w:firstLineChars="100"/>
    </w:pPr>
  </w:style>
  <w:style w:type="paragraph" w:customStyle="1" w:styleId="90">
    <w:name w:val="Table Text"/>
    <w:basedOn w:val="1"/>
    <w:semiHidden/>
    <w:qFormat/>
    <w:uiPriority w:val="99"/>
    <w:rPr>
      <w:rFonts w:ascii="宋体" w:hAnsi="宋体" w:cs="宋体"/>
      <w:sz w:val="24"/>
      <w:lang w:eastAsia="en-US"/>
    </w:rPr>
  </w:style>
  <w:style w:type="table" w:customStyle="1" w:styleId="91">
    <w:name w:val="网格型1"/>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正文缩进2"/>
    <w:qFormat/>
    <w:uiPriority w:val="99"/>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93">
    <w:name w:val="正文@中勤招标"/>
    <w:basedOn w:val="1"/>
    <w:qFormat/>
    <w:uiPriority w:val="99"/>
    <w:pPr>
      <w:adjustRightInd w:val="0"/>
      <w:spacing w:line="360" w:lineRule="auto"/>
      <w:ind w:firstLine="200" w:firstLineChars="200"/>
    </w:pPr>
    <w:rPr>
      <w:rFonts w:ascii="宋体" w:hAnsi="宋体"/>
      <w:sz w:val="24"/>
      <w:szCs w:val="21"/>
    </w:rPr>
  </w:style>
  <w:style w:type="paragraph" w:customStyle="1" w:styleId="94">
    <w:name w:val="小标题"/>
    <w:basedOn w:val="1"/>
    <w:qFormat/>
    <w:uiPriority w:val="99"/>
    <w:pPr>
      <w:numPr>
        <w:ilvl w:val="0"/>
        <w:numId w:val="1"/>
      </w:numPr>
      <w:spacing w:line="360" w:lineRule="auto"/>
    </w:pPr>
    <w:rPr>
      <w:sz w:val="24"/>
    </w:rPr>
  </w:style>
  <w:style w:type="paragraph" w:customStyle="1" w:styleId="95">
    <w:name w:val="BodyText"/>
    <w:basedOn w:val="1"/>
    <w:qFormat/>
    <w:uiPriority w:val="99"/>
    <w:pPr>
      <w:spacing w:line="380" w:lineRule="exact"/>
      <w:textAlignment w:val="baseline"/>
    </w:pPr>
    <w:rPr>
      <w:kern w:val="0"/>
      <w:sz w:val="24"/>
    </w:rPr>
  </w:style>
  <w:style w:type="character" w:customStyle="1" w:styleId="96">
    <w:name w:val="font11"/>
    <w:basedOn w:val="35"/>
    <w:qFormat/>
    <w:uiPriority w:val="99"/>
    <w:rPr>
      <w:rFonts w:ascii="宋体" w:hAnsi="宋体" w:eastAsia="宋体" w:cs="宋体"/>
      <w:b/>
      <w:bCs/>
      <w:color w:val="000000"/>
      <w:sz w:val="20"/>
      <w:szCs w:val="20"/>
      <w:u w:val="none"/>
    </w:rPr>
  </w:style>
  <w:style w:type="character" w:customStyle="1" w:styleId="97">
    <w:name w:val="font21"/>
    <w:basedOn w:val="35"/>
    <w:qFormat/>
    <w:uiPriority w:val="99"/>
    <w:rPr>
      <w:rFonts w:ascii="宋体" w:hAnsi="宋体" w:eastAsia="宋体" w:cs="宋体"/>
      <w:color w:val="000000"/>
      <w:sz w:val="20"/>
      <w:szCs w:val="20"/>
      <w:u w:val="none"/>
    </w:rPr>
  </w:style>
  <w:style w:type="character" w:customStyle="1" w:styleId="98">
    <w:name w:val="font51"/>
    <w:basedOn w:val="35"/>
    <w:qFormat/>
    <w:uiPriority w:val="99"/>
    <w:rPr>
      <w:rFonts w:ascii="Times New Roman" w:hAnsi="Times New Roman" w:cs="Times New Roman"/>
      <w:color w:val="000000"/>
      <w:sz w:val="20"/>
      <w:szCs w:val="20"/>
      <w:u w:val="none"/>
    </w:rPr>
  </w:style>
  <w:style w:type="character" w:customStyle="1" w:styleId="99">
    <w:name w:val="font41"/>
    <w:basedOn w:val="35"/>
    <w:qFormat/>
    <w:uiPriority w:val="99"/>
    <w:rPr>
      <w:rFonts w:ascii="宋体" w:hAnsi="宋体" w:eastAsia="宋体" w:cs="宋体"/>
      <w:color w:val="000000"/>
      <w:sz w:val="20"/>
      <w:szCs w:val="20"/>
      <w:u w:val="none"/>
    </w:rPr>
  </w:style>
  <w:style w:type="paragraph" w:customStyle="1" w:styleId="100">
    <w:name w:val="Heading 4"/>
    <w:basedOn w:val="1"/>
    <w:qFormat/>
    <w:uiPriority w:val="1"/>
    <w:pPr>
      <w:ind w:left="232"/>
      <w:outlineLvl w:val="3"/>
    </w:pPr>
    <w:rPr>
      <w:b/>
      <w:bCs/>
      <w:szCs w:val="21"/>
    </w:rPr>
  </w:style>
  <w:style w:type="character" w:customStyle="1" w:styleId="101">
    <w:name w:val="NormalCharacter"/>
    <w:qFormat/>
    <w:uiPriority w:val="0"/>
  </w:style>
  <w:style w:type="table" w:customStyle="1" w:styleId="10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广西国泰招标</Company>
  <Pages>69</Pages>
  <Words>16948</Words>
  <Characters>18276</Characters>
  <Lines>428</Lines>
  <Paragraphs>120</Paragraphs>
  <TotalTime>16</TotalTime>
  <ScaleCrop>false</ScaleCrop>
  <LinksUpToDate>false</LinksUpToDate>
  <CharactersWithSpaces>18637</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2025-04-15T08:30:00Z</dcterms:created>
  <dc:creator>广西国泰招标</dc:creator>
  <cp:lastModifiedBy>欧阳在线</cp:lastModifiedBy>
  <cp:lastPrinted>2025-06-27T02:54:00Z</cp:lastPrinted>
  <dcterms:modified xsi:type="dcterms:W3CDTF">2025-09-29T12:01:13Z</dcterms:modified>
  <dc:title>竞争性谈判文件规范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632E59DB0E5E46529DC9B7199D84109C_13</vt:lpwstr>
  </property>
  <property fmtid="{D5CDD505-2E9C-101B-9397-08002B2CF9AE}" pid="4" name="KSOTemplateDocerSaveRecord">
    <vt:lpwstr>eyJoZGlkIjoiMjhkMThkOGYwZGZlODY3MzVhNDkyMTVhYzJkNDQxMWMiLCJ1c2VySWQiOiI2MDk4OTI4OTgifQ==</vt:lpwstr>
  </property>
</Properties>
</file>