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73EA">
      <w:pPr>
        <w:pStyle w:val="20"/>
        <w:jc w:val="center"/>
        <w:rPr>
          <w:rFonts w:hAnsi="宋体" w:cs="宋体"/>
          <w:color w:val="auto"/>
          <w:spacing w:val="30"/>
          <w:kern w:val="52"/>
          <w:sz w:val="64"/>
          <w:szCs w:val="64"/>
          <w:highlight w:val="none"/>
        </w:rPr>
      </w:pPr>
      <w:r>
        <w:rPr>
          <w:rFonts w:hAnsi="宋体" w:cs="宋体"/>
          <w:color w:val="auto"/>
          <w:highlight w:val="none"/>
        </w:rPr>
        <w:drawing>
          <wp:inline distT="0" distB="0" distL="114300" distR="114300">
            <wp:extent cx="1028700" cy="962025"/>
            <wp:effectExtent l="0" t="0" r="0" b="952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a:stretch>
                      <a:fillRect/>
                    </a:stretch>
                  </pic:blipFill>
                  <pic:spPr>
                    <a:xfrm>
                      <a:off x="0" y="0"/>
                      <a:ext cx="1028700" cy="962025"/>
                    </a:xfrm>
                    <a:prstGeom prst="rect">
                      <a:avLst/>
                    </a:prstGeom>
                    <a:noFill/>
                    <a:ln>
                      <a:noFill/>
                    </a:ln>
                  </pic:spPr>
                </pic:pic>
              </a:graphicData>
            </a:graphic>
          </wp:inline>
        </w:drawing>
      </w:r>
    </w:p>
    <w:p w14:paraId="1E14EFC4">
      <w:pPr>
        <w:pStyle w:val="20"/>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6B6854A2">
      <w:pPr>
        <w:pStyle w:val="20"/>
        <w:jc w:val="center"/>
        <w:rPr>
          <w:rFonts w:hAnsi="宋体" w:cs="宋体"/>
          <w:b/>
          <w:color w:val="auto"/>
          <w:sz w:val="44"/>
          <w:szCs w:val="44"/>
          <w:highlight w:val="none"/>
        </w:rPr>
      </w:pPr>
      <w:r>
        <w:rPr>
          <w:color w:val="auto"/>
          <w:highlight w:val="none"/>
        </w:rPr>
        <w:pict>
          <v:line id="_x0000_s1026" o:spid="_x0000_s1026" o:spt="20" style="position:absolute;left:0pt;margin-left:9pt;margin-top:7.8pt;height:0pt;width:432pt;z-index:251663360;mso-width-relative:page;mso-height-relative:page;"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path arrowok="t"/>
            <v:fill focussize="0,0"/>
            <v:stroke weight="1pt"/>
            <v:imagedata o:title=""/>
            <o:lock v:ext="edit"/>
          </v:line>
        </w:pict>
      </w:r>
    </w:p>
    <w:p w14:paraId="2FF3D840">
      <w:pPr>
        <w:snapToGrid w:val="0"/>
        <w:spacing w:beforeLines="50" w:line="360" w:lineRule="auto"/>
        <w:jc w:val="center"/>
        <w:rPr>
          <w:rFonts w:ascii="宋体" w:cs="宋体"/>
          <w:color w:val="auto"/>
          <w:sz w:val="120"/>
          <w:szCs w:val="120"/>
          <w:highlight w:val="none"/>
        </w:rPr>
      </w:pPr>
      <w:r>
        <w:rPr>
          <w:rFonts w:hint="eastAsia" w:ascii="宋体" w:hAnsi="宋体" w:cs="宋体"/>
          <w:color w:val="auto"/>
          <w:sz w:val="120"/>
          <w:szCs w:val="120"/>
          <w:highlight w:val="none"/>
        </w:rPr>
        <w:t>竞争性磋商文件</w:t>
      </w:r>
    </w:p>
    <w:p w14:paraId="18BE9B91">
      <w:pPr>
        <w:snapToGrid w:val="0"/>
        <w:spacing w:line="360" w:lineRule="auto"/>
        <w:rPr>
          <w:rFonts w:ascii="宋体" w:cs="宋体"/>
          <w:b/>
          <w:color w:val="auto"/>
          <w:sz w:val="48"/>
          <w:szCs w:val="48"/>
          <w:highlight w:val="none"/>
        </w:rPr>
      </w:pPr>
    </w:p>
    <w:p w14:paraId="1FB40409">
      <w:pPr>
        <w:pStyle w:val="20"/>
        <w:snapToGrid w:val="0"/>
        <w:spacing w:line="360" w:lineRule="auto"/>
        <w:ind w:firstLine="1205" w:firstLineChars="400"/>
        <w:rPr>
          <w:rFonts w:hAnsi="宋体" w:cs="宋体"/>
          <w:b/>
          <w:bCs/>
          <w:color w:val="auto"/>
          <w:sz w:val="30"/>
          <w:szCs w:val="30"/>
          <w:highlight w:val="none"/>
        </w:rPr>
      </w:pPr>
    </w:p>
    <w:p w14:paraId="318324D2">
      <w:pPr>
        <w:pStyle w:val="20"/>
        <w:snapToGrid w:val="0"/>
        <w:spacing w:line="360" w:lineRule="auto"/>
        <w:ind w:left="2699" w:leftChars="568"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广西农业农村厅网站群内容优化、12316“三农”综合信息服务、农业·舆·情监控、农业全产业链、农产品身份核查平台运维项目（重）</w:t>
      </w:r>
    </w:p>
    <w:p w14:paraId="1352B312">
      <w:pPr>
        <w:pStyle w:val="20"/>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GXZC2025-C3-001915-GTZB</w:t>
      </w:r>
    </w:p>
    <w:p w14:paraId="7A3C3A9C">
      <w:pPr>
        <w:snapToGrid w:val="0"/>
        <w:spacing w:line="360" w:lineRule="auto"/>
        <w:rPr>
          <w:rFonts w:ascii="宋体" w:cs="宋体"/>
          <w:color w:val="auto"/>
          <w:sz w:val="30"/>
          <w:szCs w:val="72"/>
          <w:highlight w:val="none"/>
        </w:rPr>
      </w:pPr>
    </w:p>
    <w:p w14:paraId="7BA61F93">
      <w:pPr>
        <w:pStyle w:val="20"/>
        <w:snapToGrid w:val="0"/>
        <w:spacing w:line="360" w:lineRule="auto"/>
        <w:ind w:firstLine="1431" w:firstLineChars="500"/>
        <w:rPr>
          <w:rFonts w:hAnsi="宋体" w:cs="宋体"/>
          <w:b/>
          <w:bCs/>
          <w:color w:val="auto"/>
          <w:w w:val="95"/>
          <w:sz w:val="30"/>
          <w:szCs w:val="30"/>
          <w:highlight w:val="none"/>
        </w:rPr>
      </w:pPr>
    </w:p>
    <w:p w14:paraId="0F6D4F52">
      <w:pPr>
        <w:pStyle w:val="20"/>
        <w:snapToGrid w:val="0"/>
        <w:spacing w:line="360" w:lineRule="auto"/>
        <w:ind w:firstLine="1431" w:firstLineChars="500"/>
        <w:rPr>
          <w:rFonts w:hAnsi="宋体" w:cs="宋体"/>
          <w:b/>
          <w:bCs/>
          <w:color w:val="auto"/>
          <w:w w:val="95"/>
          <w:sz w:val="30"/>
          <w:szCs w:val="30"/>
          <w:highlight w:val="none"/>
        </w:rPr>
      </w:pPr>
    </w:p>
    <w:p w14:paraId="33B91EF7">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rPr>
        <w:t>广西壮族自治区农业信息中心</w:t>
      </w:r>
    </w:p>
    <w:p w14:paraId="012EB180">
      <w:pPr>
        <w:pStyle w:val="20"/>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218E17E8">
      <w:pPr>
        <w:pStyle w:val="20"/>
        <w:snapToGrid w:val="0"/>
        <w:spacing w:line="360" w:lineRule="auto"/>
        <w:ind w:left="420" w:firstLine="841" w:firstLineChars="294"/>
        <w:rPr>
          <w:rFonts w:hAnsi="宋体" w:cs="宋体"/>
          <w:b/>
          <w:bCs/>
          <w:color w:val="auto"/>
          <w:w w:val="95"/>
          <w:sz w:val="30"/>
          <w:szCs w:val="30"/>
          <w:highlight w:val="none"/>
        </w:rPr>
      </w:pPr>
      <w:r>
        <w:rPr>
          <w:rFonts w:hAnsi="宋体" w:cs="宋体"/>
          <w:b/>
          <w:bCs/>
          <w:color w:val="auto"/>
          <w:w w:val="95"/>
          <w:sz w:val="30"/>
          <w:szCs w:val="30"/>
          <w:highlight w:val="none"/>
        </w:rPr>
        <w:t xml:space="preserve">                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p>
    <w:p w14:paraId="44D0145B">
      <w:pPr>
        <w:tabs>
          <w:tab w:val="left" w:pos="1080"/>
        </w:tabs>
        <w:spacing w:line="360" w:lineRule="auto"/>
        <w:ind w:firstLine="883" w:firstLineChars="200"/>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2B5E5236">
      <w:pPr>
        <w:pStyle w:val="61"/>
        <w:rPr>
          <w:color w:val="auto"/>
          <w:highlight w:val="none"/>
        </w:rPr>
      </w:pPr>
    </w:p>
    <w:p w14:paraId="0B25DB93">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2BADACE3">
      <w:pPr>
        <w:spacing w:line="400" w:lineRule="exact"/>
        <w:jc w:val="center"/>
        <w:rPr>
          <w:rFonts w:ascii="宋体" w:cs="宋体"/>
          <w:b/>
          <w:color w:val="auto"/>
          <w:sz w:val="44"/>
          <w:szCs w:val="44"/>
          <w:highlight w:val="none"/>
        </w:rPr>
      </w:pPr>
    </w:p>
    <w:p w14:paraId="40A23261">
      <w:pPr>
        <w:pStyle w:val="25"/>
        <w:tabs>
          <w:tab w:val="right" w:leader="dot" w:pos="8879"/>
        </w:tabs>
        <w:rPr>
          <w:rFonts w:asci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竞争性磋商公告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_Toc24302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673001FA">
      <w:pPr>
        <w:pStyle w:val="25"/>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_Toc23903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6</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245281EA">
      <w:pPr>
        <w:pStyle w:val="25"/>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_Toc8379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22</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0180F8">
      <w:pPr>
        <w:pStyle w:val="25"/>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评审程序、评审方法和评审标准</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_Toc9102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37</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374F967">
      <w:pPr>
        <w:pStyle w:val="25"/>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_Toc22926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57</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469717">
      <w:pPr>
        <w:pStyle w:val="25"/>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合同文本</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_Toc19603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80</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8517579">
      <w:pPr>
        <w:pStyle w:val="26"/>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14:paraId="02B5F08F">
      <w:pPr>
        <w:spacing w:line="400" w:lineRule="exact"/>
        <w:jc w:val="left"/>
        <w:rPr>
          <w:rFonts w:ascii="宋体" w:cs="宋体"/>
          <w:b/>
          <w:color w:val="auto"/>
          <w:sz w:val="32"/>
          <w:szCs w:val="32"/>
          <w:highlight w:val="none"/>
        </w:rPr>
      </w:pPr>
    </w:p>
    <w:p w14:paraId="79F6B99C">
      <w:pPr>
        <w:spacing w:line="400" w:lineRule="exact"/>
        <w:jc w:val="center"/>
        <w:rPr>
          <w:rFonts w:ascii="宋体" w:cs="宋体"/>
          <w:b/>
          <w:color w:val="auto"/>
          <w:sz w:val="32"/>
          <w:szCs w:val="32"/>
          <w:highlight w:val="none"/>
        </w:rPr>
      </w:pPr>
    </w:p>
    <w:p w14:paraId="53ECBD73">
      <w:pPr>
        <w:spacing w:line="400" w:lineRule="exact"/>
        <w:jc w:val="center"/>
        <w:rPr>
          <w:rFonts w:ascii="宋体" w:cs="宋体"/>
          <w:b/>
          <w:color w:val="auto"/>
          <w:sz w:val="32"/>
          <w:szCs w:val="32"/>
          <w:highlight w:val="none"/>
        </w:rPr>
      </w:pPr>
    </w:p>
    <w:p w14:paraId="17D9A644">
      <w:pPr>
        <w:spacing w:line="400" w:lineRule="exact"/>
        <w:jc w:val="center"/>
        <w:rPr>
          <w:rFonts w:ascii="宋体" w:cs="宋体"/>
          <w:b/>
          <w:color w:val="auto"/>
          <w:sz w:val="32"/>
          <w:szCs w:val="32"/>
          <w:highlight w:val="none"/>
        </w:rPr>
      </w:pPr>
    </w:p>
    <w:p w14:paraId="43D47C4C">
      <w:pPr>
        <w:spacing w:line="400" w:lineRule="exact"/>
        <w:rPr>
          <w:rFonts w:ascii="宋体" w:cs="宋体"/>
          <w:b/>
          <w:color w:val="auto"/>
          <w:sz w:val="32"/>
          <w:szCs w:val="32"/>
          <w:highlight w:val="none"/>
        </w:rPr>
      </w:pPr>
    </w:p>
    <w:p w14:paraId="43FB7931">
      <w:pPr>
        <w:rPr>
          <w:color w:val="auto"/>
          <w:highlight w:val="none"/>
        </w:rPr>
      </w:pPr>
    </w:p>
    <w:p w14:paraId="018BC4B9">
      <w:pPr>
        <w:rPr>
          <w:color w:val="auto"/>
          <w:highlight w:val="none"/>
        </w:rPr>
      </w:pPr>
    </w:p>
    <w:p w14:paraId="3D3D8750">
      <w:pPr>
        <w:rPr>
          <w:color w:val="auto"/>
          <w:highlight w:val="none"/>
        </w:rPr>
      </w:pPr>
    </w:p>
    <w:p w14:paraId="73717CA6">
      <w:pPr>
        <w:rPr>
          <w:color w:val="auto"/>
          <w:highlight w:val="none"/>
        </w:rPr>
      </w:pPr>
    </w:p>
    <w:p w14:paraId="200F86AC">
      <w:pPr>
        <w:rPr>
          <w:color w:val="auto"/>
          <w:highlight w:val="none"/>
        </w:rPr>
      </w:pPr>
    </w:p>
    <w:p w14:paraId="2055BBD6">
      <w:pPr>
        <w:rPr>
          <w:color w:val="auto"/>
          <w:highlight w:val="none"/>
        </w:rPr>
      </w:pPr>
    </w:p>
    <w:p w14:paraId="5DDCBFE5">
      <w:pPr>
        <w:rPr>
          <w:color w:val="auto"/>
          <w:highlight w:val="none"/>
        </w:rPr>
      </w:pPr>
    </w:p>
    <w:p w14:paraId="04A2FC09">
      <w:pPr>
        <w:rPr>
          <w:color w:val="auto"/>
          <w:highlight w:val="none"/>
        </w:rPr>
      </w:pPr>
    </w:p>
    <w:p w14:paraId="7E518CCF">
      <w:pPr>
        <w:rPr>
          <w:color w:val="auto"/>
          <w:highlight w:val="none"/>
        </w:rPr>
      </w:pPr>
    </w:p>
    <w:p w14:paraId="5A7EEA7B">
      <w:pPr>
        <w:rPr>
          <w:color w:val="auto"/>
          <w:highlight w:val="none"/>
        </w:rPr>
      </w:pPr>
    </w:p>
    <w:p w14:paraId="6B3573DC">
      <w:pPr>
        <w:rPr>
          <w:color w:val="auto"/>
          <w:highlight w:val="none"/>
        </w:rPr>
      </w:pPr>
    </w:p>
    <w:p w14:paraId="198527BD">
      <w:pPr>
        <w:rPr>
          <w:color w:val="auto"/>
          <w:highlight w:val="none"/>
        </w:rPr>
      </w:pPr>
    </w:p>
    <w:p w14:paraId="11A140DB">
      <w:pPr>
        <w:rPr>
          <w:color w:val="auto"/>
          <w:highlight w:val="none"/>
        </w:rPr>
      </w:pPr>
    </w:p>
    <w:p w14:paraId="6966DAAE">
      <w:pPr>
        <w:rPr>
          <w:color w:val="auto"/>
          <w:highlight w:val="none"/>
        </w:rPr>
      </w:pPr>
    </w:p>
    <w:p w14:paraId="32099251">
      <w:pPr>
        <w:rPr>
          <w:color w:val="auto"/>
          <w:highlight w:val="none"/>
        </w:rPr>
      </w:pPr>
    </w:p>
    <w:p w14:paraId="2C4B292F">
      <w:pPr>
        <w:rPr>
          <w:color w:val="auto"/>
          <w:highlight w:val="none"/>
        </w:rPr>
      </w:pPr>
    </w:p>
    <w:p w14:paraId="088ED858">
      <w:pPr>
        <w:rPr>
          <w:color w:val="auto"/>
          <w:highlight w:val="none"/>
        </w:rPr>
      </w:pPr>
    </w:p>
    <w:p w14:paraId="62D4DCD0">
      <w:pPr>
        <w:rPr>
          <w:color w:val="auto"/>
          <w:highlight w:val="none"/>
        </w:rPr>
      </w:pPr>
    </w:p>
    <w:p w14:paraId="23EE3B78">
      <w:pPr>
        <w:rPr>
          <w:color w:val="auto"/>
          <w:highlight w:val="none"/>
        </w:rPr>
      </w:pPr>
    </w:p>
    <w:p w14:paraId="638DF4E1">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color w:val="auto"/>
          <w:highlight w:val="none"/>
        </w:rPr>
        <w:tab/>
      </w:r>
    </w:p>
    <w:p w14:paraId="0F4C6546">
      <w:pPr>
        <w:pStyle w:val="2"/>
        <w:bidi w:val="0"/>
        <w:rPr>
          <w:color w:val="auto"/>
          <w:highlight w:val="none"/>
        </w:rPr>
      </w:pPr>
      <w:bookmarkStart w:id="0" w:name="_Toc24200"/>
      <w:bookmarkStart w:id="1" w:name="_Toc24302"/>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End w:id="1"/>
    </w:p>
    <w:p w14:paraId="31740CA6">
      <w:pPr>
        <w:pStyle w:val="2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广西国泰招标咨询有限公司关于</w:t>
      </w:r>
    </w:p>
    <w:p w14:paraId="7236E3AA">
      <w:pPr>
        <w:pStyle w:val="20"/>
        <w:jc w:val="center"/>
        <w:rPr>
          <w:rFonts w:hint="eastAsia" w:ascii="宋体" w:hAnsi="宋体" w:eastAsia="宋体" w:cs="宋体"/>
          <w:b/>
          <w:color w:val="auto"/>
          <w:sz w:val="28"/>
          <w:szCs w:val="28"/>
          <w:highlight w:val="none"/>
        </w:rPr>
      </w:pPr>
      <w:r>
        <w:rPr>
          <w:rFonts w:hint="eastAsia" w:hAnsi="宋体" w:cs="宋体"/>
          <w:b/>
          <w:color w:val="auto"/>
          <w:sz w:val="28"/>
          <w:szCs w:val="28"/>
          <w:highlight w:val="none"/>
          <w:lang w:eastAsia="zh-CN"/>
        </w:rPr>
        <w:t>广西农业农村厅网站群内容优化、12316“三农”综合信息服务、农业</w:t>
      </w:r>
      <w:r>
        <w:rPr>
          <w:rFonts w:hint="eastAsia" w:ascii="宋体" w:hAnsi="宋体" w:eastAsia="宋体" w:cs="宋体"/>
          <w:b/>
          <w:color w:val="auto"/>
          <w:sz w:val="28"/>
          <w:szCs w:val="28"/>
          <w:highlight w:val="none"/>
          <w:lang w:eastAsia="zh-CN"/>
        </w:rPr>
        <w:t>·</w:t>
      </w:r>
      <w:r>
        <w:rPr>
          <w:rFonts w:hint="eastAsia" w:hAnsi="宋体" w:cs="宋体"/>
          <w:b/>
          <w:color w:val="auto"/>
          <w:sz w:val="28"/>
          <w:szCs w:val="28"/>
          <w:highlight w:val="none"/>
          <w:lang w:eastAsia="zh-CN"/>
        </w:rPr>
        <w:t>舆</w:t>
      </w:r>
      <w:r>
        <w:rPr>
          <w:rFonts w:hint="eastAsia" w:ascii="宋体" w:hAnsi="宋体" w:eastAsia="宋体" w:cs="宋体"/>
          <w:b/>
          <w:color w:val="auto"/>
          <w:sz w:val="28"/>
          <w:szCs w:val="28"/>
          <w:highlight w:val="none"/>
          <w:lang w:eastAsia="zh-CN"/>
        </w:rPr>
        <w:t>·</w:t>
      </w:r>
      <w:r>
        <w:rPr>
          <w:rFonts w:hint="eastAsia" w:hAnsi="宋体" w:cs="宋体"/>
          <w:b/>
          <w:color w:val="auto"/>
          <w:sz w:val="28"/>
          <w:szCs w:val="28"/>
          <w:highlight w:val="none"/>
          <w:lang w:eastAsia="zh-CN"/>
        </w:rPr>
        <w:t>情监控、农业全产业链、农产品身份核查平台运维项目（重）</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GXZC2025-C3-001915-GTZB</w:t>
      </w:r>
      <w:r>
        <w:rPr>
          <w:rFonts w:hint="eastAsia" w:ascii="宋体" w:hAnsi="宋体" w:eastAsia="宋体" w:cs="宋体"/>
          <w:b/>
          <w:color w:val="auto"/>
          <w:sz w:val="28"/>
          <w:szCs w:val="28"/>
          <w:highlight w:val="none"/>
        </w:rPr>
        <w:t>）</w:t>
      </w:r>
    </w:p>
    <w:p w14:paraId="57601588">
      <w:pPr>
        <w:pStyle w:val="2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52ECB37F">
      <w:pPr>
        <w:spacing w:line="360" w:lineRule="auto"/>
        <w:jc w:val="center"/>
        <w:rPr>
          <w:rFonts w:ascii="宋体" w:cs="宋体"/>
          <w:color w:val="auto"/>
          <w:szCs w:val="21"/>
          <w:highlight w:val="none"/>
        </w:rPr>
      </w:pPr>
    </w:p>
    <w:p w14:paraId="10393E4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bookmarkStart w:id="2" w:name="_Hlk37430271"/>
      <w:r>
        <w:rPr>
          <w:rFonts w:hint="eastAsia" w:ascii="宋体" w:hAnsi="宋体" w:cs="宋体"/>
          <w:color w:val="auto"/>
          <w:szCs w:val="21"/>
          <w:highlight w:val="none"/>
        </w:rPr>
        <w:t>项目概况</w:t>
      </w:r>
    </w:p>
    <w:p w14:paraId="46872D9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eastAsia="zh-CN"/>
        </w:rPr>
        <w:t>广西农业农村厅网站群内容优化、12316“三农”综合信息服务、农业</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舆</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情监控、农业全产业链、农产品身份核查平台运维项目（重）</w:t>
      </w:r>
      <w:r>
        <w:rPr>
          <w:rFonts w:hint="eastAsia" w:ascii="宋体" w:hAnsi="宋体" w:cs="宋体"/>
          <w:color w:val="auto"/>
          <w:szCs w:val="21"/>
          <w:highlight w:val="none"/>
        </w:rPr>
        <w:t>采购项目的潜在供应商应在广西政府采购云平台（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2025年7月18日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49A9EE17">
      <w:pPr>
        <w:spacing w:line="360" w:lineRule="auto"/>
        <w:ind w:firstLine="354" w:firstLineChars="147"/>
        <w:rPr>
          <w:rFonts w:ascii="宋体" w:cs="宋体"/>
          <w:b/>
          <w:color w:val="auto"/>
          <w:sz w:val="24"/>
          <w:highlight w:val="none"/>
        </w:rPr>
      </w:pPr>
      <w:bookmarkStart w:id="3" w:name="_Toc44229878"/>
      <w:bookmarkStart w:id="4" w:name="_Toc71365905"/>
      <w:bookmarkStart w:id="5" w:name="_Toc35393798"/>
      <w:bookmarkStart w:id="6" w:name="_Toc28359012"/>
      <w:bookmarkStart w:id="7" w:name="_Toc35393629"/>
      <w:bookmarkStart w:id="8" w:name="_Toc28359089"/>
    </w:p>
    <w:bookmarkEnd w:id="3"/>
    <w:bookmarkEnd w:id="4"/>
    <w:bookmarkEnd w:id="5"/>
    <w:bookmarkEnd w:id="6"/>
    <w:bookmarkEnd w:id="7"/>
    <w:bookmarkEnd w:id="8"/>
    <w:p w14:paraId="1DD70ABE">
      <w:pPr>
        <w:spacing w:line="360" w:lineRule="auto"/>
        <w:ind w:firstLine="354" w:firstLineChars="147"/>
        <w:rPr>
          <w:rFonts w:ascii="宋体" w:cs="宋体"/>
          <w:b/>
          <w:color w:val="auto"/>
          <w:sz w:val="24"/>
          <w:highlight w:val="none"/>
        </w:rPr>
      </w:pPr>
      <w:bookmarkStart w:id="9" w:name="_Hlk37429674"/>
      <w:bookmarkStart w:id="10" w:name="_Toc28359018"/>
      <w:bookmarkStart w:id="11" w:name="_Toc35393636"/>
      <w:bookmarkStart w:id="12" w:name="_Toc35393805"/>
      <w:bookmarkStart w:id="13" w:name="_Toc44229885"/>
      <w:bookmarkStart w:id="14" w:name="_Toc28359095"/>
      <w:r>
        <w:rPr>
          <w:rFonts w:hint="eastAsia" w:ascii="宋体" w:hAnsi="宋体" w:cs="宋体"/>
          <w:b/>
          <w:color w:val="auto"/>
          <w:sz w:val="24"/>
          <w:highlight w:val="none"/>
        </w:rPr>
        <w:t>一、项目基本情况</w:t>
      </w:r>
    </w:p>
    <w:p w14:paraId="03DAC24C">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GXZC2025-C3-001915-GTZB</w:t>
      </w:r>
    </w:p>
    <w:p w14:paraId="50D6DA3F">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广西农业农村厅网站群内容优化、12316“三农”综合信息服务、农业·舆·情监控、农业全产业链、农产品身份核查平台运维项目（重）</w:t>
      </w:r>
    </w:p>
    <w:p w14:paraId="624C4DF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采购方式：竞争性磋商</w:t>
      </w:r>
    </w:p>
    <w:p w14:paraId="711A83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hint="eastAsia" w:ascii="宋体" w:hAnsi="宋体" w:cs="宋体"/>
          <w:iCs/>
          <w:color w:val="auto"/>
          <w:szCs w:val="21"/>
          <w:highlight w:val="none"/>
          <w:lang w:val="en-US" w:eastAsia="zh-CN"/>
        </w:rPr>
        <w:t>190.00</w:t>
      </w:r>
      <w:r>
        <w:rPr>
          <w:rFonts w:hint="eastAsia" w:ascii="宋体" w:hAnsi="宋体" w:cs="宋体"/>
          <w:iCs/>
          <w:color w:val="auto"/>
          <w:szCs w:val="21"/>
          <w:highlight w:val="none"/>
        </w:rPr>
        <w:t>万元</w:t>
      </w:r>
      <w:r>
        <w:rPr>
          <w:rFonts w:hint="eastAsia" w:ascii="宋体" w:hAnsi="宋体"/>
          <w:color w:val="auto"/>
          <w:highlight w:val="none"/>
        </w:rPr>
        <w:t>，其中：</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hint="eastAsia" w:ascii="宋体" w:hAnsi="宋体"/>
          <w:color w:val="auto"/>
          <w:szCs w:val="21"/>
          <w:highlight w:val="none"/>
          <w:lang w:val="en-US" w:eastAsia="zh-CN"/>
        </w:rPr>
        <w:t>60.00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hint="eastAsia" w:ascii="宋体" w:hAnsi="宋体"/>
          <w:color w:val="auto"/>
          <w:szCs w:val="21"/>
          <w:highlight w:val="none"/>
          <w:lang w:val="en-US" w:eastAsia="zh-CN"/>
        </w:rPr>
        <w:t>70.00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3</w:t>
      </w:r>
      <w:r>
        <w:rPr>
          <w:rFonts w:hint="eastAsia" w:ascii="宋体" w:hAnsi="宋体"/>
          <w:color w:val="auto"/>
          <w:szCs w:val="21"/>
          <w:highlight w:val="none"/>
        </w:rPr>
        <w:t>为</w:t>
      </w:r>
      <w:r>
        <w:rPr>
          <w:rFonts w:hint="eastAsia" w:ascii="宋体" w:hAnsi="宋体"/>
          <w:color w:val="auto"/>
          <w:szCs w:val="21"/>
          <w:highlight w:val="none"/>
          <w:lang w:val="en-US" w:eastAsia="zh-CN"/>
        </w:rPr>
        <w:t>40.00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4</w:t>
      </w:r>
      <w:r>
        <w:rPr>
          <w:rFonts w:hint="eastAsia" w:ascii="宋体" w:hAnsi="宋体"/>
          <w:color w:val="auto"/>
          <w:szCs w:val="21"/>
          <w:highlight w:val="none"/>
        </w:rPr>
        <w:t>为</w:t>
      </w:r>
      <w:r>
        <w:rPr>
          <w:rFonts w:hint="eastAsia" w:ascii="宋体" w:hAnsi="宋体"/>
          <w:color w:val="auto"/>
          <w:szCs w:val="21"/>
          <w:highlight w:val="none"/>
          <w:lang w:val="en-US" w:eastAsia="zh-CN"/>
        </w:rPr>
        <w:t>10.00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5</w:t>
      </w:r>
      <w:r>
        <w:rPr>
          <w:rFonts w:hint="eastAsia" w:ascii="宋体" w:hAnsi="宋体"/>
          <w:color w:val="auto"/>
          <w:szCs w:val="21"/>
          <w:highlight w:val="none"/>
        </w:rPr>
        <w:t>为</w:t>
      </w:r>
      <w:r>
        <w:rPr>
          <w:rFonts w:hint="eastAsia" w:ascii="宋体" w:hAnsi="宋体"/>
          <w:color w:val="auto"/>
          <w:szCs w:val="21"/>
          <w:highlight w:val="none"/>
          <w:lang w:val="en-US" w:eastAsia="zh-CN"/>
        </w:rPr>
        <w:t>10.00</w:t>
      </w:r>
      <w:r>
        <w:rPr>
          <w:rFonts w:hint="eastAsia" w:ascii="宋体" w:hAnsi="宋体"/>
          <w:color w:val="auto"/>
          <w:szCs w:val="21"/>
          <w:highlight w:val="none"/>
        </w:rPr>
        <w:t>万元。</w:t>
      </w:r>
    </w:p>
    <w:p w14:paraId="7349E80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hint="eastAsia" w:ascii="宋体" w:hAnsi="宋体"/>
          <w:color w:val="auto"/>
          <w:szCs w:val="21"/>
          <w:highlight w:val="none"/>
          <w:lang w:val="en-US" w:eastAsia="zh-CN"/>
        </w:rPr>
        <w:t>60.00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hint="eastAsia" w:ascii="宋体" w:hAnsi="宋体"/>
          <w:color w:val="auto"/>
          <w:szCs w:val="21"/>
          <w:highlight w:val="none"/>
          <w:lang w:val="en-US" w:eastAsia="zh-CN"/>
        </w:rPr>
        <w:t>70.00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3</w:t>
      </w:r>
      <w:r>
        <w:rPr>
          <w:rFonts w:hint="eastAsia" w:ascii="宋体" w:hAnsi="宋体"/>
          <w:color w:val="auto"/>
          <w:szCs w:val="21"/>
          <w:highlight w:val="none"/>
        </w:rPr>
        <w:t>为</w:t>
      </w:r>
      <w:r>
        <w:rPr>
          <w:rFonts w:hint="eastAsia" w:ascii="宋体" w:hAnsi="宋体"/>
          <w:color w:val="auto"/>
          <w:szCs w:val="21"/>
          <w:highlight w:val="none"/>
          <w:lang w:val="en-US" w:eastAsia="zh-CN"/>
        </w:rPr>
        <w:t>40.00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4</w:t>
      </w:r>
      <w:r>
        <w:rPr>
          <w:rFonts w:hint="eastAsia" w:ascii="宋体" w:hAnsi="宋体"/>
          <w:color w:val="auto"/>
          <w:szCs w:val="21"/>
          <w:highlight w:val="none"/>
        </w:rPr>
        <w:t>为</w:t>
      </w:r>
      <w:r>
        <w:rPr>
          <w:rFonts w:hint="eastAsia" w:ascii="宋体" w:hAnsi="宋体"/>
          <w:color w:val="auto"/>
          <w:szCs w:val="21"/>
          <w:highlight w:val="none"/>
          <w:lang w:val="en-US" w:eastAsia="zh-CN"/>
        </w:rPr>
        <w:t>10.00</w:t>
      </w:r>
      <w:r>
        <w:rPr>
          <w:rFonts w:hint="eastAsia" w:ascii="宋体" w:hAnsi="宋体"/>
          <w:color w:val="auto"/>
          <w:szCs w:val="21"/>
          <w:highlight w:val="none"/>
        </w:rPr>
        <w:t>万元；分标</w:t>
      </w:r>
      <w:r>
        <w:rPr>
          <w:rFonts w:hint="eastAsia" w:ascii="宋体" w:hAnsi="宋体"/>
          <w:color w:val="auto"/>
          <w:szCs w:val="21"/>
          <w:highlight w:val="none"/>
          <w:lang w:val="en-US" w:eastAsia="zh-CN"/>
        </w:rPr>
        <w:t>5</w:t>
      </w:r>
      <w:r>
        <w:rPr>
          <w:rFonts w:hint="eastAsia" w:ascii="宋体" w:hAnsi="宋体"/>
          <w:color w:val="auto"/>
          <w:szCs w:val="21"/>
          <w:highlight w:val="none"/>
        </w:rPr>
        <w:t>为</w:t>
      </w:r>
      <w:r>
        <w:rPr>
          <w:rFonts w:hint="eastAsia" w:ascii="宋体" w:hAnsi="宋体"/>
          <w:color w:val="auto"/>
          <w:szCs w:val="21"/>
          <w:highlight w:val="none"/>
          <w:lang w:val="en-US" w:eastAsia="zh-CN"/>
        </w:rPr>
        <w:t>10.00</w:t>
      </w:r>
      <w:r>
        <w:rPr>
          <w:rFonts w:hint="eastAsia" w:ascii="宋体" w:hAnsi="宋体"/>
          <w:color w:val="auto"/>
          <w:szCs w:val="21"/>
          <w:highlight w:val="none"/>
        </w:rPr>
        <w:t>万元。</w:t>
      </w:r>
    </w:p>
    <w:p w14:paraId="5FE555AE">
      <w:pPr>
        <w:spacing w:line="360" w:lineRule="auto"/>
        <w:ind w:firstLine="422" w:firstLineChars="200"/>
        <w:rPr>
          <w:rFonts w:ascii="宋体"/>
          <w:color w:val="auto"/>
          <w:szCs w:val="21"/>
          <w:highlight w:val="none"/>
        </w:rPr>
      </w:pPr>
      <w:r>
        <w:rPr>
          <w:rFonts w:hint="eastAsia" w:ascii="宋体" w:hAnsi="宋体"/>
          <w:b/>
          <w:bCs/>
          <w:color w:val="auto"/>
          <w:szCs w:val="21"/>
          <w:highlight w:val="none"/>
        </w:rPr>
        <w:t>采购需求：</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3424"/>
        <w:gridCol w:w="5799"/>
      </w:tblGrid>
      <w:tr w14:paraId="1E0F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bottom w:val="single" w:color="auto" w:sz="4" w:space="0"/>
            </w:tcBorders>
            <w:vAlign w:val="center"/>
          </w:tcPr>
          <w:p w14:paraId="055EC0ED">
            <w:pPr>
              <w:snapToGrid w:val="0"/>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1</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60.00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254C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26" w:type="pct"/>
            <w:tcBorders>
              <w:top w:val="single" w:color="auto" w:sz="4" w:space="0"/>
              <w:bottom w:val="single" w:color="auto" w:sz="4" w:space="0"/>
              <w:right w:val="single" w:color="auto" w:sz="4" w:space="0"/>
            </w:tcBorders>
            <w:vAlign w:val="center"/>
          </w:tcPr>
          <w:p w14:paraId="533C034A">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56B1EBD1">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1D5B6F2E">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7AD4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right w:val="single" w:color="auto" w:sz="4" w:space="0"/>
            </w:tcBorders>
            <w:vAlign w:val="center"/>
          </w:tcPr>
          <w:p w14:paraId="314E930E">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1CD80879">
            <w:pPr>
              <w:autoSpaceDE w:val="0"/>
              <w:autoSpaceDN w:val="0"/>
              <w:adjustRightInd w:val="0"/>
              <w:jc w:val="center"/>
              <w:rPr>
                <w:rFonts w:ascii="宋体"/>
                <w:color w:val="auto"/>
                <w:szCs w:val="21"/>
                <w:highlight w:val="none"/>
              </w:rPr>
            </w:pPr>
            <w:r>
              <w:rPr>
                <w:rFonts w:hint="eastAsia" w:ascii="宋体"/>
                <w:color w:val="auto"/>
                <w:szCs w:val="21"/>
                <w:highlight w:val="none"/>
                <w:lang w:eastAsia="zh-CN"/>
              </w:rPr>
              <w:t>广西农业农村厅网站群内容优化服务</w:t>
            </w:r>
          </w:p>
        </w:tc>
        <w:tc>
          <w:tcPr>
            <w:tcW w:w="2875" w:type="pct"/>
            <w:tcBorders>
              <w:top w:val="single" w:color="auto" w:sz="4" w:space="0"/>
              <w:left w:val="single" w:color="auto" w:sz="4" w:space="0"/>
            </w:tcBorders>
            <w:vAlign w:val="center"/>
          </w:tcPr>
          <w:p w14:paraId="7DA08236">
            <w:pPr>
              <w:tabs>
                <w:tab w:val="left" w:pos="180"/>
                <w:tab w:val="left" w:pos="1620"/>
              </w:tabs>
              <w:spacing w:line="360" w:lineRule="auto"/>
              <w:rPr>
                <w:rFonts w:ascii="宋体"/>
                <w:color w:val="auto"/>
                <w:szCs w:val="21"/>
                <w:highlight w:val="none"/>
              </w:rPr>
            </w:pPr>
            <w:r>
              <w:rPr>
                <w:rFonts w:hint="eastAsia" w:ascii="宋体"/>
                <w:color w:val="auto"/>
                <w:szCs w:val="21"/>
                <w:highlight w:val="none"/>
                <w:lang w:eastAsia="zh-CN"/>
              </w:rPr>
              <w:t>网站群内容规范性检查及绩效评估诊断服务1项、网站群栏目优化及内容创新服务1项、网站群功能拓展及数据应用服务1项、信息采编校审、在线访谈录制、数据迁移整合优化等服务1项；详细内容详见磋商文件。</w:t>
            </w:r>
          </w:p>
        </w:tc>
      </w:tr>
      <w:tr w14:paraId="308D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bottom w:val="single" w:color="auto" w:sz="4" w:space="0"/>
            </w:tcBorders>
            <w:vAlign w:val="center"/>
          </w:tcPr>
          <w:p w14:paraId="5A2FAA19">
            <w:pPr>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2</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70.00 </w:t>
            </w:r>
            <w:r>
              <w:rPr>
                <w:rFonts w:hint="eastAsia" w:ascii="宋体" w:hAnsi="宋体" w:cs="宋体"/>
                <w:b/>
                <w:bCs/>
                <w:color w:val="auto"/>
                <w:szCs w:val="21"/>
                <w:highlight w:val="none"/>
              </w:rPr>
              <w:t>万元</w:t>
            </w:r>
          </w:p>
        </w:tc>
      </w:tr>
      <w:tr w14:paraId="509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bottom w:val="single" w:color="auto" w:sz="4" w:space="0"/>
              <w:right w:val="single" w:color="auto" w:sz="4" w:space="0"/>
            </w:tcBorders>
            <w:vAlign w:val="center"/>
          </w:tcPr>
          <w:p w14:paraId="4E9032B2">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B081826">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76850F31">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216B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426" w:type="pct"/>
            <w:tcBorders>
              <w:top w:val="single" w:color="auto" w:sz="4" w:space="0"/>
              <w:bottom w:val="single" w:color="auto" w:sz="4" w:space="0"/>
              <w:right w:val="single" w:color="auto" w:sz="4" w:space="0"/>
            </w:tcBorders>
            <w:vAlign w:val="center"/>
          </w:tcPr>
          <w:p w14:paraId="1A3AA386">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5082176D">
            <w:pPr>
              <w:autoSpaceDE w:val="0"/>
              <w:autoSpaceDN w:val="0"/>
              <w:adjustRightInd w:val="0"/>
              <w:spacing w:before="50" w:after="50" w:line="360" w:lineRule="auto"/>
              <w:jc w:val="center"/>
              <w:rPr>
                <w:rFonts w:hint="eastAsia" w:ascii="宋体" w:eastAsia="宋体"/>
                <w:color w:val="auto"/>
                <w:szCs w:val="21"/>
                <w:highlight w:val="none"/>
                <w:lang w:eastAsia="zh-CN"/>
              </w:rPr>
            </w:pPr>
            <w:r>
              <w:rPr>
                <w:rFonts w:hint="eastAsia" w:ascii="宋体"/>
                <w:color w:val="auto"/>
                <w:szCs w:val="21"/>
                <w:highlight w:val="none"/>
                <w:lang w:val="en-US" w:eastAsia="zh-CN"/>
              </w:rPr>
              <w:t>广西12316“三农”综合信息服务</w:t>
            </w:r>
          </w:p>
        </w:tc>
        <w:tc>
          <w:tcPr>
            <w:tcW w:w="2875" w:type="pct"/>
            <w:tcBorders>
              <w:top w:val="single" w:color="auto" w:sz="4" w:space="0"/>
              <w:left w:val="single" w:color="auto" w:sz="4" w:space="0"/>
              <w:bottom w:val="single" w:color="auto" w:sz="4" w:space="0"/>
            </w:tcBorders>
            <w:vAlign w:val="center"/>
          </w:tcPr>
          <w:p w14:paraId="115F59FB">
            <w:pPr>
              <w:snapToGrid w:val="0"/>
              <w:spacing w:line="360" w:lineRule="auto"/>
              <w:jc w:val="left"/>
              <w:rPr>
                <w:rFonts w:ascii="宋体"/>
                <w:color w:val="auto"/>
                <w:szCs w:val="21"/>
                <w:highlight w:val="none"/>
              </w:rPr>
            </w:pPr>
            <w:r>
              <w:rPr>
                <w:rFonts w:hint="eastAsia" w:ascii="宋体" w:hAnsi="宋体" w:cs="宋体"/>
                <w:color w:val="auto"/>
                <w:szCs w:val="21"/>
                <w:highlight w:val="none"/>
                <w:lang w:val="en-US" w:eastAsia="zh-CN"/>
              </w:rPr>
              <w:t>知识库更新及热线工单处理服务1项、农业专家咨询答疑服务1项、话务专席应答服务1项、12316 宣传推广1项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5BBB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4FB63E97">
            <w:pPr>
              <w:snapToGrid w:val="0"/>
              <w:spacing w:line="360" w:lineRule="auto"/>
              <w:jc w:val="left"/>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40.00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770B0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195FE13">
            <w:pPr>
              <w:snapToGrid w:val="0"/>
              <w:spacing w:line="360" w:lineRule="auto"/>
              <w:jc w:val="center"/>
              <w:rPr>
                <w:rFonts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0372DA2">
            <w:pPr>
              <w:snapToGrid w:val="0"/>
              <w:spacing w:line="360" w:lineRule="auto"/>
              <w:jc w:val="center"/>
              <w:rPr>
                <w:rFonts w:hint="eastAsia"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64BAFB41">
            <w:pPr>
              <w:snapToGrid w:val="0"/>
              <w:spacing w:line="360" w:lineRule="auto"/>
              <w:jc w:val="center"/>
              <w:rPr>
                <w:rFonts w:hint="eastAsia"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简要规格描述或项目基本概况介绍、用途</w:t>
            </w:r>
          </w:p>
        </w:tc>
      </w:tr>
      <w:tr w14:paraId="3E14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AD2E23A">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67735D6A">
            <w:pPr>
              <w:autoSpaceDE w:val="0"/>
              <w:autoSpaceDN w:val="0"/>
              <w:adjustRightInd w:val="0"/>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广西农业农村</w:t>
            </w:r>
            <w:r>
              <w:rPr>
                <w:rFonts w:hint="eastAsia" w:ascii="宋体" w:cs="Times New Roman"/>
                <w:color w:val="auto"/>
                <w:kern w:val="2"/>
                <w:sz w:val="21"/>
                <w:szCs w:val="21"/>
                <w:highlight w:val="none"/>
                <w:lang w:val="en-US" w:eastAsia="zh-CN" w:bidi="ar-SA"/>
              </w:rPr>
              <w:t>·舆·情</w:t>
            </w:r>
            <w:r>
              <w:rPr>
                <w:rFonts w:hint="eastAsia" w:ascii="宋体" w:hAnsi="Times New Roman" w:eastAsia="宋体" w:cs="Times New Roman"/>
                <w:color w:val="auto"/>
                <w:kern w:val="2"/>
                <w:sz w:val="21"/>
                <w:szCs w:val="21"/>
                <w:highlight w:val="none"/>
                <w:lang w:val="en-US" w:eastAsia="zh-CN" w:bidi="ar-SA"/>
              </w:rPr>
              <w:t>监控管理服务</w:t>
            </w:r>
          </w:p>
        </w:tc>
        <w:tc>
          <w:tcPr>
            <w:tcW w:w="2875" w:type="pct"/>
            <w:tcBorders>
              <w:top w:val="single" w:color="auto" w:sz="4" w:space="0"/>
              <w:left w:val="single" w:color="auto" w:sz="4" w:space="0"/>
              <w:bottom w:val="single" w:color="auto" w:sz="4" w:space="0"/>
            </w:tcBorders>
            <w:shd w:val="clear" w:color="auto" w:fill="auto"/>
            <w:vAlign w:val="center"/>
          </w:tcPr>
          <w:p w14:paraId="2DAEA883">
            <w:pPr>
              <w:tabs>
                <w:tab w:val="left" w:pos="180"/>
                <w:tab w:val="left" w:pos="1620"/>
              </w:tabs>
              <w:spacing w:line="360" w:lineRule="auto"/>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rPr>
              <w:t>“三农”</w:t>
            </w:r>
            <w:r>
              <w:rPr>
                <w:rFonts w:hint="eastAsia" w:ascii="宋体" w:hAnsi="宋体" w:cs="宋体"/>
                <w:color w:val="auto"/>
                <w:szCs w:val="21"/>
                <w:highlight w:val="none"/>
                <w:lang w:eastAsia="zh-CN"/>
              </w:rPr>
              <w:t>·舆·情</w:t>
            </w:r>
            <w:r>
              <w:rPr>
                <w:rFonts w:hint="eastAsia" w:ascii="宋体" w:hAnsi="宋体" w:cs="宋体"/>
                <w:color w:val="auto"/>
                <w:szCs w:val="21"/>
                <w:highlight w:val="none"/>
              </w:rPr>
              <w:t>监测管理平台租用1项</w:t>
            </w:r>
            <w:r>
              <w:rPr>
                <w:rFonts w:hint="eastAsia" w:ascii="宋体" w:hAnsi="宋体" w:cs="宋体"/>
                <w:color w:val="auto"/>
                <w:szCs w:val="21"/>
                <w:highlight w:val="none"/>
                <w:lang w:eastAsia="zh-CN"/>
              </w:rPr>
              <w:t>、广西“三农”·舆·情管理</w:t>
            </w:r>
            <w:r>
              <w:rPr>
                <w:rFonts w:hint="eastAsia" w:ascii="宋体" w:hAnsi="宋体" w:cs="宋体"/>
                <w:color w:val="auto"/>
                <w:szCs w:val="21"/>
                <w:highlight w:val="none"/>
              </w:rPr>
              <w:t>1项</w:t>
            </w:r>
            <w:r>
              <w:rPr>
                <w:rFonts w:hint="eastAsia" w:ascii="宋体" w:hAnsi="宋体" w:cs="宋体"/>
                <w:color w:val="auto"/>
                <w:szCs w:val="21"/>
                <w:highlight w:val="none"/>
                <w:lang w:eastAsia="zh-CN"/>
              </w:rPr>
              <w:t>、·舆·情报</w:t>
            </w:r>
            <w:bookmarkStart w:id="152" w:name="_GoBack"/>
            <w:bookmarkEnd w:id="152"/>
            <w:r>
              <w:rPr>
                <w:rFonts w:hint="eastAsia" w:ascii="宋体" w:hAnsi="宋体" w:cs="宋体"/>
                <w:color w:val="auto"/>
                <w:szCs w:val="21"/>
                <w:highlight w:val="none"/>
                <w:lang w:eastAsia="zh-CN"/>
              </w:rPr>
              <w:t>告编写</w:t>
            </w:r>
            <w:r>
              <w:rPr>
                <w:rFonts w:hint="eastAsia" w:ascii="宋体" w:hAnsi="宋体" w:cs="宋体"/>
                <w:color w:val="auto"/>
                <w:szCs w:val="21"/>
                <w:highlight w:val="none"/>
              </w:rPr>
              <w:t>1项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广西“三农”</w:t>
            </w:r>
            <w:r>
              <w:rPr>
                <w:rFonts w:hint="eastAsia" w:ascii="宋体" w:hAnsi="宋体" w:cs="宋体"/>
                <w:color w:val="auto"/>
                <w:szCs w:val="21"/>
                <w:highlight w:val="none"/>
                <w:lang w:eastAsia="zh-CN"/>
              </w:rPr>
              <w:t>·舆·情</w:t>
            </w:r>
            <w:r>
              <w:rPr>
                <w:rFonts w:hint="eastAsia" w:ascii="宋体" w:hAnsi="宋体" w:eastAsia="宋体" w:cs="宋体"/>
                <w:color w:val="auto"/>
                <w:szCs w:val="21"/>
                <w:highlight w:val="none"/>
              </w:rPr>
              <w:t>应对能力提升</w:t>
            </w:r>
            <w:r>
              <w:rPr>
                <w:rFonts w:hint="eastAsia" w:ascii="宋体" w:hAnsi="宋体" w:cs="宋体"/>
                <w:color w:val="auto"/>
                <w:szCs w:val="21"/>
                <w:highlight w:val="none"/>
              </w:rPr>
              <w:t>1项</w:t>
            </w:r>
            <w:r>
              <w:rPr>
                <w:rFonts w:hint="eastAsia" w:ascii="宋体" w:hAnsi="宋体" w:cs="宋体"/>
                <w:color w:val="auto"/>
                <w:szCs w:val="21"/>
                <w:highlight w:val="none"/>
                <w:lang w:eastAsia="zh-CN"/>
              </w:rPr>
              <w:t>、·舆·情应对咨询服务</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2D03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0D935ECC">
            <w:pPr>
              <w:snapToGrid w:val="0"/>
              <w:spacing w:line="360" w:lineRule="auto"/>
              <w:jc w:val="left"/>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 10.00</w:t>
            </w:r>
            <w:r>
              <w:rPr>
                <w:rFonts w:hint="eastAsia" w:ascii="宋体" w:hAnsi="宋体" w:cs="宋体"/>
                <w:b/>
                <w:bCs/>
                <w:color w:val="auto"/>
                <w:szCs w:val="21"/>
                <w:highlight w:val="none"/>
              </w:rPr>
              <w:t>万元</w:t>
            </w:r>
          </w:p>
        </w:tc>
      </w:tr>
      <w:tr w14:paraId="2CDF5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1B565A9A">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49D6C74C">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C629AC2">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简要规格描述或项目基本概况介绍、用途</w:t>
            </w:r>
          </w:p>
        </w:tc>
      </w:tr>
      <w:tr w14:paraId="7291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4E0717C9">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25FBAA75">
            <w:pPr>
              <w:autoSpaceDE w:val="0"/>
              <w:autoSpaceDN w:val="0"/>
              <w:adjustRightInd w:val="0"/>
              <w:spacing w:before="50" w:after="50"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 xml:space="preserve">广西农业全产业链公共服务平台运维 </w:t>
            </w:r>
          </w:p>
        </w:tc>
        <w:tc>
          <w:tcPr>
            <w:tcW w:w="2875" w:type="pct"/>
            <w:tcBorders>
              <w:top w:val="single" w:color="auto" w:sz="4" w:space="0"/>
              <w:left w:val="single" w:color="auto" w:sz="4" w:space="0"/>
              <w:bottom w:val="single" w:color="auto" w:sz="4" w:space="0"/>
            </w:tcBorders>
            <w:shd w:val="clear" w:color="auto" w:fill="auto"/>
            <w:vAlign w:val="center"/>
          </w:tcPr>
          <w:p w14:paraId="1F9F1209">
            <w:pPr>
              <w:snapToGrid w:val="0"/>
              <w:spacing w:line="360" w:lineRule="auto"/>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平台系统日常维护1项</w:t>
            </w:r>
            <w:r>
              <w:rPr>
                <w:rFonts w:hint="eastAsia" w:ascii="宋体" w:hAnsi="宋体" w:cs="宋体"/>
                <w:color w:val="auto"/>
                <w:szCs w:val="21"/>
                <w:highlight w:val="none"/>
                <w:lang w:eastAsia="zh-CN"/>
              </w:rPr>
              <w:t>、平台数据更新与对接服务</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67929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2DEE0ED4">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10.00 </w:t>
            </w:r>
            <w:r>
              <w:rPr>
                <w:rFonts w:hint="eastAsia" w:ascii="宋体" w:hAnsi="宋体" w:cs="宋体"/>
                <w:b/>
                <w:bCs/>
                <w:color w:val="auto"/>
                <w:szCs w:val="21"/>
                <w:highlight w:val="none"/>
              </w:rPr>
              <w:t>万元</w:t>
            </w:r>
          </w:p>
        </w:tc>
      </w:tr>
      <w:tr w14:paraId="2946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750AF8F">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3CACE2D0">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789F2B0">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简要规格描述或项目基本概况介绍、用途</w:t>
            </w:r>
          </w:p>
        </w:tc>
      </w:tr>
      <w:tr w14:paraId="32E7A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50DDF35E">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54351ADA">
            <w:pPr>
              <w:autoSpaceDE w:val="0"/>
              <w:autoSpaceDN w:val="0"/>
              <w:adjustRightInd w:val="0"/>
              <w:spacing w:before="50" w:after="50"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广西农产品身份信息核查监管平台运维</w:t>
            </w:r>
          </w:p>
        </w:tc>
        <w:tc>
          <w:tcPr>
            <w:tcW w:w="2875" w:type="pct"/>
            <w:tcBorders>
              <w:top w:val="single" w:color="auto" w:sz="4" w:space="0"/>
              <w:left w:val="single" w:color="auto" w:sz="4" w:space="0"/>
              <w:bottom w:val="single" w:color="auto" w:sz="4" w:space="0"/>
            </w:tcBorders>
            <w:shd w:val="clear" w:color="auto" w:fill="auto"/>
            <w:vAlign w:val="center"/>
          </w:tcPr>
          <w:p w14:paraId="6CB17C81">
            <w:pPr>
              <w:snapToGrid w:val="0"/>
              <w:spacing w:line="360" w:lineRule="auto"/>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平台系统日常维护1项、</w:t>
            </w:r>
            <w:r>
              <w:rPr>
                <w:rFonts w:hint="eastAsia" w:ascii="宋体" w:hAnsi="宋体"/>
                <w:color w:val="auto"/>
                <w:szCs w:val="21"/>
                <w:highlight w:val="none"/>
              </w:rPr>
              <w:t>平台栏目维护及信息采集更新1项；详细内容详见磋商文件。</w:t>
            </w:r>
          </w:p>
        </w:tc>
      </w:tr>
    </w:tbl>
    <w:p w14:paraId="6ABA6AA7">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665063B5">
      <w:pPr>
        <w:spacing w:line="360" w:lineRule="auto"/>
        <w:ind w:firstLine="422" w:firstLineChars="200"/>
        <w:rPr>
          <w:rFonts w:ascii="宋体" w:cs="宋体"/>
          <w:b/>
          <w:bCs/>
          <w:color w:val="auto"/>
          <w:szCs w:val="21"/>
          <w:highlight w:val="none"/>
        </w:rPr>
      </w:pPr>
      <w:r>
        <w:rPr>
          <w:rFonts w:hint="eastAsia" w:ascii="宋体" w:hAnsi="宋体"/>
          <w:b/>
          <w:bCs/>
          <w:color w:val="auto"/>
          <w:szCs w:val="21"/>
          <w:highlight w:val="none"/>
        </w:rPr>
        <w:t>本项目不接受联合体。</w:t>
      </w:r>
    </w:p>
    <w:p w14:paraId="5813558D">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二、申请人的资格条件：</w:t>
      </w:r>
    </w:p>
    <w:p w14:paraId="03C6BA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14:paraId="1BD437E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eastAsia="zh-CN"/>
        </w:rPr>
        <w:t>分标3、4</w:t>
      </w:r>
      <w:r>
        <w:rPr>
          <w:rFonts w:hint="eastAsia" w:ascii="宋体" w:hAnsi="宋体" w:cs="宋体"/>
          <w:color w:val="auto"/>
          <w:szCs w:val="21"/>
          <w:highlight w:val="none"/>
        </w:rPr>
        <w:t>专门面向小微企业采购，供应商应为小微企业或监狱企业或残疾人福利性单位。</w:t>
      </w:r>
      <w:r>
        <w:rPr>
          <w:rFonts w:ascii="宋体" w:cs="宋体"/>
          <w:color w:val="auto"/>
          <w:szCs w:val="21"/>
          <w:highlight w:val="none"/>
        </w:rPr>
        <w:t> </w:t>
      </w:r>
    </w:p>
    <w:p w14:paraId="52FE81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、本项目的特定资格要求：无</w:t>
      </w:r>
    </w:p>
    <w:p w14:paraId="244A0AE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三、获取竞争性磋商文件</w:t>
      </w:r>
    </w:p>
    <w:p w14:paraId="6AD0CE78">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7</w:t>
      </w:r>
      <w:r>
        <w:rPr>
          <w:rFonts w:hint="eastAsia" w:ascii="宋体" w:hAnsi="宋体" w:cs="宋体"/>
          <w:color w:val="auto"/>
          <w:highlight w:val="none"/>
        </w:rPr>
        <w:t>日</w:t>
      </w:r>
      <w:r>
        <w:rPr>
          <w:rFonts w:hint="eastAsia" w:ascii="宋体" w:hAnsi="宋体" w:cs="宋体"/>
          <w:color w:val="auto"/>
          <w:szCs w:val="21"/>
          <w:highlight w:val="none"/>
        </w:rPr>
        <w:t>至</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w:t>
      </w:r>
      <w:r>
        <w:rPr>
          <w:rFonts w:hint="eastAsia" w:ascii="宋体" w:hAnsi="宋体" w:cs="宋体"/>
          <w:color w:val="auto"/>
          <w:szCs w:val="21"/>
          <w:highlight w:val="none"/>
        </w:rPr>
        <w:t>，每天上午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w:t>
      </w:r>
      <w:r>
        <w:rPr>
          <w:rFonts w:ascii="宋体" w:hAnsi="宋体" w:cs="宋体"/>
          <w:color w:val="auto"/>
          <w:highlight w:val="none"/>
        </w:rPr>
        <w:t>2</w:t>
      </w:r>
      <w:r>
        <w:rPr>
          <w:rFonts w:ascii="宋体" w:hAnsi="宋体" w:cs="宋体"/>
          <w:color w:val="auto"/>
          <w:szCs w:val="21"/>
          <w:highlight w:val="none"/>
        </w:rPr>
        <w:t>:</w:t>
      </w:r>
      <w:r>
        <w:rPr>
          <w:rFonts w:ascii="宋体" w:cs="宋体"/>
          <w:color w:val="auto"/>
          <w:highlight w:val="none"/>
        </w:rPr>
        <w:t>00</w:t>
      </w:r>
      <w:r>
        <w:rPr>
          <w:rFonts w:ascii="宋体" w:hAnsi="宋体" w:cs="宋体"/>
          <w:color w:val="auto"/>
          <w:szCs w:val="21"/>
          <w:highlight w:val="none"/>
        </w:rPr>
        <w:t>-23:</w:t>
      </w:r>
      <w:r>
        <w:rPr>
          <w:rFonts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79541869">
      <w:pPr>
        <w:spacing w:line="360" w:lineRule="auto"/>
        <w:ind w:firstLine="420" w:firstLineChars="200"/>
        <w:rPr>
          <w:rFonts w:asci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w:t>
      </w:r>
      <w:r>
        <w:rPr>
          <w:rFonts w:ascii="宋体" w:hAnsi="宋体" w:cs="宋体"/>
          <w:color w:val="auto"/>
          <w:highlight w:val="none"/>
        </w:rPr>
        <w:t>https://www.gcy.zfcg.gxzf.gov.cn/</w:t>
      </w:r>
      <w:r>
        <w:rPr>
          <w:rFonts w:hint="eastAsia" w:ascii="宋体" w:hAnsi="宋体" w:cs="宋体"/>
          <w:color w:val="auto"/>
          <w:highlight w:val="none"/>
        </w:rPr>
        <w:t>）。</w:t>
      </w:r>
    </w:p>
    <w:p w14:paraId="65D731AD">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285968F8">
      <w:pPr>
        <w:spacing w:line="360" w:lineRule="auto"/>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3A05CBF6">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四、响应文件提交</w:t>
      </w:r>
    </w:p>
    <w:p w14:paraId="479E9C2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kern w:val="0"/>
          <w:szCs w:val="21"/>
          <w:highlight w:val="none"/>
          <w:lang w:eastAsia="zh-CN"/>
        </w:rPr>
        <w:t>2025年7月18日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4C4C00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）在线提交。</w:t>
      </w:r>
    </w:p>
    <w:p w14:paraId="4A0A9FE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五、开启</w:t>
      </w:r>
    </w:p>
    <w:p w14:paraId="02ADDB14">
      <w:pP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hint="eastAsia" w:ascii="宋体" w:hAnsi="宋体" w:cs="宋体"/>
          <w:bCs/>
          <w:color w:val="auto"/>
          <w:kern w:val="0"/>
          <w:szCs w:val="21"/>
          <w:highlight w:val="none"/>
          <w:lang w:eastAsia="zh-CN"/>
        </w:rPr>
        <w:t>2025年7月18日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2BF87F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、地点：本项目将在广西政府采购云平台电子开标大厅解密、开启。</w:t>
      </w:r>
    </w:p>
    <w:p w14:paraId="2C247DA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六、公告期限</w:t>
      </w:r>
    </w:p>
    <w:p w14:paraId="7E90063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38DF125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七、其他补充事宜</w:t>
      </w:r>
    </w:p>
    <w:p w14:paraId="1077D90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、磋商保证金（人民币）：分标</w:t>
      </w:r>
      <w:r>
        <w:rPr>
          <w:rFonts w:ascii="宋体" w:hAnsi="宋体" w:cs="宋体"/>
          <w:color w:val="auto"/>
          <w:szCs w:val="21"/>
          <w:highlight w:val="none"/>
        </w:rPr>
        <w:t>1</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6000.00</w:t>
      </w:r>
      <w:r>
        <w:rPr>
          <w:rFonts w:hint="eastAsia" w:ascii="宋体" w:hAnsi="宋体" w:cs="宋体"/>
          <w:color w:val="auto"/>
          <w:szCs w:val="21"/>
          <w:highlight w:val="none"/>
        </w:rPr>
        <w:t>元；分标</w:t>
      </w:r>
      <w:r>
        <w:rPr>
          <w:rFonts w:ascii="宋体" w:hAnsi="宋体" w:cs="宋体"/>
          <w:color w:val="auto"/>
          <w:szCs w:val="21"/>
          <w:highlight w:val="none"/>
        </w:rPr>
        <w:t>2</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7000.00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4000.00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900.00</w:t>
      </w:r>
      <w:r>
        <w:rPr>
          <w:rFonts w:hint="eastAsia" w:ascii="宋体" w:hAnsi="宋体" w:cs="宋体"/>
          <w:color w:val="auto"/>
          <w:szCs w:val="21"/>
          <w:highlight w:val="none"/>
        </w:rPr>
        <w:t>元。</w:t>
      </w:r>
    </w:p>
    <w:p w14:paraId="08C02DC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51C06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294A8E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w:t>
      </w:r>
      <w:r>
        <w:rPr>
          <w:rFonts w:ascii="宋体" w:hAnsi="宋体" w:cs="宋体"/>
          <w:color w:val="auto"/>
          <w:szCs w:val="21"/>
          <w:highlight w:val="none"/>
        </w:rPr>
        <w:t>www.ccgp.gov.cn</w:t>
      </w:r>
      <w:r>
        <w:rPr>
          <w:rFonts w:hint="eastAsia" w:ascii="宋体" w:hAnsi="宋体" w:cs="宋体"/>
          <w:color w:val="auto"/>
          <w:szCs w:val="21"/>
          <w:highlight w:val="none"/>
        </w:rPr>
        <w:t>）、广西政府采购网（</w:t>
      </w:r>
      <w:r>
        <w:rPr>
          <w:rFonts w:ascii="宋体" w:hAnsi="宋体" w:cs="宋体"/>
          <w:color w:val="auto"/>
          <w:szCs w:val="21"/>
          <w:highlight w:val="none"/>
        </w:rPr>
        <w:t>zfcg.gxzf.gov.cn</w:t>
      </w:r>
      <w:r>
        <w:rPr>
          <w:rFonts w:hint="eastAsia" w:ascii="宋体" w:hAnsi="宋体" w:cs="宋体"/>
          <w:color w:val="auto"/>
          <w:szCs w:val="21"/>
          <w:highlight w:val="none"/>
        </w:rPr>
        <w:t>）。</w:t>
      </w:r>
    </w:p>
    <w:p w14:paraId="5900FFD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14:paraId="6E824A32">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14:paraId="12470BEB">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14:paraId="405B1BE5">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14:paraId="468CA5B9">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14:paraId="65706B21">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14:paraId="1C1BD64F">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14:paraId="5956874C">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、磋商注意事项：</w:t>
      </w:r>
    </w:p>
    <w:bookmarkEnd w:id="9"/>
    <w:p w14:paraId="1826925F">
      <w:pPr>
        <w:spacing w:line="360" w:lineRule="auto"/>
        <w:ind w:firstLine="630" w:firstLineChars="3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）实行在线电子竞标，供应商应先安装“广西政府采购云平台新版客户端”（新版客户端下载路径：请自行前往广西政府采购网（访问地址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777F62D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认证）的供应商将无法参与本项目政府采购活动，供应商应当在竞标截止时间前，完成电子交易平台上的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数字证书办理及响应文件的提交（供应商可登录“广西政府采购网”，依次进入“办事服务</w:t>
      </w:r>
      <w:r>
        <w:rPr>
          <w:rFonts w:ascii="宋体" w:cs="宋体"/>
          <w:color w:val="auto"/>
          <w:szCs w:val="21"/>
          <w:highlight w:val="none"/>
        </w:rPr>
        <w:t>-</w:t>
      </w:r>
      <w:r>
        <w:rPr>
          <w:rFonts w:hint="eastAsia" w:ascii="宋体" w:hAnsi="宋体" w:cs="宋体"/>
          <w:color w:val="auto"/>
          <w:szCs w:val="21"/>
          <w:highlight w:val="none"/>
        </w:rPr>
        <w:t>下载专区”或者登陆“广西政府采购云平台”，依次进入“服务中心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入驻与配置”中查看</w:t>
      </w:r>
      <w:r>
        <w:rPr>
          <w:rFonts w:ascii="宋体" w:hAnsi="宋体" w:cs="宋体"/>
          <w:color w:val="auto"/>
          <w:szCs w:val="21"/>
          <w:highlight w:val="none"/>
        </w:rPr>
        <w:t>CA</w:t>
      </w:r>
      <w:r>
        <w:rPr>
          <w:rFonts w:hint="eastAsia" w:ascii="宋体" w:hAnsi="宋体" w:cs="宋体"/>
          <w:color w:val="auto"/>
          <w:szCs w:val="21"/>
          <w:highlight w:val="none"/>
        </w:rPr>
        <w:t>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w:t>
      </w:r>
      <w:r>
        <w:rPr>
          <w:rFonts w:ascii="宋体" w:hAnsi="宋体" w:cs="宋体"/>
          <w:color w:val="auto"/>
          <w:szCs w:val="21"/>
          <w:highlight w:val="none"/>
        </w:rPr>
        <w:t>95763</w:t>
      </w:r>
      <w:r>
        <w:rPr>
          <w:rFonts w:hint="eastAsia" w:ascii="宋体" w:hAnsi="宋体" w:cs="宋体"/>
          <w:color w:val="auto"/>
          <w:szCs w:val="21"/>
          <w:highlight w:val="none"/>
        </w:rPr>
        <w:t>）。</w:t>
      </w:r>
    </w:p>
    <w:p w14:paraId="4B87170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证书在线解密：供应商竞标时，需凭制作响应文件时用来加密的有效数字证书（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认证）登录“广西政府采购云平台”电子开标大厅现场按规定时间对加密的响应文件进行解密，否则后果自负。</w:t>
      </w:r>
    </w:p>
    <w:p w14:paraId="4AA3BE6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）为确保网上操作合法、有效和安全，请供应商确保在电子投标过程中能够对相关数据电文进行加密和使用电子签章，妥善保管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r>
        <w:rPr>
          <w:rFonts w:ascii="宋体" w:hAnsi="宋体" w:cs="宋体"/>
          <w:color w:val="auto"/>
          <w:szCs w:val="21"/>
          <w:highlight w:val="none"/>
        </w:rPr>
        <w:t>2</w:t>
      </w:r>
      <w:r>
        <w:rPr>
          <w:rFonts w:hint="eastAsia" w:ascii="宋体" w:hAnsi="宋体" w:cs="宋体"/>
          <w:color w:val="auto"/>
          <w:szCs w:val="21"/>
          <w:highlight w:val="none"/>
        </w:rPr>
        <w:t>）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0B4CBD4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）供应商需要在具备有摄像头及语音功能且互联网网络状况良好的电脑登录“广西政府采购云平台”远程开标大厅参与本次磋商，否则后果自负。</w:t>
      </w:r>
    </w:p>
    <w:p w14:paraId="280A4FA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）若对项目采购电子交易系统操作有疑问，可登录“广西政府采购云平台”（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），点击右侧咨询小采，获取采小蜜智能服务管家帮助，或拨打广西政府采购云平台服务热线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14:paraId="51DA9D97">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71EDD17C">
      <w:pPr>
        <w:spacing w:line="360" w:lineRule="auto"/>
        <w:ind w:firstLine="567" w:firstLineChars="270"/>
        <w:rPr>
          <w:rFonts w:ascii="宋体" w:cs="宋体"/>
          <w:color w:val="auto"/>
          <w:szCs w:val="21"/>
          <w:highlight w:val="none"/>
        </w:rPr>
      </w:pPr>
      <w:bookmarkStart w:id="15" w:name="_Toc28359019"/>
      <w:bookmarkStart w:id="16" w:name="_Toc35393806"/>
      <w:bookmarkStart w:id="17" w:name="_Toc35393637"/>
      <w:bookmarkStart w:id="18" w:name="_Toc28359096"/>
      <w:r>
        <w:rPr>
          <w:rFonts w:ascii="宋体" w:hAnsi="宋体" w:cs="宋体"/>
          <w:color w:val="auto"/>
          <w:szCs w:val="21"/>
          <w:highlight w:val="none"/>
        </w:rPr>
        <w:t>1.</w:t>
      </w:r>
      <w:r>
        <w:rPr>
          <w:rFonts w:hint="eastAsia" w:ascii="宋体" w:hAnsi="宋体" w:cs="宋体"/>
          <w:color w:val="auto"/>
          <w:szCs w:val="21"/>
          <w:highlight w:val="none"/>
        </w:rPr>
        <w:t>采购人信息</w:t>
      </w:r>
    </w:p>
    <w:p w14:paraId="1EBB691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称：广西壮族自治区农业信息中心</w:t>
      </w:r>
    </w:p>
    <w:p w14:paraId="540C61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地址：广西南宁市七星路</w:t>
      </w:r>
      <w:r>
        <w:rPr>
          <w:rFonts w:ascii="宋体" w:hAnsi="宋体" w:cs="宋体"/>
          <w:color w:val="auto"/>
          <w:szCs w:val="21"/>
          <w:highlight w:val="none"/>
        </w:rPr>
        <w:t>135</w:t>
      </w:r>
      <w:r>
        <w:rPr>
          <w:rFonts w:hint="eastAsia" w:ascii="宋体" w:hAnsi="宋体" w:cs="宋体"/>
          <w:color w:val="auto"/>
          <w:szCs w:val="21"/>
          <w:highlight w:val="none"/>
        </w:rPr>
        <w:t>号　</w:t>
      </w:r>
    </w:p>
    <w:p w14:paraId="5B056AE5">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黄</w:t>
      </w:r>
      <w:r>
        <w:rPr>
          <w:rFonts w:hint="eastAsia" w:ascii="宋体" w:hAnsi="宋体" w:cs="宋体"/>
          <w:color w:val="auto"/>
          <w:szCs w:val="21"/>
          <w:highlight w:val="none"/>
          <w:lang w:eastAsia="zh-CN"/>
        </w:rPr>
        <w:t>工</w:t>
      </w:r>
      <w:r>
        <w:rPr>
          <w:rFonts w:hint="eastAsia" w:ascii="宋体" w:hAnsi="宋体" w:cs="宋体"/>
          <w:color w:val="auto"/>
          <w:szCs w:val="21"/>
          <w:highlight w:val="none"/>
        </w:rPr>
        <w:t>　</w:t>
      </w:r>
      <w:bookmarkStart w:id="19" w:name="_Toc28359086"/>
      <w:bookmarkStart w:id="20" w:name="_Toc28359009"/>
      <w:r>
        <w:rPr>
          <w:rFonts w:ascii="宋体" w:hAnsi="宋体" w:cs="宋体"/>
          <w:color w:val="auto"/>
          <w:szCs w:val="21"/>
          <w:highlight w:val="none"/>
        </w:rPr>
        <w:t xml:space="preserve"> 0771-218285</w:t>
      </w:r>
      <w:r>
        <w:rPr>
          <w:rFonts w:hint="eastAsia" w:ascii="宋体" w:hAnsi="宋体" w:cs="宋体"/>
          <w:color w:val="auto"/>
          <w:szCs w:val="21"/>
          <w:highlight w:val="none"/>
          <w:lang w:val="en-US" w:eastAsia="zh-CN"/>
        </w:rPr>
        <w:t>7</w:t>
      </w:r>
      <w:r>
        <w:rPr>
          <w:rFonts w:ascii="宋体" w:hAnsi="宋体" w:cs="宋体"/>
          <w:color w:val="auto"/>
          <w:szCs w:val="21"/>
          <w:highlight w:val="none"/>
        </w:rPr>
        <w:t xml:space="preserve">    </w:t>
      </w:r>
    </w:p>
    <w:p w14:paraId="6981093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19"/>
      <w:bookmarkEnd w:id="20"/>
    </w:p>
    <w:p w14:paraId="54C79D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称：广西国泰招标咨询有限公司</w:t>
      </w:r>
    </w:p>
    <w:p w14:paraId="3A25C67F">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　址：广西南宁市民族大道</w:t>
      </w:r>
      <w:r>
        <w:rPr>
          <w:rFonts w:ascii="宋体" w:hAnsi="宋体" w:cs="宋体"/>
          <w:color w:val="auto"/>
          <w:szCs w:val="21"/>
          <w:highlight w:val="none"/>
        </w:rPr>
        <w:t>141</w:t>
      </w:r>
      <w:r>
        <w:rPr>
          <w:rFonts w:hint="eastAsia" w:ascii="宋体" w:hAnsi="宋体" w:cs="宋体"/>
          <w:color w:val="auto"/>
          <w:szCs w:val="21"/>
          <w:highlight w:val="none"/>
        </w:rPr>
        <w:t>号中鼎万象东方大厦</w:t>
      </w:r>
      <w:r>
        <w:rPr>
          <w:rFonts w:ascii="宋体" w:hAnsi="宋体" w:cs="宋体"/>
          <w:color w:val="auto"/>
          <w:szCs w:val="21"/>
          <w:highlight w:val="none"/>
        </w:rPr>
        <w:t>D</w:t>
      </w:r>
      <w:r>
        <w:rPr>
          <w:rFonts w:hint="eastAsia" w:ascii="宋体" w:hAnsi="宋体" w:cs="宋体"/>
          <w:color w:val="auto"/>
          <w:szCs w:val="21"/>
          <w:highlight w:val="none"/>
        </w:rPr>
        <w:t>区六层</w:t>
      </w:r>
      <w:r>
        <w:rPr>
          <w:rFonts w:ascii="宋体" w:hAnsi="宋体" w:cs="宋体"/>
          <w:color w:val="auto"/>
          <w:szCs w:val="21"/>
          <w:highlight w:val="none"/>
        </w:rPr>
        <w:t>D607</w:t>
      </w:r>
    </w:p>
    <w:p w14:paraId="6B4CDAA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w:t>
      </w:r>
      <w:bookmarkStart w:id="21" w:name="_Toc28359087"/>
      <w:bookmarkStart w:id="22" w:name="_Toc28359010"/>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ascii="宋体" w:hAnsi="宋体" w:cs="宋体"/>
          <w:color w:val="auto"/>
          <w:szCs w:val="21"/>
          <w:highlight w:val="none"/>
        </w:rPr>
        <w:t xml:space="preserve">   0771-2023496</w:t>
      </w:r>
      <w:r>
        <w:rPr>
          <w:rFonts w:hint="eastAsia" w:ascii="宋体" w:hAnsi="宋体" w:cs="宋体"/>
          <w:color w:val="auto"/>
          <w:szCs w:val="21"/>
          <w:highlight w:val="none"/>
        </w:rPr>
        <w:t>　</w:t>
      </w:r>
    </w:p>
    <w:p w14:paraId="4851A06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项目联系方式</w:t>
      </w:r>
      <w:bookmarkEnd w:id="21"/>
      <w:bookmarkEnd w:id="22"/>
    </w:p>
    <w:p w14:paraId="0714C82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项目联系人：</w:t>
      </w:r>
      <w:r>
        <w:rPr>
          <w:rFonts w:ascii="宋体" w:hAnsi="宋体" w:cs="宋体"/>
          <w:color w:val="auto"/>
          <w:szCs w:val="21"/>
          <w:highlight w:val="none"/>
        </w:rPr>
        <w:t xml:space="preserve">  </w:t>
      </w:r>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ascii="宋体" w:hAnsi="宋体" w:cs="宋体"/>
          <w:color w:val="auto"/>
          <w:szCs w:val="21"/>
          <w:highlight w:val="none"/>
        </w:rPr>
        <w:t xml:space="preserve">      </w:t>
      </w:r>
    </w:p>
    <w:p w14:paraId="6B9C0238">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电　话：　</w:t>
      </w:r>
      <w:r>
        <w:rPr>
          <w:rFonts w:ascii="宋体" w:hAnsi="宋体" w:cs="宋体"/>
          <w:color w:val="auto"/>
          <w:szCs w:val="21"/>
          <w:highlight w:val="none"/>
        </w:rPr>
        <w:t>0771-2023496</w:t>
      </w:r>
      <w:r>
        <w:rPr>
          <w:rFonts w:hint="eastAsia" w:ascii="宋体" w:hAnsi="宋体" w:cs="宋体"/>
          <w:color w:val="auto"/>
          <w:szCs w:val="21"/>
          <w:highlight w:val="none"/>
        </w:rPr>
        <w:t>　　</w:t>
      </w:r>
    </w:p>
    <w:p w14:paraId="15057FD9">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7C6BC436">
      <w:pPr>
        <w:spacing w:line="360" w:lineRule="auto"/>
        <w:ind w:firstLine="6862" w:firstLineChars="3268"/>
        <w:rPr>
          <w:rFonts w:ascii="宋体" w:cs="宋体"/>
          <w:color w:val="auto"/>
          <w:szCs w:val="21"/>
          <w:highlight w:val="none"/>
        </w:rPr>
      </w:pPr>
      <w:r>
        <w:rPr>
          <w:rFonts w:hint="eastAsia" w:ascii="宋体" w:hAnsi="宋体" w:cs="宋体"/>
          <w:color w:val="auto"/>
          <w:szCs w:val="21"/>
          <w:highlight w:val="none"/>
        </w:rPr>
        <w:t>广西国泰招标咨询有限公司</w:t>
      </w:r>
    </w:p>
    <w:p w14:paraId="24E5FD1B">
      <w:pPr>
        <w:spacing w:line="360" w:lineRule="auto"/>
        <w:ind w:firstLine="6652" w:firstLineChars="3168"/>
        <w:jc w:val="center"/>
        <w:rPr>
          <w:rFonts w:ascii="宋体" w:cs="宋体"/>
          <w:color w:val="auto"/>
          <w:sz w:val="32"/>
          <w:szCs w:val="32"/>
          <w:highlight w:val="none"/>
        </w:rPr>
      </w:pPr>
      <w:r>
        <w:rPr>
          <w:rFonts w:ascii="宋体" w:hAnsi="宋体" w:cs="宋体"/>
          <w:color w:val="auto"/>
          <w:szCs w:val="21"/>
          <w:highlight w:val="none"/>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w:t>
      </w:r>
      <w:r>
        <w:rPr>
          <w:rFonts w:ascii="宋体" w:hAnsi="宋体" w:cs="宋体"/>
          <w:b w:val="0"/>
          <w:bCs w:val="0"/>
          <w:color w:val="auto"/>
          <w:kern w:val="2"/>
          <w:sz w:val="21"/>
          <w:szCs w:val="21"/>
          <w:highlight w:val="none"/>
        </w:rPr>
        <w:t xml:space="preserve">                                           </w:t>
      </w:r>
      <w:bookmarkEnd w:id="2"/>
      <w:bookmarkEnd w:id="15"/>
      <w:bookmarkEnd w:id="16"/>
      <w:bookmarkEnd w:id="17"/>
      <w:bookmarkEnd w:id="18"/>
      <w:r>
        <w:rPr>
          <w:rFonts w:ascii="宋体" w:hAnsi="宋体" w:cs="宋体"/>
          <w:b w:val="0"/>
          <w:bCs w:val="0"/>
          <w:color w:val="auto"/>
          <w:kern w:val="2"/>
          <w:sz w:val="21"/>
          <w:szCs w:val="21"/>
          <w:highlight w:val="none"/>
        </w:rPr>
        <w:br w:type="page"/>
      </w:r>
      <w:bookmarkStart w:id="23" w:name="_Toc23903"/>
      <w:r>
        <w:rPr>
          <w:rStyle w:val="38"/>
          <w:rFonts w:hint="eastAsia"/>
          <w:color w:val="auto"/>
          <w:highlight w:val="none"/>
        </w:rPr>
        <w:t>第二章</w:t>
      </w:r>
      <w:r>
        <w:rPr>
          <w:rStyle w:val="38"/>
          <w:color w:val="auto"/>
          <w:highlight w:val="none"/>
        </w:rPr>
        <w:t xml:space="preserve"> </w:t>
      </w:r>
      <w:r>
        <w:rPr>
          <w:rStyle w:val="38"/>
          <w:rFonts w:hint="eastAsia"/>
          <w:color w:val="auto"/>
          <w:highlight w:val="none"/>
        </w:rPr>
        <w:t>供应商须知</w:t>
      </w:r>
      <w:bookmarkEnd w:id="23"/>
    </w:p>
    <w:p w14:paraId="53A84799">
      <w:pPr>
        <w:jc w:val="center"/>
        <w:rPr>
          <w:b/>
          <w:bCs/>
          <w:color w:val="auto"/>
          <w:sz w:val="32"/>
          <w:szCs w:val="32"/>
          <w:highlight w:val="none"/>
        </w:rPr>
      </w:pPr>
      <w:r>
        <w:rPr>
          <w:rFonts w:hint="eastAsia"/>
          <w:b/>
          <w:bCs/>
          <w:color w:val="auto"/>
          <w:sz w:val="32"/>
          <w:szCs w:val="32"/>
          <w:highlight w:val="none"/>
        </w:rPr>
        <w:t>供应商须知前附表</w:t>
      </w:r>
    </w:p>
    <w:p w14:paraId="0C58E392">
      <w:pPr>
        <w:rPr>
          <w:color w:val="auto"/>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774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68A4790">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27" w:type="dxa"/>
          </w:tcPr>
          <w:p w14:paraId="0D8AC6C4">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14:paraId="6C4B9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F3ABA">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27" w:type="dxa"/>
            <w:vAlign w:val="center"/>
          </w:tcPr>
          <w:p w14:paraId="1104225A">
            <w:pPr>
              <w:spacing w:line="360" w:lineRule="auto"/>
              <w:rPr>
                <w:rFonts w:asci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37FD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5D151B">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27" w:type="dxa"/>
            <w:vAlign w:val="center"/>
          </w:tcPr>
          <w:p w14:paraId="7DAACCBC">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0EDB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EF17E7">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27" w:type="dxa"/>
            <w:vAlign w:val="center"/>
          </w:tcPr>
          <w:p w14:paraId="2A83D339">
            <w:pPr>
              <w:pStyle w:val="13"/>
              <w:spacing w:line="400" w:lineRule="exact"/>
              <w:rPr>
                <w:rFonts w:ascii="宋体" w:cs="宋体"/>
                <w:color w:val="auto"/>
                <w:szCs w:val="21"/>
                <w:highlight w:val="none"/>
              </w:rPr>
            </w:pPr>
            <w:r>
              <w:rPr>
                <w:rFonts w:hint="eastAsia" w:ascii="宋体" w:hAnsi="宋体" w:cs="宋体"/>
                <w:color w:val="auto"/>
                <w:szCs w:val="21"/>
                <w:highlight w:val="none"/>
              </w:rPr>
              <w:t>本项目不允许分包。</w:t>
            </w:r>
          </w:p>
        </w:tc>
      </w:tr>
      <w:tr w14:paraId="2FA2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DF3B34">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27" w:type="dxa"/>
            <w:vAlign w:val="center"/>
          </w:tcPr>
          <w:p w14:paraId="22657D79">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74A0A9F3">
            <w:pPr>
              <w:pStyle w:val="13"/>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886C82">
            <w:pPr>
              <w:spacing w:line="360" w:lineRule="auto"/>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0D54E7">
            <w:pPr>
              <w:spacing w:line="360" w:lineRule="auto"/>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月连续</w:t>
            </w:r>
            <w:r>
              <w:rPr>
                <w:rFonts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1C9048">
            <w:pPr>
              <w:spacing w:line="360" w:lineRule="auto"/>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w:t>
            </w:r>
            <w:r>
              <w:rPr>
                <w:rFonts w:ascii="宋体" w:hAnsi="宋体" w:cs="宋体"/>
                <w:color w:val="auto"/>
                <w:szCs w:val="21"/>
                <w:highlight w:val="none"/>
              </w:rPr>
              <w:t>2023</w:t>
            </w:r>
            <w:r>
              <w:rPr>
                <w:rFonts w:hint="eastAsia" w:ascii="宋体" w:hAnsi="宋体" w:cs="宋体"/>
                <w:color w:val="auto"/>
                <w:szCs w:val="21"/>
                <w:highlight w:val="none"/>
              </w:rPr>
              <w:t>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22E302FD">
            <w:pPr>
              <w:snapToGrid w:val="0"/>
              <w:spacing w:line="360" w:lineRule="auto"/>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D6E7B5">
            <w:pPr>
              <w:snapToGrid w:val="0"/>
              <w:spacing w:line="360" w:lineRule="auto"/>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55E118">
            <w:pPr>
              <w:snapToGrid w:val="0"/>
              <w:spacing w:line="360" w:lineRule="auto"/>
              <w:jc w:val="left"/>
              <w:rPr>
                <w:rFonts w:ascii="宋体" w:cs="宋体"/>
                <w:b/>
                <w:bCs/>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、提供符合要求的中小企业声明函或由省级以上监狱管理局、戒毒管理局（含新疆生产建设兵团）出具的属于监狱企业的证明文件或残疾人福利性单位声明函（格式后附）；（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lang w:val="en-US" w:eastAsia="zh-CN"/>
              </w:rPr>
              <w:t>分标3、4</w:t>
            </w:r>
            <w:r>
              <w:rPr>
                <w:rFonts w:hint="eastAsia" w:ascii="宋体" w:hAnsi="宋体" w:cs="宋体"/>
                <w:b/>
                <w:color w:val="auto"/>
                <w:szCs w:val="21"/>
                <w:highlight w:val="none"/>
              </w:rPr>
              <w:t>必须提供，否则响应文件按无效响应处理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分标1、2、5如有，请提供</w:t>
            </w:r>
            <w:r>
              <w:rPr>
                <w:rFonts w:hint="eastAsia" w:ascii="宋体" w:hAnsi="宋体" w:cs="宋体"/>
                <w:color w:val="auto"/>
                <w:szCs w:val="21"/>
                <w:highlight w:val="none"/>
              </w:rPr>
              <w:t>）</w:t>
            </w:r>
          </w:p>
          <w:p w14:paraId="5F1AA2C6">
            <w:pPr>
              <w:snapToGrid w:val="0"/>
              <w:spacing w:line="360" w:lineRule="auto"/>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、除磋商文件规定必须提供以外，供应商认为需要提供的其他证明材料；</w:t>
            </w:r>
          </w:p>
          <w:p w14:paraId="0516242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14:paraId="6D2A44FC">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14:paraId="5167793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、竞标声明必须由法定代表人在规定签章处签字并加盖供应商公章，否则响应文件按无效响应处理。</w:t>
            </w:r>
          </w:p>
          <w:p w14:paraId="7EA562E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p w14:paraId="3829856D">
            <w:pPr>
              <w:pStyle w:val="13"/>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bCs/>
                <w:color w:val="auto"/>
                <w:szCs w:val="21"/>
                <w:highlight w:val="none"/>
              </w:rPr>
              <w:t>分公司参加竞标的，应当取得总公司授权，否则响应文件按无效响应处理。</w:t>
            </w:r>
          </w:p>
        </w:tc>
      </w:tr>
      <w:tr w14:paraId="62FA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9F94BF">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27" w:type="dxa"/>
            <w:vAlign w:val="center"/>
          </w:tcPr>
          <w:p w14:paraId="30F829E4">
            <w:pPr>
              <w:spacing w:line="360" w:lineRule="auto"/>
              <w:rPr>
                <w:rFonts w:ascii="宋体" w:cs="宋体"/>
                <w:b/>
                <w:bCs/>
                <w:color w:val="auto"/>
                <w:szCs w:val="21"/>
                <w:highlight w:val="none"/>
              </w:rPr>
            </w:pPr>
            <w:r>
              <w:rPr>
                <w:rFonts w:hint="eastAsia" w:ascii="宋体" w:hAnsi="宋体" w:cs="宋体"/>
                <w:b/>
                <w:bCs/>
                <w:color w:val="auto"/>
                <w:szCs w:val="21"/>
                <w:highlight w:val="none"/>
              </w:rPr>
              <w:t>报价商务技术文件</w:t>
            </w:r>
          </w:p>
          <w:p w14:paraId="78ADCFD3">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753DC9">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0438CA">
            <w:pPr>
              <w:snapToGrid w:val="0"/>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F7F9F1">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C4F711D">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5A57558">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8BCB58">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6B7FDEFC">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1B00CE">
            <w:pPr>
              <w:spacing w:line="360" w:lineRule="auto"/>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C71936">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9682DB1">
            <w:pPr>
              <w:spacing w:line="360" w:lineRule="auto"/>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、对应采购需求的技术要求、商务要求提供的其他文件资料（格式自拟）；</w:t>
            </w:r>
          </w:p>
          <w:p w14:paraId="32AB672C">
            <w:pPr>
              <w:spacing w:line="360" w:lineRule="auto"/>
              <w:rPr>
                <w:rFonts w:ascii="宋体" w:cs="宋体"/>
                <w:b/>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、供应商认为需要提供的其他有关资料。</w:t>
            </w:r>
          </w:p>
          <w:p w14:paraId="2581926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0B03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07AEC6">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27" w:type="dxa"/>
            <w:vAlign w:val="center"/>
          </w:tcPr>
          <w:p w14:paraId="4DF0ED7D">
            <w:pPr>
              <w:snapToGrid w:val="0"/>
              <w:spacing w:line="360" w:lineRule="auto"/>
              <w:jc w:val="left"/>
              <w:rPr>
                <w:rFonts w:asci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4F1D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C65ADF">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27" w:type="dxa"/>
            <w:vAlign w:val="center"/>
          </w:tcPr>
          <w:p w14:paraId="258FF057">
            <w:pPr>
              <w:spacing w:line="360" w:lineRule="auto"/>
              <w:rPr>
                <w:rFonts w:ascii="宋体" w:cs="宋体"/>
                <w:color w:val="auto"/>
                <w:szCs w:val="21"/>
                <w:highlight w:val="none"/>
              </w:rPr>
            </w:pPr>
            <w:r>
              <w:rPr>
                <w:rFonts w:hint="eastAsia" w:ascii="宋体" w:hAnsi="宋体" w:cs="宋体"/>
                <w:color w:val="auto"/>
                <w:szCs w:val="21"/>
                <w:highlight w:val="none"/>
              </w:rPr>
              <w:t>竞标有效期：首次响应文件提交截止之日起</w:t>
            </w:r>
            <w:r>
              <w:rPr>
                <w:rFonts w:ascii="宋体" w:hAnsi="宋体" w:cs="宋体"/>
                <w:color w:val="auto"/>
                <w:szCs w:val="21"/>
                <w:highlight w:val="none"/>
              </w:rPr>
              <w:t>60</w:t>
            </w:r>
            <w:r>
              <w:rPr>
                <w:rFonts w:hint="eastAsia" w:ascii="宋体" w:hAnsi="宋体" w:cs="宋体"/>
                <w:color w:val="auto"/>
                <w:szCs w:val="21"/>
                <w:highlight w:val="none"/>
              </w:rPr>
              <w:t>天内。</w:t>
            </w:r>
          </w:p>
        </w:tc>
      </w:tr>
      <w:tr w14:paraId="737A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578236">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27" w:type="dxa"/>
            <w:vAlign w:val="center"/>
          </w:tcPr>
          <w:p w14:paraId="2A927CD1">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本项目收取磋商保证金，具体规定如下：</w:t>
            </w:r>
          </w:p>
          <w:p w14:paraId="64FFCD48">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6000.00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46714BEB">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2</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7000.00</w:t>
            </w:r>
            <w:r>
              <w:rPr>
                <w:rFonts w:hint="eastAsia" w:ascii="宋体" w:hAnsi="宋体" w:cs="宋体"/>
                <w:color w:val="auto"/>
                <w:szCs w:val="21"/>
                <w:highlight w:val="none"/>
              </w:rPr>
              <w:t>元；</w:t>
            </w:r>
          </w:p>
          <w:p w14:paraId="1D7D2DA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3</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4000.00</w:t>
            </w:r>
            <w:r>
              <w:rPr>
                <w:rFonts w:hint="eastAsia" w:ascii="宋体" w:hAnsi="宋体" w:cs="宋体"/>
                <w:color w:val="auto"/>
                <w:szCs w:val="21"/>
                <w:highlight w:val="none"/>
              </w:rPr>
              <w:t>元；</w:t>
            </w:r>
          </w:p>
          <w:p w14:paraId="058ADB0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4</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1000.00</w:t>
            </w:r>
            <w:r>
              <w:rPr>
                <w:rFonts w:hint="eastAsia" w:ascii="宋体" w:hAnsi="宋体" w:cs="宋体"/>
                <w:color w:val="auto"/>
                <w:szCs w:val="21"/>
                <w:highlight w:val="none"/>
              </w:rPr>
              <w:t>元；</w:t>
            </w:r>
          </w:p>
          <w:p w14:paraId="0DFB4A13">
            <w:pPr>
              <w:widowControl/>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5</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900.00</w:t>
            </w:r>
            <w:r>
              <w:rPr>
                <w:rFonts w:hint="eastAsia" w:ascii="宋体" w:hAnsi="宋体" w:cs="宋体"/>
                <w:color w:val="auto"/>
                <w:szCs w:val="21"/>
                <w:highlight w:val="none"/>
              </w:rPr>
              <w:t>元；</w:t>
            </w:r>
          </w:p>
          <w:p w14:paraId="782920C5">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）；采用支票、汇票、本票或者保函等方式的，在响应文件提交截止时间前，供应商必须提交支票、汇票、本票或者保函原件（电子保函的打印保函并加盖供应商公章）。否则视为无效磋商保证金。</w:t>
            </w:r>
          </w:p>
          <w:p w14:paraId="0205D2ED">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0325AD61">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22ACAF1">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w:t>
            </w:r>
          </w:p>
          <w:p w14:paraId="0F09177C">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14:paraId="161BFC59">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16BB1BFA">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、供应商采用现钞方式或者从个人账户（自然人竞标除外）转出的磋商保证金，视为无效磋商保证金。</w:t>
            </w:r>
          </w:p>
          <w:p w14:paraId="7BC03175">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3310BEE6">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373B5A31">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、采用金融、担保机构出具保函的，必须为无条件保函，否则视为无效磋商保证金。</w:t>
            </w:r>
          </w:p>
          <w:p w14:paraId="18EA66A4">
            <w:pPr>
              <w:snapToGrid w:val="0"/>
              <w:spacing w:line="360" w:lineRule="auto"/>
              <w:rPr>
                <w:rFonts w:ascii="宋体" w:cs="宋体"/>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、保证金凭证应注明正确的项目编号、分标号（如有）等信息，否则，信息不明确或有误的将可能被视为无效磋商保证金，并有可能影响保证金的及时退付。</w:t>
            </w:r>
          </w:p>
        </w:tc>
      </w:tr>
      <w:tr w14:paraId="0839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083E4153">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27" w:type="dxa"/>
            <w:vAlign w:val="center"/>
          </w:tcPr>
          <w:p w14:paraId="4BF748FF">
            <w:pPr>
              <w:spacing w:line="360" w:lineRule="auto"/>
              <w:rPr>
                <w:rFonts w:asci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07F1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FE69A5">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27" w:type="dxa"/>
            <w:vAlign w:val="center"/>
          </w:tcPr>
          <w:p w14:paraId="6345AD0C">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C4CBC7E">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3EDA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F42989">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27" w:type="dxa"/>
            <w:vAlign w:val="center"/>
          </w:tcPr>
          <w:p w14:paraId="3A85544C">
            <w:pPr>
              <w:snapToGrid w:val="0"/>
              <w:spacing w:line="360" w:lineRule="auto"/>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0606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E4006F">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27" w:type="dxa"/>
            <w:vAlign w:val="center"/>
          </w:tcPr>
          <w:p w14:paraId="729D77CD">
            <w:pPr>
              <w:snapToGrid w:val="0"/>
              <w:spacing w:line="360" w:lineRule="auto"/>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096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6889870">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27" w:type="dxa"/>
            <w:vAlign w:val="center"/>
          </w:tcPr>
          <w:p w14:paraId="24DE59B2">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B1A0FFB">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6273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1EC3DB86">
            <w:pPr>
              <w:spacing w:line="360" w:lineRule="auto"/>
              <w:jc w:val="center"/>
              <w:rPr>
                <w:rFonts w:ascii="宋体" w:cs="宋体"/>
                <w:color w:val="auto"/>
                <w:szCs w:val="21"/>
                <w:highlight w:val="none"/>
              </w:rPr>
            </w:pPr>
          </w:p>
        </w:tc>
        <w:tc>
          <w:tcPr>
            <w:tcW w:w="8627" w:type="dxa"/>
            <w:vAlign w:val="center"/>
          </w:tcPr>
          <w:p w14:paraId="55CAFB63">
            <w:pPr>
              <w:pStyle w:val="13"/>
              <w:spacing w:line="320" w:lineRule="exact"/>
              <w:jc w:val="both"/>
              <w:rPr>
                <w:rFonts w:asci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46DD4826">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5CF38D90">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14:paraId="56FA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8D49BA">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8627" w:type="dxa"/>
            <w:vAlign w:val="center"/>
          </w:tcPr>
          <w:p w14:paraId="057E3195">
            <w:pPr>
              <w:autoSpaceDE w:val="0"/>
              <w:autoSpaceDN w:val="0"/>
              <w:snapToGrid w:val="0"/>
              <w:spacing w:line="400" w:lineRule="exact"/>
              <w:textAlignment w:val="bottom"/>
              <w:rPr>
                <w:rFonts w:ascii="宋体" w:cs="宋体"/>
                <w:color w:val="auto"/>
                <w:szCs w:val="21"/>
                <w:highlight w:val="none"/>
              </w:rPr>
            </w:pPr>
            <w:r>
              <w:rPr>
                <w:rFonts w:hint="eastAsia" w:ascii="宋体" w:hAnsi="宋体" w:cs="宋体"/>
                <w:color w:val="auto"/>
                <w:szCs w:val="21"/>
                <w:highlight w:val="none"/>
              </w:rPr>
              <w:t>本项目不收取履约保证金。</w:t>
            </w:r>
          </w:p>
        </w:tc>
      </w:tr>
      <w:tr w14:paraId="31BB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B7E1E3">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27" w:type="dxa"/>
            <w:vAlign w:val="center"/>
          </w:tcPr>
          <w:p w14:paraId="09677007">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14:paraId="6B448996">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14:paraId="6A88D44B">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14:paraId="4421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443306">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27" w:type="dxa"/>
            <w:vAlign w:val="center"/>
          </w:tcPr>
          <w:p w14:paraId="5FC7F95D">
            <w:pPr>
              <w:pStyle w:val="20"/>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4228845A">
            <w:pPr>
              <w:pStyle w:val="20"/>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0771-2023496</w:t>
            </w:r>
            <w:r>
              <w:rPr>
                <w:rFonts w:hint="eastAsia" w:hAnsi="宋体" w:cs="宋体"/>
                <w:color w:val="auto"/>
                <w:sz w:val="21"/>
                <w:highlight w:val="none"/>
              </w:rPr>
              <w:t>，通讯地址：广西南宁市民族大道</w:t>
            </w:r>
            <w:r>
              <w:rPr>
                <w:rFonts w:hAnsi="宋体" w:cs="宋体"/>
                <w:color w:val="auto"/>
                <w:sz w:val="21"/>
                <w:highlight w:val="none"/>
              </w:rPr>
              <w:t>141</w:t>
            </w:r>
            <w:r>
              <w:rPr>
                <w:rFonts w:hint="eastAsia" w:hAnsi="宋体" w:cs="宋体"/>
                <w:color w:val="auto"/>
                <w:sz w:val="21"/>
                <w:highlight w:val="none"/>
              </w:rPr>
              <w:t>号中鼎万象东方大厦</w:t>
            </w:r>
            <w:r>
              <w:rPr>
                <w:rFonts w:hAnsi="宋体" w:cs="宋体"/>
                <w:color w:val="auto"/>
                <w:sz w:val="21"/>
                <w:highlight w:val="none"/>
              </w:rPr>
              <w:t>C</w:t>
            </w:r>
            <w:r>
              <w:rPr>
                <w:rFonts w:hint="eastAsia" w:hAnsi="宋体" w:cs="宋体"/>
                <w:color w:val="auto"/>
                <w:sz w:val="21"/>
                <w:highlight w:val="none"/>
              </w:rPr>
              <w:t>区六层</w:t>
            </w:r>
          </w:p>
          <w:p w14:paraId="76CE5AFB">
            <w:pPr>
              <w:pStyle w:val="20"/>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14:paraId="5B8E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75CEFC2">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27" w:type="dxa"/>
            <w:vAlign w:val="center"/>
          </w:tcPr>
          <w:p w14:paraId="482AC159">
            <w:pPr>
              <w:pStyle w:val="20"/>
              <w:snapToGrid w:val="0"/>
              <w:spacing w:line="400" w:lineRule="exact"/>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2BD51455">
            <w:pPr>
              <w:pStyle w:val="20"/>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、采购代理服务费收取标准：以各分标成交金额为计费额，按本须知正文第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3B1AB5E9">
            <w:pPr>
              <w:pStyle w:val="20"/>
              <w:snapToGrid w:val="0"/>
              <w:spacing w:line="400"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、代理服务费缴费账户信息：</w:t>
            </w:r>
          </w:p>
          <w:p w14:paraId="662CC4BD">
            <w:pPr>
              <w:pStyle w:val="20"/>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6FD26D06">
            <w:pPr>
              <w:pStyle w:val="20"/>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648D178A">
            <w:pPr>
              <w:pStyle w:val="20"/>
              <w:snapToGrid w:val="0"/>
              <w:spacing w:line="400" w:lineRule="exact"/>
              <w:rPr>
                <w:rFonts w:hAnsi="宋体" w:cs="宋体"/>
                <w:color w:val="auto"/>
                <w:sz w:val="21"/>
                <w:highlight w:val="none"/>
              </w:rPr>
            </w:pPr>
            <w:r>
              <w:rPr>
                <w:rFonts w:hint="eastAsia" w:hAnsi="宋体" w:cs="宋体"/>
                <w:color w:val="auto"/>
                <w:sz w:val="21"/>
                <w:highlight w:val="none"/>
              </w:rPr>
              <w:t>银行账号：</w:t>
            </w:r>
            <w:r>
              <w:rPr>
                <w:rFonts w:hAnsi="宋体" w:cs="宋体"/>
                <w:color w:val="auto"/>
                <w:sz w:val="21"/>
                <w:highlight w:val="none"/>
              </w:rPr>
              <w:t>805022302700001</w:t>
            </w:r>
          </w:p>
        </w:tc>
      </w:tr>
      <w:tr w14:paraId="5495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1D0FBF">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27" w:type="dxa"/>
            <w:vAlign w:val="center"/>
          </w:tcPr>
          <w:p w14:paraId="4F16803D">
            <w:pPr>
              <w:pStyle w:val="20"/>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4E6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EDD059B">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27" w:type="dxa"/>
            <w:vAlign w:val="center"/>
          </w:tcPr>
          <w:p w14:paraId="568AAE67">
            <w:pPr>
              <w:pStyle w:val="20"/>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3F6F0D2C">
            <w:pPr>
              <w:pStyle w:val="20"/>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5897DAF7">
            <w:pPr>
              <w:pStyle w:val="13"/>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磋商文件中描述供应商的“签字”是指供应商的法定代表人或者委托代理人在文件规定签署处签名（含电子签名）的行为，法定代表人的私章、印鉴（含电子私章、电子印鉴）法律效力与法定代表人签字等同。</w:t>
            </w:r>
          </w:p>
          <w:p w14:paraId="67BAA808">
            <w:pPr>
              <w:pStyle w:val="20"/>
              <w:snapToGrid w:val="0"/>
              <w:spacing w:line="360" w:lineRule="auto"/>
              <w:rPr>
                <w:rFonts w:hAnsi="宋体" w:cs="宋体"/>
                <w:color w:val="auto"/>
                <w:sz w:val="21"/>
                <w:highlight w:val="none"/>
              </w:rPr>
            </w:pPr>
            <w:r>
              <w:rPr>
                <w:rFonts w:hint="eastAsia" w:ascii="宋体" w:hAnsi="宋体" w:eastAsia="宋体" w:cs="宋体"/>
                <w:color w:val="auto"/>
                <w:kern w:val="0"/>
                <w:sz w:val="21"/>
                <w:szCs w:val="21"/>
                <w:highlight w:val="none"/>
                <w:lang w:val="en-US" w:eastAsia="zh-CN" w:bidi="ar-SA"/>
              </w:rPr>
              <w:t>4、自然人竞标的，磋商文件规定盖</w:t>
            </w:r>
            <w:r>
              <w:rPr>
                <w:rFonts w:hint="eastAsia" w:hAnsi="宋体" w:cs="宋体"/>
                <w:color w:val="auto"/>
                <w:sz w:val="21"/>
                <w:highlight w:val="none"/>
              </w:rPr>
              <w:t>公章处由自然人摁手指指印。</w:t>
            </w:r>
          </w:p>
          <w:p w14:paraId="4B36B543">
            <w:pPr>
              <w:pStyle w:val="20"/>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5DC5FD17">
            <w:pPr>
              <w:pStyle w:val="20"/>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08FF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32B4DE1">
            <w:pPr>
              <w:spacing w:line="360" w:lineRule="auto"/>
              <w:jc w:val="center"/>
              <w:rPr>
                <w:rFonts w:ascii="宋体" w:cs="宋体"/>
                <w:color w:val="auto"/>
                <w:szCs w:val="21"/>
                <w:highlight w:val="none"/>
              </w:rPr>
            </w:pPr>
          </w:p>
        </w:tc>
        <w:tc>
          <w:tcPr>
            <w:tcW w:w="8627" w:type="dxa"/>
            <w:vAlign w:val="center"/>
          </w:tcPr>
          <w:p w14:paraId="4F00A042">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w:t>
            </w:r>
            <w:r>
              <w:rPr>
                <w:rFonts w:ascii="宋体" w:cs="宋体"/>
                <w:b/>
                <w:bCs/>
                <w:color w:val="auto"/>
                <w:szCs w:val="21"/>
                <w:highlight w:val="none"/>
              </w:rPr>
              <w:t>,</w:t>
            </w:r>
            <w:r>
              <w:rPr>
                <w:rFonts w:hint="eastAsia" w:ascii="宋体" w:hAnsi="宋体" w:cs="宋体"/>
                <w:b/>
                <w:bCs/>
                <w:color w:val="auto"/>
                <w:szCs w:val="21"/>
                <w:highlight w:val="none"/>
              </w:rPr>
              <w:t>依法承担赔偿责任；构成犯罪的，依法追究刑事责任。</w:t>
            </w:r>
          </w:p>
        </w:tc>
      </w:tr>
    </w:tbl>
    <w:p w14:paraId="68E77A14">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D5DFCB7">
      <w:pPr>
        <w:spacing w:line="400" w:lineRule="exact"/>
        <w:jc w:val="center"/>
        <w:rPr>
          <w:rFonts w:ascii="宋体" w:cs="宋体"/>
          <w:b/>
          <w:color w:val="auto"/>
          <w:sz w:val="32"/>
          <w:szCs w:val="32"/>
          <w:highlight w:val="none"/>
        </w:rPr>
      </w:pPr>
    </w:p>
    <w:p w14:paraId="196182F2">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一、总则</w:t>
      </w:r>
    </w:p>
    <w:p w14:paraId="1EA38630">
      <w:pPr>
        <w:spacing w:line="400" w:lineRule="exact"/>
        <w:rPr>
          <w:rFonts w:ascii="宋体" w:cs="宋体"/>
          <w:color w:val="auto"/>
          <w:szCs w:val="21"/>
          <w:highlight w:val="none"/>
        </w:rPr>
      </w:pPr>
    </w:p>
    <w:p w14:paraId="7408708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7FF633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75E8A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B85C2B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7BF714D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0777264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5ED751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2F1F9F9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50AD65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C4AF54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48B7C13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E8B21AC">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6FD95B94">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19CAEF52">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4C3A67B">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5A3E5649">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4645C04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5EEFEB3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3725D79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竞标费用</w:t>
      </w:r>
    </w:p>
    <w:p w14:paraId="3F9BD58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75EB9B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3954D6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58B82FB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0032BCE0">
      <w:pPr>
        <w:pStyle w:val="6"/>
        <w:keepNext w:val="0"/>
        <w:keepLines w:val="0"/>
        <w:spacing w:before="0" w:after="0" w:line="360" w:lineRule="auto"/>
        <w:ind w:left="420" w:leftChars="200"/>
        <w:rPr>
          <w:rFonts w:ascii="宋体" w:cs="宋体"/>
          <w:b w:val="0"/>
          <w:color w:val="auto"/>
          <w:sz w:val="21"/>
          <w:szCs w:val="21"/>
          <w:highlight w:val="none"/>
        </w:rPr>
      </w:pPr>
      <w:bookmarkStart w:id="24" w:name="_Toc254970532"/>
      <w:bookmarkStart w:id="25" w:name="_Toc254970673"/>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14:paraId="5DB1B422">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32939CD">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42B0178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24"/>
      <w:bookmarkEnd w:id="25"/>
    </w:p>
    <w:p w14:paraId="05EC4130">
      <w:pPr>
        <w:spacing w:line="360" w:lineRule="auto"/>
        <w:ind w:firstLine="420" w:firstLineChars="200"/>
        <w:rPr>
          <w:rFonts w:ascii="宋体" w:cs="宋体"/>
          <w:color w:val="auto"/>
          <w:szCs w:val="21"/>
          <w:highlight w:val="none"/>
        </w:rPr>
      </w:pPr>
      <w:bookmarkStart w:id="26" w:name="_8.1提供相同品牌产品且通过资格审查、符合性审查的不同投标人参加同一合"/>
      <w:bookmarkEnd w:id="26"/>
      <w:r>
        <w:rPr>
          <w:rFonts w:ascii="宋体" w:hAnsi="宋体" w:cs="宋体"/>
          <w:color w:val="auto"/>
          <w:szCs w:val="21"/>
          <w:highlight w:val="none"/>
        </w:rPr>
        <w:t>7.1</w:t>
      </w:r>
      <w:bookmarkStart w:id="2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27"/>
    <w:p w14:paraId="4AA9917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2442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F64119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4D65335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1237E51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6789FD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7886FBA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42D0887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02D8FF0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B242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087663B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r>
        <w:rPr>
          <w:rFonts w:ascii="宋体" w:hAnsi="宋体" w:cs="宋体"/>
          <w:color w:val="auto"/>
          <w:szCs w:val="21"/>
          <w:highlight w:val="none"/>
        </w:rPr>
        <w:t xml:space="preserve"> </w:t>
      </w:r>
    </w:p>
    <w:p w14:paraId="72A9659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2172CF4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6209DCC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2FF8CE2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）不同供应商报名的IP地址一致；</w:t>
      </w:r>
    </w:p>
    <w:p w14:paraId="55AA3D77">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7A895C4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29D179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65D9BCC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684DAD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6815416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3D28A5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1E0C9BF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4EB542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3027A65B">
      <w:pPr>
        <w:spacing w:line="360" w:lineRule="auto"/>
        <w:ind w:firstLine="420" w:firstLineChars="200"/>
        <w:rPr>
          <w:rFonts w:ascii="宋体" w:cs="宋体"/>
          <w:color w:val="auto"/>
          <w:szCs w:val="21"/>
          <w:highlight w:val="none"/>
        </w:rPr>
      </w:pPr>
    </w:p>
    <w:p w14:paraId="28A3F7FF">
      <w:pPr>
        <w:spacing w:line="360" w:lineRule="auto"/>
        <w:ind w:left="1" w:firstLine="417" w:firstLineChars="199"/>
        <w:jc w:val="center"/>
        <w:rPr>
          <w:rFonts w:ascii="宋体" w:cs="宋体"/>
          <w:color w:val="auto"/>
          <w:highlight w:val="none"/>
        </w:rPr>
      </w:pPr>
      <w:bookmarkStart w:id="28" w:name="_Toc254970534"/>
      <w:bookmarkStart w:id="29" w:name="_Toc254970675"/>
    </w:p>
    <w:p w14:paraId="41148888">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二、磋商文件</w:t>
      </w:r>
      <w:bookmarkEnd w:id="28"/>
      <w:bookmarkEnd w:id="29"/>
    </w:p>
    <w:p w14:paraId="57906B79">
      <w:pPr>
        <w:spacing w:line="360" w:lineRule="auto"/>
        <w:ind w:firstLine="482" w:firstLineChars="200"/>
        <w:rPr>
          <w:rFonts w:ascii="宋体" w:cs="宋体"/>
          <w:b/>
          <w:bCs/>
          <w:color w:val="auto"/>
          <w:sz w:val="24"/>
          <w:highlight w:val="none"/>
        </w:rPr>
      </w:pPr>
    </w:p>
    <w:p w14:paraId="02FD98E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磋商文件的构成</w:t>
      </w:r>
    </w:p>
    <w:p w14:paraId="04A6FB43">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）竞争性磋商公告；</w:t>
      </w:r>
    </w:p>
    <w:p w14:paraId="3A1CC78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3BE7D19C">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14:paraId="2B118F78">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）评审程序、评审方法和评审标准；</w:t>
      </w:r>
    </w:p>
    <w:p w14:paraId="33038509">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）响应文件格式；</w:t>
      </w:r>
    </w:p>
    <w:p w14:paraId="76C00B84">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）合同文本。</w:t>
      </w:r>
    </w:p>
    <w:p w14:paraId="670E645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29CB2F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52B0CF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7312E5BE">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4938941D">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68DB66C">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0FDAD279">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652AA92E">
      <w:pPr>
        <w:spacing w:line="400" w:lineRule="exact"/>
        <w:ind w:firstLine="422" w:firstLineChars="200"/>
        <w:rPr>
          <w:rFonts w:ascii="宋体" w:cs="宋体"/>
          <w:b/>
          <w:color w:val="auto"/>
          <w:szCs w:val="21"/>
          <w:highlight w:val="none"/>
        </w:rPr>
      </w:pPr>
    </w:p>
    <w:p w14:paraId="269AC58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17CDB98F">
      <w:pPr>
        <w:spacing w:line="360" w:lineRule="auto"/>
        <w:ind w:firstLine="482" w:firstLineChars="200"/>
        <w:rPr>
          <w:rFonts w:ascii="宋体" w:cs="宋体"/>
          <w:b/>
          <w:bCs/>
          <w:color w:val="auto"/>
          <w:sz w:val="24"/>
          <w:highlight w:val="none"/>
        </w:rPr>
      </w:pPr>
    </w:p>
    <w:p w14:paraId="64EA573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5072CB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3A2B51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7668D6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14:paraId="30B4D45B">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7EF75786">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报价商务技术文件：详见须知前附表</w:t>
      </w:r>
    </w:p>
    <w:p w14:paraId="608BB8C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14A2B75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9F3120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1DAA96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910B0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14:paraId="763136A9">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竞标报价应按磋商文件中“竞标报价表”格式填写。</w:t>
      </w:r>
    </w:p>
    <w:p w14:paraId="647551B1">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3B349CED">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0B762F59">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15.3.1</w:t>
      </w:r>
      <w:r>
        <w:rPr>
          <w:rFonts w:hint="eastAsia" w:ascii="宋体" w:hAnsi="宋体" w:cs="宋体"/>
          <w:b/>
          <w:color w:val="auto"/>
          <w:szCs w:val="21"/>
          <w:highlight w:val="none"/>
        </w:rPr>
        <w:t>供应商的竞标报价应符合以下要求，否则响应文件按无效响应处理：</w:t>
      </w:r>
    </w:p>
    <w:p w14:paraId="22E81CF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38FCB0F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2D0D2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最后报价超过所竞标规定的采购预算金额或者最高限价的，其响应文件将按无效响应处理。</w:t>
      </w:r>
      <w:bookmarkStart w:id="30" w:name="_Hlk42592874"/>
    </w:p>
    <w:bookmarkEnd w:id="30"/>
    <w:p w14:paraId="49BE39C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1F6A6B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470899B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6C4ABBF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585EA70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1A6D224F">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120CA19E">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26D55CBC">
      <w:pPr>
        <w:spacing w:line="360" w:lineRule="auto"/>
        <w:ind w:firstLine="420" w:firstLineChars="200"/>
        <w:rPr>
          <w:rFonts w:ascii="宋体" w:cs="宋体"/>
          <w:color w:val="auto"/>
          <w:szCs w:val="21"/>
          <w:highlight w:val="none"/>
        </w:rPr>
      </w:pPr>
      <w:bookmarkStart w:id="31"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31"/>
      <w:r>
        <w:rPr>
          <w:rFonts w:ascii="宋体" w:hAnsi="宋体" w:cs="宋体"/>
          <w:color w:val="auto"/>
          <w:szCs w:val="21"/>
          <w:highlight w:val="none"/>
        </w:rPr>
        <w:t xml:space="preserve"> </w:t>
      </w:r>
    </w:p>
    <w:p w14:paraId="0997300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10E25290">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r>
        <w:rPr>
          <w:rFonts w:ascii="宋体" w:hAnsi="宋体" w:cs="宋体"/>
          <w:color w:val="auto"/>
          <w:szCs w:val="21"/>
          <w:highlight w:val="none"/>
        </w:rPr>
        <w:t xml:space="preserve"> </w:t>
      </w:r>
    </w:p>
    <w:p w14:paraId="5208DE4B">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14:paraId="053DD929">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14:paraId="44397132">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6AE1514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6E535B10">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2ED78ECC">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58A108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2555B543">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1FB05B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响应文件应按资格证明文件、报价商务技术文件分别编制电子文件，并按“广西政府采购云平台”的要求编制、加密、上传。</w:t>
      </w:r>
    </w:p>
    <w:p w14:paraId="3033A90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32"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33" w:name="_Hlk65832569"/>
      <w:r>
        <w:rPr>
          <w:rFonts w:hint="eastAsia" w:ascii="宋体" w:hAnsi="宋体" w:cs="宋体"/>
          <w:color w:val="auto"/>
          <w:szCs w:val="21"/>
          <w:highlight w:val="none"/>
        </w:rPr>
        <w:t>（具体以供应商须知前附表或响应文件格式规定为准）</w:t>
      </w:r>
      <w:bookmarkEnd w:id="32"/>
      <w:bookmarkEnd w:id="33"/>
      <w:r>
        <w:rPr>
          <w:rFonts w:hint="eastAsia" w:ascii="宋体" w:hAnsi="宋体" w:cs="宋体"/>
          <w:color w:val="auto"/>
          <w:szCs w:val="21"/>
          <w:highlight w:val="none"/>
        </w:rPr>
        <w:t>，否则其响应文件按无效响应处理。</w:t>
      </w:r>
    </w:p>
    <w:p w14:paraId="61B548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14:paraId="09420CC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F53DBA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14:paraId="6A5A70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电子响应文件编制完成后，供应商应按“广西政府采购云平台”的要求进行加密，并在规定时间内解密，否则，由此产生的后果由供应商自行负责。</w:t>
      </w:r>
    </w:p>
    <w:p w14:paraId="636A1B2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4F84D7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5C622EC0">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）实行在线电子竞标，供应商应先安装“广西政府采购云平台新版客户端”（新版客户端下载路径：请自行前往“广西政府采购云平台”（访问地址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4F77067C">
      <w:pPr>
        <w:pStyle w:val="6"/>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未在规定时间内上传或者未按“广西政府采购云平台”的要求编制、加密的电子响应文件，“广西政府采购云平台”将拒收。</w:t>
      </w:r>
    </w:p>
    <w:p w14:paraId="7CC3B48E">
      <w:pPr>
        <w:pStyle w:val="7"/>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5B9DBBC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22B59933">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40FAB55">
      <w:pPr>
        <w:spacing w:line="360" w:lineRule="auto"/>
        <w:ind w:firstLine="482" w:firstLineChars="200"/>
        <w:rPr>
          <w:rFonts w:ascii="宋体" w:cs="宋体"/>
          <w:b/>
          <w:bCs/>
          <w:color w:val="auto"/>
          <w:sz w:val="24"/>
          <w:highlight w:val="none"/>
        </w:rPr>
      </w:pPr>
      <w:bookmarkStart w:id="34"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2971E7B7">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家时，采购代理机构将根据“广西政府采购云平台”的操作将电子版响应文件退回，除此之外采购人和采购代理机构对已提交的电子响应文件概不退回。</w:t>
      </w:r>
    </w:p>
    <w:p w14:paraId="10DE83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48EBA4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的规定不予退还其磋商保证金。</w:t>
      </w:r>
    </w:p>
    <w:bookmarkEnd w:id="34"/>
    <w:p w14:paraId="1C00A9FF">
      <w:pPr>
        <w:spacing w:line="360" w:lineRule="auto"/>
        <w:rPr>
          <w:rFonts w:ascii="宋体" w:cs="宋体"/>
          <w:color w:val="auto"/>
          <w:szCs w:val="21"/>
          <w:highlight w:val="none"/>
        </w:rPr>
      </w:pPr>
    </w:p>
    <w:p w14:paraId="4ADC698A">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四、评审及磋商</w:t>
      </w:r>
    </w:p>
    <w:p w14:paraId="1C278102">
      <w:pPr>
        <w:spacing w:line="360" w:lineRule="auto"/>
        <w:ind w:firstLine="482" w:firstLineChars="200"/>
        <w:rPr>
          <w:rFonts w:ascii="宋体" w:cs="宋体"/>
          <w:b/>
          <w:bCs/>
          <w:color w:val="auto"/>
          <w:sz w:val="24"/>
          <w:highlight w:val="none"/>
        </w:rPr>
      </w:pPr>
    </w:p>
    <w:p w14:paraId="5E8E55D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7A549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060D27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7A59201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6EA2DB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5AE168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14:paraId="1CAF9AB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家的，不得磋商。</w:t>
      </w:r>
    </w:p>
    <w:p w14:paraId="3916D3C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84C86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0D1970CA">
      <w:pPr>
        <w:spacing w:line="400" w:lineRule="exact"/>
        <w:ind w:firstLine="420" w:firstLineChars="200"/>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58E9A24B">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52392B85">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64F8278E">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3D98630D">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71A9F0D9">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14FB7C65">
      <w:pPr>
        <w:spacing w:line="400" w:lineRule="exact"/>
        <w:ind w:firstLine="420" w:firstLineChars="200"/>
        <w:rPr>
          <w:rFonts w:ascii="宋体" w:cs="宋体"/>
          <w:color w:val="auto"/>
          <w:szCs w:val="21"/>
          <w:highlight w:val="none"/>
        </w:rPr>
      </w:pPr>
      <w:r>
        <w:rPr>
          <w:rFonts w:ascii="宋体" w:hAnsi="宋体" w:cs="宋体"/>
          <w:color w:val="auto"/>
          <w:highlight w:val="none"/>
        </w:rPr>
        <w:t>26.3</w:t>
      </w: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2C99773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5E62B1E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BE496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5" w:name="_Hlk66782294"/>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bookmarkEnd w:id="35"/>
    </w:p>
    <w:p w14:paraId="3F7D11D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DAB857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35DB277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28.1 </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618179E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3116A22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0226DC30">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成交供应商在收到成交通知书（书面或电子）后，应当在签订合同时向采购人出示相关证明材料，具体内容详见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“供应商须知前附表”，经采购人核验合格后方可签订合同（书面或电子）。</w:t>
      </w:r>
    </w:p>
    <w:p w14:paraId="1D577ED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签订合同时间：按成交通知书规定的时间与采购人签订政府采购合同（最长不能超过</w:t>
      </w:r>
      <w:r>
        <w:rPr>
          <w:rFonts w:ascii="宋体" w:hAnsi="宋体" w:cs="宋体"/>
          <w:color w:val="auto"/>
          <w:szCs w:val="21"/>
          <w:highlight w:val="none"/>
        </w:rPr>
        <w:t>25</w:t>
      </w:r>
      <w:r>
        <w:rPr>
          <w:rFonts w:hint="eastAsia" w:ascii="宋体" w:hAnsi="宋体" w:cs="宋体"/>
          <w:color w:val="auto"/>
          <w:szCs w:val="21"/>
          <w:highlight w:val="none"/>
        </w:rPr>
        <w:t>日）。</w:t>
      </w:r>
    </w:p>
    <w:p w14:paraId="71905FA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27.3</w:t>
      </w:r>
      <w:r>
        <w:rPr>
          <w:rFonts w:hint="eastAsia" w:ascii="宋体" w:hAnsi="宋体" w:cs="宋体"/>
          <w:color w:val="auto"/>
          <w:szCs w:val="21"/>
          <w:highlight w:val="none"/>
        </w:rPr>
        <w:t>条的规定执行。</w:t>
      </w:r>
    </w:p>
    <w:p w14:paraId="0B04B7C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29C5BA9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1B1F2FD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170B0E2D">
      <w:pPr>
        <w:pStyle w:val="7"/>
        <w:spacing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56817A2D">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58AA56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）对可以质疑的磋商文件提出质疑的，为收到磋商文件之日或者竞争性磋商公告期限届满之日；</w:t>
      </w:r>
    </w:p>
    <w:p w14:paraId="38DEB7F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5165499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417FD638">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26838FDC">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2040C0A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3BAED78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0FA21D7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5A11262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6A1118D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42998D19">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4083A1D6">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9345712">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BDE21C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14:paraId="5EE69F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182797D4">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7418CDC">
      <w:pPr>
        <w:spacing w:line="360" w:lineRule="auto"/>
        <w:ind w:firstLine="420" w:firstLineChars="200"/>
        <w:rPr>
          <w:rFonts w:ascii="宋体" w:cs="宋体"/>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019E6A1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47FBF05E">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w:t>
      </w:r>
    </w:p>
    <w:p w14:paraId="2B63EE0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AC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7A309E0">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服务类型</w:t>
            </w:r>
          </w:p>
          <w:p w14:paraId="2ECB1C05">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85FB8EA">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D044E8A">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11277EC">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667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8F07E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1F8E8B97">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1B88D1C2">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3E9DDB4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129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449255">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69EEE3B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5E92DE1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1704B94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47BD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96BC416">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3DF21865">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4E34D6E1">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4F9DBB2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69F9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7E76D9">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53E9507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0FFA177A">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30C208E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0FC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A3228A">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4957583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1782DBA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2D6C62A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17BC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EAD0B1E">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349C656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41FB0A37">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2157B092">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4F40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393B86">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55F4AA95">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29B1C3F0">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577E6E12">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7260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A42B18">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527131E1">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1324C284">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64C0BD3D">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6853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EE5AD24">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46C75D4D">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3BF53BB3">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478BB33B">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5CD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CDE2C0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1EB24625">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18C60A8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5239A8B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15CAB9F9">
      <w:pPr>
        <w:spacing w:line="360" w:lineRule="auto"/>
        <w:ind w:firstLine="420" w:firstLineChars="200"/>
        <w:rPr>
          <w:rFonts w:ascii="宋体" w:cs="宋体"/>
          <w:color w:val="auto"/>
          <w:highlight w:val="none"/>
        </w:rPr>
      </w:pPr>
    </w:p>
    <w:p w14:paraId="4B425448">
      <w:pPr>
        <w:spacing w:line="360" w:lineRule="auto"/>
        <w:ind w:firstLine="420" w:firstLineChars="200"/>
        <w:rPr>
          <w:rFonts w:ascii="宋体" w:cs="宋体"/>
          <w:color w:val="auto"/>
          <w:highlight w:val="none"/>
        </w:rPr>
      </w:pPr>
    </w:p>
    <w:p w14:paraId="556ECC4A">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B9F84B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w:t>
      </w:r>
      <w:r>
        <w:rPr>
          <w:rFonts w:hint="eastAsia" w:ascii="宋体" w:hAnsi="宋体" w:cs="宋体"/>
          <w:color w:val="auto"/>
          <w:szCs w:val="21"/>
          <w:highlight w:val="none"/>
        </w:rPr>
        <w:t>金额</w:t>
      </w:r>
      <w:r>
        <w:rPr>
          <w:rFonts w:hint="eastAsia" w:ascii="宋体" w:hAnsi="宋体" w:cs="宋体"/>
          <w:color w:val="auto"/>
          <w:highlight w:val="none"/>
        </w:rPr>
        <w:t>计算的收费为采购代理的收费基准价格；</w:t>
      </w:r>
    </w:p>
    <w:p w14:paraId="38C506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5A48CAE6">
      <w:pPr>
        <w:spacing w:line="360" w:lineRule="auto"/>
        <w:ind w:firstLine="420" w:firstLineChars="200"/>
        <w:rPr>
          <w:rFonts w:ascii="宋体" w:cs="宋体"/>
          <w:color w:val="auto"/>
          <w:highlight w:val="none"/>
        </w:rPr>
      </w:pPr>
      <w:r>
        <w:rPr>
          <w:rFonts w:hint="eastAsia" w:ascii="宋体" w:hAnsi="宋体" w:cs="宋体"/>
          <w:color w:val="auto"/>
          <w:highlight w:val="none"/>
        </w:rPr>
        <w:t>例如：某服务采购代理业务成交金额或者暂定价为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3DED4FF2">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14:paraId="33C43B9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0.8%</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万元</w:t>
      </w:r>
    </w:p>
    <w:p w14:paraId="43752C9B">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w:t>
      </w:r>
      <w:r>
        <w:rPr>
          <w:rFonts w:ascii="宋体" w:hAnsi="宋体" w:cs="宋体"/>
          <w:color w:val="auto"/>
          <w:highlight w:val="none"/>
        </w:rPr>
        <w:t xml:space="preserve"> 1.9 </w:t>
      </w:r>
      <w:r>
        <w:rPr>
          <w:rFonts w:hint="eastAsia" w:ascii="宋体" w:hAnsi="宋体" w:cs="宋体"/>
          <w:color w:val="auto"/>
          <w:highlight w:val="none"/>
        </w:rPr>
        <w:t>万元</w:t>
      </w:r>
    </w:p>
    <w:p w14:paraId="7B1829D1">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32.3</w:t>
      </w:r>
      <w:r>
        <w:rPr>
          <w:rFonts w:hint="eastAsia" w:ascii="宋体" w:hAnsi="宋体" w:cs="宋体"/>
          <w:color w:val="auto"/>
          <w:kern w:val="0"/>
          <w:szCs w:val="21"/>
          <w:highlight w:val="none"/>
        </w:rPr>
        <w:t>代理服务费交纳银行帐号信息</w:t>
      </w:r>
    </w:p>
    <w:p w14:paraId="342CD882">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2E9F45A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5453680A">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805022302700001</w:t>
      </w:r>
    </w:p>
    <w:p w14:paraId="76A9E24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需要补充的其他内容</w:t>
      </w:r>
    </w:p>
    <w:p w14:paraId="55180E3E">
      <w:pPr>
        <w:pStyle w:val="20"/>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33.1</w:t>
      </w:r>
      <w:r>
        <w:rPr>
          <w:rFonts w:hint="eastAsia" w:hAnsi="宋体" w:cs="宋体"/>
          <w:color w:val="auto"/>
          <w:kern w:val="2"/>
          <w:sz w:val="21"/>
          <w:highlight w:val="none"/>
        </w:rPr>
        <w:t>本磋商文件解释规则详见“供应商须知前附表”。</w:t>
      </w:r>
    </w:p>
    <w:p w14:paraId="1DBAA9B2">
      <w:pPr>
        <w:pStyle w:val="20"/>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33.2 </w:t>
      </w:r>
      <w:r>
        <w:rPr>
          <w:rFonts w:hint="eastAsia" w:hAnsi="宋体" w:cs="宋体"/>
          <w:color w:val="auto"/>
          <w:kern w:val="2"/>
          <w:sz w:val="21"/>
          <w:highlight w:val="none"/>
        </w:rPr>
        <w:t>其他事项详见“供应商须知前附表”。</w:t>
      </w:r>
    </w:p>
    <w:p w14:paraId="50760F8E">
      <w:pPr>
        <w:pStyle w:val="20"/>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BE9D34A">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14:paraId="32838BCD">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14:paraId="3B8B5DEB">
      <w:pPr>
        <w:pStyle w:val="20"/>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3D0CC3C0">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F9708A1">
      <w:pPr>
        <w:pStyle w:val="20"/>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F12CE1D">
      <w:pPr>
        <w:pStyle w:val="2"/>
        <w:spacing w:line="360" w:lineRule="auto"/>
        <w:rPr>
          <w:rFonts w:ascii="宋体" w:cs="宋体"/>
          <w:color w:val="auto"/>
          <w:highlight w:val="none"/>
        </w:rPr>
      </w:pPr>
      <w:r>
        <w:rPr>
          <w:rFonts w:ascii="宋体" w:cs="宋体"/>
          <w:color w:val="auto"/>
          <w:highlight w:val="none"/>
        </w:rPr>
        <w:br w:type="page"/>
      </w:r>
      <w:bookmarkStart w:id="36" w:name="_Toc14902"/>
      <w:bookmarkStart w:id="37" w:name="_Toc8379"/>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36"/>
      <w:bookmarkEnd w:id="37"/>
    </w:p>
    <w:p w14:paraId="2CA5C189">
      <w:pPr>
        <w:spacing w:line="440" w:lineRule="exact"/>
        <w:jc w:val="center"/>
        <w:rPr>
          <w:rFonts w:ascii="宋体" w:cs="宋体"/>
          <w:b/>
          <w:color w:val="auto"/>
          <w:sz w:val="32"/>
          <w:szCs w:val="32"/>
          <w:highlight w:val="none"/>
        </w:rPr>
      </w:pPr>
    </w:p>
    <w:p w14:paraId="46C11931">
      <w:pPr>
        <w:spacing w:line="360" w:lineRule="auto"/>
        <w:jc w:val="left"/>
        <w:rPr>
          <w:rFonts w:ascii="宋体" w:cs="宋体"/>
          <w:b/>
          <w:color w:val="auto"/>
          <w:szCs w:val="21"/>
          <w:highlight w:val="none"/>
        </w:rPr>
      </w:pPr>
      <w:r>
        <w:rPr>
          <w:rFonts w:hint="eastAsia" w:ascii="宋体" w:hAnsi="宋体" w:cs="宋体"/>
          <w:b/>
          <w:color w:val="auto"/>
          <w:szCs w:val="21"/>
          <w:highlight w:val="none"/>
        </w:rPr>
        <w:t>说明：</w:t>
      </w:r>
    </w:p>
    <w:p w14:paraId="564360BA">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46A9CF65">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号）的规定，采购需求中如有货物产品，且货物产品属于节能产品政府采购品目清单内标注“★”的，供应商的竞标货物必须使用政府强制采购的节能产品，否则响应文件作无效响应处理。</w:t>
      </w:r>
    </w:p>
    <w:p w14:paraId="5FDF34D6">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14:paraId="7E14E061">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、“实质性要求”是指竞争性磋商文件中已经指明不满足则响应无效的条款，或者不能负偏离的条款，或者采购需求中带“▲”的条款。</w:t>
      </w:r>
    </w:p>
    <w:p w14:paraId="18B18596">
      <w:pPr>
        <w:spacing w:line="360" w:lineRule="auto"/>
        <w:ind w:firstLine="310" w:firstLineChars="147"/>
        <w:jc w:val="left"/>
        <w:rPr>
          <w:rFonts w:ascii="宋体" w:cs="宋体"/>
          <w:b/>
          <w:color w:val="auto"/>
          <w:szCs w:val="21"/>
          <w:highlight w:val="none"/>
        </w:rPr>
      </w:pPr>
    </w:p>
    <w:p w14:paraId="6C0AA8D4">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广西农业农村厅网站群内容优化服务</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hint="eastAsia" w:ascii="宋体" w:hAnsi="宋体" w:cs="宋体"/>
          <w:b/>
          <w:color w:val="auto"/>
          <w:szCs w:val="21"/>
          <w:highlight w:val="none"/>
          <w:u w:val="single"/>
          <w:lang w:val="en-US" w:eastAsia="zh-CN"/>
        </w:rPr>
        <w:t>60.00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BB8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424EA1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014AD11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58E269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019E9EB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A484BA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19F3AAA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72C2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12FADE6C">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1A048210">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eastAsia="zh-CN"/>
              </w:rPr>
              <w:t>网站群内容规范性检查及绩效评估诊断服务</w:t>
            </w:r>
          </w:p>
        </w:tc>
        <w:tc>
          <w:tcPr>
            <w:tcW w:w="1050" w:type="dxa"/>
            <w:vAlign w:val="center"/>
          </w:tcPr>
          <w:p w14:paraId="6DF9375D">
            <w:pPr>
              <w:tabs>
                <w:tab w:val="left" w:pos="180"/>
                <w:tab w:val="left" w:pos="1620"/>
              </w:tabs>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2F0B6D90">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 w:val="21"/>
                <w:szCs w:val="21"/>
                <w:highlight w:val="none"/>
              </w:rPr>
              <w:t>软件和信息技术服务业</w:t>
            </w:r>
          </w:p>
        </w:tc>
        <w:tc>
          <w:tcPr>
            <w:tcW w:w="5416" w:type="dxa"/>
            <w:vAlign w:val="center"/>
          </w:tcPr>
          <w:p w14:paraId="340F6050">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1.提供广西农业农村厅网站和直属单位共17个网站的监测服务和出具月监测报告；17个网站每月至少监测1次，每个网站提供详细完整的问题检测报告1期（可视情况增加监测密度）。</w:t>
            </w:r>
          </w:p>
          <w:p w14:paraId="4CEEA358">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2.提供广西农业农村厅网站的对标诊断服务</w:t>
            </w:r>
          </w:p>
          <w:p w14:paraId="00A13DD2">
            <w:pPr>
              <w:pStyle w:val="16"/>
              <w:spacing w:after="0" w:line="360" w:lineRule="auto"/>
              <w:ind w:left="0" w:leftChars="0" w:firstLine="408" w:firstLineChars="200"/>
              <w:rPr>
                <w:rFonts w:ascii="宋体" w:cs="宋体"/>
                <w:color w:val="auto"/>
                <w:szCs w:val="21"/>
                <w:highlight w:val="none"/>
              </w:rPr>
            </w:pPr>
            <w:r>
              <w:rPr>
                <w:rFonts w:hint="eastAsia" w:ascii="宋体" w:hAnsi="宋体" w:eastAsia="宋体" w:cs="宋体"/>
                <w:color w:val="auto"/>
                <w:spacing w:val="-3"/>
                <w:sz w:val="21"/>
                <w:szCs w:val="21"/>
                <w:highlight w:val="none"/>
                <w:lang w:eastAsia="zh-CN"/>
              </w:rPr>
              <w:t>按照《2024年全区政府网站与政务新媒体绩效评估实施方案》，在全区政府网站绩效评估采样开始前，对广西农业农村厅网站进行对标诊断，对照评估指标进行逐项检查，出具《网站及新媒体绩效评估对标诊断报告》1期。</w:t>
            </w:r>
          </w:p>
        </w:tc>
      </w:tr>
      <w:tr w14:paraId="6FB4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740C3BD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30304878">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eastAsia="zh-CN"/>
              </w:rPr>
              <w:t>网站群栏目优化及内容创新服务</w:t>
            </w:r>
          </w:p>
        </w:tc>
        <w:tc>
          <w:tcPr>
            <w:tcW w:w="1050" w:type="dxa"/>
            <w:vAlign w:val="center"/>
          </w:tcPr>
          <w:p w14:paraId="3FACCD8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7DF1D1A1">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 w:val="21"/>
                <w:szCs w:val="21"/>
                <w:highlight w:val="none"/>
              </w:rPr>
              <w:t>软件和信息技术服务业</w:t>
            </w:r>
          </w:p>
        </w:tc>
        <w:tc>
          <w:tcPr>
            <w:tcW w:w="5416" w:type="dxa"/>
            <w:vAlign w:val="center"/>
          </w:tcPr>
          <w:p w14:paraId="4199AC7E">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1.政策解读多样性服务</w:t>
            </w:r>
          </w:p>
          <w:p w14:paraId="3F7B2A6D">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对政策文件及解读材料进行梳理、分类、提炼、精简，归纳组织，制作成动漫、音视频、图解图表等形式多样化的产品，使政策解读多样性。全年不少于5个视频类政策解读以及5个图表图解类政策解读。</w:t>
            </w:r>
          </w:p>
          <w:p w14:paraId="73176A77">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2.提供页面设计及专题栏目维护服务</w:t>
            </w:r>
          </w:p>
          <w:p w14:paraId="645C5362">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优化页面设计：完成网站版面调整、修改、网站模板制作、网页制作、布局调整、栏目调整、网站兼容性处理等日常服务，及时处理网站存在的各种网页问题。对网站页面设计存在的如排版不合适、格式不统一、色调不一致、内容块错位等不足进行调优。不少于12次/年。</w:t>
            </w:r>
          </w:p>
          <w:p w14:paraId="37599E17">
            <w:pPr>
              <w:pStyle w:val="16"/>
              <w:spacing w:after="0" w:line="360" w:lineRule="auto"/>
              <w:ind w:left="0" w:leftChars="0" w:firstLine="408" w:firstLineChars="200"/>
              <w:rPr>
                <w:rFonts w:ascii="宋体" w:cs="宋体"/>
                <w:color w:val="auto"/>
                <w:szCs w:val="21"/>
                <w:highlight w:val="none"/>
              </w:rPr>
            </w:pPr>
            <w:r>
              <w:rPr>
                <w:rFonts w:hint="eastAsia" w:ascii="宋体" w:hAnsi="宋体" w:eastAsia="宋体" w:cs="宋体"/>
                <w:color w:val="auto"/>
                <w:spacing w:val="-3"/>
                <w:sz w:val="21"/>
                <w:szCs w:val="21"/>
                <w:highlight w:val="none"/>
                <w:lang w:eastAsia="zh-CN"/>
              </w:rPr>
              <w:t>专题栏目维护：对网站的各个栏目进行定期维护和更新，以确保网站栏目的内容和功能正常运作。根据用户行为习惯和网站设计规范，对网站栏目的样式进行调整和优化，以提高页面美观度和用户体验。根据农业农村厅职能及业务特点，针对重大节日、重要会议、重要活动、重大临时性任务等要求，设计相应的主题页面。不少于12次/年。</w:t>
            </w:r>
          </w:p>
        </w:tc>
      </w:tr>
      <w:tr w14:paraId="7E63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20D15C7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16" w:type="dxa"/>
            <w:gridSpan w:val="2"/>
            <w:vAlign w:val="center"/>
          </w:tcPr>
          <w:p w14:paraId="31AE6B29">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eastAsia="zh-CN"/>
              </w:rPr>
              <w:t>网站群功能拓展及数据应用服务</w:t>
            </w:r>
          </w:p>
        </w:tc>
        <w:tc>
          <w:tcPr>
            <w:tcW w:w="1050" w:type="dxa"/>
            <w:vAlign w:val="center"/>
          </w:tcPr>
          <w:p w14:paraId="0E86CA74">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28F29E35">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 w:val="21"/>
                <w:szCs w:val="21"/>
                <w:highlight w:val="none"/>
              </w:rPr>
              <w:t>软件和信息技术服务业</w:t>
            </w:r>
          </w:p>
        </w:tc>
        <w:tc>
          <w:tcPr>
            <w:tcW w:w="5416" w:type="dxa"/>
            <w:vAlign w:val="center"/>
          </w:tcPr>
          <w:p w14:paraId="20DBC66A">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1.提供三农日历服务</w:t>
            </w:r>
          </w:p>
          <w:p w14:paraId="2A579B10">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通过对广西农业农村厅网站和各市农业农村局子站按照日期和主题进行各类信息的聚合与展现。用户通过点击日历上的某个日期并选择相关主题，即可查看当天的各类主题信息。主要分为日历分类浏览和日历信息查询等。</w:t>
            </w:r>
          </w:p>
          <w:p w14:paraId="7DE48462">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2.提供智能推送优化服务</w:t>
            </w:r>
          </w:p>
          <w:p w14:paraId="42B7A00F">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定期分析办事服务热点、咨询投诉热点问题在网站首页及时推荐热点办事服务、热点政策措施。包括办事服务热点、咨询投诉热点问题、热点办事服务、热点政策措施等热门数据分析，并提供智能推送定期更新服务。</w:t>
            </w:r>
          </w:p>
          <w:p w14:paraId="19842E0D">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3.提供智能搜索优化服务</w:t>
            </w:r>
          </w:p>
          <w:p w14:paraId="7EE770F3">
            <w:pPr>
              <w:pStyle w:val="79"/>
              <w:spacing w:before="1" w:line="422" w:lineRule="auto"/>
              <w:ind w:left="106" w:right="-15" w:firstLine="441"/>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搜索优化和词典优化，包含简单搜索、分类导航搜索、拼音搜索、高级搜索、模糊搜索、搜索结果排序搜索、词典优化等服务。针对农业农村厅网站信息内容、农业农村相关业务特点，进行词条、词典、问题字典、政策字典、人物字典、机构字典、事项字典、敏感词、全拼词典及搜索建议词等字典的完善。</w:t>
            </w:r>
          </w:p>
          <w:p w14:paraId="0FE51E61">
            <w:pPr>
              <w:pStyle w:val="79"/>
              <w:spacing w:before="1" w:line="422" w:lineRule="auto"/>
              <w:ind w:right="-15" w:firstLine="408" w:firstLineChars="20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4.提供对应数据整合迁移及接口开发服务</w:t>
            </w:r>
          </w:p>
          <w:p w14:paraId="0A066DFD">
            <w:pPr>
              <w:pStyle w:val="16"/>
              <w:spacing w:after="0" w:line="360" w:lineRule="auto"/>
              <w:ind w:left="0" w:leftChars="0" w:firstLine="408" w:firstLineChars="200"/>
              <w:rPr>
                <w:rFonts w:ascii="宋体" w:cs="宋体"/>
                <w:color w:val="auto"/>
                <w:szCs w:val="21"/>
                <w:highlight w:val="none"/>
              </w:rPr>
            </w:pPr>
            <w:r>
              <w:rPr>
                <w:rFonts w:hint="eastAsia" w:ascii="宋体" w:hAnsi="宋体" w:eastAsia="宋体" w:cs="宋体"/>
                <w:color w:val="auto"/>
                <w:spacing w:val="-3"/>
                <w:sz w:val="21"/>
                <w:szCs w:val="21"/>
                <w:highlight w:val="none"/>
                <w:lang w:eastAsia="zh-CN"/>
              </w:rPr>
              <w:t>根据实际应用需求，完成网站群基础平台与其他网站或业务系统数据同步接口开发，实现网站群与其他网站或业务系统数据同步。同时维护现有接口，确保所有接口均稳定正常运行。不少于1次/年。</w:t>
            </w:r>
          </w:p>
        </w:tc>
      </w:tr>
      <w:tr w14:paraId="1507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16FAE41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16" w:type="dxa"/>
            <w:gridSpan w:val="2"/>
            <w:vAlign w:val="center"/>
          </w:tcPr>
          <w:p w14:paraId="1A4E5580">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eastAsia="zh-CN"/>
              </w:rPr>
              <w:t>信息采编校审、在线访谈录制、数据迁移整合优化等服务</w:t>
            </w:r>
          </w:p>
        </w:tc>
        <w:tc>
          <w:tcPr>
            <w:tcW w:w="1050" w:type="dxa"/>
            <w:vAlign w:val="center"/>
          </w:tcPr>
          <w:p w14:paraId="1A1E774D">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2F895818">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 w:val="21"/>
                <w:szCs w:val="21"/>
                <w:highlight w:val="none"/>
              </w:rPr>
              <w:t>软件和信息技术服务业</w:t>
            </w:r>
          </w:p>
        </w:tc>
        <w:tc>
          <w:tcPr>
            <w:tcW w:w="5416" w:type="dxa"/>
            <w:vAlign w:val="center"/>
          </w:tcPr>
          <w:p w14:paraId="1C37CB44">
            <w:pPr>
              <w:pStyle w:val="79"/>
              <w:spacing w:before="1" w:line="422" w:lineRule="auto"/>
              <w:ind w:right="-15" w:firstLine="408" w:firstLineChars="200"/>
              <w:rPr>
                <w:color w:val="auto"/>
                <w:spacing w:val="-3"/>
                <w:sz w:val="21"/>
                <w:szCs w:val="21"/>
                <w:highlight w:val="none"/>
                <w:lang w:eastAsia="zh-CN"/>
              </w:rPr>
            </w:pPr>
            <w:r>
              <w:rPr>
                <w:color w:val="auto"/>
                <w:spacing w:val="-3"/>
                <w:sz w:val="21"/>
                <w:szCs w:val="21"/>
                <w:highlight w:val="none"/>
                <w:lang w:eastAsia="zh-CN"/>
              </w:rPr>
              <w:t>1.协助广西农业农村厅网站</w:t>
            </w:r>
            <w:r>
              <w:rPr>
                <w:rFonts w:hint="eastAsia"/>
                <w:color w:val="auto"/>
                <w:spacing w:val="-3"/>
                <w:sz w:val="21"/>
                <w:szCs w:val="21"/>
                <w:highlight w:val="none"/>
                <w:lang w:eastAsia="zh-CN"/>
              </w:rPr>
              <w:t>信息采编校审</w:t>
            </w:r>
            <w:r>
              <w:rPr>
                <w:color w:val="auto"/>
                <w:spacing w:val="-3"/>
                <w:sz w:val="21"/>
                <w:szCs w:val="21"/>
                <w:highlight w:val="none"/>
                <w:lang w:eastAsia="zh-CN"/>
              </w:rPr>
              <w:t>。包括网站信息内容的日常更新、排版和发布；版面或栏目以及内容不规范整改</w:t>
            </w:r>
            <w:r>
              <w:rPr>
                <w:rFonts w:hint="eastAsia"/>
                <w:color w:val="auto"/>
                <w:spacing w:val="-3"/>
                <w:sz w:val="21"/>
                <w:szCs w:val="21"/>
                <w:highlight w:val="none"/>
                <w:lang w:eastAsia="zh-CN"/>
              </w:rPr>
              <w:t>；</w:t>
            </w:r>
            <w:r>
              <w:rPr>
                <w:color w:val="auto"/>
                <w:spacing w:val="-3"/>
                <w:sz w:val="21"/>
                <w:szCs w:val="21"/>
                <w:highlight w:val="none"/>
                <w:lang w:eastAsia="zh-CN"/>
              </w:rPr>
              <w:t>配合</w:t>
            </w:r>
            <w:r>
              <w:rPr>
                <w:rFonts w:hint="eastAsia"/>
                <w:color w:val="auto"/>
                <w:spacing w:val="-3"/>
                <w:sz w:val="21"/>
                <w:szCs w:val="21"/>
                <w:highlight w:val="none"/>
                <w:lang w:eastAsia="zh-CN"/>
              </w:rPr>
              <w:t>信息</w:t>
            </w:r>
            <w:r>
              <w:rPr>
                <w:color w:val="auto"/>
                <w:spacing w:val="-3"/>
                <w:sz w:val="21"/>
                <w:szCs w:val="21"/>
                <w:highlight w:val="none"/>
                <w:lang w:eastAsia="zh-CN"/>
              </w:rPr>
              <w:t>审校</w:t>
            </w:r>
            <w:r>
              <w:rPr>
                <w:rFonts w:hint="eastAsia"/>
                <w:color w:val="auto"/>
                <w:spacing w:val="-3"/>
                <w:sz w:val="21"/>
                <w:szCs w:val="21"/>
                <w:highlight w:val="none"/>
                <w:lang w:eastAsia="zh-CN"/>
              </w:rPr>
              <w:t>，</w:t>
            </w:r>
            <w:r>
              <w:rPr>
                <w:color w:val="auto"/>
                <w:spacing w:val="-3"/>
                <w:sz w:val="21"/>
                <w:szCs w:val="21"/>
                <w:highlight w:val="none"/>
                <w:lang w:eastAsia="zh-CN"/>
              </w:rPr>
              <w:t>对网站日常内容信息进行机器初审</w:t>
            </w:r>
            <w:r>
              <w:rPr>
                <w:rFonts w:hint="eastAsia"/>
                <w:color w:val="auto"/>
                <w:spacing w:val="-3"/>
                <w:sz w:val="21"/>
                <w:szCs w:val="21"/>
                <w:highlight w:val="none"/>
                <w:lang w:val="en-US" w:eastAsia="zh-CN"/>
              </w:rPr>
              <w:t>+</w:t>
            </w:r>
            <w:r>
              <w:rPr>
                <w:color w:val="auto"/>
                <w:spacing w:val="-3"/>
                <w:sz w:val="21"/>
                <w:szCs w:val="21"/>
                <w:highlight w:val="none"/>
                <w:lang w:eastAsia="zh-CN"/>
              </w:rPr>
              <w:t>二轮人工校对，校对内容错漏字句等基础信息，并重点检查涉政涉外、敏感内容，年总审核数量不少于3万条。</w:t>
            </w:r>
          </w:p>
          <w:p w14:paraId="14111772">
            <w:pPr>
              <w:pStyle w:val="79"/>
              <w:spacing w:before="1" w:line="422" w:lineRule="auto"/>
              <w:ind w:right="-15" w:firstLine="408" w:firstLineChars="200"/>
              <w:rPr>
                <w:color w:val="auto"/>
                <w:spacing w:val="-3"/>
                <w:sz w:val="21"/>
                <w:szCs w:val="21"/>
                <w:highlight w:val="none"/>
                <w:lang w:eastAsia="zh-CN"/>
              </w:rPr>
            </w:pPr>
            <w:r>
              <w:rPr>
                <w:color w:val="auto"/>
                <w:spacing w:val="-3"/>
                <w:sz w:val="21"/>
                <w:szCs w:val="21"/>
                <w:highlight w:val="none"/>
                <w:lang w:eastAsia="zh-CN"/>
              </w:rPr>
              <w:t>2.录制自治区大数据发展局要求的政府门户网站在线访谈视频3场。含场地提供、主持人提供、脚本撰写、现场录制、后期剪辑等。</w:t>
            </w:r>
          </w:p>
          <w:p w14:paraId="2041C18B">
            <w:pPr>
              <w:pStyle w:val="16"/>
              <w:spacing w:after="0" w:line="360" w:lineRule="auto"/>
              <w:ind w:left="0" w:leftChars="0" w:firstLine="408" w:firstLineChars="200"/>
              <w:rPr>
                <w:rFonts w:ascii="宋体" w:cs="宋体"/>
                <w:color w:val="auto"/>
                <w:szCs w:val="21"/>
                <w:highlight w:val="none"/>
              </w:rPr>
            </w:pPr>
            <w:r>
              <w:rPr>
                <w:color w:val="auto"/>
                <w:spacing w:val="-3"/>
                <w:sz w:val="21"/>
                <w:szCs w:val="21"/>
                <w:highlight w:val="none"/>
                <w:lang w:eastAsia="zh-CN"/>
              </w:rPr>
              <w:t>3</w:t>
            </w:r>
            <w:r>
              <w:rPr>
                <w:rFonts w:hint="eastAsia"/>
                <w:color w:val="auto"/>
                <w:spacing w:val="-3"/>
                <w:sz w:val="21"/>
                <w:szCs w:val="21"/>
                <w:highlight w:val="none"/>
                <w:lang w:eastAsia="zh-CN"/>
              </w:rPr>
              <w:t>.乡村振兴便民查询系统数据迁移及整合优化、数据更新服务。将广西壮族自治区巩固拓展脱贫攻坚成果和乡村振兴项目查询、建档立卡脱贫户查询、防止返贫监测对象查询三个便民查询系统整体迁移至集约化平台广西农业农村厅站点下，包括栏目创建、视图创建、数据迁移、数据核验、数据清洗、检索库创建、检索数据同步、前端页面设计、模板制作套接、用户及权限开通等十项服务。不定期按要求对数据进行更新。</w:t>
            </w:r>
          </w:p>
        </w:tc>
      </w:tr>
      <w:tr w14:paraId="0E26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030667DB">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5749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top"/>
          </w:tcPr>
          <w:p w14:paraId="20D4EE3B">
            <w:pPr>
              <w:pStyle w:val="79"/>
              <w:spacing w:line="422" w:lineRule="auto"/>
              <w:ind w:right="253" w:rightChars="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▲磋商报价要求</w:t>
            </w:r>
          </w:p>
        </w:tc>
        <w:tc>
          <w:tcPr>
            <w:tcW w:w="7614" w:type="dxa"/>
            <w:gridSpan w:val="4"/>
            <w:tcBorders>
              <w:top w:val="single" w:color="auto" w:sz="4" w:space="0"/>
              <w:left w:val="single" w:color="auto" w:sz="4" w:space="0"/>
              <w:bottom w:val="single" w:color="auto" w:sz="4" w:space="0"/>
            </w:tcBorders>
            <w:vAlign w:val="top"/>
          </w:tcPr>
          <w:p w14:paraId="39583B0D">
            <w:pPr>
              <w:pStyle w:val="79"/>
              <w:spacing w:before="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报价必须包含以下部分，包括（但不限于）：</w:t>
            </w:r>
          </w:p>
          <w:p w14:paraId="654E6162">
            <w:pPr>
              <w:pStyle w:val="79"/>
              <w:spacing w:before="7" w:line="490" w:lineRule="atLeast"/>
              <w:ind w:right="94" w:rightChars="0"/>
              <w:jc w:val="both"/>
              <w:rPr>
                <w:rFonts w:hint="eastAsia" w:ascii="宋体" w:hAnsi="宋体" w:eastAsia="宋体" w:cs="宋体"/>
                <w:b/>
                <w:bCs/>
                <w:color w:val="auto"/>
                <w:sz w:val="21"/>
                <w:szCs w:val="21"/>
                <w:highlight w:val="none"/>
              </w:rPr>
            </w:pPr>
            <w:r>
              <w:rPr>
                <w:rFonts w:hint="eastAsia" w:ascii="宋体" w:hAnsi="宋体" w:eastAsia="宋体" w:cs="宋体"/>
                <w:color w:val="auto"/>
                <w:spacing w:val="-3"/>
                <w:sz w:val="21"/>
                <w:szCs w:val="21"/>
                <w:highlight w:val="none"/>
                <w:lang w:eastAsia="zh-CN"/>
              </w:rPr>
              <w:t>本项目磋商报价为总额报价，即一次性报出本项目服务所需的所有费用，含技术服</w:t>
            </w:r>
            <w:r>
              <w:rPr>
                <w:rFonts w:hint="eastAsia" w:ascii="宋体" w:hAnsi="宋体" w:eastAsia="宋体" w:cs="宋体"/>
                <w:color w:val="auto"/>
                <w:spacing w:val="-22"/>
                <w:sz w:val="21"/>
                <w:szCs w:val="21"/>
                <w:highlight w:val="none"/>
                <w:lang w:eastAsia="zh-CN"/>
              </w:rPr>
              <w:t>务、派出工作人员的交通费、住宿费、伙食补助费、必要的保险费用和各项税金、其他[如</w:t>
            </w:r>
            <w:r>
              <w:rPr>
                <w:rFonts w:hint="eastAsia" w:ascii="宋体" w:hAnsi="宋体" w:eastAsia="宋体" w:cs="宋体"/>
                <w:color w:val="auto"/>
                <w:spacing w:val="-6"/>
                <w:sz w:val="21"/>
                <w:szCs w:val="21"/>
                <w:highlight w:val="none"/>
                <w:lang w:eastAsia="zh-CN"/>
              </w:rPr>
              <w:t>培训、技术支持、更新升级等]有关的费用。</w:t>
            </w:r>
            <w:r>
              <w:rPr>
                <w:rFonts w:hint="eastAsia" w:ascii="宋体" w:hAnsi="宋体" w:eastAsia="宋体" w:cs="宋体"/>
                <w:color w:val="auto"/>
                <w:spacing w:val="-6"/>
                <w:sz w:val="21"/>
                <w:szCs w:val="21"/>
                <w:highlight w:val="none"/>
              </w:rPr>
              <w:t>采购人不另支付任何费用。</w:t>
            </w:r>
          </w:p>
        </w:tc>
      </w:tr>
      <w:tr w14:paraId="25BDB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5781E52D">
            <w:pPr>
              <w:spacing w:line="300" w:lineRule="exact"/>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42EE8CFC">
            <w:pPr>
              <w:spacing w:line="400" w:lineRule="exact"/>
              <w:rPr>
                <w:color w:val="auto"/>
                <w:highlight w:val="none"/>
              </w:rPr>
            </w:pPr>
            <w:bookmarkStart w:id="38" w:name="OLE_LINK43"/>
            <w:r>
              <w:rPr>
                <w:rFonts w:hint="eastAsia"/>
                <w:color w:val="auto"/>
                <w:highlight w:val="none"/>
              </w:rPr>
              <w:t>1.合同</w:t>
            </w:r>
            <w:r>
              <w:rPr>
                <w:rFonts w:hint="eastAsia"/>
                <w:color w:val="auto"/>
                <w:highlight w:val="none"/>
                <w:lang w:eastAsia="zh-CN"/>
              </w:rPr>
              <w:t>履约</w:t>
            </w:r>
            <w:r>
              <w:rPr>
                <w:rFonts w:hint="eastAsia"/>
                <w:color w:val="auto"/>
                <w:highlight w:val="none"/>
              </w:rPr>
              <w:t>期限：</w:t>
            </w:r>
            <w:r>
              <w:rPr>
                <w:rFonts w:hint="eastAsia"/>
                <w:color w:val="auto"/>
                <w:highlight w:val="none"/>
                <w:lang w:eastAsia="zh-CN"/>
              </w:rPr>
              <w:t>自合同签订之日起一年。</w:t>
            </w:r>
          </w:p>
          <w:p w14:paraId="16ECA9D9">
            <w:pPr>
              <w:pStyle w:val="15"/>
              <w:spacing w:line="400" w:lineRule="exact"/>
              <w:rPr>
                <w:rFonts w:ascii="宋体" w:cs="宋体"/>
                <w:b/>
                <w:bCs/>
                <w:color w:val="auto"/>
                <w:szCs w:val="21"/>
                <w:highlight w:val="none"/>
              </w:rPr>
            </w:pPr>
            <w:r>
              <w:rPr>
                <w:rFonts w:hint="eastAsia"/>
                <w:color w:val="auto"/>
                <w:highlight w:val="none"/>
              </w:rPr>
              <w:t>2.地点：</w:t>
            </w:r>
            <w:bookmarkEnd w:id="38"/>
            <w:r>
              <w:rPr>
                <w:rFonts w:hint="eastAsia"/>
                <w:color w:val="auto"/>
                <w:highlight w:val="none"/>
                <w:lang w:eastAsia="zh-CN"/>
              </w:rPr>
              <w:t>采购人指定地点。</w:t>
            </w:r>
          </w:p>
        </w:tc>
      </w:tr>
      <w:tr w14:paraId="1A858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bottom w:val="single" w:color="auto" w:sz="4" w:space="0"/>
              <w:right w:val="single" w:color="auto" w:sz="4" w:space="0"/>
            </w:tcBorders>
            <w:vAlign w:val="center"/>
          </w:tcPr>
          <w:p w14:paraId="02012F23">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6BAE4C6">
            <w:pPr>
              <w:spacing w:line="400" w:lineRule="exact"/>
              <w:rPr>
                <w:rFonts w:ascii="宋体" w:cs="宋体"/>
                <w:b/>
                <w:bCs/>
                <w:color w:val="auto"/>
                <w:szCs w:val="21"/>
                <w:highlight w:val="none"/>
              </w:rPr>
            </w:pPr>
            <w:r>
              <w:rPr>
                <w:rFonts w:hint="eastAsia" w:ascii="宋体" w:hAnsi="宋体" w:eastAsia="宋体" w:cs="宋体"/>
                <w:color w:val="auto"/>
                <w:spacing w:val="-11"/>
                <w:highlight w:val="none"/>
                <w:lang w:eastAsia="zh-CN"/>
              </w:rPr>
              <w:t>合同签订</w:t>
            </w:r>
            <w:r>
              <w:rPr>
                <w:rFonts w:hint="eastAsia" w:ascii="宋体" w:hAnsi="宋体" w:eastAsia="宋体" w:cs="宋体"/>
                <w:color w:val="auto"/>
                <w:spacing w:val="-11"/>
                <w:highlight w:val="none"/>
                <w:lang w:val="en-US" w:eastAsia="zh-CN"/>
              </w:rPr>
              <w:t>之日起</w:t>
            </w:r>
            <w:r>
              <w:rPr>
                <w:rFonts w:hint="eastAsia" w:ascii="宋体" w:hAnsi="宋体" w:eastAsia="宋体" w:cs="宋体"/>
                <w:color w:val="auto"/>
                <w:spacing w:val="-11"/>
                <w:highlight w:val="none"/>
                <w:lang w:eastAsia="zh-CN"/>
              </w:rPr>
              <w:t>20个工作日内，</w:t>
            </w:r>
            <w:r>
              <w:rPr>
                <w:rFonts w:hint="eastAsia" w:ascii="宋体" w:hAnsi="宋体" w:eastAsia="宋体" w:cs="宋体"/>
                <w:color w:val="auto"/>
                <w:spacing w:val="-11"/>
                <w:highlight w:val="none"/>
                <w:lang w:val="en-US" w:eastAsia="zh-CN"/>
              </w:rPr>
              <w:t>采购人</w:t>
            </w:r>
            <w:r>
              <w:rPr>
                <w:rFonts w:hint="eastAsia" w:ascii="宋体" w:hAnsi="宋体" w:eastAsia="宋体" w:cs="宋体"/>
                <w:color w:val="auto"/>
                <w:spacing w:val="-11"/>
                <w:highlight w:val="none"/>
                <w:lang w:eastAsia="zh-CN"/>
              </w:rPr>
              <w:t>向成交供应商支付40%合同款；成交供应商持续提供运维服务满2个月并取得运维成果，采购人向成交供应商支付50%合同款；待项目通过年度验收并确认合格后，采购人向成交供应商支付剩余10%合同款。成交供应商应于每次收到合同款后3个工作日内，向采购人出具合法有效的增值税专用发票，发票金额须与当次收款金额完全相符。</w:t>
            </w:r>
          </w:p>
        </w:tc>
      </w:tr>
      <w:tr w14:paraId="6CB69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66919624">
            <w:pPr>
              <w:spacing w:line="360" w:lineRule="auto"/>
              <w:jc w:val="center"/>
              <w:rPr>
                <w:rFonts w:hint="default" w:ascii="宋体" w:eastAsia="宋体" w:cs="宋体"/>
                <w:b/>
                <w:bCs/>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后续服务</w:t>
            </w:r>
          </w:p>
        </w:tc>
        <w:tc>
          <w:tcPr>
            <w:tcW w:w="7614" w:type="dxa"/>
            <w:gridSpan w:val="4"/>
            <w:tcBorders>
              <w:top w:val="single" w:color="auto" w:sz="4" w:space="0"/>
              <w:left w:val="single" w:color="auto" w:sz="4" w:space="0"/>
              <w:bottom w:val="single" w:color="auto" w:sz="4" w:space="0"/>
            </w:tcBorders>
            <w:vAlign w:val="center"/>
          </w:tcPr>
          <w:p w14:paraId="6E40ACC8">
            <w:pPr>
              <w:spacing w:line="400" w:lineRule="exact"/>
              <w:rPr>
                <w:rFonts w:hint="eastAsia"/>
                <w:color w:val="auto"/>
                <w:highlight w:val="none"/>
                <w:lang w:eastAsia="zh-CN"/>
              </w:rPr>
            </w:pPr>
            <w:r>
              <w:rPr>
                <w:rFonts w:hint="eastAsia"/>
                <w:color w:val="auto"/>
                <w:highlight w:val="none"/>
                <w:lang w:eastAsia="zh-CN"/>
              </w:rPr>
              <w:t>1、成交供应商在服务期限内对用户提出的合理的，不涉及架构及全局性的功能增减、美工修改等应免费配合实施。</w:t>
            </w:r>
          </w:p>
          <w:p w14:paraId="33736BEB">
            <w:pPr>
              <w:spacing w:line="400" w:lineRule="exact"/>
              <w:rPr>
                <w:rFonts w:hint="eastAsia"/>
                <w:color w:val="auto"/>
                <w:highlight w:val="none"/>
                <w:lang w:eastAsia="zh-CN"/>
              </w:rPr>
            </w:pPr>
            <w:r>
              <w:rPr>
                <w:rFonts w:hint="eastAsia"/>
                <w:color w:val="auto"/>
                <w:highlight w:val="none"/>
                <w:lang w:eastAsia="zh-CN"/>
              </w:rPr>
              <w:t>2、维护响应：成交供应商在接到用户电话后1小时内响应，1小时内到达现场修理解决，24小时内恢复正常使用，若不能修复则应有合理应对方案。</w:t>
            </w:r>
          </w:p>
          <w:p w14:paraId="03D937D2">
            <w:pPr>
              <w:spacing w:line="400" w:lineRule="exact"/>
              <w:rPr>
                <w:rFonts w:ascii="宋体" w:cs="宋体"/>
                <w:b/>
                <w:bCs/>
                <w:color w:val="auto"/>
                <w:szCs w:val="21"/>
                <w:highlight w:val="none"/>
              </w:rPr>
            </w:pPr>
            <w:r>
              <w:rPr>
                <w:rFonts w:hint="eastAsia"/>
                <w:color w:val="auto"/>
                <w:highlight w:val="none"/>
                <w:lang w:val="en-US" w:eastAsia="zh-CN"/>
              </w:rPr>
              <w:t>3</w:t>
            </w:r>
            <w:r>
              <w:rPr>
                <w:rFonts w:hint="eastAsia"/>
                <w:color w:val="auto"/>
                <w:highlight w:val="none"/>
                <w:lang w:eastAsia="zh-CN"/>
              </w:rPr>
              <w:t>、成交供应商除验收、培训等义务外，还将为采购人提供技术支持，包括维护期外的技术服务及技术指导等。</w:t>
            </w:r>
          </w:p>
        </w:tc>
      </w:tr>
      <w:tr w14:paraId="3BB7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3911DCF">
            <w:pPr>
              <w:spacing w:line="360" w:lineRule="auto"/>
              <w:jc w:val="center"/>
              <w:rPr>
                <w:rFonts w:ascii="宋体" w:cs="宋体"/>
                <w:b/>
                <w:bCs/>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5DA1051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驻场服务</w:t>
            </w:r>
            <w:r>
              <w:rPr>
                <w:rFonts w:hint="eastAsia" w:ascii="宋体" w:hAnsi="宋体" w:eastAsia="宋体" w:cs="宋体"/>
                <w:color w:val="auto"/>
                <w:highlight w:val="none"/>
                <w:lang w:eastAsia="zh-CN"/>
              </w:rPr>
              <w:t>：安排1名具有新闻采编工作经验的人员到采购人单位驻场开展工作。</w:t>
            </w:r>
            <w:r>
              <w:rPr>
                <w:rFonts w:hint="eastAsia" w:ascii="宋体" w:hAnsi="宋体" w:eastAsia="宋体" w:cs="宋体"/>
                <w:color w:val="auto"/>
                <w:highlight w:val="none"/>
                <w:lang w:val="en-US" w:eastAsia="zh-CN"/>
              </w:rPr>
              <w:t>提供详细的联系方式及相关工作经验证明材料，否则视为无效竞标。</w:t>
            </w:r>
          </w:p>
          <w:p w14:paraId="300684B0">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2、为了保证项目顺利、按时、保质地完成，供应商对磋商文件参数的描述未足以理解采购工作内容或具体工作事项可向采购人致电咨询或自行勘察（费用自理），联系人：易祚平；联系电话：0771-2182857。</w:t>
            </w:r>
          </w:p>
          <w:p w14:paraId="051D3280">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3、供应商需在响应文件中阐述现有平台使用、流程架构、底层接口及数据字典情况， 无法提供该材料或提供材料不符合用户现有运行环境实际情况的，无法与用户现有运行环境实现衔接的，视为无效竞标。</w:t>
            </w:r>
          </w:p>
          <w:p w14:paraId="0E3ADA0E">
            <w:pPr>
              <w:spacing w:line="360" w:lineRule="auto"/>
              <w:rPr>
                <w:rFonts w:ascii="宋体" w:cs="宋体"/>
                <w:b/>
                <w:color w:val="auto"/>
                <w:szCs w:val="21"/>
                <w:highlight w:val="none"/>
              </w:rPr>
            </w:pPr>
            <w:r>
              <w:rPr>
                <w:rFonts w:hint="eastAsia" w:ascii="宋体" w:hAnsi="宋体" w:eastAsia="宋体" w:cs="宋体"/>
                <w:color w:val="auto"/>
                <w:highlight w:val="none"/>
                <w:lang w:val="en-US" w:eastAsia="zh-CN"/>
              </w:rPr>
              <w:t>4、竞标供应商对本项目所作出的承诺必须如实应答，对虚假响应谋取成交者，将上报政府采购监督管理部门。</w:t>
            </w:r>
          </w:p>
        </w:tc>
      </w:tr>
    </w:tbl>
    <w:p w14:paraId="1186261B">
      <w:pPr>
        <w:rPr>
          <w:rFonts w:ascii="宋体" w:cs="宋体"/>
          <w:color w:val="auto"/>
          <w:highlight w:val="none"/>
        </w:rPr>
      </w:pPr>
    </w:p>
    <w:p w14:paraId="52D3EBA8">
      <w:pPr>
        <w:rPr>
          <w:rFonts w:ascii="宋体" w:cs="宋体"/>
          <w:color w:val="auto"/>
          <w:highlight w:val="none"/>
        </w:rPr>
      </w:pPr>
    </w:p>
    <w:p w14:paraId="22B36664">
      <w:pPr>
        <w:rPr>
          <w:rFonts w:ascii="宋体" w:cs="宋体"/>
          <w:color w:val="auto"/>
          <w:highlight w:val="none"/>
        </w:rPr>
      </w:pPr>
    </w:p>
    <w:p w14:paraId="38CB99CD">
      <w:pPr>
        <w:spacing w:line="240" w:lineRule="auto"/>
        <w:ind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72C1B99B">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广西12316“三农”综合信息服务</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70.00 </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6DDF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8D2B43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C5D4F0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5644721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2688C36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8D1AEB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6FF1AEB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2223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F92A98B">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78252F72">
            <w:pPr>
              <w:widowControl/>
              <w:spacing w:line="360" w:lineRule="auto"/>
              <w:jc w:val="center"/>
              <w:rPr>
                <w:rFonts w:ascii="宋体" w:cs="宋体"/>
                <w:color w:val="auto"/>
                <w:szCs w:val="21"/>
                <w:highlight w:val="none"/>
              </w:rPr>
            </w:pPr>
            <w:r>
              <w:rPr>
                <w:rFonts w:hint="eastAsia" w:ascii="宋体" w:cs="宋体"/>
                <w:color w:val="auto"/>
                <w:szCs w:val="21"/>
                <w:highlight w:val="none"/>
              </w:rPr>
              <w:t>知识库更新及热线工单处理服务</w:t>
            </w:r>
          </w:p>
        </w:tc>
        <w:tc>
          <w:tcPr>
            <w:tcW w:w="1050" w:type="dxa"/>
            <w:vAlign w:val="center"/>
          </w:tcPr>
          <w:p w14:paraId="205A3679">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48064CEC">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0D802FDA">
            <w:pPr>
              <w:spacing w:line="360" w:lineRule="auto"/>
              <w:ind w:firstLine="420"/>
              <w:jc w:val="left"/>
              <w:rPr>
                <w:rFonts w:ascii="宋体" w:cs="宋体"/>
                <w:color w:val="auto"/>
                <w:szCs w:val="21"/>
                <w:highlight w:val="none"/>
              </w:rPr>
            </w:pPr>
            <w:r>
              <w:rPr>
                <w:rFonts w:hint="eastAsia" w:ascii="宋体" w:cs="宋体"/>
                <w:color w:val="auto"/>
                <w:szCs w:val="21"/>
                <w:highlight w:val="none"/>
              </w:rPr>
              <w:t>派驻1名信息员</w:t>
            </w:r>
            <w:r>
              <w:rPr>
                <w:rFonts w:ascii="宋体" w:cs="宋体"/>
                <w:color w:val="auto"/>
                <w:szCs w:val="21"/>
                <w:highlight w:val="none"/>
              </w:rPr>
              <w:t>负责</w:t>
            </w:r>
            <w:r>
              <w:rPr>
                <w:rFonts w:hint="eastAsia" w:ascii="宋体" w:cs="宋体"/>
                <w:color w:val="auto"/>
                <w:szCs w:val="21"/>
                <w:highlight w:val="none"/>
              </w:rPr>
              <w:t>知识库内容采编、更新、维护以及热线工单受理、协调、督办等服务。主要工作为：</w:t>
            </w:r>
          </w:p>
          <w:p w14:paraId="349F7F41">
            <w:pPr>
              <w:spacing w:line="360" w:lineRule="auto"/>
              <w:ind w:firstLine="420"/>
              <w:jc w:val="left"/>
              <w:rPr>
                <w:rFonts w:ascii="宋体" w:cs="宋体"/>
                <w:color w:val="auto"/>
                <w:szCs w:val="21"/>
                <w:highlight w:val="none"/>
              </w:rPr>
            </w:pPr>
            <w:r>
              <w:rPr>
                <w:rFonts w:hint="eastAsia" w:ascii="宋体" w:cs="宋体"/>
                <w:color w:val="auto"/>
                <w:szCs w:val="21"/>
                <w:highlight w:val="none"/>
              </w:rPr>
              <w:t>（1）负责广西12316综合信息服务的农技知识库内容更新维护、农资打假投诉、宣传推广活动策划执行等工作。</w:t>
            </w:r>
          </w:p>
          <w:p w14:paraId="3485420D">
            <w:pPr>
              <w:spacing w:line="360" w:lineRule="auto"/>
              <w:ind w:firstLine="420"/>
              <w:jc w:val="left"/>
              <w:rPr>
                <w:rFonts w:ascii="宋体" w:cs="宋体"/>
                <w:color w:val="auto"/>
                <w:szCs w:val="21"/>
                <w:highlight w:val="none"/>
              </w:rPr>
            </w:pPr>
            <w:r>
              <w:rPr>
                <w:rFonts w:hint="eastAsia" w:ascii="宋体" w:cs="宋体"/>
                <w:color w:val="auto"/>
                <w:szCs w:val="21"/>
                <w:highlight w:val="none"/>
              </w:rPr>
              <w:t>（2）负责广西12316综合信息服务与广西12345政务服务便民热线平台数据对接、话务转接、承接、协调、督办12345热线工单等工作。</w:t>
            </w:r>
          </w:p>
          <w:p w14:paraId="04069A2F">
            <w:pPr>
              <w:spacing w:line="360" w:lineRule="auto"/>
              <w:ind w:firstLine="420"/>
              <w:jc w:val="left"/>
              <w:rPr>
                <w:rFonts w:ascii="宋体" w:cs="宋体"/>
                <w:color w:val="auto"/>
                <w:szCs w:val="21"/>
                <w:highlight w:val="none"/>
              </w:rPr>
            </w:pPr>
            <w:r>
              <w:rPr>
                <w:rFonts w:hint="eastAsia" w:ascii="宋体" w:cs="宋体"/>
                <w:color w:val="auto"/>
                <w:szCs w:val="21"/>
                <w:highlight w:val="none"/>
              </w:rPr>
              <w:t>（3）负责新媒体12316软文日常采编、上传、更新、维护等工作。</w:t>
            </w:r>
          </w:p>
        </w:tc>
      </w:tr>
      <w:tr w14:paraId="477F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A571B6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234A911C">
            <w:pPr>
              <w:widowControl/>
              <w:spacing w:line="360" w:lineRule="auto"/>
              <w:jc w:val="center"/>
              <w:rPr>
                <w:rFonts w:ascii="宋体" w:cs="宋体"/>
                <w:color w:val="auto"/>
                <w:szCs w:val="21"/>
                <w:highlight w:val="none"/>
              </w:rPr>
            </w:pPr>
            <w:r>
              <w:rPr>
                <w:rFonts w:hint="eastAsia" w:ascii="宋体" w:cs="宋体"/>
                <w:color w:val="auto"/>
                <w:szCs w:val="21"/>
                <w:highlight w:val="none"/>
              </w:rPr>
              <w:t>农业专家咨询答疑服务</w:t>
            </w:r>
          </w:p>
        </w:tc>
        <w:tc>
          <w:tcPr>
            <w:tcW w:w="1050" w:type="dxa"/>
            <w:vAlign w:val="center"/>
          </w:tcPr>
          <w:p w14:paraId="1C29B788">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1C41931A">
            <w:pPr>
              <w:tabs>
                <w:tab w:val="left" w:pos="180"/>
                <w:tab w:val="left" w:pos="162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w:t>
            </w:r>
          </w:p>
          <w:p w14:paraId="2F936781">
            <w:pPr>
              <w:tabs>
                <w:tab w:val="left" w:pos="180"/>
                <w:tab w:val="left" w:pos="1620"/>
              </w:tabs>
              <w:spacing w:line="360" w:lineRule="auto"/>
              <w:jc w:val="center"/>
              <w:rPr>
                <w:rFonts w:ascii="宋体" w:cs="宋体"/>
                <w:color w:val="auto"/>
                <w:szCs w:val="21"/>
                <w:highlight w:val="none"/>
              </w:rPr>
            </w:pPr>
            <w:r>
              <w:rPr>
                <w:rFonts w:hint="eastAsia" w:ascii="宋体" w:hAnsi="宋体" w:eastAsia="宋体" w:cs="宋体"/>
                <w:color w:val="auto"/>
                <w:sz w:val="21"/>
                <w:szCs w:val="21"/>
                <w:highlight w:val="none"/>
              </w:rPr>
              <w:t>务服务业</w:t>
            </w:r>
          </w:p>
        </w:tc>
        <w:tc>
          <w:tcPr>
            <w:tcW w:w="5416" w:type="dxa"/>
          </w:tcPr>
          <w:p w14:paraId="484D0D19">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聘请30名农业专家在外接听12316热线解答农民咨询，并对广西农业经济运行、产业发展、农情灾情等问题进行分析研判给出意见建议，按实际工作量给予补助。发放标准为：接听农民咨询电话1-20次（含20次），300元/月；接听农民咨询电话21-50次（含50次），500元/月，超出50次部分按5元/次计算；零接听农民咨询电话专家，100元/月；分析研判按500元/次计算。主要工作为：</w:t>
            </w:r>
          </w:p>
          <w:p w14:paraId="1CA2FC01">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（1）负责接听12316专席日常转接的热线解答来电，为农民朋友提供强农惠农资讯、农技指导、专家诊疗、分析预测等农业信息服务。</w:t>
            </w:r>
          </w:p>
          <w:p w14:paraId="26D96F6A">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（2）做好广西农业经济运行、产业发展、农情灾情等进行问题的分析研判、提出意见建议，撰写分析报告等。</w:t>
            </w:r>
          </w:p>
          <w:p w14:paraId="7D51A1D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cs="宋体"/>
                <w:color w:val="auto"/>
                <w:szCs w:val="21"/>
                <w:highlight w:val="none"/>
              </w:rPr>
            </w:pPr>
            <w:r>
              <w:rPr>
                <w:rFonts w:hint="eastAsia" w:ascii="宋体" w:hAnsi="宋体" w:eastAsia="宋体" w:cs="宋体"/>
                <w:color w:val="auto"/>
                <w:sz w:val="21"/>
                <w:szCs w:val="21"/>
                <w:highlight w:val="none"/>
              </w:rPr>
              <w:t>（3）做好12316现场宣传推广活动专家咨询等。</w:t>
            </w:r>
          </w:p>
        </w:tc>
      </w:tr>
      <w:tr w14:paraId="4D41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9FC51B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16" w:type="dxa"/>
            <w:gridSpan w:val="2"/>
            <w:vAlign w:val="center"/>
          </w:tcPr>
          <w:p w14:paraId="388B3E26">
            <w:pPr>
              <w:widowControl/>
              <w:spacing w:line="360" w:lineRule="auto"/>
              <w:jc w:val="center"/>
              <w:rPr>
                <w:rFonts w:ascii="宋体" w:cs="宋体"/>
                <w:color w:val="auto"/>
                <w:szCs w:val="21"/>
                <w:highlight w:val="none"/>
              </w:rPr>
            </w:pPr>
            <w:r>
              <w:rPr>
                <w:rFonts w:hint="eastAsia" w:ascii="宋体" w:cs="宋体"/>
                <w:color w:val="auto"/>
                <w:szCs w:val="21"/>
                <w:highlight w:val="none"/>
              </w:rPr>
              <w:t>话务专席应答服务</w:t>
            </w:r>
          </w:p>
        </w:tc>
        <w:tc>
          <w:tcPr>
            <w:tcW w:w="1050" w:type="dxa"/>
            <w:vAlign w:val="center"/>
          </w:tcPr>
          <w:p w14:paraId="1BB15739">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75319088">
            <w:pPr>
              <w:tabs>
                <w:tab w:val="left" w:pos="180"/>
                <w:tab w:val="left" w:pos="162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w:t>
            </w:r>
          </w:p>
          <w:p w14:paraId="65EBE983">
            <w:pPr>
              <w:tabs>
                <w:tab w:val="left" w:pos="180"/>
                <w:tab w:val="left" w:pos="1620"/>
              </w:tabs>
              <w:spacing w:line="360" w:lineRule="auto"/>
              <w:jc w:val="center"/>
              <w:rPr>
                <w:rFonts w:ascii="宋体" w:cs="宋体"/>
                <w:color w:val="auto"/>
                <w:szCs w:val="21"/>
                <w:highlight w:val="none"/>
              </w:rPr>
            </w:pPr>
            <w:r>
              <w:rPr>
                <w:rFonts w:hint="eastAsia" w:ascii="宋体" w:hAnsi="宋体" w:eastAsia="宋体" w:cs="宋体"/>
                <w:color w:val="auto"/>
                <w:sz w:val="21"/>
                <w:szCs w:val="21"/>
                <w:highlight w:val="none"/>
              </w:rPr>
              <w:t>务服务业</w:t>
            </w:r>
          </w:p>
        </w:tc>
        <w:tc>
          <w:tcPr>
            <w:tcW w:w="5416" w:type="dxa"/>
          </w:tcPr>
          <w:p w14:paraId="4841FC8D">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安排4名专职话务员负责12316热线人工服务，含12316热线服务咨询及农资打假投诉处理，专家转接、新媒体应答等日常工作。主要工作为：</w:t>
            </w:r>
          </w:p>
          <w:p w14:paraId="38820183">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（1）接听12316热线或12345热线转接的涉及三农问题客户来电，为客户提供农资打假投诉处理、农业专家转接、客户建议接纳等服务。</w:t>
            </w:r>
          </w:p>
          <w:p w14:paraId="25BBC844">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（2）负责网站及新媒体客户的12316农业咨询解答、农资打假投诉处理等。</w:t>
            </w:r>
          </w:p>
          <w:p w14:paraId="09110C48">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（3）依照12316管理规范及业务流程完成来电信息准确录入处理及回访等工作。</w:t>
            </w:r>
          </w:p>
          <w:p w14:paraId="09EB012C">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ascii="宋体" w:cs="宋体"/>
                <w:color w:val="auto"/>
                <w:szCs w:val="21"/>
                <w:highlight w:val="none"/>
              </w:rPr>
            </w:pPr>
            <w:r>
              <w:rPr>
                <w:rFonts w:hint="eastAsia" w:ascii="宋体" w:hAnsi="宋体" w:eastAsia="宋体" w:cs="宋体"/>
                <w:color w:val="auto"/>
                <w:sz w:val="21"/>
                <w:szCs w:val="21"/>
                <w:highlight w:val="none"/>
              </w:rPr>
              <w:t>（4）对非工作时间咨询留言进行复听及问题反馈，对农资打假问题进行满意度回访调查等。</w:t>
            </w:r>
          </w:p>
        </w:tc>
      </w:tr>
      <w:tr w14:paraId="16B1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136857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16" w:type="dxa"/>
            <w:gridSpan w:val="2"/>
            <w:vAlign w:val="center"/>
          </w:tcPr>
          <w:p w14:paraId="756C7D3C">
            <w:pPr>
              <w:widowControl/>
              <w:spacing w:line="360" w:lineRule="auto"/>
              <w:jc w:val="center"/>
              <w:rPr>
                <w:rFonts w:ascii="宋体" w:cs="宋体"/>
                <w:color w:val="auto"/>
                <w:szCs w:val="21"/>
                <w:highlight w:val="none"/>
              </w:rPr>
            </w:pPr>
            <w:r>
              <w:rPr>
                <w:rFonts w:hint="eastAsia" w:ascii="宋体" w:cs="宋体"/>
                <w:color w:val="auto"/>
                <w:szCs w:val="21"/>
                <w:highlight w:val="none"/>
              </w:rPr>
              <w:t>12316 宣传推广</w:t>
            </w:r>
          </w:p>
        </w:tc>
        <w:tc>
          <w:tcPr>
            <w:tcW w:w="1050" w:type="dxa"/>
            <w:vAlign w:val="center"/>
          </w:tcPr>
          <w:p w14:paraId="0AAC47AE">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1E65CB0A">
            <w:pPr>
              <w:tabs>
                <w:tab w:val="left" w:pos="180"/>
                <w:tab w:val="left" w:pos="162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w:t>
            </w:r>
          </w:p>
          <w:p w14:paraId="48650168">
            <w:pPr>
              <w:tabs>
                <w:tab w:val="left" w:pos="180"/>
                <w:tab w:val="left" w:pos="1620"/>
              </w:tabs>
              <w:spacing w:line="360" w:lineRule="auto"/>
              <w:jc w:val="center"/>
              <w:rPr>
                <w:rFonts w:ascii="宋体" w:cs="宋体"/>
                <w:color w:val="auto"/>
                <w:szCs w:val="21"/>
                <w:highlight w:val="none"/>
              </w:rPr>
            </w:pPr>
            <w:r>
              <w:rPr>
                <w:rFonts w:hint="eastAsia" w:ascii="宋体" w:hAnsi="宋体" w:eastAsia="宋体" w:cs="宋体"/>
                <w:color w:val="auto"/>
                <w:sz w:val="21"/>
                <w:szCs w:val="21"/>
                <w:highlight w:val="none"/>
              </w:rPr>
              <w:t>务服务业</w:t>
            </w:r>
          </w:p>
        </w:tc>
        <w:tc>
          <w:tcPr>
            <w:tcW w:w="5416" w:type="dxa"/>
          </w:tcPr>
          <w:p w14:paraId="136A9E3D">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（1）纸质资料推广</w:t>
            </w:r>
          </w:p>
          <w:p w14:paraId="048B6884">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印制12316热线宣传X展架、宣传页用于现场体验活动等推广所需的纸质宣传资料。（成本基准参照广告公司均价，印制X展架10个、宣传单2000张。</w:t>
            </w:r>
          </w:p>
          <w:p w14:paraId="68D1192B">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（2）短信群发推广</w:t>
            </w:r>
          </w:p>
          <w:p w14:paraId="02871635">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电信、移动、联通三网共推送10万条12316宣传短信，主要为农业政策、农技知识、防疫政策、渠道宣传等。</w:t>
            </w:r>
          </w:p>
          <w:p w14:paraId="791BFC04">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（3）现场宣传活动推广</w:t>
            </w:r>
          </w:p>
          <w:p w14:paraId="757D3DC2">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在全区选择3个乡镇开展线下知识讲座、问题解答及现场体验活动。</w:t>
            </w:r>
          </w:p>
          <w:p w14:paraId="7C5F2E90">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（4）新媒体渠道宣传推广</w:t>
            </w:r>
          </w:p>
          <w:p w14:paraId="13638A79">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强化新媒体端咨询服务，利用广西农业农村厅现有网站、新媒体等平台接入12316模块，进行日常宣传推广及运营，做好“一网两微一端一头条”等新媒体宣传推送及支撑工作。</w:t>
            </w:r>
          </w:p>
          <w:p w14:paraId="48373B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（5）12316业务交流：</w:t>
            </w:r>
          </w:p>
          <w:p w14:paraId="3DFFC6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s="宋体"/>
                <w:color w:val="auto"/>
                <w:szCs w:val="21"/>
                <w:highlight w:val="none"/>
              </w:rPr>
            </w:pPr>
            <w:r>
              <w:rPr>
                <w:rFonts w:hint="eastAsia" w:ascii="宋体" w:hAnsi="宋体" w:eastAsia="宋体" w:cs="宋体"/>
                <w:color w:val="auto"/>
                <w:sz w:val="21"/>
                <w:szCs w:val="21"/>
                <w:highlight w:val="none"/>
              </w:rPr>
              <w:t>年度组织1次12316综合信息服务农业专家及信息员业务培训，总结12316运营情况，探讨发展方向，优化服务流程，强化操作规范、农业专家服务及交流。</w:t>
            </w:r>
          </w:p>
        </w:tc>
      </w:tr>
      <w:tr w14:paraId="60B42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28E6508E">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185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A9A4AA5">
            <w:pPr>
              <w:spacing w:line="360" w:lineRule="auto"/>
              <w:jc w:val="center"/>
              <w:rPr>
                <w:rFonts w:ascii="宋体" w:cs="宋体"/>
                <w:color w:val="auto"/>
                <w:kern w:val="0"/>
                <w:sz w:val="28"/>
                <w:szCs w:val="28"/>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4DE5B025">
            <w:pPr>
              <w:spacing w:line="360" w:lineRule="auto"/>
              <w:rPr>
                <w:rFonts w:ascii="宋体" w:cs="宋体"/>
                <w:color w:val="auto"/>
                <w:kern w:val="0"/>
                <w:sz w:val="28"/>
                <w:szCs w:val="28"/>
                <w:highlight w:val="none"/>
              </w:rPr>
            </w:pPr>
            <w:r>
              <w:rPr>
                <w:rFonts w:hint="eastAsia"/>
                <w:color w:val="auto"/>
                <w:highlight w:val="none"/>
              </w:rPr>
              <w:t>包含本项目所有服务内容、实施、劳务各种费用和税金及其它所有成本费用的总和。供应商应对本项目所有服务内容进行总承包报价。采购人不再支付成交价格以外的任何费用。</w:t>
            </w:r>
          </w:p>
        </w:tc>
      </w:tr>
      <w:tr w14:paraId="4AAC3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237DCE7">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164EF972">
            <w:pPr>
              <w:spacing w:line="300" w:lineRule="exact"/>
              <w:rPr>
                <w:color w:val="auto"/>
                <w:highlight w:val="none"/>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期限：2025年10月10日至2026年10月9日。</w:t>
            </w:r>
          </w:p>
          <w:p w14:paraId="0800C523">
            <w:pPr>
              <w:pStyle w:val="15"/>
              <w:spacing w:line="300" w:lineRule="exact"/>
              <w:rPr>
                <w:rFonts w:ascii="宋体" w:cs="宋体"/>
                <w:color w:val="auto"/>
                <w:szCs w:val="21"/>
                <w:highlight w:val="none"/>
              </w:rPr>
            </w:pPr>
            <w:r>
              <w:rPr>
                <w:rFonts w:hint="eastAsia"/>
                <w:color w:val="auto"/>
                <w:highlight w:val="none"/>
              </w:rPr>
              <w:t>2.地点：采购人指定地点。</w:t>
            </w:r>
          </w:p>
        </w:tc>
      </w:tr>
      <w:tr w14:paraId="795C9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100" w:type="dxa"/>
            <w:gridSpan w:val="2"/>
            <w:tcBorders>
              <w:top w:val="single" w:color="auto" w:sz="4" w:space="0"/>
              <w:bottom w:val="single" w:color="auto" w:sz="4" w:space="0"/>
              <w:right w:val="single" w:color="auto" w:sz="4" w:space="0"/>
            </w:tcBorders>
            <w:vAlign w:val="center"/>
          </w:tcPr>
          <w:p w14:paraId="67C9A420">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4FDECFB1">
            <w:pPr>
              <w:spacing w:line="300" w:lineRule="exact"/>
              <w:rPr>
                <w:color w:val="auto"/>
                <w:highlight w:val="none"/>
              </w:rPr>
            </w:pPr>
            <w:r>
              <w:rPr>
                <w:rFonts w:hint="eastAsia" w:ascii="宋体" w:hAnsi="宋体" w:eastAsia="宋体" w:cs="宋体"/>
                <w:color w:val="auto"/>
                <w:spacing w:val="-11"/>
                <w:highlight w:val="none"/>
                <w:lang w:eastAsia="zh-CN"/>
              </w:rPr>
              <w:t>合同签订</w:t>
            </w:r>
            <w:r>
              <w:rPr>
                <w:rFonts w:hint="eastAsia" w:ascii="宋体" w:hAnsi="宋体" w:eastAsia="宋体" w:cs="宋体"/>
                <w:color w:val="auto"/>
                <w:spacing w:val="-11"/>
                <w:highlight w:val="none"/>
                <w:lang w:val="en-US" w:eastAsia="zh-CN"/>
              </w:rPr>
              <w:t>之日起</w:t>
            </w:r>
            <w:r>
              <w:rPr>
                <w:rFonts w:hint="eastAsia" w:ascii="宋体" w:hAnsi="宋体" w:eastAsia="宋体" w:cs="宋体"/>
                <w:color w:val="auto"/>
                <w:spacing w:val="-11"/>
                <w:highlight w:val="none"/>
                <w:lang w:eastAsia="zh-CN"/>
              </w:rPr>
              <w:t>20个工作日内，</w:t>
            </w:r>
            <w:r>
              <w:rPr>
                <w:rFonts w:hint="eastAsia" w:ascii="宋体" w:hAnsi="宋体"/>
                <w:color w:val="auto"/>
                <w:szCs w:val="21"/>
                <w:highlight w:val="none"/>
              </w:rPr>
              <w:t>向成交供应商支付</w:t>
            </w:r>
            <w:r>
              <w:rPr>
                <w:rFonts w:ascii="宋体" w:hAnsi="宋体"/>
                <w:color w:val="auto"/>
                <w:szCs w:val="21"/>
                <w:highlight w:val="none"/>
              </w:rPr>
              <w:t>4</w:t>
            </w:r>
            <w:r>
              <w:rPr>
                <w:rFonts w:hint="eastAsia" w:ascii="宋体" w:hAnsi="宋体"/>
                <w:color w:val="auto"/>
                <w:szCs w:val="21"/>
                <w:highlight w:val="none"/>
              </w:rPr>
              <w:t>0%合同款</w:t>
            </w:r>
            <w:r>
              <w:rPr>
                <w:rFonts w:hint="eastAsia" w:ascii="宋体" w:hAnsi="宋体"/>
                <w:color w:val="auto"/>
                <w:szCs w:val="21"/>
                <w:highlight w:val="none"/>
                <w:lang w:eastAsia="zh-CN"/>
              </w:rPr>
              <w:t>；</w:t>
            </w:r>
            <w:r>
              <w:rPr>
                <w:rFonts w:hint="eastAsia" w:ascii="宋体" w:hAnsi="宋体"/>
                <w:color w:val="auto"/>
                <w:szCs w:val="21"/>
                <w:highlight w:val="none"/>
              </w:rPr>
              <w:t>成交供应商持续提供运维服务满</w:t>
            </w:r>
            <w:r>
              <w:rPr>
                <w:rFonts w:ascii="宋体" w:hAnsi="宋体"/>
                <w:color w:val="auto"/>
                <w:szCs w:val="21"/>
                <w:highlight w:val="none"/>
              </w:rPr>
              <w:t>1</w:t>
            </w:r>
            <w:r>
              <w:rPr>
                <w:rFonts w:hint="eastAsia" w:ascii="宋体" w:hAnsi="宋体"/>
                <w:color w:val="auto"/>
                <w:szCs w:val="21"/>
                <w:highlight w:val="none"/>
              </w:rPr>
              <w:t>个月并取得运维成果，采购人向成交供应商支付</w:t>
            </w:r>
            <w:r>
              <w:rPr>
                <w:rFonts w:ascii="宋体" w:hAnsi="宋体"/>
                <w:color w:val="auto"/>
                <w:szCs w:val="21"/>
                <w:highlight w:val="none"/>
              </w:rPr>
              <w:t>5</w:t>
            </w:r>
            <w:r>
              <w:rPr>
                <w:rFonts w:hint="eastAsia" w:ascii="宋体" w:hAnsi="宋体"/>
                <w:color w:val="auto"/>
                <w:szCs w:val="21"/>
                <w:highlight w:val="none"/>
              </w:rPr>
              <w:t>0%合同款；待项目通过年度验收并确认合格后，采购人向成交供应商支付剩余10%合同款。成交供应商应于每次收到合同款后3个工作日内，向采购人出具合法有效的增值税专用发票，发票金额须与当次收款金额完全相符。</w:t>
            </w:r>
          </w:p>
        </w:tc>
      </w:tr>
      <w:tr w14:paraId="0FAC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4911E35C">
            <w:pPr>
              <w:spacing w:line="360" w:lineRule="exact"/>
              <w:jc w:val="center"/>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服务保密要求</w:t>
            </w:r>
          </w:p>
        </w:tc>
        <w:tc>
          <w:tcPr>
            <w:tcW w:w="7614" w:type="dxa"/>
            <w:gridSpan w:val="4"/>
            <w:tcBorders>
              <w:top w:val="single" w:color="auto" w:sz="4" w:space="0"/>
              <w:left w:val="single" w:color="auto" w:sz="4" w:space="0"/>
              <w:bottom w:val="single" w:color="auto" w:sz="4" w:space="0"/>
            </w:tcBorders>
            <w:vAlign w:val="center"/>
          </w:tcPr>
          <w:p w14:paraId="109D7F78">
            <w:pPr>
              <w:adjustRightInd w:val="0"/>
              <w:snapToGrid w:val="0"/>
              <w:spacing w:line="360" w:lineRule="exact"/>
              <w:rPr>
                <w:rFonts w:ascii="宋体" w:cs="宋体"/>
                <w:bCs/>
                <w:color w:val="auto"/>
                <w:szCs w:val="22"/>
                <w:highlight w:val="none"/>
              </w:rPr>
            </w:pPr>
            <w:r>
              <w:rPr>
                <w:rFonts w:hint="eastAsia" w:ascii="宋体" w:hAnsi="宋体"/>
                <w:color w:val="auto"/>
                <w:szCs w:val="21"/>
                <w:highlight w:val="none"/>
              </w:rPr>
              <w:t>供应商应保密，承诺不将任何涉及本项目的信息向外界泄露。</w:t>
            </w:r>
          </w:p>
        </w:tc>
      </w:tr>
    </w:tbl>
    <w:p w14:paraId="7853835C">
      <w:pPr>
        <w:spacing w:line="360" w:lineRule="auto"/>
        <w:ind w:firstLine="310" w:firstLineChars="147"/>
        <w:jc w:val="left"/>
        <w:rPr>
          <w:rFonts w:hint="eastAsia" w:ascii="宋体" w:hAnsi="宋体" w:cs="宋体"/>
          <w:b/>
          <w:color w:val="auto"/>
          <w:szCs w:val="21"/>
          <w:highlight w:val="none"/>
        </w:rPr>
      </w:pPr>
    </w:p>
    <w:p w14:paraId="10EF8829">
      <w:pPr>
        <w:spacing w:line="360" w:lineRule="auto"/>
        <w:ind w:firstLine="310" w:firstLineChars="147"/>
        <w:jc w:val="left"/>
        <w:rPr>
          <w:rFonts w:hint="eastAsia" w:ascii="宋体" w:hAnsi="宋体" w:cs="宋体"/>
          <w:b/>
          <w:color w:val="auto"/>
          <w:szCs w:val="21"/>
          <w:highlight w:val="none"/>
        </w:rPr>
      </w:pPr>
    </w:p>
    <w:p w14:paraId="66F72B74">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广西农业农村·舆·情监控管理服务</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hint="eastAsia" w:ascii="宋体" w:hAnsi="宋体"/>
          <w:b/>
          <w:bCs/>
          <w:color w:val="auto"/>
          <w:szCs w:val="21"/>
          <w:highlight w:val="none"/>
          <w:u w:val="single"/>
          <w:lang w:val="en-US" w:eastAsia="zh-CN"/>
        </w:rPr>
        <w:t>40.00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63F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716F1E7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EAB899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63D8F2A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B791D1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2E037CB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5F2AEB4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7510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7A83BA4">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1F57F5DE">
            <w:pPr>
              <w:widowControl/>
              <w:spacing w:line="360" w:lineRule="auto"/>
              <w:jc w:val="center"/>
              <w:rPr>
                <w:rFonts w:ascii="宋体" w:cs="宋体"/>
                <w:color w:val="auto"/>
                <w:szCs w:val="21"/>
                <w:highlight w:val="none"/>
              </w:rPr>
            </w:pPr>
            <w:r>
              <w:rPr>
                <w:rFonts w:hint="eastAsia" w:ascii="宋体" w:cs="宋体"/>
                <w:color w:val="auto"/>
                <w:szCs w:val="21"/>
                <w:highlight w:val="none"/>
              </w:rPr>
              <w:t>“三农”</w:t>
            </w:r>
            <w:r>
              <w:rPr>
                <w:rFonts w:hint="eastAsia" w:ascii="宋体" w:cs="宋体"/>
                <w:color w:val="auto"/>
                <w:szCs w:val="21"/>
                <w:highlight w:val="none"/>
                <w:lang w:eastAsia="zh-CN"/>
              </w:rPr>
              <w:t>·舆·情</w:t>
            </w:r>
            <w:r>
              <w:rPr>
                <w:rFonts w:hint="eastAsia" w:ascii="宋体" w:cs="宋体"/>
                <w:color w:val="auto"/>
                <w:szCs w:val="21"/>
                <w:highlight w:val="none"/>
              </w:rPr>
              <w:t>监测管理平台租用</w:t>
            </w:r>
          </w:p>
        </w:tc>
        <w:tc>
          <w:tcPr>
            <w:tcW w:w="1050" w:type="dxa"/>
            <w:vAlign w:val="center"/>
          </w:tcPr>
          <w:p w14:paraId="7C9D8234">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1项</w:t>
            </w:r>
          </w:p>
        </w:tc>
        <w:tc>
          <w:tcPr>
            <w:tcW w:w="1077" w:type="dxa"/>
            <w:vAlign w:val="center"/>
          </w:tcPr>
          <w:p w14:paraId="509D845A">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0CED34B3">
            <w:pPr>
              <w:spacing w:before="50" w:after="50"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租用“三农”网络舆情监测管理平台（平台须和农业农村部“三农”网络监测管理平台实现数据对接、关键词共享等），开展日常监测和关键词整理维护。</w:t>
            </w:r>
          </w:p>
          <w:p w14:paraId="0E7C1355">
            <w:pPr>
              <w:spacing w:before="50" w:after="50"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日常监测：每日开展广西“三农”舆情日常监测。监测内容包括农业生产和粮食安全、乡村振兴、农产品供销、农村人居环境整治、大棚房整治、重大动植物疫情、农产品质量安全、农产品销售、转基因等涉农热点。</w:t>
            </w:r>
          </w:p>
          <w:p w14:paraId="056F5EC0">
            <w:pPr>
              <w:spacing w:before="50" w:after="50"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（2）关键词整理：加强对广西涉农舆情关键词的系统梳理，完善广西“三农”舆情监测关键词列表，为进一步提升广西“三农”舆情监测的效率和水平做好基础支撑工作。</w:t>
            </w:r>
          </w:p>
          <w:p w14:paraId="77B00BF4">
            <w:pPr>
              <w:spacing w:before="50" w:after="50" w:line="360" w:lineRule="auto"/>
              <w:ind w:firstLine="420"/>
              <w:jc w:val="left"/>
              <w:rPr>
                <w:rFonts w:ascii="宋体" w:cs="宋体"/>
                <w:color w:val="auto"/>
                <w:szCs w:val="21"/>
                <w:highlight w:val="none"/>
              </w:rPr>
            </w:pPr>
            <w:r>
              <w:rPr>
                <w:rFonts w:hint="eastAsia" w:ascii="宋体" w:hAnsi="宋体" w:eastAsia="宋体" w:cs="宋体"/>
                <w:color w:val="auto"/>
                <w:szCs w:val="21"/>
                <w:highlight w:val="none"/>
              </w:rPr>
              <w:t>（3）舆情通账号：开通舆情通手机端账号2个，供随时随地进行舆情信息查询、检索，第一时间了解广西三农网络舆情。</w:t>
            </w:r>
          </w:p>
        </w:tc>
      </w:tr>
      <w:tr w14:paraId="609F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76979B0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0F9E9A78">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广西“三农”</w:t>
            </w:r>
            <w:r>
              <w:rPr>
                <w:rFonts w:hint="eastAsia" w:ascii="宋体" w:hAnsi="宋体" w:cs="宋体"/>
                <w:color w:val="auto"/>
                <w:szCs w:val="21"/>
                <w:highlight w:val="none"/>
                <w:lang w:eastAsia="zh-CN"/>
              </w:rPr>
              <w:t>·舆·情</w:t>
            </w:r>
            <w:r>
              <w:rPr>
                <w:rFonts w:hint="eastAsia" w:ascii="宋体" w:hAnsi="宋体" w:eastAsia="宋体" w:cs="宋体"/>
                <w:color w:val="auto"/>
                <w:szCs w:val="21"/>
                <w:highlight w:val="none"/>
              </w:rPr>
              <w:t>管理</w:t>
            </w:r>
          </w:p>
        </w:tc>
        <w:tc>
          <w:tcPr>
            <w:tcW w:w="1050" w:type="dxa"/>
            <w:vAlign w:val="center"/>
          </w:tcPr>
          <w:p w14:paraId="3E6A2389">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1项</w:t>
            </w:r>
          </w:p>
        </w:tc>
        <w:tc>
          <w:tcPr>
            <w:tcW w:w="1077" w:type="dxa"/>
            <w:vAlign w:val="center"/>
          </w:tcPr>
          <w:p w14:paraId="3379921B">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3F34DC10">
            <w:pPr>
              <w:spacing w:before="50" w:after="50"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针对广西“三农”重点、热点事件开展全网监测、应急监测及预警通报工作。</w:t>
            </w:r>
          </w:p>
          <w:p w14:paraId="38F5AF62">
            <w:pPr>
              <w:numPr>
                <w:ilvl w:val="0"/>
                <w:numId w:val="0"/>
              </w:numPr>
              <w:spacing w:before="50" w:after="50" w:line="360" w:lineRule="auto"/>
              <w:ind w:firstLine="420" w:firstLineChars="0"/>
              <w:jc w:val="left"/>
              <w:rPr>
                <w:rFonts w:ascii="宋体" w:hAnsi="宋体" w:eastAsia="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全网监测：按照要求对广西“三农”舆情开展全面监测，监测范围包括网站、纸媒、论坛、博客、微博、微信、新闻客户端、网络视频等全媒体，涵盖广西14个地市的590个活跃网络站点，重点加强广西主流媒体涉农报道、广西本地社区BBS涉农网帖的监测。全年监测广西的信息数不少于8万条。</w:t>
            </w:r>
          </w:p>
          <w:p w14:paraId="26430A51">
            <w:pPr>
              <w:numPr>
                <w:ilvl w:val="0"/>
                <w:numId w:val="0"/>
              </w:numPr>
              <w:spacing w:before="50" w:after="50" w:line="360" w:lineRule="auto"/>
              <w:ind w:firstLine="420" w:firstLineChars="0"/>
              <w:jc w:val="left"/>
              <w:rPr>
                <w:rFonts w:ascii="宋体" w:hAnsi="宋体" w:eastAsia="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应急监测：广西涉农突发舆情事件发生时，配合开展相关应急监测工作，同时做好监测数据整理分析等服务。</w:t>
            </w:r>
          </w:p>
          <w:p w14:paraId="0B8417E9">
            <w:pPr>
              <w:numPr>
                <w:ilvl w:val="0"/>
                <w:numId w:val="0"/>
              </w:numPr>
              <w:spacing w:before="50" w:after="50" w:line="360" w:lineRule="auto"/>
              <w:ind w:firstLine="420" w:firstLineChars="0"/>
              <w:jc w:val="left"/>
              <w:rPr>
                <w:rFonts w:ascii="宋体" w:hAnsi="宋体" w:eastAsia="宋体" w:cs="宋体"/>
                <w:color w:val="auto"/>
                <w:szCs w:val="21"/>
                <w:highlight w:val="none"/>
              </w:rPr>
            </w:pPr>
            <w:r>
              <w:rPr>
                <w:rFonts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 xml:space="preserve">预警通报：针对广西“三农”负面、敏感舆情，加强重点监测，开展预警通报服务。舆情系统7*24小时实时监测，每月预警信息80-100条。其中，重点监测涉及广西农业农村厅工作人员及所辖市县农业农村部门的负面、敏感信息，随时进行预警通报、处置。 </w:t>
            </w:r>
          </w:p>
          <w:p w14:paraId="24E426FD">
            <w:pPr>
              <w:numPr>
                <w:ilvl w:val="0"/>
                <w:numId w:val="0"/>
              </w:numPr>
              <w:spacing w:before="50" w:after="50" w:line="360" w:lineRule="auto"/>
              <w:ind w:firstLine="420" w:firstLineChars="0"/>
              <w:jc w:val="left"/>
              <w:rPr>
                <w:rFonts w:ascii="宋体" w:hAnsi="宋体" w:eastAsia="宋体" w:cs="宋体"/>
                <w:color w:val="auto"/>
                <w:szCs w:val="21"/>
                <w:highlight w:val="none"/>
              </w:rPr>
            </w:pPr>
            <w:r>
              <w:rPr>
                <w:rFonts w:ascii="宋体" w:hAnsi="宋体" w:eastAsia="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风险预判与研判：月度、季度或年度对涉农重点舆情或可能高发舆情风险点及相关舆情关键词进行梳理和风险预判。当有涉农重点舆情发生或涉农舆情有上升苗头时，立即开展专项风险研判分析，及时汇报，并配合主管部门开展舆情跟踪。要求全年风险预判研判分析不低于12次。</w:t>
            </w:r>
          </w:p>
          <w:p w14:paraId="21DAF053">
            <w:pPr>
              <w:numPr>
                <w:ilvl w:val="0"/>
                <w:numId w:val="0"/>
              </w:numPr>
              <w:spacing w:before="50" w:after="50" w:line="360" w:lineRule="auto"/>
              <w:ind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舆情风险评估：对发布政策、重大活动等提前进行全面、深入、科学的舆情风险评估，并形成舆情风险评估报告，以便提前做出舆情应对决策。要求全年不低于6次。</w:t>
            </w:r>
          </w:p>
          <w:p w14:paraId="486670E6">
            <w:pPr>
              <w:numPr>
                <w:ilvl w:val="0"/>
                <w:numId w:val="0"/>
              </w:numPr>
              <w:spacing w:before="50" w:after="50" w:line="360" w:lineRule="auto"/>
              <w:ind w:firstLine="420" w:firstLineChars="0"/>
              <w:jc w:val="left"/>
              <w:rPr>
                <w:rFonts w:ascii="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数据统计分析：当有涉农工作重点舆情发生时，对阶段性数据进行统计并概括分析。要求全年统计分析不低于12次。</w:t>
            </w:r>
          </w:p>
        </w:tc>
      </w:tr>
      <w:tr w14:paraId="25F9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1B7BF4C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16" w:type="dxa"/>
            <w:gridSpan w:val="2"/>
            <w:vAlign w:val="center"/>
          </w:tcPr>
          <w:p w14:paraId="532C1BC4">
            <w:pPr>
              <w:widowControl/>
              <w:spacing w:line="360" w:lineRule="auto"/>
              <w:jc w:val="center"/>
              <w:rPr>
                <w:rFonts w:ascii="宋体" w:cs="宋体"/>
                <w:color w:val="auto"/>
                <w:szCs w:val="21"/>
                <w:highlight w:val="none"/>
              </w:rPr>
            </w:pPr>
            <w:r>
              <w:rPr>
                <w:rFonts w:hint="eastAsia" w:ascii="宋体" w:hAnsi="宋体" w:cs="宋体"/>
                <w:color w:val="auto"/>
                <w:szCs w:val="21"/>
                <w:highlight w:val="none"/>
                <w:lang w:eastAsia="zh-CN"/>
              </w:rPr>
              <w:t>·舆·情</w:t>
            </w:r>
            <w:r>
              <w:rPr>
                <w:rFonts w:hint="eastAsia" w:ascii="宋体" w:hAnsi="宋体" w:eastAsia="宋体" w:cs="宋体"/>
                <w:color w:val="auto"/>
                <w:szCs w:val="21"/>
                <w:highlight w:val="none"/>
              </w:rPr>
              <w:t>报告编写</w:t>
            </w:r>
          </w:p>
        </w:tc>
        <w:tc>
          <w:tcPr>
            <w:tcW w:w="1050" w:type="dxa"/>
            <w:vAlign w:val="center"/>
          </w:tcPr>
          <w:p w14:paraId="7A8E2B9C">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1项</w:t>
            </w:r>
          </w:p>
        </w:tc>
        <w:tc>
          <w:tcPr>
            <w:tcW w:w="1077" w:type="dxa"/>
            <w:vAlign w:val="center"/>
          </w:tcPr>
          <w:p w14:paraId="72ED0ED6">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tcPr>
          <w:p w14:paraId="03E5D785">
            <w:pPr>
              <w:numPr>
                <w:ilvl w:val="0"/>
                <w:numId w:val="0"/>
              </w:numPr>
              <w:spacing w:before="50" w:after="50" w:line="360" w:lineRule="auto"/>
              <w:ind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周期性报告：全年至少27期。以日或周或月为单位，对周期内广西农业农村网络舆情信息编写报告，内容包括但不限于舆情概况分析、热点话题或热点事件舆情分析等内容，以图文描述涉农舆情传播情况，并对热点话题及热点事件网络舆情进行归纳总结，总体风险研判分析，反映网络舆论态度；专项工作开展期间，每日或每周针对性主题内容网络舆情信息编写报告，内容包括舆情概况分析、主要舆情信息内容及传播情况等。</w:t>
            </w:r>
          </w:p>
          <w:p w14:paraId="01C4D326">
            <w:pPr>
              <w:numPr>
                <w:ilvl w:val="0"/>
                <w:numId w:val="0"/>
              </w:numPr>
              <w:spacing w:before="50" w:after="50" w:line="360" w:lineRule="auto"/>
              <w:ind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舆情年报：全年1期，对全年广西农业农村网络舆情信息进行综合分析，编写报告，达到出版要求。内容主要包含但不限于舆情摘要、舆情概况、热点话题分析、热点事件舆情分析、舆情展望及建议、参考文献等以及数据统计、专题分析、预警研判等，并对下一年度舆情监测工作开展预警研判。</w:t>
            </w:r>
          </w:p>
          <w:p w14:paraId="28B0A87F">
            <w:pPr>
              <w:numPr>
                <w:ilvl w:val="0"/>
                <w:numId w:val="0"/>
              </w:numPr>
              <w:spacing w:before="50" w:after="50" w:line="360" w:lineRule="auto"/>
              <w:ind w:firstLine="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（3）舆情专题报：全年不低于20期。针对监测中发现的广西涉农重大活动、重大事件等不定期编写舆情专题报，深入挖掘分析热点事件的发展进程、舆情动态、网民观点等。</w:t>
            </w:r>
          </w:p>
          <w:p w14:paraId="6D7085CD">
            <w:pPr>
              <w:numPr>
                <w:ilvl w:val="0"/>
                <w:numId w:val="0"/>
              </w:numPr>
              <w:spacing w:before="50" w:after="50" w:line="360" w:lineRule="auto"/>
              <w:ind w:firstLine="420" w:firstLineChars="0"/>
              <w:jc w:val="left"/>
              <w:rPr>
                <w:rFonts w:ascii="宋体" w:cs="宋体"/>
                <w:color w:val="auto"/>
                <w:szCs w:val="21"/>
                <w:highlight w:val="none"/>
              </w:rPr>
            </w:pPr>
            <w:r>
              <w:rPr>
                <w:rFonts w:hint="eastAsia" w:ascii="宋体" w:hAnsi="宋体" w:eastAsia="宋体" w:cs="宋体"/>
                <w:color w:val="auto"/>
                <w:szCs w:val="21"/>
                <w:highlight w:val="none"/>
              </w:rPr>
              <w:t>（4）舆情风险评估报告：针对即将出台的涉农政策性文件进行舆情风险评估，全年不少于10期。</w:t>
            </w:r>
          </w:p>
        </w:tc>
      </w:tr>
      <w:tr w14:paraId="062F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49A01C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16" w:type="dxa"/>
            <w:gridSpan w:val="2"/>
            <w:vAlign w:val="center"/>
          </w:tcPr>
          <w:p w14:paraId="027076B2">
            <w:pPr>
              <w:widowControl/>
              <w:spacing w:line="360" w:lineRule="auto"/>
              <w:jc w:val="center"/>
              <w:rPr>
                <w:rFonts w:ascii="宋体" w:cs="宋体"/>
                <w:color w:val="auto"/>
                <w:szCs w:val="21"/>
                <w:highlight w:val="none"/>
              </w:rPr>
            </w:pPr>
            <w:r>
              <w:rPr>
                <w:rFonts w:hint="eastAsia" w:ascii="宋体" w:cs="宋体"/>
                <w:color w:val="auto"/>
                <w:szCs w:val="21"/>
                <w:highlight w:val="none"/>
              </w:rPr>
              <w:t>广西“三农”</w:t>
            </w:r>
            <w:r>
              <w:rPr>
                <w:rFonts w:hint="eastAsia" w:ascii="宋体" w:cs="宋体"/>
                <w:color w:val="auto"/>
                <w:szCs w:val="21"/>
                <w:highlight w:val="none"/>
                <w:lang w:eastAsia="zh-CN"/>
              </w:rPr>
              <w:t>·舆·情</w:t>
            </w:r>
            <w:r>
              <w:rPr>
                <w:rFonts w:hint="eastAsia" w:ascii="宋体" w:cs="宋体"/>
                <w:color w:val="auto"/>
                <w:szCs w:val="21"/>
                <w:highlight w:val="none"/>
              </w:rPr>
              <w:t>应对能力提升</w:t>
            </w:r>
          </w:p>
        </w:tc>
        <w:tc>
          <w:tcPr>
            <w:tcW w:w="1050" w:type="dxa"/>
            <w:vAlign w:val="center"/>
          </w:tcPr>
          <w:p w14:paraId="2DC877BF">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1项</w:t>
            </w:r>
          </w:p>
        </w:tc>
        <w:tc>
          <w:tcPr>
            <w:tcW w:w="1077" w:type="dxa"/>
            <w:vAlign w:val="center"/>
          </w:tcPr>
          <w:p w14:paraId="240F7D98">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tcPr>
          <w:p w14:paraId="77CCE256">
            <w:pPr>
              <w:spacing w:line="360" w:lineRule="auto"/>
              <w:ind w:firstLine="420"/>
              <w:jc w:val="left"/>
              <w:rPr>
                <w:rFonts w:ascii="宋体" w:cs="宋体"/>
                <w:color w:val="auto"/>
                <w:szCs w:val="21"/>
                <w:highlight w:val="none"/>
              </w:rPr>
            </w:pPr>
            <w:r>
              <w:rPr>
                <w:rFonts w:hint="eastAsia" w:ascii="宋体" w:hAnsi="宋体" w:eastAsia="宋体" w:cs="宋体"/>
                <w:color w:val="auto"/>
                <w:szCs w:val="21"/>
                <w:highlight w:val="none"/>
              </w:rPr>
              <w:t>组织全区、市、县三级舆情管理人员开展业务交流1次，人数不超过135人，提升各级舆情管理人员对舆情监测、分析、应对等核心业务的理解与操作能力，加强各级之间的沟通协作，促进经验共享与交流。</w:t>
            </w:r>
          </w:p>
        </w:tc>
      </w:tr>
      <w:tr w14:paraId="71D13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49935FC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16" w:type="dxa"/>
            <w:gridSpan w:val="2"/>
            <w:vAlign w:val="center"/>
          </w:tcPr>
          <w:p w14:paraId="2DEEF85E">
            <w:pPr>
              <w:widowControl/>
              <w:spacing w:line="360" w:lineRule="auto"/>
              <w:jc w:val="center"/>
              <w:rPr>
                <w:rFonts w:ascii="宋体" w:cs="宋体"/>
                <w:color w:val="auto"/>
                <w:szCs w:val="21"/>
                <w:highlight w:val="none"/>
              </w:rPr>
            </w:pPr>
            <w:r>
              <w:rPr>
                <w:rFonts w:hint="eastAsia" w:ascii="宋体" w:hAnsi="宋体" w:cs="宋体"/>
                <w:color w:val="auto"/>
                <w:szCs w:val="21"/>
                <w:highlight w:val="none"/>
                <w:lang w:eastAsia="zh-CN"/>
              </w:rPr>
              <w:t>·舆·情</w:t>
            </w:r>
            <w:r>
              <w:rPr>
                <w:rFonts w:hint="eastAsia" w:ascii="宋体" w:hAnsi="宋体" w:eastAsia="宋体" w:cs="宋体"/>
                <w:color w:val="auto"/>
                <w:szCs w:val="21"/>
                <w:highlight w:val="none"/>
              </w:rPr>
              <w:t>应对咨询服务</w:t>
            </w:r>
          </w:p>
        </w:tc>
        <w:tc>
          <w:tcPr>
            <w:tcW w:w="1050" w:type="dxa"/>
            <w:vAlign w:val="center"/>
          </w:tcPr>
          <w:p w14:paraId="764319DC">
            <w:pPr>
              <w:widowControl/>
              <w:spacing w:line="360" w:lineRule="auto"/>
              <w:jc w:val="center"/>
              <w:rPr>
                <w:rFonts w:ascii="宋体" w:cs="宋体"/>
                <w:color w:val="auto"/>
                <w:szCs w:val="21"/>
                <w:highlight w:val="none"/>
              </w:rPr>
            </w:pPr>
            <w:r>
              <w:rPr>
                <w:rFonts w:hint="eastAsia" w:ascii="宋体" w:hAnsi="宋体" w:eastAsia="宋体" w:cs="宋体"/>
                <w:color w:val="auto"/>
                <w:szCs w:val="21"/>
                <w:highlight w:val="none"/>
              </w:rPr>
              <w:t>1项</w:t>
            </w:r>
          </w:p>
        </w:tc>
        <w:tc>
          <w:tcPr>
            <w:tcW w:w="1077" w:type="dxa"/>
            <w:vAlign w:val="center"/>
          </w:tcPr>
          <w:p w14:paraId="241357D0">
            <w:pPr>
              <w:tabs>
                <w:tab w:val="left" w:pos="180"/>
                <w:tab w:val="left" w:pos="1620"/>
              </w:tabs>
              <w:spacing w:line="360" w:lineRule="auto"/>
              <w:jc w:val="both"/>
              <w:rPr>
                <w:rFonts w:hint="eastAsia" w:ascii="宋体" w:cs="宋体"/>
                <w:color w:val="auto"/>
                <w:szCs w:val="21"/>
                <w:highlight w:val="none"/>
              </w:rPr>
            </w:pPr>
            <w:r>
              <w:rPr>
                <w:rFonts w:hint="eastAsia" w:ascii="宋体" w:cs="宋体"/>
                <w:color w:val="auto"/>
                <w:szCs w:val="21"/>
                <w:highlight w:val="none"/>
              </w:rPr>
              <w:t>租赁和商</w:t>
            </w:r>
          </w:p>
          <w:p w14:paraId="5E9FE348">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务服务业</w:t>
            </w:r>
          </w:p>
        </w:tc>
        <w:tc>
          <w:tcPr>
            <w:tcW w:w="5416" w:type="dxa"/>
          </w:tcPr>
          <w:p w14:paraId="64A47799">
            <w:pPr>
              <w:spacing w:line="360" w:lineRule="auto"/>
              <w:ind w:firstLine="420"/>
              <w:jc w:val="left"/>
              <w:rPr>
                <w:rFonts w:ascii="宋体" w:cs="宋体"/>
                <w:color w:val="auto"/>
                <w:szCs w:val="21"/>
                <w:highlight w:val="none"/>
              </w:rPr>
            </w:pPr>
            <w:r>
              <w:rPr>
                <w:rFonts w:hint="eastAsia" w:ascii="宋体" w:hAnsi="宋体" w:eastAsia="宋体" w:cs="宋体"/>
                <w:color w:val="auto"/>
                <w:szCs w:val="21"/>
                <w:highlight w:val="none"/>
              </w:rPr>
              <w:t>聘请1名舆情应对专家，提供全年舆情应对指导咨询服务，全年至少提供3次咨询服务。</w:t>
            </w:r>
          </w:p>
        </w:tc>
      </w:tr>
      <w:tr w14:paraId="4A40E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6DB23F00">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36B84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A5BA117">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65DEE33F">
            <w:pPr>
              <w:pStyle w:val="15"/>
              <w:spacing w:line="360" w:lineRule="auto"/>
              <w:rPr>
                <w:rFonts w:ascii="宋体" w:cs="宋体"/>
                <w:color w:val="auto"/>
                <w:kern w:val="0"/>
                <w:sz w:val="28"/>
                <w:szCs w:val="28"/>
                <w:highlight w:val="none"/>
              </w:rPr>
            </w:pPr>
            <w:r>
              <w:rPr>
                <w:rFonts w:hint="eastAsia" w:ascii="宋体" w:hAnsi="宋体" w:eastAsia="宋体" w:cs="宋体"/>
                <w:color w:val="auto"/>
                <w:kern w:val="2"/>
                <w:sz w:val="21"/>
                <w:szCs w:val="21"/>
                <w:highlight w:val="none"/>
                <w:lang w:val="en-US" w:eastAsia="zh-CN" w:bidi="ar-SA"/>
              </w:rPr>
              <w:t>本项目报价为总额报价，即一次性报出本项目服务所需的所有费用，含技术服务、派出工作人员的交通费、住宿费、伙食补助费、必要的保险费用和各项税金、其他（如培训、技术支持等）有关的费用。本项目至验收合格，采购人不另支付任何费用。</w:t>
            </w:r>
          </w:p>
        </w:tc>
      </w:tr>
      <w:tr w14:paraId="37634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22136ED">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641B0285">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1.合同履约期限：合同签订之日起1年。</w:t>
            </w:r>
          </w:p>
          <w:p w14:paraId="1B753277">
            <w:pPr>
              <w:pStyle w:val="15"/>
              <w:spacing w:line="360" w:lineRule="auto"/>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bidi="ar-SA"/>
              </w:rPr>
              <w:t>2.地点：采购人指定地点。</w:t>
            </w:r>
          </w:p>
        </w:tc>
      </w:tr>
      <w:tr w14:paraId="6190F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8A08BB0">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0C3B3010">
            <w:pPr>
              <w:spacing w:line="360" w:lineRule="auto"/>
              <w:rPr>
                <w:color w:val="auto"/>
                <w:highlight w:val="none"/>
              </w:rPr>
            </w:pPr>
            <w:r>
              <w:rPr>
                <w:rFonts w:hint="eastAsia"/>
                <w:color w:val="auto"/>
                <w:highlight w:val="none"/>
              </w:rPr>
              <w:t>合同签订</w:t>
            </w:r>
            <w:r>
              <w:rPr>
                <w:rFonts w:hint="eastAsia"/>
                <w:color w:val="auto"/>
                <w:highlight w:val="none"/>
                <w:lang w:val="en-US" w:eastAsia="zh-CN"/>
              </w:rPr>
              <w:t>之日起</w:t>
            </w:r>
            <w:r>
              <w:rPr>
                <w:color w:val="auto"/>
                <w:highlight w:val="none"/>
              </w:rPr>
              <w:t>20个工作日内，向成交供应商支付40%合同款</w:t>
            </w:r>
            <w:r>
              <w:rPr>
                <w:rFonts w:hint="eastAsia"/>
                <w:color w:val="auto"/>
                <w:highlight w:val="none"/>
                <w:lang w:eastAsia="zh-CN"/>
              </w:rPr>
              <w:t>；</w:t>
            </w:r>
            <w:r>
              <w:rPr>
                <w:color w:val="auto"/>
                <w:highlight w:val="none"/>
              </w:rPr>
              <w:t>成交供应商持续提供运维服务满2个月</w:t>
            </w:r>
            <w:r>
              <w:rPr>
                <w:rFonts w:hint="eastAsia"/>
                <w:color w:val="auto"/>
                <w:highlight w:val="none"/>
              </w:rPr>
              <w:t>并取得运维成果</w:t>
            </w:r>
            <w:r>
              <w:rPr>
                <w:color w:val="auto"/>
                <w:highlight w:val="none"/>
              </w:rPr>
              <w:t>，采购人向成交供应商支付剩余50%合同款；待项目通过年度验收并确认合格后，采购人向成交供应商支付剩余10%合同款。成交供应商应于每次收到合同款后3个工作日内，向采购人出具合法有效的增值税专用发票，发票金额须与当次收款金额完全相符</w:t>
            </w:r>
            <w:r>
              <w:rPr>
                <w:rFonts w:hint="eastAsia"/>
                <w:color w:val="auto"/>
                <w:highlight w:val="none"/>
              </w:rPr>
              <w:t>。</w:t>
            </w:r>
          </w:p>
        </w:tc>
      </w:tr>
      <w:tr w14:paraId="47C1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06E26C8B">
            <w:pPr>
              <w:spacing w:line="360" w:lineRule="exact"/>
              <w:jc w:val="center"/>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61A92284">
            <w:pPr>
              <w:spacing w:line="360" w:lineRule="exact"/>
              <w:rPr>
                <w:rFonts w:ascii="宋体" w:hAnsi="宋体" w:cs="宋体"/>
                <w:color w:val="auto"/>
                <w:highlight w:val="none"/>
              </w:rPr>
            </w:pPr>
            <w:r>
              <w:rPr>
                <w:rFonts w:hint="eastAsia" w:ascii="宋体" w:hAnsi="宋体" w:cs="宋体"/>
                <w:color w:val="auto"/>
                <w:highlight w:val="none"/>
              </w:rPr>
              <w:t>1、维护响应：自接到采购人电话通知后30分钟内响应，要求到达现场处理时应在2小时内要求到达现场处理；执行快速问题响应，小问题3小时内解决，其余问题12小时内解决。</w:t>
            </w:r>
          </w:p>
          <w:p w14:paraId="77E7813D">
            <w:pPr>
              <w:spacing w:line="360" w:lineRule="exac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成交供应商为采购人提供技术支持。</w:t>
            </w:r>
          </w:p>
          <w:p w14:paraId="39163C8F">
            <w:pPr>
              <w:spacing w:line="360" w:lineRule="exact"/>
              <w:rPr>
                <w:rFonts w:ascii="宋体" w:cs="宋体"/>
                <w:bCs/>
                <w:color w:val="auto"/>
                <w:szCs w:val="22"/>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成交供应商</w:t>
            </w:r>
            <w:r>
              <w:rPr>
                <w:rFonts w:hint="eastAsia" w:ascii="宋体" w:hAnsi="宋体" w:cs="宋体"/>
                <w:color w:val="auto"/>
                <w:highlight w:val="none"/>
              </w:rPr>
              <w:t>需无偿按照采购人的要求，对成品作细微调整完善。</w:t>
            </w:r>
          </w:p>
        </w:tc>
      </w:tr>
    </w:tbl>
    <w:p w14:paraId="192C2777">
      <w:pPr>
        <w:spacing w:line="360" w:lineRule="auto"/>
        <w:jc w:val="left"/>
        <w:rPr>
          <w:rFonts w:hint="eastAsia" w:ascii="宋体" w:hAnsi="宋体" w:cs="宋体"/>
          <w:b/>
          <w:color w:val="auto"/>
          <w:szCs w:val="21"/>
          <w:highlight w:val="none"/>
        </w:rPr>
      </w:pPr>
    </w:p>
    <w:p w14:paraId="14238AFD">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广西农业全产业链公共服务平台运维 </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232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CD974F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CA8245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2B3AA4F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4F0B6D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470BE49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3F6B4ED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38E1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655" w:type="dxa"/>
            <w:vAlign w:val="center"/>
          </w:tcPr>
          <w:p w14:paraId="7A6D28B3">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10D081E9">
            <w:pPr>
              <w:widowControl/>
              <w:spacing w:line="360" w:lineRule="auto"/>
              <w:jc w:val="center"/>
              <w:rPr>
                <w:rFonts w:ascii="宋体" w:cs="宋体"/>
                <w:color w:val="auto"/>
                <w:szCs w:val="21"/>
                <w:highlight w:val="none"/>
              </w:rPr>
            </w:pPr>
            <w:r>
              <w:rPr>
                <w:rFonts w:hint="eastAsia" w:ascii="宋体" w:cs="宋体"/>
                <w:color w:val="auto"/>
                <w:szCs w:val="21"/>
                <w:highlight w:val="none"/>
              </w:rPr>
              <w:t>平台系统日常维护</w:t>
            </w:r>
          </w:p>
        </w:tc>
        <w:tc>
          <w:tcPr>
            <w:tcW w:w="1050" w:type="dxa"/>
            <w:vAlign w:val="center"/>
          </w:tcPr>
          <w:p w14:paraId="23B2F68B">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33447474">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23CB6E43">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1、定期巡检：定期检查平台电脑端及手机端程序运行状况，查看系统日志文，及时发现问题并进行排除。</w:t>
            </w:r>
          </w:p>
          <w:p w14:paraId="7AE88099">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处理：系统突发事件的诊断、排除，帮助解答系统相关的各种业务和技术问题，包括技术咨询、指导和信息提供等。提供5×8小时的全天候分级服务响应，1小时内给予响应，2小时内技术人员到位，进行故障排查与解决；24小时热线电话、远程在线诊断和故障排除、现场响应以及Email 和传真支持服务。</w:t>
            </w:r>
          </w:p>
          <w:p w14:paraId="1DB07595">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3、优化运维：优化日常维护工作程序，提前发现隐患，制定应急响应预案，以保证平台各系统无故障运行，同时优化系统性能。</w:t>
            </w:r>
          </w:p>
          <w:p w14:paraId="57AA9CB9">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4、重大问题处理：遇到的重大事件和疑难问题，召集资深专家级技术人员进行会诊，及时找到解决办法，确定处理方法，并在4小时内采取相应措施以确保系统正常运行。</w:t>
            </w:r>
          </w:p>
          <w:p w14:paraId="012BD6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cs="宋体"/>
                <w:color w:val="auto"/>
                <w:szCs w:val="21"/>
                <w:highlight w:val="none"/>
              </w:rPr>
            </w:pPr>
            <w:r>
              <w:rPr>
                <w:rFonts w:hint="eastAsia" w:ascii="宋体" w:hAnsi="宋体" w:eastAsia="宋体" w:cs="宋体"/>
                <w:color w:val="auto"/>
                <w:sz w:val="21"/>
                <w:szCs w:val="21"/>
                <w:highlight w:val="none"/>
              </w:rPr>
              <w:t>5、数据备份：定期进行数据备份，采用每天增量备份、每周完全备份的备份策略，以防止数据误操作或意外丢失。</w:t>
            </w:r>
          </w:p>
        </w:tc>
      </w:tr>
      <w:tr w14:paraId="762E4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B47B48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533541FC">
            <w:pPr>
              <w:widowControl/>
              <w:spacing w:line="360" w:lineRule="auto"/>
              <w:jc w:val="center"/>
              <w:rPr>
                <w:rFonts w:ascii="宋体" w:cs="宋体"/>
                <w:color w:val="auto"/>
                <w:szCs w:val="21"/>
                <w:highlight w:val="none"/>
              </w:rPr>
            </w:pPr>
            <w:r>
              <w:rPr>
                <w:rFonts w:hint="eastAsia" w:ascii="宋体" w:cs="宋体"/>
                <w:color w:val="auto"/>
                <w:szCs w:val="21"/>
                <w:highlight w:val="none"/>
              </w:rPr>
              <w:t>平台数据更新与对接服务</w:t>
            </w:r>
          </w:p>
        </w:tc>
        <w:tc>
          <w:tcPr>
            <w:tcW w:w="1050" w:type="dxa"/>
            <w:vAlign w:val="center"/>
          </w:tcPr>
          <w:p w14:paraId="5F480136">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18218BDF">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40897E07">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广西全区农业基本面数据整理分析：及时完成广西全区农业基本面数据整理与分析，为领导决策、管理人员指导生产提供数据支撑。具体包括：关注国家统计局、广西统计局相关信息发布时间，及时下载全国及广西农业生产、农业人口数据、耕地数据相关数据，按栏目内容进行整理、分析与发布；定期下载全国各省（区、市）“三品一标”认证数据，对相应栏目进行更新，包括产值情况、产业结构、乡村人口、耕地变化、气象分析、认证统计等。</w:t>
            </w:r>
          </w:p>
          <w:p w14:paraId="18C1198B">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香蕉、柑桔、火龙果、荔枝、桑蚕、芒果等单品种全产业链数据采集维护：深化六个特色品种的数据服务，结合季节特点提供数据分析服务，发挥平台对生产经营的指导与服务作用，具体包括：收集六个品种的分省生产数据，进行整理分析、更新图表并发布；对接广西农情数据，对广西各产区生产数据进行整理分析；收集六个品种的全国各地批发市场价格数据、进行多维度分析后，更新图表并发布；收集国际粮农组织发布的分国别单品种生产数据，进行整理分析、更新图表并发布；收集整理这六个品种相关的政策、种苗、科技、国内外及广西区内外新闻信息进行编辑并发布。</w:t>
            </w:r>
          </w:p>
          <w:p w14:paraId="2E1FF061">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3、信息服务类数据更新：为生产经营主体提供单品种全产业链的信息服务，加强市场联动，提升生产经营效率，包括新品种、惠农政策、热点新闻、实用技术等信息采集、整理与发布。</w:t>
            </w:r>
          </w:p>
          <w:p w14:paraId="47E727CD">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4、手机端数据更新：平台数据同步，进行格式调整、风格转换后，发布至手机端。</w:t>
            </w:r>
          </w:p>
          <w:p w14:paraId="00326328">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5、平台数据对接服务：实现与其他农业信息化系统平台的数据对接服务，强化对全区农业生产态势分析研判、农产品稳产保供给等。</w:t>
            </w:r>
          </w:p>
          <w:p w14:paraId="0E9C1525">
            <w:pPr>
              <w:keepNext w:val="0"/>
              <w:keepLines w:val="0"/>
              <w:pageBreakBefore w:val="0"/>
              <w:widowControl w:val="0"/>
              <w:kinsoku/>
              <w:wordWrap/>
              <w:overflowPunct/>
              <w:topLinePunct w:val="0"/>
              <w:autoSpaceDE/>
              <w:autoSpaceDN/>
              <w:bidi w:val="0"/>
              <w:adjustRightInd/>
              <w:snapToGrid/>
              <w:spacing w:before="50" w:after="50" w:line="360" w:lineRule="auto"/>
              <w:ind w:firstLine="420" w:firstLineChars="200"/>
              <w:textAlignment w:val="auto"/>
              <w:rPr>
                <w:rFonts w:ascii="宋体" w:cs="宋体"/>
                <w:color w:val="auto"/>
                <w:szCs w:val="21"/>
                <w:highlight w:val="none"/>
              </w:rPr>
            </w:pPr>
            <w:r>
              <w:rPr>
                <w:rFonts w:hint="eastAsia" w:ascii="宋体" w:hAnsi="宋体" w:eastAsia="宋体" w:cs="宋体"/>
                <w:color w:val="auto"/>
                <w:sz w:val="21"/>
                <w:szCs w:val="21"/>
                <w:highlight w:val="none"/>
              </w:rPr>
              <w:t>注：统计分析类数据更新频率不少于1次/年；信息服务类数据更新频率不少于1次/月；新闻动态类数据更新频率不少于2篇/周。</w:t>
            </w:r>
          </w:p>
        </w:tc>
      </w:tr>
      <w:tr w14:paraId="46C71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56C37DE6">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9358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FC58957">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1A7EDA9C">
            <w:pPr>
              <w:pStyle w:val="15"/>
              <w:spacing w:line="360" w:lineRule="auto"/>
              <w:rPr>
                <w:rFonts w:ascii="宋体" w:cs="宋体"/>
                <w:color w:val="auto"/>
                <w:kern w:val="0"/>
                <w:sz w:val="28"/>
                <w:szCs w:val="28"/>
                <w:highlight w:val="none"/>
              </w:rPr>
            </w:pPr>
            <w:r>
              <w:rPr>
                <w:rFonts w:hint="eastAsia" w:ascii="宋体" w:hAnsi="宋体" w:eastAsia="宋体" w:cs="宋体"/>
                <w:color w:val="auto"/>
                <w:kern w:val="0"/>
                <w:szCs w:val="21"/>
                <w:highlight w:val="none"/>
              </w:rPr>
              <w:t>本项目磋商报价为总额报价，即一次性报出本项目服务所需的所有费用，含技术服务、派出工作人员的交通费、住宿费、伙食补助费、必要的保险费用和各项税金、其他[如技术支持、更新升级等]有关的费用。本项目至验收合格，采购人不另支付任何费用。</w:t>
            </w:r>
          </w:p>
        </w:tc>
      </w:tr>
      <w:tr w14:paraId="01402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6A2090C">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78F282E7">
            <w:pPr>
              <w:spacing w:line="360" w:lineRule="auto"/>
              <w:rPr>
                <w:color w:val="auto"/>
                <w:highlight w:val="none"/>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期限：2025年10月15日至2026年10月14日</w:t>
            </w:r>
          </w:p>
          <w:p w14:paraId="3D76ED02">
            <w:pPr>
              <w:pStyle w:val="15"/>
              <w:spacing w:line="360" w:lineRule="auto"/>
              <w:rPr>
                <w:rFonts w:ascii="宋体" w:cs="宋体"/>
                <w:color w:val="auto"/>
                <w:szCs w:val="21"/>
                <w:highlight w:val="none"/>
              </w:rPr>
            </w:pPr>
            <w:r>
              <w:rPr>
                <w:rFonts w:hint="eastAsia"/>
                <w:color w:val="auto"/>
                <w:highlight w:val="none"/>
              </w:rPr>
              <w:t>2.地点：采购人指定地点</w:t>
            </w:r>
          </w:p>
        </w:tc>
      </w:tr>
      <w:tr w14:paraId="75AB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2B7790B">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1F9B45B">
            <w:pPr>
              <w:spacing w:line="360" w:lineRule="auto"/>
              <w:rPr>
                <w:color w:val="auto"/>
                <w:highlight w:val="none"/>
              </w:rPr>
            </w:pPr>
            <w:r>
              <w:rPr>
                <w:rFonts w:hint="eastAsia" w:ascii="宋体" w:hAnsi="宋体" w:eastAsia="宋体" w:cs="宋体"/>
                <w:color w:val="auto"/>
                <w:szCs w:val="21"/>
                <w:highlight w:val="none"/>
              </w:rPr>
              <w:t>合同签订</w:t>
            </w:r>
            <w:r>
              <w:rPr>
                <w:rFonts w:hint="eastAsia" w:ascii="宋体" w:hAnsi="宋体" w:eastAsia="宋体" w:cs="宋体"/>
                <w:color w:val="auto"/>
                <w:szCs w:val="21"/>
                <w:highlight w:val="none"/>
                <w:lang w:val="en-US" w:eastAsia="zh-CN"/>
              </w:rPr>
              <w:t>之日起</w:t>
            </w:r>
            <w:r>
              <w:rPr>
                <w:rFonts w:hint="eastAsia" w:ascii="宋体" w:hAnsi="宋体" w:eastAsia="宋体" w:cs="宋体"/>
                <w:color w:val="auto"/>
                <w:szCs w:val="21"/>
                <w:highlight w:val="none"/>
              </w:rPr>
              <w:t>20个工作日内，向成交供应商支付40%合同款作为定金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持续提供运维服务满1个月并取得运维成果，采购人向成交供应商支付50%合同款；待项目通过年度验收并确认合格后，采购人向成交供应商支付剩余10%合同款。成交供应商应于每次收到合同款后3个工作日内，向采购人出具合法有效的增值税专用发票，发票金额须与当次收款金额完全相符。</w:t>
            </w:r>
          </w:p>
        </w:tc>
      </w:tr>
      <w:tr w14:paraId="4C6AE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4F231C7C">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0E14CECA">
            <w:pPr>
              <w:autoSpaceDE w:val="0"/>
              <w:autoSpaceDN w:val="0"/>
              <w:adjustRightInd w:val="0"/>
              <w:spacing w:line="360" w:lineRule="auto"/>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、成交供应商在服务期限内对用户提出的合理的，不涉及架构及全局性的功能增减、美工修改等应免费配合实施。</w:t>
            </w:r>
          </w:p>
          <w:p w14:paraId="26CDDB25">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2、维护响应：成交供应商在接到用户电话后</w:t>
            </w:r>
            <w:r>
              <w:rPr>
                <w:rFonts w:ascii="宋体" w:hAnsi="宋体" w:cs="宋体"/>
                <w:color w:val="auto"/>
                <w:kern w:val="0"/>
                <w:szCs w:val="21"/>
                <w:highlight w:val="none"/>
              </w:rPr>
              <w:t>1</w:t>
            </w:r>
            <w:r>
              <w:rPr>
                <w:rFonts w:hint="eastAsia" w:ascii="宋体" w:hAnsi="宋体" w:cs="宋体"/>
                <w:color w:val="auto"/>
                <w:kern w:val="0"/>
                <w:szCs w:val="21"/>
                <w:highlight w:val="none"/>
              </w:rPr>
              <w:t>小时内响应，2小时内到达现场修理解决，</w:t>
            </w:r>
            <w:r>
              <w:rPr>
                <w:rFonts w:ascii="宋体" w:hAnsi="宋体" w:cs="宋体"/>
                <w:color w:val="auto"/>
                <w:kern w:val="0"/>
                <w:szCs w:val="21"/>
                <w:highlight w:val="none"/>
              </w:rPr>
              <w:t>24</w:t>
            </w:r>
            <w:r>
              <w:rPr>
                <w:rFonts w:hint="eastAsia" w:ascii="宋体" w:hAnsi="宋体" w:cs="宋体"/>
                <w:color w:val="auto"/>
                <w:kern w:val="0"/>
                <w:szCs w:val="21"/>
                <w:highlight w:val="none"/>
              </w:rPr>
              <w:t>小时内恢复正常使用，若不能修复则应有合理应对方案。</w:t>
            </w:r>
          </w:p>
          <w:p w14:paraId="43503DA5">
            <w:pPr>
              <w:spacing w:line="360" w:lineRule="exact"/>
              <w:rPr>
                <w:color w:val="auto"/>
                <w:highlight w:val="none"/>
              </w:rPr>
            </w:pPr>
            <w:r>
              <w:rPr>
                <w:rFonts w:hint="eastAsia" w:ascii="宋体" w:hAnsi="宋体" w:cs="宋体"/>
                <w:color w:val="auto"/>
                <w:kern w:val="0"/>
                <w:szCs w:val="21"/>
                <w:highlight w:val="none"/>
              </w:rPr>
              <w:t>3、成交供应商为采购人提供技术支持，包括维护期外的技术服务及技术指导等。</w:t>
            </w:r>
          </w:p>
        </w:tc>
      </w:tr>
    </w:tbl>
    <w:p w14:paraId="52E2ED9F">
      <w:pPr>
        <w:spacing w:line="360" w:lineRule="auto"/>
        <w:ind w:firstLine="310" w:firstLineChars="147"/>
        <w:jc w:val="left"/>
        <w:rPr>
          <w:rFonts w:hint="eastAsia" w:ascii="宋体" w:hAnsi="宋体" w:cs="宋体"/>
          <w:b/>
          <w:color w:val="auto"/>
          <w:szCs w:val="21"/>
          <w:highlight w:val="none"/>
        </w:rPr>
      </w:pPr>
    </w:p>
    <w:p w14:paraId="4BDF4ADE">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广西农产品身份信息核查监管平台运维</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hint="eastAsia" w:ascii="宋体" w:hAnsi="宋体"/>
          <w:b/>
          <w:bCs/>
          <w:color w:val="auto"/>
          <w:szCs w:val="21"/>
          <w:highlight w:val="none"/>
          <w:u w:val="single"/>
          <w:lang w:val="en-US" w:eastAsia="zh-CN"/>
        </w:rPr>
        <w:t>10.00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BCD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750DAA7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28D0909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5CE84D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5127B1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35D536F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35442A8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6ABB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9528487">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23443A05">
            <w:pPr>
              <w:widowControl/>
              <w:spacing w:line="360" w:lineRule="auto"/>
              <w:jc w:val="center"/>
              <w:rPr>
                <w:rFonts w:ascii="宋体" w:cs="宋体"/>
                <w:color w:val="auto"/>
                <w:szCs w:val="21"/>
                <w:highlight w:val="none"/>
              </w:rPr>
            </w:pPr>
            <w:r>
              <w:rPr>
                <w:rFonts w:hint="eastAsia" w:ascii="宋体" w:cs="宋体"/>
                <w:color w:val="auto"/>
                <w:szCs w:val="21"/>
                <w:highlight w:val="none"/>
              </w:rPr>
              <w:t>平台系统日常</w:t>
            </w:r>
          </w:p>
          <w:p w14:paraId="6456B9BE">
            <w:pPr>
              <w:widowControl/>
              <w:spacing w:line="360" w:lineRule="auto"/>
              <w:jc w:val="center"/>
              <w:rPr>
                <w:rFonts w:ascii="宋体" w:cs="宋体"/>
                <w:color w:val="auto"/>
                <w:szCs w:val="21"/>
                <w:highlight w:val="none"/>
              </w:rPr>
            </w:pPr>
            <w:r>
              <w:rPr>
                <w:rFonts w:hint="eastAsia" w:ascii="宋体" w:cs="宋体"/>
                <w:color w:val="auto"/>
                <w:szCs w:val="21"/>
                <w:highlight w:val="none"/>
              </w:rPr>
              <w:t>维护</w:t>
            </w:r>
          </w:p>
        </w:tc>
        <w:tc>
          <w:tcPr>
            <w:tcW w:w="1050" w:type="dxa"/>
            <w:vAlign w:val="center"/>
          </w:tcPr>
          <w:p w14:paraId="4E94A60D">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5C729A4A">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432FC22D">
            <w:pPr>
              <w:spacing w:line="360" w:lineRule="auto"/>
              <w:ind w:firstLine="420"/>
              <w:jc w:val="left"/>
              <w:rPr>
                <w:rFonts w:ascii="宋体" w:cs="宋体"/>
                <w:color w:val="auto"/>
                <w:szCs w:val="21"/>
                <w:highlight w:val="none"/>
              </w:rPr>
            </w:pPr>
            <w:r>
              <w:rPr>
                <w:rFonts w:hint="eastAsia" w:ascii="宋体" w:cs="宋体"/>
                <w:color w:val="auto"/>
                <w:szCs w:val="21"/>
                <w:highlight w:val="none"/>
              </w:rPr>
              <w:t>1、定期巡检：定期检查平台电脑端及手机端程序运行状况，查看系统日志文，及时发现问题并进行排除。</w:t>
            </w:r>
          </w:p>
          <w:p w14:paraId="1C8209A7">
            <w:pPr>
              <w:spacing w:line="360" w:lineRule="auto"/>
              <w:ind w:firstLine="420"/>
              <w:jc w:val="left"/>
              <w:rPr>
                <w:rFonts w:ascii="宋体" w:cs="宋体"/>
                <w:color w:val="auto"/>
                <w:szCs w:val="21"/>
                <w:highlight w:val="none"/>
              </w:rPr>
            </w:pPr>
            <w:r>
              <w:rPr>
                <w:rFonts w:hint="eastAsia" w:ascii="宋体" w:cs="宋体"/>
                <w:color w:val="auto"/>
                <w:szCs w:val="21"/>
                <w:highlight w:val="none"/>
              </w:rPr>
              <w:t>2、故障处理：系统突发事件的诊断、排除，帮助解答系统相关的各种业务和技术问题，包括技术咨询、指导和信息提供等。提供5×8小时的全天候分级服务响应，</w:t>
            </w:r>
            <w:r>
              <w:rPr>
                <w:rFonts w:ascii="宋体" w:cs="宋体"/>
                <w:color w:val="auto"/>
                <w:szCs w:val="21"/>
                <w:highlight w:val="none"/>
              </w:rPr>
              <w:t>1</w:t>
            </w:r>
            <w:r>
              <w:rPr>
                <w:rFonts w:hint="eastAsia" w:ascii="宋体" w:cs="宋体"/>
                <w:color w:val="auto"/>
                <w:szCs w:val="21"/>
                <w:highlight w:val="none"/>
              </w:rPr>
              <w:t>小时内给予响应，</w:t>
            </w:r>
            <w:r>
              <w:rPr>
                <w:rFonts w:ascii="宋体" w:cs="宋体"/>
                <w:color w:val="auto"/>
                <w:szCs w:val="21"/>
                <w:highlight w:val="none"/>
              </w:rPr>
              <w:t>2</w:t>
            </w:r>
            <w:r>
              <w:rPr>
                <w:rFonts w:hint="eastAsia" w:ascii="宋体" w:cs="宋体"/>
                <w:color w:val="auto"/>
                <w:szCs w:val="21"/>
                <w:highlight w:val="none"/>
              </w:rPr>
              <w:t>小时内技术人员到位，进行故障排查与解决；24小时热线电话、远程在线诊断和故障排除、现场响应以及Email 和传真支持服务。</w:t>
            </w:r>
          </w:p>
          <w:p w14:paraId="59BFC595">
            <w:pPr>
              <w:spacing w:line="360" w:lineRule="auto"/>
              <w:ind w:firstLine="420"/>
              <w:jc w:val="left"/>
              <w:rPr>
                <w:rFonts w:ascii="宋体" w:cs="宋体"/>
                <w:color w:val="auto"/>
                <w:szCs w:val="21"/>
                <w:highlight w:val="none"/>
              </w:rPr>
            </w:pPr>
            <w:r>
              <w:rPr>
                <w:rFonts w:hint="eastAsia" w:ascii="宋体" w:cs="宋体"/>
                <w:color w:val="auto"/>
                <w:szCs w:val="21"/>
                <w:highlight w:val="none"/>
              </w:rPr>
              <w:t>3、优化运维：优化日常维护工作程序，提前发现隐患，制定应急响应预案，以保证平台各系统无故障运行，同时优化系统性能。</w:t>
            </w:r>
          </w:p>
          <w:p w14:paraId="4691F9A5">
            <w:pPr>
              <w:spacing w:line="360" w:lineRule="auto"/>
              <w:ind w:firstLine="420"/>
              <w:jc w:val="left"/>
              <w:rPr>
                <w:rFonts w:ascii="宋体" w:cs="宋体"/>
                <w:color w:val="auto"/>
                <w:szCs w:val="21"/>
                <w:highlight w:val="none"/>
              </w:rPr>
            </w:pPr>
            <w:r>
              <w:rPr>
                <w:rFonts w:hint="eastAsia" w:ascii="宋体" w:cs="宋体"/>
                <w:color w:val="auto"/>
                <w:szCs w:val="21"/>
                <w:highlight w:val="none"/>
              </w:rPr>
              <w:t>4、数据备份：定期进行数据备份，采用每天增量备份、每周完全备份的备份策略，以防止数据误操作或意外丢失。</w:t>
            </w:r>
          </w:p>
        </w:tc>
      </w:tr>
      <w:tr w14:paraId="456D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4270527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4B5633EA">
            <w:pPr>
              <w:widowControl/>
              <w:spacing w:line="360" w:lineRule="auto"/>
              <w:jc w:val="center"/>
              <w:rPr>
                <w:rFonts w:ascii="宋体" w:cs="宋体"/>
                <w:color w:val="auto"/>
                <w:szCs w:val="21"/>
                <w:highlight w:val="none"/>
              </w:rPr>
            </w:pPr>
            <w:r>
              <w:rPr>
                <w:rFonts w:hint="eastAsia" w:ascii="宋体" w:cs="宋体"/>
                <w:color w:val="auto"/>
                <w:szCs w:val="21"/>
                <w:highlight w:val="none"/>
              </w:rPr>
              <w:t>平台栏目维护及信息采集更新</w:t>
            </w:r>
          </w:p>
        </w:tc>
        <w:tc>
          <w:tcPr>
            <w:tcW w:w="1050" w:type="dxa"/>
            <w:vAlign w:val="center"/>
          </w:tcPr>
          <w:p w14:paraId="7C66CABC">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58BFB4C5">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0C83A060">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1、平台栏目更新维护：优化农产品库、新闻动态、网上展厅、查询定制、数据统计等栏目管理，做好栏目内容更新与维护。</w:t>
            </w:r>
          </w:p>
          <w:p w14:paraId="270BC118">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农产品库栏目更新：完成对绿色食品认证信息管理、有机产品认证信息管理、无公害农产品认证信息管理、农产品地理登记认证信息管理、名特优农产品、“桂字号”、“圳品”信息管理的内容更新与维护。</w:t>
            </w:r>
          </w:p>
          <w:p w14:paraId="48658B39">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（2）新闻动态栏目更新：及时更新最新涉及“三品一标”及涉农动态信息。</w:t>
            </w:r>
          </w:p>
          <w:p w14:paraId="3FAEF97F">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（3）网上展厅栏目更新：根据定期根据广西绿色食品办公室提供最新的“三品一标”农产品数据信息表，及时更新网上展厅信息。</w:t>
            </w:r>
          </w:p>
          <w:p w14:paraId="7359026A">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（4）查询定制栏目更新：完成对词根配置、农产品库设置、报表中心内容的更新与维护。</w:t>
            </w:r>
          </w:p>
          <w:p w14:paraId="08848655">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（5）数据统计栏目更新：实现对数据统计的及时更新。</w:t>
            </w:r>
          </w:p>
          <w:p w14:paraId="54795130">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注：平台新闻动态类栏目更新频率不少于5篇/周。</w:t>
            </w:r>
          </w:p>
          <w:p w14:paraId="0FCAB700">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2、“三品一标” “桂字号”“圳品”数据采集更新：定期采集更新“三品一标” “桂字号”“圳品”相关企业信息、产品信息等数据，进行数据录入，并实现数据页面展示查询。</w:t>
            </w:r>
          </w:p>
          <w:p w14:paraId="0E14980F">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期根据广西绿色食品办公室提供的“三品一标”农产品数据信息表，通过电话、邮箱、微信、QQ等多种方式收集相关“三品一标”企业信息、产品信息等数据，并对相应信息进行数据录入，实现数据页面展示。</w:t>
            </w:r>
          </w:p>
          <w:p w14:paraId="3EF54A1C">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桂字号”品牌信息定期从网上公布的数据或农业信息中心提供的数据进行采集录入，目前已公布的“桂字号”获批品牌为503个，采集更新内容包括：品牌名称、属地、入选年份、特色标签、品牌图片、品牌介绍等。</w:t>
            </w:r>
          </w:p>
          <w:p w14:paraId="5AA6322F">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圳品”产品目录定期从网上公布的数据或农业信息中心提供的数据进行采集录入，目前已入选的“圳品”农产品为36个，采集更新内容包括：产品名称、产品类别、认证时间、产品图片、产品介绍、所属市县、企业名称等。</w:t>
            </w:r>
          </w:p>
          <w:p w14:paraId="5CC45412">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注：“三品一标”数据更新频率不少于1次/季度，更新内容、数量需与广西绿色食品站提供的广西“三品一标”农产品认证信息同步。</w:t>
            </w:r>
          </w:p>
          <w:p w14:paraId="10853A6B">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3、移动端微信小程序信息更新：</w:t>
            </w:r>
          </w:p>
          <w:p w14:paraId="015832F9">
            <w:pPr>
              <w:spacing w:line="360" w:lineRule="auto"/>
              <w:ind w:firstLine="420"/>
              <w:jc w:val="left"/>
              <w:rPr>
                <w:rFonts w:ascii="宋体" w:cs="宋体"/>
                <w:color w:val="auto"/>
                <w:szCs w:val="21"/>
                <w:highlight w:val="none"/>
              </w:rPr>
            </w:pPr>
            <w:r>
              <w:rPr>
                <w:rFonts w:hint="eastAsia" w:ascii="宋体" w:hAnsi="宋体" w:eastAsia="宋体" w:cs="宋体"/>
                <w:color w:val="auto"/>
                <w:szCs w:val="21"/>
                <w:highlight w:val="none"/>
              </w:rPr>
              <w:t>在微信小程序同步更新“三品一标”、“桂字号”及“圳品”信息，为公众提供便捷的移动端“三品一标”“桂字号”及“圳品”农产品查询服务。查询信息包含农产品证书、有效期、产品信息、企业信息、产品图片，农产品证书扫码服务及一键分享功能等。确保微信小程序信息更新、查询服务、分享功能正常使用。</w:t>
            </w:r>
          </w:p>
        </w:tc>
      </w:tr>
      <w:tr w14:paraId="4A013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7FC8C704">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3ABDB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DF8D99A">
            <w:pPr>
              <w:spacing w:line="288" w:lineRule="auto"/>
              <w:jc w:val="center"/>
              <w:rPr>
                <w:rFonts w:ascii="宋体" w:cs="宋体"/>
                <w:color w:val="auto"/>
                <w:kern w:val="0"/>
                <w:sz w:val="28"/>
                <w:szCs w:val="28"/>
                <w:highlight w:val="none"/>
              </w:rPr>
            </w:pPr>
            <w:r>
              <w:rPr>
                <w:rFonts w:hint="eastAsia" w:ascii="宋体" w:hAnsi="宋体"/>
                <w:color w:val="auto"/>
                <w:szCs w:val="21"/>
                <w:highlight w:val="none"/>
              </w:rPr>
              <w:t>▲</w:t>
            </w:r>
            <w:r>
              <w:rPr>
                <w:rFonts w:hint="eastAsia" w:ascii="宋体" w:hAnsi="宋体" w:cs="宋体"/>
                <w:color w:val="auto"/>
                <w:spacing w:val="-10"/>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37336B8">
            <w:pPr>
              <w:autoSpaceDE w:val="0"/>
              <w:autoSpaceDN w:val="0"/>
              <w:adjustRightInd w:val="0"/>
              <w:snapToGrid w:val="0"/>
              <w:spacing w:line="360" w:lineRule="auto"/>
              <w:jc w:val="left"/>
              <w:outlineLvl w:val="0"/>
              <w:rPr>
                <w:rFonts w:ascii="宋体" w:cs="宋体"/>
                <w:color w:val="auto"/>
                <w:kern w:val="0"/>
                <w:sz w:val="28"/>
                <w:szCs w:val="28"/>
                <w:highlight w:val="none"/>
              </w:rPr>
            </w:pPr>
            <w:r>
              <w:rPr>
                <w:rFonts w:hint="eastAsia" w:ascii="宋体" w:hAnsi="宋体" w:eastAsia="宋体" w:cs="宋体"/>
                <w:color w:val="auto"/>
                <w:kern w:val="0"/>
                <w:szCs w:val="21"/>
                <w:highlight w:val="none"/>
              </w:rPr>
              <w:t>本项目磋商报价为总额报价，即一次性报出本项目服务所需的所有费用，含技术服务、派出工作人员的交通费、住宿费、伙食补助费、必要的保险费用和各项税金、其他[如技术支持、更新升级等]有关的费用。本项目至验收合格，采购人不另支付任何费用。</w:t>
            </w:r>
          </w:p>
        </w:tc>
      </w:tr>
      <w:tr w14:paraId="0C575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7A2358F">
            <w:pPr>
              <w:spacing w:line="288" w:lineRule="auto"/>
              <w:jc w:val="center"/>
              <w:rPr>
                <w:rFonts w:asci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kern w:val="0"/>
                <w:szCs w:val="21"/>
                <w:highlight w:val="none"/>
              </w:rPr>
              <w:t>、地点</w:t>
            </w:r>
          </w:p>
        </w:tc>
        <w:tc>
          <w:tcPr>
            <w:tcW w:w="7614" w:type="dxa"/>
            <w:gridSpan w:val="4"/>
            <w:tcBorders>
              <w:top w:val="single" w:color="auto" w:sz="4" w:space="0"/>
              <w:left w:val="single" w:color="auto" w:sz="4" w:space="0"/>
              <w:bottom w:val="single" w:color="auto" w:sz="4" w:space="0"/>
            </w:tcBorders>
            <w:vAlign w:val="center"/>
          </w:tcPr>
          <w:p w14:paraId="6DE25BE2">
            <w:pPr>
              <w:pStyle w:val="16"/>
              <w:rPr>
                <w:color w:val="auto"/>
                <w:highlight w:val="none"/>
              </w:rPr>
            </w:pPr>
            <w:r>
              <w:rPr>
                <w:rFonts w:hint="eastAsia"/>
                <w:color w:val="auto"/>
                <w:highlight w:val="none"/>
              </w:rPr>
              <w:t>合同履行期限：2025年10月1日至2026年</w:t>
            </w:r>
            <w:r>
              <w:rPr>
                <w:color w:val="auto"/>
                <w:highlight w:val="none"/>
              </w:rPr>
              <w:t>9</w:t>
            </w:r>
            <w:r>
              <w:rPr>
                <w:rFonts w:hint="eastAsia"/>
                <w:color w:val="auto"/>
                <w:highlight w:val="none"/>
              </w:rPr>
              <w:t>月</w:t>
            </w:r>
            <w:r>
              <w:rPr>
                <w:color w:val="auto"/>
                <w:highlight w:val="none"/>
              </w:rPr>
              <w:t>30</w:t>
            </w:r>
            <w:r>
              <w:rPr>
                <w:rFonts w:hint="eastAsia"/>
                <w:color w:val="auto"/>
                <w:highlight w:val="none"/>
              </w:rPr>
              <w:t>日。</w:t>
            </w:r>
          </w:p>
          <w:p w14:paraId="6E6E1809">
            <w:pPr>
              <w:pStyle w:val="16"/>
              <w:ind w:firstLine="210" w:firstLineChars="100"/>
              <w:rPr>
                <w:rFonts w:ascii="宋体" w:cs="宋体"/>
                <w:color w:val="auto"/>
                <w:szCs w:val="21"/>
                <w:highlight w:val="none"/>
              </w:rPr>
            </w:pPr>
            <w:r>
              <w:rPr>
                <w:rFonts w:hint="eastAsia"/>
                <w:color w:val="auto"/>
                <w:highlight w:val="none"/>
              </w:rPr>
              <w:t>地点：采购人指定地点</w:t>
            </w:r>
          </w:p>
        </w:tc>
      </w:tr>
      <w:tr w14:paraId="113A5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6C9CC3F">
            <w:pPr>
              <w:snapToGrid w:val="0"/>
              <w:spacing w:line="400" w:lineRule="exact"/>
              <w:jc w:val="center"/>
              <w:rPr>
                <w:rFonts w:ascii="宋体" w:cs="宋体"/>
                <w:b/>
                <w:color w:val="auto"/>
                <w:szCs w:val="21"/>
                <w:highlight w:val="none"/>
              </w:rPr>
            </w:pPr>
            <w:r>
              <w:rPr>
                <w:rFonts w:hint="eastAsia" w:ascii="宋体" w:hAnsi="宋体"/>
                <w:color w:val="auto"/>
                <w:szCs w:val="21"/>
                <w:highlight w:val="none"/>
              </w:rPr>
              <w:t>▲</w:t>
            </w:r>
            <w:r>
              <w:rPr>
                <w:rFonts w:hint="eastAsia" w:ascii="宋体" w:hAnsi="宋体" w:cs="宋体"/>
                <w:color w:val="auto"/>
                <w:spacing w:val="-10"/>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7935C99F">
            <w:pPr>
              <w:spacing w:line="400" w:lineRule="exact"/>
              <w:rPr>
                <w:color w:val="auto"/>
                <w:highlight w:val="none"/>
              </w:rPr>
            </w:pPr>
            <w:r>
              <w:rPr>
                <w:rFonts w:hint="eastAsia" w:ascii="宋体" w:hAnsi="宋体" w:cs="宋体"/>
                <w:color w:val="auto"/>
                <w:kern w:val="0"/>
                <w:szCs w:val="21"/>
                <w:highlight w:val="none"/>
              </w:rPr>
              <w:t>合同签订后20个工作日内，向成交供应商支付40%合同款作为定金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成交供应商持续提供运维服务满1个月并取得运维成果，采购人向成交供应商支付50%合同款；待项目通过年度验收并确认合格后，采购人向成交供应商支付剩余10%合同款。成交供应商应于每次收到合同款后3个工作日内，向采购人出具合法有效的增值税专用发票，发票金额须与当次收款金额完全相符。</w:t>
            </w:r>
          </w:p>
        </w:tc>
      </w:tr>
      <w:tr w14:paraId="27017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4F591A99">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75269C90">
            <w:pPr>
              <w:autoSpaceDE w:val="0"/>
              <w:autoSpaceDN w:val="0"/>
              <w:adjustRightInd w:val="0"/>
              <w:spacing w:line="360" w:lineRule="auto"/>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、成交供应商在服务期限内对用户提出的合理的，不涉及架构及全局性的功能增减、美工修改等应免费配合实施。</w:t>
            </w:r>
          </w:p>
          <w:p w14:paraId="7E0D3F86">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2、维护响应：成交供应商在接到用户电话后</w:t>
            </w:r>
            <w:r>
              <w:rPr>
                <w:rFonts w:ascii="宋体" w:hAnsi="宋体" w:cs="宋体"/>
                <w:color w:val="auto"/>
                <w:kern w:val="0"/>
                <w:szCs w:val="21"/>
                <w:highlight w:val="none"/>
              </w:rPr>
              <w:t>1</w:t>
            </w:r>
            <w:r>
              <w:rPr>
                <w:rFonts w:hint="eastAsia" w:ascii="宋体" w:hAnsi="宋体" w:cs="宋体"/>
                <w:color w:val="auto"/>
                <w:kern w:val="0"/>
                <w:szCs w:val="21"/>
                <w:highlight w:val="none"/>
              </w:rPr>
              <w:t>小时内响应，2小时内到达现场修理解决，</w:t>
            </w:r>
            <w:r>
              <w:rPr>
                <w:rFonts w:ascii="宋体" w:hAnsi="宋体" w:cs="宋体"/>
                <w:color w:val="auto"/>
                <w:kern w:val="0"/>
                <w:szCs w:val="21"/>
                <w:highlight w:val="none"/>
              </w:rPr>
              <w:t>24</w:t>
            </w:r>
            <w:r>
              <w:rPr>
                <w:rFonts w:hint="eastAsia" w:ascii="宋体" w:hAnsi="宋体" w:cs="宋体"/>
                <w:color w:val="auto"/>
                <w:kern w:val="0"/>
                <w:szCs w:val="21"/>
                <w:highlight w:val="none"/>
              </w:rPr>
              <w:t>小时内恢复正常使用，若不能修复则应有合理应对方案。</w:t>
            </w:r>
          </w:p>
          <w:p w14:paraId="6FE7C82B">
            <w:pPr>
              <w:spacing w:line="360" w:lineRule="exact"/>
              <w:rPr>
                <w:color w:val="auto"/>
                <w:highlight w:val="none"/>
              </w:rPr>
            </w:pPr>
            <w:r>
              <w:rPr>
                <w:rFonts w:hint="eastAsia" w:ascii="宋体" w:hAnsi="宋体" w:cs="宋体"/>
                <w:color w:val="auto"/>
                <w:kern w:val="0"/>
                <w:szCs w:val="21"/>
                <w:highlight w:val="none"/>
              </w:rPr>
              <w:t>3、成交供应商为采购人提供技术支持，包括维护期外的技术服务及技术指导等。</w:t>
            </w:r>
          </w:p>
        </w:tc>
      </w:tr>
    </w:tbl>
    <w:p w14:paraId="3CA1CA6B">
      <w:pPr>
        <w:rPr>
          <w:rFonts w:hint="eastAsia" w:ascii="宋体" w:hAnsi="宋体" w:cs="宋体"/>
          <w:color w:val="auto"/>
          <w:highlight w:val="none"/>
        </w:rPr>
      </w:pPr>
      <w:bookmarkStart w:id="39" w:name="_Toc31276"/>
      <w:bookmarkStart w:id="40" w:name="_Toc9102"/>
      <w:r>
        <w:rPr>
          <w:rFonts w:hint="eastAsia" w:ascii="宋体" w:hAnsi="宋体" w:cs="宋体"/>
          <w:color w:val="auto"/>
          <w:highlight w:val="none"/>
        </w:rPr>
        <w:br w:type="page"/>
      </w:r>
    </w:p>
    <w:p w14:paraId="4821FCD8">
      <w:pPr>
        <w:pStyle w:val="2"/>
        <w:rPr>
          <w:rFonts w:ascii="宋体" w:cs="宋体"/>
          <w:color w:val="auto"/>
          <w:highlight w:val="none"/>
        </w:rPr>
      </w:pPr>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39"/>
      <w:bookmarkEnd w:id="40"/>
    </w:p>
    <w:p w14:paraId="162193FE">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一、评审程序和评审方法</w:t>
      </w:r>
    </w:p>
    <w:p w14:paraId="5E86AC5B">
      <w:pPr>
        <w:spacing w:line="360" w:lineRule="auto"/>
        <w:ind w:firstLine="482" w:firstLineChars="200"/>
        <w:rPr>
          <w:rFonts w:ascii="宋体" w:cs="宋体"/>
          <w:b/>
          <w:bCs/>
          <w:color w:val="auto"/>
          <w:sz w:val="24"/>
          <w:highlight w:val="none"/>
        </w:rPr>
      </w:pPr>
    </w:p>
    <w:p w14:paraId="37BD04F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资格审查</w:t>
      </w:r>
    </w:p>
    <w:p w14:paraId="3754867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响应文件开启后，磋商小组依法对供应商的资格证明文件进行审查。</w:t>
      </w:r>
    </w:p>
    <w:p w14:paraId="562A8B09">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14:paraId="527C59D1">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243E96A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）查询记录和证据留存方式：通过广西政府采购云平台链接到相关查询网站进行查询及记录。</w:t>
      </w:r>
    </w:p>
    <w:p w14:paraId="26990C5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520A97B5">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1142F9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供应商有下列情形之一的，资格审查不通过，其响应文件按无效响应处理：</w:t>
      </w:r>
    </w:p>
    <w:p w14:paraId="3D8C00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5E8B5CB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）响应文件的资格证明文件缺少任一项“供应商须知前附表”资格证明文件规定的“必须提供”的文件资料的；</w:t>
      </w:r>
    </w:p>
    <w:p w14:paraId="3176143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7E77343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E9A8A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605ED6E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符合性审查</w:t>
      </w:r>
    </w:p>
    <w:p w14:paraId="680AA982">
      <w:pPr>
        <w:spacing w:line="360" w:lineRule="auto"/>
        <w:ind w:firstLine="420" w:firstLineChars="200"/>
        <w:rPr>
          <w:rFonts w:ascii="宋体" w:cs="宋体"/>
          <w:color w:val="auto"/>
          <w:szCs w:val="21"/>
          <w:highlight w:val="none"/>
        </w:rPr>
      </w:pPr>
      <w:bookmarkStart w:id="41" w:name="_Hlk42528882"/>
      <w:r>
        <w:rPr>
          <w:rFonts w:ascii="宋体" w:hAnsi="宋体" w:cs="宋体"/>
          <w:color w:val="auto"/>
          <w:szCs w:val="21"/>
          <w:highlight w:val="none"/>
        </w:rPr>
        <w:t>2.1</w:t>
      </w:r>
      <w:r>
        <w:rPr>
          <w:rFonts w:hint="eastAsia" w:ascii="宋体" w:hAnsi="宋体" w:cs="宋体"/>
          <w:color w:val="auto"/>
          <w:szCs w:val="21"/>
          <w:highlight w:val="none"/>
        </w:rPr>
        <w:t>由磋商小组对资格审查的合格供应商的响应文件的竞标报价、商务、技术等实质性要求进行符合性审查，以确定其是否满足磋商文件的实质性要求。</w:t>
      </w:r>
    </w:p>
    <w:bookmarkEnd w:id="41"/>
    <w:p w14:paraId="7DE6A0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403DEC">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3E868D8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0D7FAF3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4854358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1F40E6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5CCEC6E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0CE0489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65B609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商务技术报价评审</w:t>
      </w:r>
    </w:p>
    <w:p w14:paraId="45425CD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5999A8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28C73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62BC69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14:paraId="39D9A2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）提交的磋商保证金无效的或者未按照磋商文件的规定提交磋商保证金；</w:t>
      </w:r>
    </w:p>
    <w:p w14:paraId="2C46E0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4613E3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14:paraId="7413A72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）未对竞标有效期作出响应或者响应文件承诺的竞标有效期不满足磋商文件要求；</w:t>
      </w:r>
    </w:p>
    <w:p w14:paraId="68E8FC5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）响应文件的实质性内容未使用中文表述、使用计量单位不符合磋商文件要求；</w:t>
      </w:r>
    </w:p>
    <w:p w14:paraId="08D0EE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60C42F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w:t>
      </w:r>
    </w:p>
    <w:p w14:paraId="7876D9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56361A5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14:paraId="2451442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）虚假竞标，或者出现其他情形而导致被磋商小组认定无效；</w:t>
      </w:r>
    </w:p>
    <w:p w14:paraId="7F6CC4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4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2"/>
    </w:p>
    <w:p w14:paraId="29F3461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）响应文件标注的项目名称或者项目编号与磋商文件标注的项目名称或者项目编号不一致的；</w:t>
      </w:r>
    </w:p>
    <w:p w14:paraId="0D4750F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）竞争性磋商文件明确不允许分包，响应文件拟分包的；</w:t>
      </w:r>
    </w:p>
    <w:p w14:paraId="2DC9DA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）未响应磋商文件实质性要求；</w:t>
      </w:r>
    </w:p>
    <w:p w14:paraId="1A30ABD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）法律、法规和磋商文件规定的其他无效情形。</w:t>
      </w:r>
    </w:p>
    <w:p w14:paraId="5B58991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0C8A6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w:t>
      </w:r>
    </w:p>
    <w:p w14:paraId="39E63A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60FFB2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5CCAC9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bookmarkStart w:id="43" w:name="_Hlk42596405"/>
      <w:r>
        <w:rPr>
          <w:rFonts w:ascii="宋体" w:hAnsi="宋体" w:cs="宋体"/>
          <w:color w:val="auto"/>
          <w:szCs w:val="21"/>
          <w:highlight w:val="none"/>
        </w:rPr>
        <w:t xml:space="preserve"> </w:t>
      </w:r>
      <w:bookmarkEnd w:id="43"/>
    </w:p>
    <w:p w14:paraId="601410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14:paraId="19BB91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）响应文件响应的标的数量及单位与竞争性磋商文件要求实质性不一致的。</w:t>
      </w:r>
    </w:p>
    <w:p w14:paraId="38A577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6A15B8D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63C4BA2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磋商程序</w:t>
      </w:r>
    </w:p>
    <w:p w14:paraId="237B74E6">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4CBDD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4D08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2E57A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A1385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49FC564">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103C6845">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124</w:t>
      </w:r>
      <w:r>
        <w:rPr>
          <w:rFonts w:hint="eastAsia" w:ascii="宋体" w:hAnsi="宋体" w:cs="宋体"/>
          <w:color w:val="auto"/>
          <w:highlight w:val="none"/>
        </w:rPr>
        <w:t>号）的规定，采用竞争性磋商采购方式采购的政府购买服务项目（含政府和社会资本合作项目），在采购过程中符合要求的供应商（社会资本）只有</w:t>
      </w:r>
      <w:r>
        <w:rPr>
          <w:rFonts w:ascii="宋体" w:hAnsi="宋体" w:cs="宋体"/>
          <w:color w:val="auto"/>
          <w:highlight w:val="none"/>
        </w:rPr>
        <w:t>2</w:t>
      </w:r>
      <w:r>
        <w:rPr>
          <w:rFonts w:hint="eastAsia" w:ascii="宋体" w:hAnsi="宋体" w:cs="宋体"/>
          <w:color w:val="auto"/>
          <w:highlight w:val="none"/>
        </w:rPr>
        <w:t>家的，竞争性磋商采购活动可以继续进行。采购过程中符合要求的供应商（社会资本）只有</w:t>
      </w:r>
      <w:r>
        <w:rPr>
          <w:rFonts w:ascii="宋体" w:hAnsi="宋体" w:cs="宋体"/>
          <w:color w:val="auto"/>
          <w:highlight w:val="none"/>
        </w:rPr>
        <w:t>1</w:t>
      </w:r>
      <w:r>
        <w:rPr>
          <w:rFonts w:hint="eastAsia" w:ascii="宋体" w:hAnsi="宋体" w:cs="宋体"/>
          <w:color w:val="auto"/>
          <w:highlight w:val="none"/>
        </w:rPr>
        <w:t>家的，采购人（项目实施机构）或者采购代理机构应当终止竞争性磋商采购活动，发布项目终止公告并说明原因，重新开展采购活动。</w:t>
      </w:r>
    </w:p>
    <w:p w14:paraId="2284B34E">
      <w:pPr>
        <w:spacing w:line="360" w:lineRule="auto"/>
        <w:ind w:firstLine="482" w:firstLineChars="200"/>
        <w:rPr>
          <w:rFonts w:ascii="宋体" w:cs="宋体"/>
          <w:color w:val="auto"/>
          <w:szCs w:val="21"/>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最后报价</w:t>
      </w:r>
    </w:p>
    <w:p w14:paraId="4CCFE5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2DE3C75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14:paraId="29F9D5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ascii="宋体" w:hAnsi="宋体" w:cs="宋体"/>
          <w:color w:val="auto"/>
          <w:highlight w:val="none"/>
        </w:rPr>
        <w:t>本章第</w:t>
      </w:r>
      <w:r>
        <w:rPr>
          <w:rFonts w:ascii="宋体" w:hAnsi="宋体" w:cs="宋体"/>
          <w:color w:val="auto"/>
          <w:highlight w:val="none"/>
        </w:rPr>
        <w:t>3.8</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5062DD5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DADACC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5B346B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651151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42509B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6AB0A3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334C4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E34E93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比较与评价</w:t>
      </w:r>
    </w:p>
    <w:p w14:paraId="610976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9E3F44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E9958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5A5C62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174E0E0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500CD0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19FADA3A">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29B162AD">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5.6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888C76">
      <w:pPr>
        <w:spacing w:line="360" w:lineRule="auto"/>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二、评审标准</w:t>
      </w:r>
    </w:p>
    <w:p w14:paraId="4EF7B681">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0FAEFBD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27"/>
        <w:gridCol w:w="1175"/>
        <w:gridCol w:w="5716"/>
      </w:tblGrid>
      <w:tr w14:paraId="118D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7EAE25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C341407">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27" w:type="dxa"/>
            <w:vAlign w:val="center"/>
          </w:tcPr>
          <w:p w14:paraId="2B53C1A7">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891" w:type="dxa"/>
            <w:gridSpan w:val="2"/>
            <w:vAlign w:val="center"/>
          </w:tcPr>
          <w:p w14:paraId="4EC66A6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DCB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0149F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5A54048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27" w:type="dxa"/>
            <w:vAlign w:val="center"/>
          </w:tcPr>
          <w:p w14:paraId="4BAA3A2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891" w:type="dxa"/>
            <w:gridSpan w:val="2"/>
            <w:vAlign w:val="center"/>
          </w:tcPr>
          <w:p w14:paraId="3FA273F7">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2868F520">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12693764">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406F363">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47CA064">
            <w:pPr>
              <w:rPr>
                <w:b/>
                <w:bCs/>
                <w:color w:val="auto"/>
                <w:highlight w:val="none"/>
              </w:rPr>
            </w:pPr>
            <w:r>
              <w:rPr>
                <w:rFonts w:hint="eastAsia"/>
                <w:b/>
                <w:bCs/>
                <w:color w:val="auto"/>
                <w:highlight w:val="none"/>
              </w:rPr>
              <w:t>二、报价分（满分</w:t>
            </w:r>
            <w:r>
              <w:rPr>
                <w:b/>
                <w:bCs/>
                <w:color w:val="auto"/>
                <w:highlight w:val="none"/>
              </w:rPr>
              <w:t>10</w:t>
            </w:r>
            <w:r>
              <w:rPr>
                <w:rFonts w:hint="eastAsia"/>
                <w:b/>
                <w:bCs/>
                <w:color w:val="auto"/>
                <w:highlight w:val="none"/>
              </w:rPr>
              <w:t>分）</w:t>
            </w:r>
          </w:p>
          <w:p w14:paraId="11EC42BE">
            <w:pPr>
              <w:pStyle w:val="20"/>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31B57E9E">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5A21BCEF">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Ansi="宋体" w:cs="宋体"/>
                <w:bCs/>
                <w:color w:val="auto"/>
                <w:sz w:val="21"/>
                <w:highlight w:val="none"/>
              </w:rPr>
              <w:t>10</w:t>
            </w:r>
            <w:r>
              <w:rPr>
                <w:rFonts w:hint="eastAsia" w:hAnsi="宋体" w:cs="宋体"/>
                <w:bCs/>
                <w:color w:val="auto"/>
                <w:sz w:val="21"/>
                <w:highlight w:val="none"/>
              </w:rPr>
              <w:t>分</w:t>
            </w:r>
          </w:p>
        </w:tc>
      </w:tr>
      <w:tr w14:paraId="73B9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4129F18">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45D3559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27" w:type="dxa"/>
            <w:vMerge w:val="restart"/>
            <w:vAlign w:val="center"/>
          </w:tcPr>
          <w:p w14:paraId="2782E65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满分69</w:t>
            </w:r>
            <w:r>
              <w:rPr>
                <w:rFonts w:hint="eastAsia" w:ascii="宋体" w:hAnsi="宋体" w:cs="宋体"/>
                <w:b/>
                <w:color w:val="auto"/>
                <w:szCs w:val="21"/>
                <w:highlight w:val="none"/>
              </w:rPr>
              <w:t>分</w:t>
            </w:r>
          </w:p>
        </w:tc>
        <w:tc>
          <w:tcPr>
            <w:tcW w:w="1175" w:type="dxa"/>
            <w:vAlign w:val="top"/>
          </w:tcPr>
          <w:p w14:paraId="45678D4F">
            <w:pPr>
              <w:pStyle w:val="79"/>
              <w:rPr>
                <w:rFonts w:hint="eastAsia" w:ascii="宋体" w:hAnsi="宋体" w:eastAsia="宋体" w:cs="宋体"/>
                <w:color w:val="auto"/>
                <w:sz w:val="21"/>
                <w:szCs w:val="21"/>
                <w:highlight w:val="none"/>
                <w:lang w:eastAsia="zh-CN"/>
              </w:rPr>
            </w:pPr>
          </w:p>
          <w:p w14:paraId="45362E60">
            <w:pPr>
              <w:pStyle w:val="79"/>
              <w:rPr>
                <w:rFonts w:hint="eastAsia" w:ascii="宋体" w:hAnsi="宋体" w:eastAsia="宋体" w:cs="宋体"/>
                <w:color w:val="auto"/>
                <w:sz w:val="21"/>
                <w:szCs w:val="21"/>
                <w:highlight w:val="none"/>
                <w:lang w:eastAsia="zh-CN"/>
              </w:rPr>
            </w:pPr>
          </w:p>
          <w:p w14:paraId="05DA1602">
            <w:pPr>
              <w:pStyle w:val="79"/>
              <w:rPr>
                <w:rFonts w:hint="eastAsia" w:ascii="宋体" w:hAnsi="宋体" w:eastAsia="宋体" w:cs="宋体"/>
                <w:color w:val="auto"/>
                <w:sz w:val="21"/>
                <w:szCs w:val="21"/>
                <w:highlight w:val="none"/>
                <w:lang w:eastAsia="zh-CN"/>
              </w:rPr>
            </w:pPr>
          </w:p>
          <w:p w14:paraId="1BA9C6E6">
            <w:pPr>
              <w:pStyle w:val="79"/>
              <w:rPr>
                <w:rFonts w:hint="eastAsia" w:ascii="宋体" w:hAnsi="宋体" w:eastAsia="宋体" w:cs="宋体"/>
                <w:color w:val="auto"/>
                <w:sz w:val="21"/>
                <w:szCs w:val="21"/>
                <w:highlight w:val="none"/>
                <w:lang w:eastAsia="zh-CN"/>
              </w:rPr>
            </w:pPr>
          </w:p>
          <w:p w14:paraId="291EC403">
            <w:pPr>
              <w:pStyle w:val="79"/>
              <w:rPr>
                <w:rFonts w:hint="eastAsia" w:ascii="宋体" w:hAnsi="宋体" w:eastAsia="宋体" w:cs="宋体"/>
                <w:color w:val="auto"/>
                <w:sz w:val="21"/>
                <w:szCs w:val="21"/>
                <w:highlight w:val="none"/>
                <w:lang w:eastAsia="zh-CN"/>
              </w:rPr>
            </w:pPr>
          </w:p>
          <w:p w14:paraId="55165DA3">
            <w:pPr>
              <w:pStyle w:val="79"/>
              <w:rPr>
                <w:rFonts w:hint="eastAsia" w:ascii="宋体" w:hAnsi="宋体" w:eastAsia="宋体" w:cs="宋体"/>
                <w:color w:val="auto"/>
                <w:sz w:val="21"/>
                <w:szCs w:val="21"/>
                <w:highlight w:val="none"/>
                <w:lang w:eastAsia="zh-CN"/>
              </w:rPr>
            </w:pPr>
          </w:p>
          <w:p w14:paraId="42DBB412">
            <w:pPr>
              <w:pStyle w:val="79"/>
              <w:rPr>
                <w:rFonts w:hint="eastAsia" w:ascii="宋体" w:hAnsi="宋体" w:eastAsia="宋体" w:cs="宋体"/>
                <w:color w:val="auto"/>
                <w:sz w:val="21"/>
                <w:szCs w:val="21"/>
                <w:highlight w:val="none"/>
                <w:lang w:eastAsia="zh-CN"/>
              </w:rPr>
            </w:pPr>
          </w:p>
          <w:p w14:paraId="344A4110">
            <w:pPr>
              <w:pStyle w:val="79"/>
              <w:rPr>
                <w:rFonts w:hint="eastAsia" w:ascii="宋体" w:hAnsi="宋体" w:eastAsia="宋体" w:cs="宋体"/>
                <w:color w:val="auto"/>
                <w:sz w:val="21"/>
                <w:szCs w:val="21"/>
                <w:highlight w:val="none"/>
                <w:lang w:eastAsia="zh-CN"/>
              </w:rPr>
            </w:pPr>
          </w:p>
          <w:p w14:paraId="1E477057">
            <w:pPr>
              <w:pStyle w:val="79"/>
              <w:rPr>
                <w:rFonts w:hint="eastAsia" w:ascii="宋体" w:hAnsi="宋体" w:eastAsia="宋体" w:cs="宋体"/>
                <w:color w:val="auto"/>
                <w:sz w:val="21"/>
                <w:szCs w:val="21"/>
                <w:highlight w:val="none"/>
                <w:lang w:eastAsia="zh-CN"/>
              </w:rPr>
            </w:pPr>
          </w:p>
          <w:p w14:paraId="506CD4EE">
            <w:pPr>
              <w:pStyle w:val="79"/>
              <w:rPr>
                <w:rFonts w:hint="eastAsia" w:ascii="宋体" w:hAnsi="宋体" w:eastAsia="宋体" w:cs="宋体"/>
                <w:color w:val="auto"/>
                <w:sz w:val="21"/>
                <w:szCs w:val="21"/>
                <w:highlight w:val="none"/>
                <w:lang w:eastAsia="zh-CN"/>
              </w:rPr>
            </w:pPr>
          </w:p>
          <w:p w14:paraId="340CB5AB">
            <w:pPr>
              <w:pStyle w:val="79"/>
              <w:spacing w:line="360" w:lineRule="auto"/>
              <w:rPr>
                <w:rFonts w:hint="eastAsia" w:ascii="宋体" w:hAnsi="宋体" w:eastAsia="宋体" w:cs="宋体"/>
                <w:b/>
                <w:bCs/>
                <w:color w:val="auto"/>
                <w:sz w:val="21"/>
                <w:szCs w:val="21"/>
                <w:highlight w:val="none"/>
                <w:lang w:eastAsia="zh-CN"/>
              </w:rPr>
            </w:pPr>
          </w:p>
          <w:p w14:paraId="267BAA00">
            <w:pPr>
              <w:spacing w:line="360" w:lineRule="auto"/>
              <w:rPr>
                <w:rFonts w:hint="eastAsia"/>
                <w:color w:val="auto"/>
                <w:highlight w:val="none"/>
              </w:rPr>
            </w:pPr>
            <w:r>
              <w:rPr>
                <w:rFonts w:hint="eastAsia" w:ascii="宋体" w:hAnsi="宋体" w:eastAsia="宋体" w:cs="宋体"/>
                <w:b/>
                <w:bCs/>
                <w:color w:val="auto"/>
                <w:highlight w:val="none"/>
              </w:rPr>
              <w:t>技术及服务保障方案分（满分 25 分）</w:t>
            </w:r>
          </w:p>
        </w:tc>
        <w:tc>
          <w:tcPr>
            <w:tcW w:w="5716" w:type="dxa"/>
            <w:vAlign w:val="top"/>
          </w:tcPr>
          <w:p w14:paraId="51B3BD40">
            <w:pPr>
              <w:pStyle w:val="79"/>
              <w:spacing w:before="101" w:line="340" w:lineRule="auto"/>
              <w:ind w:left="106" w:right="97" w:firstLine="44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由磋商小组在打分前根据各供应商提供的技术及服</w:t>
            </w:r>
            <w:r>
              <w:rPr>
                <w:rFonts w:hint="eastAsia" w:ascii="宋体" w:hAnsi="宋体" w:eastAsia="宋体" w:cs="宋体"/>
                <w:color w:val="auto"/>
                <w:spacing w:val="-7"/>
                <w:sz w:val="21"/>
                <w:szCs w:val="21"/>
                <w:highlight w:val="none"/>
                <w:lang w:eastAsia="zh-CN"/>
              </w:rPr>
              <w:t>务保障方案确定各供应商所属档次及得分，达不到一档要</w:t>
            </w:r>
            <w:r>
              <w:rPr>
                <w:rFonts w:hint="eastAsia" w:ascii="宋体" w:hAnsi="宋体" w:eastAsia="宋体" w:cs="宋体"/>
                <w:color w:val="auto"/>
                <w:spacing w:val="-3"/>
                <w:sz w:val="21"/>
                <w:szCs w:val="21"/>
                <w:highlight w:val="none"/>
                <w:lang w:eastAsia="zh-CN"/>
              </w:rPr>
              <w:t>求或不提供的得</w:t>
            </w:r>
            <w:r>
              <w:rPr>
                <w:rFonts w:hint="eastAsia" w:ascii="宋体" w:hAnsi="宋体" w:eastAsia="宋体" w:cs="宋体"/>
                <w:color w:val="auto"/>
                <w:sz w:val="21"/>
                <w:szCs w:val="21"/>
                <w:highlight w:val="none"/>
                <w:lang w:eastAsia="zh-CN"/>
              </w:rPr>
              <w:t>0分。</w:t>
            </w:r>
          </w:p>
          <w:p w14:paraId="2579EAF7">
            <w:pPr>
              <w:pStyle w:val="79"/>
              <w:spacing w:line="340" w:lineRule="auto"/>
              <w:ind w:left="106" w:right="94" w:firstLine="44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一档</w:t>
            </w:r>
            <w:r>
              <w:rPr>
                <w:rFonts w:hint="eastAsia" w:ascii="宋体" w:hAnsi="宋体" w:eastAsia="宋体" w:cs="宋体"/>
                <w:color w:val="auto"/>
                <w:sz w:val="21"/>
                <w:szCs w:val="21"/>
                <w:highlight w:val="none"/>
                <w:lang w:eastAsia="zh-CN"/>
              </w:rPr>
              <w:t>（8分）</w:t>
            </w:r>
            <w:r>
              <w:rPr>
                <w:rFonts w:hint="eastAsia" w:ascii="宋体" w:hAnsi="宋体" w:eastAsia="宋体" w:cs="宋体"/>
                <w:color w:val="auto"/>
                <w:spacing w:val="-3"/>
                <w:sz w:val="21"/>
                <w:szCs w:val="21"/>
                <w:highlight w:val="none"/>
                <w:lang w:eastAsia="zh-CN"/>
              </w:rPr>
              <w:t>：针对本项目提供了基本的技术方案，</w:t>
            </w:r>
            <w:r>
              <w:rPr>
                <w:rFonts w:hint="eastAsia" w:ascii="宋体" w:hAnsi="宋体" w:eastAsia="宋体" w:cs="宋体"/>
                <w:color w:val="auto"/>
                <w:spacing w:val="-8"/>
                <w:sz w:val="21"/>
                <w:szCs w:val="21"/>
                <w:highlight w:val="none"/>
                <w:lang w:eastAsia="zh-CN"/>
              </w:rPr>
              <w:t>技术方案基本满足采购文件要求；服务保障方案简单、基</w:t>
            </w:r>
            <w:r>
              <w:rPr>
                <w:rFonts w:hint="eastAsia" w:ascii="宋体" w:hAnsi="宋体" w:eastAsia="宋体" w:cs="宋体"/>
                <w:color w:val="auto"/>
                <w:spacing w:val="-3"/>
                <w:sz w:val="21"/>
                <w:szCs w:val="21"/>
                <w:highlight w:val="none"/>
                <w:lang w:eastAsia="zh-CN"/>
              </w:rPr>
              <w:t>本满足采购文件要求；</w:t>
            </w:r>
          </w:p>
          <w:p w14:paraId="61F10108">
            <w:pPr>
              <w:pStyle w:val="79"/>
              <w:spacing w:line="340" w:lineRule="auto"/>
              <w:ind w:left="106" w:right="-15" w:firstLine="44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0"/>
                <w:sz w:val="21"/>
                <w:szCs w:val="21"/>
                <w:highlight w:val="none"/>
                <w:lang w:eastAsia="zh-CN"/>
              </w:rPr>
              <w:t>二档</w:t>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pacing w:val="-3"/>
                <w:sz w:val="21"/>
                <w:szCs w:val="21"/>
                <w:highlight w:val="none"/>
                <w:lang w:eastAsia="zh-CN"/>
              </w:rPr>
              <w:t>分</w:t>
            </w:r>
            <w:r>
              <w:rPr>
                <w:rFonts w:hint="eastAsia" w:ascii="宋体" w:hAnsi="宋体" w:eastAsia="宋体" w:cs="宋体"/>
                <w:color w:val="auto"/>
                <w:spacing w:val="-38"/>
                <w:sz w:val="21"/>
                <w:szCs w:val="21"/>
                <w:highlight w:val="none"/>
                <w:lang w:eastAsia="zh-CN"/>
              </w:rPr>
              <w:t>）</w:t>
            </w:r>
            <w:r>
              <w:rPr>
                <w:rFonts w:hint="eastAsia" w:ascii="宋体" w:hAnsi="宋体" w:eastAsia="宋体" w:cs="宋体"/>
                <w:color w:val="auto"/>
                <w:spacing w:val="-12"/>
                <w:sz w:val="21"/>
                <w:szCs w:val="21"/>
                <w:highlight w:val="none"/>
                <w:lang w:eastAsia="zh-CN"/>
              </w:rPr>
              <w:t>：能针对项目实际的背景、目标、范围、</w:t>
            </w:r>
            <w:r>
              <w:rPr>
                <w:rFonts w:hint="eastAsia" w:ascii="宋体" w:hAnsi="宋体" w:eastAsia="宋体" w:cs="宋体"/>
                <w:color w:val="auto"/>
                <w:spacing w:val="-11"/>
                <w:sz w:val="21"/>
                <w:szCs w:val="21"/>
                <w:highlight w:val="none"/>
                <w:lang w:eastAsia="zh-CN"/>
              </w:rPr>
              <w:t>技术重点、难点，提供详细的技术方案，技术方案能满足</w:t>
            </w:r>
            <w:r>
              <w:rPr>
                <w:rFonts w:hint="eastAsia" w:ascii="宋体" w:hAnsi="宋体" w:eastAsia="宋体" w:cs="宋体"/>
                <w:color w:val="auto"/>
                <w:spacing w:val="-10"/>
                <w:sz w:val="21"/>
                <w:szCs w:val="21"/>
                <w:highlight w:val="none"/>
                <w:lang w:eastAsia="zh-CN"/>
              </w:rPr>
              <w:t>采购文件要求的；服务保障方案全面、可行，服务措施到</w:t>
            </w:r>
            <w:r>
              <w:rPr>
                <w:rFonts w:hint="eastAsia" w:ascii="宋体" w:hAnsi="宋体" w:eastAsia="宋体" w:cs="宋体"/>
                <w:color w:val="auto"/>
                <w:spacing w:val="-4"/>
                <w:sz w:val="21"/>
                <w:szCs w:val="21"/>
                <w:highlight w:val="none"/>
                <w:lang w:eastAsia="zh-CN"/>
              </w:rPr>
              <w:t>位，能更好地为采购单位服务；</w:t>
            </w:r>
          </w:p>
          <w:p w14:paraId="5F3E48A5">
            <w:pPr>
              <w:pStyle w:val="79"/>
              <w:spacing w:line="340" w:lineRule="auto"/>
              <w:ind w:left="106" w:right="-15" w:firstLine="441"/>
              <w:rPr>
                <w:rFonts w:hint="eastAsia" w:ascii="宋体" w:hAnsi="宋体" w:eastAsia="宋体" w:cs="宋体"/>
                <w:bCs/>
                <w:color w:val="auto"/>
                <w:sz w:val="21"/>
                <w:szCs w:val="21"/>
                <w:highlight w:val="none"/>
              </w:rPr>
            </w:pPr>
            <w:r>
              <w:rPr>
                <w:rFonts w:hint="eastAsia" w:ascii="宋体" w:hAnsi="宋体" w:eastAsia="宋体" w:cs="宋体"/>
                <w:color w:val="auto"/>
                <w:spacing w:val="-20"/>
                <w:sz w:val="21"/>
                <w:szCs w:val="21"/>
                <w:highlight w:val="none"/>
                <w:lang w:eastAsia="zh-CN"/>
              </w:rPr>
              <w:t>三档</w:t>
            </w:r>
            <w:r>
              <w:rPr>
                <w:rFonts w:hint="eastAsia" w:ascii="宋体" w:hAnsi="宋体" w:eastAsia="宋体" w:cs="宋体"/>
                <w:color w:val="auto"/>
                <w:sz w:val="21"/>
                <w:szCs w:val="21"/>
                <w:highlight w:val="none"/>
                <w:lang w:eastAsia="zh-CN"/>
              </w:rPr>
              <w:t>（25</w:t>
            </w:r>
            <w:r>
              <w:rPr>
                <w:rFonts w:hint="eastAsia" w:ascii="宋体" w:hAnsi="宋体" w:eastAsia="宋体" w:cs="宋体"/>
                <w:color w:val="auto"/>
                <w:spacing w:val="-3"/>
                <w:sz w:val="21"/>
                <w:szCs w:val="21"/>
                <w:highlight w:val="none"/>
                <w:lang w:eastAsia="zh-CN"/>
              </w:rPr>
              <w:t>分</w:t>
            </w:r>
            <w:r>
              <w:rPr>
                <w:rFonts w:hint="eastAsia" w:ascii="宋体" w:hAnsi="宋体" w:eastAsia="宋体" w:cs="宋体"/>
                <w:color w:val="auto"/>
                <w:spacing w:val="-38"/>
                <w:sz w:val="21"/>
                <w:szCs w:val="21"/>
                <w:highlight w:val="none"/>
                <w:lang w:eastAsia="zh-CN"/>
              </w:rPr>
              <w:t>）</w:t>
            </w:r>
            <w:r>
              <w:rPr>
                <w:rFonts w:hint="eastAsia" w:ascii="宋体" w:hAnsi="宋体" w:eastAsia="宋体" w:cs="宋体"/>
                <w:color w:val="auto"/>
                <w:spacing w:val="-12"/>
                <w:sz w:val="21"/>
                <w:szCs w:val="21"/>
                <w:highlight w:val="none"/>
                <w:lang w:eastAsia="zh-CN"/>
              </w:rPr>
              <w:t>：能针对项目实际的背景、目标、范围、</w:t>
            </w:r>
            <w:r>
              <w:rPr>
                <w:rFonts w:hint="eastAsia" w:ascii="宋体" w:hAnsi="宋体" w:eastAsia="宋体" w:cs="宋体"/>
                <w:color w:val="auto"/>
                <w:spacing w:val="-11"/>
                <w:sz w:val="21"/>
                <w:szCs w:val="21"/>
                <w:highlight w:val="none"/>
                <w:lang w:eastAsia="zh-CN"/>
              </w:rPr>
              <w:t>技术重点、难点，提供详细的技术方案；能够针对各项服务提出详细的服务方案；结合国家、自治区最新网站普查</w:t>
            </w:r>
            <w:r>
              <w:rPr>
                <w:rFonts w:hint="eastAsia" w:ascii="宋体" w:hAnsi="宋体" w:eastAsia="宋体" w:cs="宋体"/>
                <w:color w:val="auto"/>
                <w:spacing w:val="-5"/>
                <w:sz w:val="21"/>
                <w:szCs w:val="21"/>
                <w:highlight w:val="none"/>
                <w:lang w:eastAsia="zh-CN"/>
              </w:rPr>
              <w:t>考评相关文件，提出各项优化建议；服务保障方案详细、</w:t>
            </w:r>
            <w:r>
              <w:rPr>
                <w:rFonts w:hint="eastAsia" w:ascii="宋体" w:hAnsi="宋体" w:eastAsia="宋体" w:cs="宋体"/>
                <w:color w:val="auto"/>
                <w:spacing w:val="-10"/>
                <w:sz w:val="21"/>
                <w:szCs w:val="21"/>
                <w:highlight w:val="none"/>
                <w:lang w:eastAsia="zh-CN"/>
              </w:rPr>
              <w:t>具体、有效，可操作性强，方案包含有项目售后维护、保</w:t>
            </w:r>
            <w:r>
              <w:rPr>
                <w:rFonts w:hint="eastAsia" w:ascii="宋体" w:hAnsi="宋体" w:eastAsia="宋体" w:cs="宋体"/>
                <w:color w:val="auto"/>
                <w:spacing w:val="-11"/>
                <w:sz w:val="21"/>
                <w:szCs w:val="21"/>
                <w:highlight w:val="none"/>
                <w:lang w:eastAsia="zh-CN"/>
              </w:rPr>
              <w:t>密承诺及廉洁承诺等，且描述了项目售后维护和应急保障</w:t>
            </w:r>
            <w:r>
              <w:rPr>
                <w:rFonts w:hint="eastAsia" w:ascii="宋体" w:hAnsi="宋体" w:eastAsia="宋体" w:cs="宋体"/>
                <w:color w:val="auto"/>
                <w:spacing w:val="-10"/>
                <w:sz w:val="21"/>
                <w:szCs w:val="21"/>
                <w:highlight w:val="none"/>
                <w:lang w:eastAsia="zh-CN"/>
              </w:rPr>
              <w:t>方案的方法以及实现方式 ，服务保障方案机构及联系人、</w:t>
            </w:r>
            <w:r>
              <w:rPr>
                <w:rFonts w:hint="eastAsia" w:ascii="宋体" w:hAnsi="宋体" w:eastAsia="宋体" w:cs="宋体"/>
                <w:color w:val="auto"/>
                <w:spacing w:val="-11"/>
                <w:sz w:val="21"/>
                <w:szCs w:val="21"/>
                <w:highlight w:val="none"/>
                <w:lang w:eastAsia="zh-CN"/>
              </w:rPr>
              <w:t>技术人员名单等资料详细，服务承诺和保障措施考虑周全</w:t>
            </w:r>
            <w:r>
              <w:rPr>
                <w:rFonts w:hint="eastAsia" w:ascii="宋体" w:hAnsi="宋体" w:eastAsia="宋体" w:cs="宋体"/>
                <w:color w:val="auto"/>
                <w:sz w:val="21"/>
                <w:szCs w:val="21"/>
                <w:highlight w:val="none"/>
                <w:lang w:eastAsia="zh-CN"/>
              </w:rPr>
              <w:t>完整，有额外优惠服务。</w:t>
            </w:r>
          </w:p>
        </w:tc>
      </w:tr>
      <w:tr w14:paraId="785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AC823A6">
            <w:pPr>
              <w:adjustRightInd w:val="0"/>
              <w:spacing w:line="360" w:lineRule="auto"/>
              <w:jc w:val="center"/>
              <w:textAlignment w:val="baseline"/>
              <w:rPr>
                <w:rFonts w:ascii="宋体" w:hAnsi="宋体" w:cs="宋体"/>
                <w:b/>
                <w:color w:val="auto"/>
                <w:szCs w:val="21"/>
                <w:highlight w:val="none"/>
              </w:rPr>
            </w:pPr>
            <w:bookmarkStart w:id="44" w:name="OLE_LINK19" w:colFirst="4" w:colLast="4"/>
          </w:p>
        </w:tc>
        <w:tc>
          <w:tcPr>
            <w:tcW w:w="1280" w:type="dxa"/>
            <w:vMerge w:val="continue"/>
            <w:vAlign w:val="center"/>
          </w:tcPr>
          <w:p w14:paraId="5B5096C1">
            <w:pPr>
              <w:adjustRightInd w:val="0"/>
              <w:spacing w:line="360" w:lineRule="auto"/>
              <w:jc w:val="center"/>
              <w:textAlignment w:val="baseline"/>
              <w:rPr>
                <w:rFonts w:ascii="宋体" w:hAnsi="宋体" w:cs="宋体"/>
                <w:b/>
                <w:color w:val="auto"/>
                <w:szCs w:val="21"/>
                <w:highlight w:val="none"/>
              </w:rPr>
            </w:pPr>
          </w:p>
        </w:tc>
        <w:tc>
          <w:tcPr>
            <w:tcW w:w="727" w:type="dxa"/>
            <w:vMerge w:val="continue"/>
            <w:vAlign w:val="center"/>
          </w:tcPr>
          <w:p w14:paraId="384E87F6">
            <w:pPr>
              <w:adjustRightInd w:val="0"/>
              <w:spacing w:line="360" w:lineRule="auto"/>
              <w:jc w:val="center"/>
              <w:textAlignment w:val="baseline"/>
              <w:rPr>
                <w:rFonts w:ascii="宋体" w:hAnsi="宋体" w:cs="宋体"/>
                <w:b/>
                <w:color w:val="auto"/>
                <w:szCs w:val="21"/>
                <w:highlight w:val="none"/>
              </w:rPr>
            </w:pPr>
          </w:p>
        </w:tc>
        <w:tc>
          <w:tcPr>
            <w:tcW w:w="1175" w:type="dxa"/>
            <w:vAlign w:val="top"/>
          </w:tcPr>
          <w:p w14:paraId="34B2D224">
            <w:pPr>
              <w:pStyle w:val="79"/>
              <w:rPr>
                <w:rFonts w:ascii="Times New Roman"/>
                <w:color w:val="auto"/>
                <w:highlight w:val="none"/>
                <w:lang w:eastAsia="zh-CN"/>
              </w:rPr>
            </w:pPr>
          </w:p>
          <w:p w14:paraId="5AFE085D">
            <w:pPr>
              <w:pStyle w:val="79"/>
              <w:rPr>
                <w:rFonts w:ascii="Times New Roman"/>
                <w:color w:val="auto"/>
                <w:highlight w:val="none"/>
                <w:lang w:eastAsia="zh-CN"/>
              </w:rPr>
            </w:pPr>
          </w:p>
          <w:p w14:paraId="1E735894">
            <w:pPr>
              <w:pStyle w:val="79"/>
              <w:rPr>
                <w:rFonts w:ascii="Times New Roman"/>
                <w:color w:val="auto"/>
                <w:highlight w:val="none"/>
                <w:lang w:eastAsia="zh-CN"/>
              </w:rPr>
            </w:pPr>
          </w:p>
          <w:p w14:paraId="0BD0F900">
            <w:pPr>
              <w:pStyle w:val="79"/>
              <w:rPr>
                <w:rFonts w:ascii="Times New Roman"/>
                <w:color w:val="auto"/>
                <w:highlight w:val="none"/>
                <w:lang w:eastAsia="zh-CN"/>
              </w:rPr>
            </w:pPr>
          </w:p>
          <w:p w14:paraId="721E92AC">
            <w:pPr>
              <w:pStyle w:val="79"/>
              <w:spacing w:before="7"/>
              <w:rPr>
                <w:rFonts w:ascii="Times New Roman"/>
                <w:color w:val="auto"/>
                <w:sz w:val="30"/>
                <w:highlight w:val="none"/>
                <w:lang w:eastAsia="zh-CN"/>
              </w:rPr>
            </w:pPr>
          </w:p>
          <w:p w14:paraId="4E5BAE89">
            <w:pPr>
              <w:pStyle w:val="79"/>
              <w:spacing w:line="422" w:lineRule="auto"/>
              <w:ind w:left="107" w:leftChars="0" w:right="97" w:rightChars="0" w:firstLine="57" w:firstLineChars="0"/>
              <w:jc w:val="both"/>
              <w:rPr>
                <w:rFonts w:ascii="宋体" w:hAnsi="宋体" w:cs="宋体"/>
                <w:bCs/>
                <w:color w:val="auto"/>
                <w:szCs w:val="21"/>
                <w:highlight w:val="none"/>
              </w:rPr>
            </w:pPr>
            <w:r>
              <w:rPr>
                <w:rFonts w:hint="eastAsia" w:ascii="宋体" w:hAnsi="宋体" w:cs="宋体"/>
                <w:b/>
                <w:bCs w:val="0"/>
                <w:color w:val="auto"/>
                <w:sz w:val="21"/>
                <w:szCs w:val="21"/>
                <w:highlight w:val="none"/>
              </w:rPr>
              <w:t>平台技术架构理解分（满分 25 分）</w:t>
            </w:r>
          </w:p>
        </w:tc>
        <w:tc>
          <w:tcPr>
            <w:tcW w:w="5716" w:type="dxa"/>
            <w:vAlign w:val="top"/>
          </w:tcPr>
          <w:p w14:paraId="36EAD59E">
            <w:pPr>
              <w:pStyle w:val="79"/>
              <w:spacing w:line="340" w:lineRule="auto"/>
              <w:ind w:left="106" w:right="-15" w:firstLine="441"/>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由磋商小组在打分前根据各供应商提供的平台技术架构理解的确定各供应商所属档次及得分，达不到一档要求或不提供的得0分。</w:t>
            </w:r>
          </w:p>
          <w:p w14:paraId="175C0ED8">
            <w:pPr>
              <w:pStyle w:val="79"/>
              <w:spacing w:line="340" w:lineRule="auto"/>
              <w:ind w:left="106" w:right="-15" w:firstLine="441"/>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一档（8分）：基本了解现有平台使用、流程架构情况，能描述各系统相关技术功能，能完成优化运维服务。</w:t>
            </w:r>
          </w:p>
          <w:p w14:paraId="4D4BA209">
            <w:pPr>
              <w:pStyle w:val="79"/>
              <w:spacing w:line="340" w:lineRule="auto"/>
              <w:ind w:left="106" w:right="-15" w:firstLine="441"/>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二档（16分）：详细了解现有平台使用、流程架构、底层接口及数据字典情况，能描述各系统相关技术功能， 基本能基于现有平台完成优化运维服务。</w:t>
            </w:r>
          </w:p>
          <w:p w14:paraId="7B2DAF15">
            <w:pPr>
              <w:pStyle w:val="79"/>
              <w:spacing w:line="340" w:lineRule="auto"/>
              <w:ind w:left="106" w:right="-15" w:firstLine="441"/>
              <w:rPr>
                <w:rFonts w:ascii="宋体" w:hAnsi="宋体" w:cs="宋体"/>
                <w:color w:val="auto"/>
                <w:szCs w:val="21"/>
                <w:highlight w:val="none"/>
              </w:rPr>
            </w:pPr>
            <w:r>
              <w:rPr>
                <w:rFonts w:hint="eastAsia" w:ascii="宋体" w:hAnsi="宋体" w:eastAsia="宋体" w:cs="宋体"/>
                <w:color w:val="auto"/>
                <w:spacing w:val="-10"/>
                <w:sz w:val="21"/>
                <w:szCs w:val="21"/>
                <w:highlight w:val="none"/>
                <w:lang w:eastAsia="zh-CN"/>
              </w:rPr>
              <w:t>三档（25分）：完全了解现有平台使用、流程架构、底层接口及数据字典情况，能详细描述各系统相关技术功能，完全能基于现有平台完成优化改版服务。同时详细描述各系统间接口对接及业务数据传递详细描述，结合平台实际技术特性，针对更好完成服务提出切实可行的优化运维方案。</w:t>
            </w:r>
          </w:p>
        </w:tc>
      </w:tr>
      <w:bookmarkEnd w:id="44"/>
      <w:tr w14:paraId="23D4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6FC6A2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95E0124">
            <w:pPr>
              <w:adjustRightInd w:val="0"/>
              <w:spacing w:line="360" w:lineRule="auto"/>
              <w:jc w:val="center"/>
              <w:textAlignment w:val="baseline"/>
              <w:rPr>
                <w:rFonts w:ascii="宋体" w:hAnsi="宋体" w:cs="宋体"/>
                <w:b/>
                <w:color w:val="auto"/>
                <w:szCs w:val="21"/>
                <w:highlight w:val="none"/>
              </w:rPr>
            </w:pPr>
          </w:p>
        </w:tc>
        <w:tc>
          <w:tcPr>
            <w:tcW w:w="727" w:type="dxa"/>
            <w:vMerge w:val="continue"/>
            <w:vAlign w:val="center"/>
          </w:tcPr>
          <w:p w14:paraId="49557779">
            <w:pPr>
              <w:adjustRightInd w:val="0"/>
              <w:spacing w:line="360" w:lineRule="auto"/>
              <w:jc w:val="center"/>
              <w:textAlignment w:val="baseline"/>
              <w:rPr>
                <w:rFonts w:ascii="宋体" w:hAnsi="宋体" w:cs="宋体"/>
                <w:b/>
                <w:color w:val="auto"/>
                <w:szCs w:val="21"/>
                <w:highlight w:val="none"/>
              </w:rPr>
            </w:pPr>
          </w:p>
        </w:tc>
        <w:tc>
          <w:tcPr>
            <w:tcW w:w="1175" w:type="dxa"/>
            <w:vAlign w:val="top"/>
          </w:tcPr>
          <w:p w14:paraId="2993DFDE">
            <w:pPr>
              <w:pStyle w:val="79"/>
              <w:rPr>
                <w:rFonts w:ascii="Times New Roman"/>
                <w:color w:val="auto"/>
                <w:highlight w:val="none"/>
                <w:lang w:eastAsia="zh-CN"/>
              </w:rPr>
            </w:pPr>
          </w:p>
          <w:p w14:paraId="412B40F3">
            <w:pPr>
              <w:pStyle w:val="79"/>
              <w:rPr>
                <w:rFonts w:ascii="Times New Roman"/>
                <w:color w:val="auto"/>
                <w:highlight w:val="none"/>
                <w:lang w:eastAsia="zh-CN"/>
              </w:rPr>
            </w:pPr>
          </w:p>
          <w:p w14:paraId="6F590D0E">
            <w:pPr>
              <w:pStyle w:val="79"/>
              <w:spacing w:line="422" w:lineRule="auto"/>
              <w:ind w:right="97" w:rightChars="0"/>
              <w:jc w:val="both"/>
              <w:rPr>
                <w:rFonts w:ascii="宋体" w:hAnsi="宋体" w:cs="宋体"/>
                <w:bCs/>
                <w:color w:val="auto"/>
                <w:szCs w:val="21"/>
                <w:highlight w:val="none"/>
              </w:rPr>
            </w:pPr>
            <w:r>
              <w:rPr>
                <w:rFonts w:hint="eastAsia" w:ascii="宋体" w:hAnsi="宋体" w:eastAsia="宋体" w:cs="宋体"/>
                <w:b/>
                <w:color w:val="auto"/>
                <w:sz w:val="21"/>
                <w:szCs w:val="21"/>
                <w:highlight w:val="none"/>
                <w:lang w:eastAsia="zh-CN"/>
              </w:rPr>
              <w:t>组织实施方</w:t>
            </w:r>
            <w:r>
              <w:rPr>
                <w:rFonts w:hint="eastAsia" w:ascii="宋体" w:hAnsi="宋体" w:eastAsia="宋体" w:cs="宋体"/>
                <w:b/>
                <w:color w:val="auto"/>
                <w:spacing w:val="-26"/>
                <w:sz w:val="21"/>
                <w:szCs w:val="21"/>
                <w:highlight w:val="none"/>
                <w:lang w:eastAsia="zh-CN"/>
              </w:rPr>
              <w:t>案分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pacing w:val="-20"/>
                <w:sz w:val="21"/>
                <w:szCs w:val="21"/>
                <w:highlight w:val="none"/>
                <w:lang w:eastAsia="zh-CN"/>
              </w:rPr>
              <w:t xml:space="preserve">满分 </w:t>
            </w:r>
            <w:r>
              <w:rPr>
                <w:rFonts w:hint="eastAsia" w:ascii="宋体" w:hAnsi="宋体" w:cs="宋体"/>
                <w:b/>
                <w:color w:val="auto"/>
                <w:spacing w:val="-15"/>
                <w:sz w:val="21"/>
                <w:szCs w:val="21"/>
                <w:highlight w:val="none"/>
                <w:lang w:val="en-US" w:eastAsia="zh-CN"/>
              </w:rPr>
              <w:t>12</w:t>
            </w:r>
            <w:r>
              <w:rPr>
                <w:rFonts w:hint="eastAsia" w:ascii="宋体" w:hAnsi="宋体" w:eastAsia="宋体" w:cs="宋体"/>
                <w:b/>
                <w:color w:val="auto"/>
                <w:sz w:val="21"/>
                <w:szCs w:val="21"/>
                <w:highlight w:val="none"/>
                <w:lang w:eastAsia="zh-CN"/>
              </w:rPr>
              <w:t>分）</w:t>
            </w:r>
          </w:p>
        </w:tc>
        <w:tc>
          <w:tcPr>
            <w:tcW w:w="5716" w:type="dxa"/>
            <w:vAlign w:val="top"/>
          </w:tcPr>
          <w:p w14:paraId="030C71AD">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组织实施方案包括但不限于以下内容：①</w:t>
            </w:r>
            <w:r>
              <w:rPr>
                <w:rFonts w:hint="eastAsia" w:ascii="宋体" w:hAnsi="宋体" w:cs="宋体"/>
                <w:color w:val="auto"/>
                <w:szCs w:val="21"/>
                <w:highlight w:val="none"/>
              </w:rPr>
              <w:t>实施方案</w:t>
            </w:r>
            <w:r>
              <w:rPr>
                <w:rFonts w:hint="eastAsia" w:ascii="宋体" w:hAnsi="宋体" w:cs="宋体"/>
                <w:bCs/>
                <w:color w:val="auto"/>
                <w:kern w:val="0"/>
                <w:szCs w:val="21"/>
                <w:highlight w:val="none"/>
              </w:rPr>
              <w:t>、②</w:t>
            </w:r>
            <w:r>
              <w:rPr>
                <w:rFonts w:hint="eastAsia" w:ascii="宋体" w:hAnsi="宋体" w:cs="宋体"/>
                <w:color w:val="auto"/>
                <w:szCs w:val="21"/>
                <w:highlight w:val="none"/>
              </w:rPr>
              <w:t>实施计划</w:t>
            </w:r>
            <w:r>
              <w:rPr>
                <w:rFonts w:hint="eastAsia" w:ascii="宋体" w:hAnsi="宋体" w:cs="宋体"/>
                <w:bCs/>
                <w:color w:val="auto"/>
                <w:kern w:val="0"/>
                <w:szCs w:val="21"/>
                <w:highlight w:val="none"/>
              </w:rPr>
              <w:t>、③</w:t>
            </w:r>
            <w:r>
              <w:rPr>
                <w:rFonts w:hint="eastAsia" w:ascii="宋体" w:hAnsi="宋体" w:cs="宋体"/>
                <w:color w:val="auto"/>
                <w:szCs w:val="21"/>
                <w:highlight w:val="none"/>
              </w:rPr>
              <w:t>项目管理组织机构及人员职能</w:t>
            </w:r>
            <w:r>
              <w:rPr>
                <w:rFonts w:hint="eastAsia" w:ascii="宋体" w:hAnsi="宋体" w:cs="宋体"/>
                <w:bCs/>
                <w:color w:val="auto"/>
                <w:kern w:val="0"/>
                <w:szCs w:val="21"/>
                <w:highlight w:val="none"/>
              </w:rPr>
              <w:t>。</w:t>
            </w:r>
          </w:p>
          <w:p w14:paraId="4BF60278">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bCs/>
                <w:color w:val="auto"/>
                <w:kern w:val="0"/>
                <w:szCs w:val="21"/>
                <w:highlight w:val="none"/>
              </w:rPr>
              <w:t>未提供此内容的，不得分</w:t>
            </w:r>
            <w:r>
              <w:rPr>
                <w:rFonts w:hint="eastAsia" w:ascii="宋体" w:hAnsi="宋体" w:cs="宋体"/>
                <w:color w:val="auto"/>
                <w:szCs w:val="21"/>
                <w:highlight w:val="none"/>
              </w:rPr>
              <w:t>；</w:t>
            </w:r>
          </w:p>
          <w:p w14:paraId="52921056">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二档（1分）：方案</w:t>
            </w:r>
            <w:r>
              <w:rPr>
                <w:rFonts w:hint="eastAsia" w:ascii="宋体" w:hAnsi="宋体" w:cs="宋体"/>
                <w:bCs/>
                <w:color w:val="auto"/>
                <w:kern w:val="0"/>
                <w:szCs w:val="21"/>
                <w:highlight w:val="none"/>
              </w:rPr>
              <w:t>有缺漏（</w:t>
            </w:r>
            <w:r>
              <w:rPr>
                <w:rFonts w:hint="eastAsia" w:ascii="宋体" w:hAnsi="宋体" w:cs="宋体"/>
                <w:bCs/>
                <w:color w:val="auto"/>
                <w:kern w:val="0"/>
                <w:sz w:val="20"/>
                <w:szCs w:val="21"/>
                <w:highlight w:val="none"/>
              </w:rPr>
              <w:t>少于上述</w:t>
            </w:r>
            <w:r>
              <w:rPr>
                <w:rFonts w:hint="eastAsia" w:ascii="宋体" w:hAnsi="宋体" w:cs="宋体"/>
                <w:bCs/>
                <w:color w:val="auto"/>
                <w:kern w:val="0"/>
                <w:sz w:val="20"/>
                <w:szCs w:val="21"/>
                <w:highlight w:val="none"/>
                <w:lang w:val="en-US" w:eastAsia="zh-CN"/>
              </w:rPr>
              <w:t>3</w:t>
            </w:r>
            <w:r>
              <w:rPr>
                <w:rFonts w:hint="eastAsia" w:ascii="宋体" w:hAnsi="宋体" w:cs="宋体"/>
                <w:bCs/>
                <w:color w:val="auto"/>
                <w:kern w:val="0"/>
                <w:sz w:val="20"/>
                <w:szCs w:val="21"/>
                <w:highlight w:val="none"/>
              </w:rPr>
              <w:t>项</w:t>
            </w:r>
            <w:r>
              <w:rPr>
                <w:rFonts w:hint="eastAsia" w:ascii="宋体" w:hAnsi="宋体" w:cs="宋体"/>
                <w:bCs/>
                <w:color w:val="auto"/>
                <w:kern w:val="0"/>
                <w:szCs w:val="21"/>
                <w:highlight w:val="none"/>
              </w:rPr>
              <w:t>）</w:t>
            </w:r>
            <w:r>
              <w:rPr>
                <w:rFonts w:hint="eastAsia" w:ascii="宋体" w:hAnsi="宋体" w:cs="宋体"/>
                <w:color w:val="auto"/>
                <w:szCs w:val="21"/>
                <w:highlight w:val="none"/>
              </w:rPr>
              <w:t>；</w:t>
            </w:r>
          </w:p>
          <w:p w14:paraId="6B611CB9">
            <w:pPr>
              <w:adjustRightInd w:val="0"/>
              <w:spacing w:line="40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bCs/>
                <w:color w:val="auto"/>
                <w:highlight w:val="none"/>
              </w:rPr>
              <w:t>方案</w:t>
            </w:r>
            <w:r>
              <w:rPr>
                <w:rFonts w:hint="eastAsia" w:ascii="宋体" w:hAnsi="宋体" w:cs="宋体"/>
                <w:bCs/>
                <w:color w:val="auto"/>
                <w:highlight w:val="none"/>
                <w:lang w:val="en-US" w:eastAsia="zh-CN"/>
              </w:rPr>
              <w:t>无</w:t>
            </w:r>
            <w:r>
              <w:rPr>
                <w:rFonts w:hint="eastAsia" w:ascii="宋体" w:hAnsi="宋体" w:cs="宋体"/>
                <w:bCs/>
                <w:color w:val="auto"/>
                <w:highlight w:val="none"/>
              </w:rPr>
              <w:t>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w:t>
            </w:r>
            <w:r>
              <w:rPr>
                <w:rFonts w:hint="eastAsia" w:ascii="宋体" w:hAnsi="宋体" w:cs="宋体"/>
                <w:bCs/>
                <w:color w:val="auto"/>
                <w:kern w:val="0"/>
                <w:sz w:val="20"/>
                <w:szCs w:val="21"/>
                <w:highlight w:val="none"/>
                <w:lang w:val="en-US" w:eastAsia="zh-CN"/>
              </w:rPr>
              <w:t>3</w:t>
            </w:r>
            <w:r>
              <w:rPr>
                <w:rFonts w:hint="eastAsia" w:ascii="宋体" w:hAnsi="宋体" w:cs="宋体"/>
                <w:bCs/>
                <w:color w:val="auto"/>
                <w:kern w:val="0"/>
                <w:sz w:val="20"/>
                <w:szCs w:val="21"/>
                <w:highlight w:val="none"/>
              </w:rPr>
              <w:t>项</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color w:val="auto"/>
                <w:szCs w:val="21"/>
                <w:highlight w:val="none"/>
              </w:rPr>
              <w:t>实施方案</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简单</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实施计划</w:t>
            </w:r>
            <w:r>
              <w:rPr>
                <w:rFonts w:hint="eastAsia" w:ascii="宋体" w:hAnsi="宋体" w:cs="宋体"/>
                <w:color w:val="auto"/>
                <w:szCs w:val="21"/>
                <w:highlight w:val="none"/>
                <w:lang w:val="en-US" w:eastAsia="zh-CN"/>
              </w:rPr>
              <w:t>混乱、内容粗陋，项目针对性不强</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项目管理组织机构及人员职能基本满足</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p>
          <w:p w14:paraId="28B983DF">
            <w:pPr>
              <w:adjustRightInd w:val="0"/>
              <w:spacing w:line="40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bCs/>
                <w:color w:val="auto"/>
                <w:highlight w:val="none"/>
              </w:rPr>
              <w:t>方案</w:t>
            </w:r>
            <w:r>
              <w:rPr>
                <w:rFonts w:hint="eastAsia" w:ascii="宋体" w:hAnsi="宋体" w:cs="宋体"/>
                <w:bCs/>
                <w:color w:val="auto"/>
                <w:highlight w:val="none"/>
                <w:lang w:val="en-US" w:eastAsia="zh-CN"/>
              </w:rPr>
              <w:t>无</w:t>
            </w:r>
            <w:r>
              <w:rPr>
                <w:rFonts w:hint="eastAsia" w:ascii="宋体" w:hAnsi="宋体" w:cs="宋体"/>
                <w:bCs/>
                <w:color w:val="auto"/>
                <w:highlight w:val="none"/>
              </w:rPr>
              <w:t>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w:t>
            </w:r>
            <w:r>
              <w:rPr>
                <w:rFonts w:hint="eastAsia" w:ascii="宋体" w:hAnsi="宋体" w:cs="宋体"/>
                <w:bCs/>
                <w:color w:val="auto"/>
                <w:kern w:val="0"/>
                <w:sz w:val="20"/>
                <w:szCs w:val="21"/>
                <w:highlight w:val="none"/>
                <w:lang w:val="en-US" w:eastAsia="zh-CN"/>
              </w:rPr>
              <w:t>3</w:t>
            </w:r>
            <w:r>
              <w:rPr>
                <w:rFonts w:hint="eastAsia" w:ascii="宋体" w:hAnsi="宋体" w:cs="宋体"/>
                <w:bCs/>
                <w:color w:val="auto"/>
                <w:kern w:val="0"/>
                <w:sz w:val="20"/>
                <w:szCs w:val="21"/>
                <w:highlight w:val="none"/>
              </w:rPr>
              <w:t>项</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color w:val="auto"/>
                <w:szCs w:val="21"/>
                <w:highlight w:val="none"/>
              </w:rPr>
              <w:t>实施方案</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完整清晰</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实施计划</w:t>
            </w:r>
            <w:r>
              <w:rPr>
                <w:rFonts w:hint="eastAsia" w:ascii="宋体" w:hAnsi="宋体" w:cs="宋体"/>
                <w:color w:val="auto"/>
                <w:szCs w:val="21"/>
                <w:highlight w:val="none"/>
                <w:lang w:val="en-US" w:eastAsia="zh-CN"/>
              </w:rPr>
              <w:t>清晰、</w:t>
            </w:r>
            <w:r>
              <w:rPr>
                <w:rFonts w:hint="eastAsia" w:ascii="宋体" w:hAnsi="宋体" w:cs="宋体"/>
                <w:color w:val="auto"/>
                <w:szCs w:val="21"/>
                <w:highlight w:val="none"/>
              </w:rPr>
              <w:t>完整可行，</w:t>
            </w:r>
            <w:r>
              <w:rPr>
                <w:rFonts w:hint="eastAsia" w:ascii="宋体" w:hAnsi="宋体" w:cs="宋体"/>
                <w:color w:val="auto"/>
                <w:szCs w:val="21"/>
                <w:highlight w:val="none"/>
                <w:lang w:val="en-US" w:eastAsia="zh-CN"/>
              </w:rPr>
              <w:t>有项目针对性；</w:t>
            </w:r>
            <w:r>
              <w:rPr>
                <w:rFonts w:hint="eastAsia" w:ascii="宋体" w:hAnsi="宋体" w:cs="宋体"/>
                <w:color w:val="auto"/>
                <w:szCs w:val="21"/>
                <w:highlight w:val="none"/>
              </w:rPr>
              <w:t>项目管理组织机构及人员职能清晰</w:t>
            </w:r>
            <w:r>
              <w:rPr>
                <w:rFonts w:hint="eastAsia" w:ascii="宋体" w:hAnsi="宋体" w:cs="宋体"/>
                <w:color w:val="auto"/>
                <w:szCs w:val="21"/>
                <w:highlight w:val="none"/>
                <w:lang w:val="en-US" w:eastAsia="zh-CN"/>
              </w:rPr>
              <w:t>且合理，</w:t>
            </w:r>
            <w:r>
              <w:rPr>
                <w:rFonts w:hint="eastAsia" w:ascii="宋体" w:hAnsi="宋体" w:cs="宋体"/>
                <w:color w:val="auto"/>
                <w:szCs w:val="21"/>
                <w:highlight w:val="none"/>
              </w:rPr>
              <w:t>满足</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p>
          <w:p w14:paraId="1E684B18">
            <w:pPr>
              <w:pStyle w:val="79"/>
              <w:spacing w:line="340" w:lineRule="auto"/>
              <w:ind w:left="106" w:right="-15" w:firstLine="441"/>
              <w:rPr>
                <w:rFonts w:hAnsi="宋体" w:cs="宋体"/>
                <w:color w:val="auto"/>
                <w:sz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bCs/>
                <w:color w:val="auto"/>
                <w:highlight w:val="none"/>
              </w:rPr>
              <w:t>方案</w:t>
            </w:r>
            <w:r>
              <w:rPr>
                <w:rFonts w:hint="eastAsia" w:ascii="宋体" w:hAnsi="宋体" w:cs="宋体"/>
                <w:bCs/>
                <w:color w:val="auto"/>
                <w:highlight w:val="none"/>
                <w:lang w:val="en-US" w:eastAsia="zh-CN"/>
              </w:rPr>
              <w:t>无</w:t>
            </w:r>
            <w:r>
              <w:rPr>
                <w:rFonts w:hint="eastAsia" w:ascii="宋体" w:hAnsi="宋体" w:cs="宋体"/>
                <w:bCs/>
                <w:color w:val="auto"/>
                <w:highlight w:val="none"/>
              </w:rPr>
              <w:t>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w:t>
            </w:r>
            <w:r>
              <w:rPr>
                <w:rFonts w:hint="eastAsia" w:ascii="宋体" w:hAnsi="宋体" w:cs="宋体"/>
                <w:bCs/>
                <w:color w:val="auto"/>
                <w:kern w:val="0"/>
                <w:sz w:val="20"/>
                <w:szCs w:val="21"/>
                <w:highlight w:val="none"/>
                <w:lang w:val="en-US" w:eastAsia="zh-CN"/>
              </w:rPr>
              <w:t>3</w:t>
            </w:r>
            <w:r>
              <w:rPr>
                <w:rFonts w:hint="eastAsia" w:ascii="宋体" w:hAnsi="宋体" w:cs="宋体"/>
                <w:bCs/>
                <w:color w:val="auto"/>
                <w:kern w:val="0"/>
                <w:sz w:val="20"/>
                <w:szCs w:val="21"/>
                <w:highlight w:val="none"/>
              </w:rPr>
              <w:t>项</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color w:val="auto"/>
                <w:szCs w:val="21"/>
                <w:highlight w:val="none"/>
              </w:rPr>
              <w:t>实施方案</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完整清晰、针对性强</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实施计划完整明晰、可操作性强</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项目管理组织机构及人员职能清晰</w:t>
            </w:r>
            <w:r>
              <w:rPr>
                <w:rFonts w:hint="eastAsia" w:ascii="宋体" w:hAnsi="宋体" w:cs="宋体"/>
                <w:color w:val="auto"/>
                <w:szCs w:val="21"/>
                <w:highlight w:val="none"/>
                <w:lang w:val="en-US" w:eastAsia="zh-CN"/>
              </w:rPr>
              <w:t>合理、权责明确，</w:t>
            </w:r>
            <w:r>
              <w:rPr>
                <w:rFonts w:hint="eastAsia" w:ascii="宋体" w:hAnsi="宋体" w:cs="宋体"/>
                <w:color w:val="auto"/>
                <w:szCs w:val="21"/>
                <w:highlight w:val="none"/>
              </w:rPr>
              <w:t>满足</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要求。</w:t>
            </w:r>
          </w:p>
        </w:tc>
      </w:tr>
      <w:tr w14:paraId="7A8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940AD1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2536D18">
            <w:pPr>
              <w:adjustRightInd w:val="0"/>
              <w:spacing w:line="360" w:lineRule="auto"/>
              <w:jc w:val="center"/>
              <w:textAlignment w:val="baseline"/>
              <w:rPr>
                <w:rFonts w:ascii="宋体" w:hAnsi="宋体" w:cs="宋体"/>
                <w:b/>
                <w:color w:val="auto"/>
                <w:szCs w:val="21"/>
                <w:highlight w:val="none"/>
              </w:rPr>
            </w:pPr>
          </w:p>
        </w:tc>
        <w:tc>
          <w:tcPr>
            <w:tcW w:w="727" w:type="dxa"/>
            <w:vMerge w:val="continue"/>
            <w:vAlign w:val="center"/>
          </w:tcPr>
          <w:p w14:paraId="2CE72389">
            <w:pPr>
              <w:adjustRightInd w:val="0"/>
              <w:spacing w:line="360" w:lineRule="auto"/>
              <w:jc w:val="center"/>
              <w:textAlignment w:val="baseline"/>
              <w:rPr>
                <w:rFonts w:ascii="宋体" w:hAnsi="宋体" w:cs="宋体"/>
                <w:b/>
                <w:color w:val="auto"/>
                <w:szCs w:val="21"/>
                <w:highlight w:val="none"/>
              </w:rPr>
            </w:pPr>
          </w:p>
        </w:tc>
        <w:tc>
          <w:tcPr>
            <w:tcW w:w="1175" w:type="dxa"/>
            <w:vAlign w:val="top"/>
          </w:tcPr>
          <w:p w14:paraId="7CFD54A2">
            <w:pPr>
              <w:pStyle w:val="79"/>
              <w:spacing w:line="340" w:lineRule="auto"/>
              <w:ind w:left="106" w:right="-15" w:firstLine="441"/>
              <w:rPr>
                <w:rFonts w:hint="eastAsia" w:ascii="宋体" w:hAnsi="宋体" w:eastAsia="宋体" w:cs="宋体"/>
                <w:color w:val="auto"/>
                <w:spacing w:val="-10"/>
                <w:sz w:val="21"/>
                <w:szCs w:val="21"/>
                <w:highlight w:val="none"/>
                <w:lang w:eastAsia="zh-CN"/>
              </w:rPr>
            </w:pPr>
          </w:p>
          <w:p w14:paraId="3D0D75C6">
            <w:pPr>
              <w:pStyle w:val="79"/>
              <w:spacing w:line="340" w:lineRule="auto"/>
              <w:ind w:right="-15"/>
              <w:rPr>
                <w:rFonts w:hint="eastAsia" w:ascii="宋体" w:hAnsi="宋体" w:eastAsia="宋体" w:cs="宋体"/>
                <w:color w:val="auto"/>
                <w:spacing w:val="-10"/>
                <w:sz w:val="21"/>
                <w:szCs w:val="21"/>
                <w:highlight w:val="none"/>
                <w:lang w:eastAsia="zh-CN"/>
              </w:rPr>
            </w:pPr>
          </w:p>
          <w:p w14:paraId="747B652A">
            <w:pPr>
              <w:pStyle w:val="79"/>
              <w:spacing w:line="340" w:lineRule="auto"/>
              <w:ind w:right="-15"/>
              <w:rPr>
                <w:rFonts w:hint="eastAsia" w:ascii="宋体" w:hAnsi="宋体" w:eastAsia="宋体" w:cs="宋体"/>
                <w:color w:val="auto"/>
                <w:spacing w:val="-10"/>
                <w:sz w:val="21"/>
                <w:szCs w:val="21"/>
                <w:highlight w:val="none"/>
                <w:lang w:eastAsia="zh-CN"/>
              </w:rPr>
            </w:pPr>
            <w:r>
              <w:rPr>
                <w:rFonts w:hint="eastAsia" w:ascii="宋体" w:hAnsi="宋体" w:cs="宋体"/>
                <w:b/>
                <w:bCs/>
                <w:color w:val="auto"/>
                <w:spacing w:val="-10"/>
                <w:sz w:val="21"/>
                <w:szCs w:val="21"/>
                <w:highlight w:val="none"/>
                <w:lang w:val="en-US" w:eastAsia="zh-CN"/>
              </w:rPr>
              <w:t>拟投入项目经理</w:t>
            </w:r>
            <w:r>
              <w:rPr>
                <w:rFonts w:hint="eastAsia" w:ascii="宋体" w:hAnsi="宋体" w:eastAsia="宋体" w:cs="宋体"/>
                <w:b/>
                <w:bCs/>
                <w:color w:val="auto"/>
                <w:spacing w:val="-10"/>
                <w:sz w:val="21"/>
                <w:szCs w:val="21"/>
                <w:highlight w:val="none"/>
                <w:lang w:eastAsia="zh-CN"/>
              </w:rPr>
              <w:t>（满分 7 分）</w:t>
            </w:r>
          </w:p>
        </w:tc>
        <w:tc>
          <w:tcPr>
            <w:tcW w:w="5716" w:type="dxa"/>
            <w:vAlign w:val="top"/>
          </w:tcPr>
          <w:p w14:paraId="545D7332">
            <w:pPr>
              <w:pStyle w:val="20"/>
              <w:spacing w:line="360" w:lineRule="exact"/>
              <w:ind w:firstLine="420" w:firstLineChars="200"/>
              <w:rPr>
                <w:rFonts w:hAnsi="宋体" w:cs="宋体"/>
                <w:color w:val="auto"/>
                <w:sz w:val="21"/>
                <w:highlight w:val="none"/>
              </w:rPr>
            </w:pPr>
            <w:r>
              <w:rPr>
                <w:rFonts w:hint="eastAsia" w:hAnsi="宋体" w:cs="宋体"/>
                <w:color w:val="auto"/>
                <w:sz w:val="21"/>
                <w:highlight w:val="none"/>
              </w:rPr>
              <w:t>供应商</w:t>
            </w:r>
            <w:r>
              <w:rPr>
                <w:rFonts w:hint="eastAsia" w:ascii="宋体" w:hAnsi="宋体" w:cs="宋体"/>
                <w:color w:val="auto"/>
                <w:kern w:val="0"/>
                <w:szCs w:val="21"/>
                <w:highlight w:val="none"/>
                <w:lang w:val="en-US" w:eastAsia="zh-CN" w:bidi="ar"/>
              </w:rPr>
              <w:t>拟投入项目经理</w:t>
            </w:r>
            <w:r>
              <w:rPr>
                <w:rFonts w:hint="eastAsia" w:hAnsi="宋体" w:cs="宋体"/>
                <w:color w:val="auto"/>
                <w:kern w:val="0"/>
                <w:szCs w:val="21"/>
                <w:highlight w:val="none"/>
                <w:lang w:val="en-US" w:eastAsia="zh-CN" w:bidi="ar"/>
              </w:rPr>
              <w:t>有同类运维项目</w:t>
            </w:r>
            <w:r>
              <w:rPr>
                <w:rFonts w:hint="eastAsia" w:hAnsi="宋体" w:cs="宋体"/>
                <w:color w:val="auto"/>
                <w:sz w:val="21"/>
                <w:highlight w:val="none"/>
              </w:rPr>
              <w:t>业绩的，每项得</w:t>
            </w:r>
            <w:r>
              <w:rPr>
                <w:rFonts w:hint="eastAsia" w:hAnsi="宋体" w:cs="宋体"/>
                <w:color w:val="auto"/>
                <w:sz w:val="21"/>
                <w:highlight w:val="none"/>
                <w:lang w:val="en-US" w:eastAsia="zh-CN"/>
              </w:rPr>
              <w:t>1</w:t>
            </w:r>
            <w:r>
              <w:rPr>
                <w:rFonts w:hint="eastAsia" w:hAnsi="宋体" w:cs="宋体"/>
                <w:color w:val="auto"/>
                <w:sz w:val="21"/>
                <w:highlight w:val="none"/>
              </w:rPr>
              <w:t>分，满分</w:t>
            </w:r>
            <w:r>
              <w:rPr>
                <w:rFonts w:hint="eastAsia" w:hAnsi="宋体" w:cs="宋体"/>
                <w:color w:val="auto"/>
                <w:sz w:val="21"/>
                <w:highlight w:val="none"/>
                <w:lang w:val="en-US" w:eastAsia="zh-CN"/>
              </w:rPr>
              <w:t>7</w:t>
            </w:r>
            <w:r>
              <w:rPr>
                <w:rFonts w:hint="eastAsia" w:hAnsi="宋体" w:cs="宋体"/>
                <w:color w:val="auto"/>
                <w:sz w:val="21"/>
                <w:highlight w:val="none"/>
              </w:rPr>
              <w:t>分。</w:t>
            </w:r>
          </w:p>
          <w:p w14:paraId="0CD7919B">
            <w:pPr>
              <w:pStyle w:val="79"/>
              <w:spacing w:line="340" w:lineRule="auto"/>
              <w:ind w:left="106" w:right="-15" w:firstLine="441"/>
              <w:rPr>
                <w:rFonts w:hint="eastAsia" w:ascii="宋体" w:hAnsi="宋体" w:eastAsia="宋体" w:cs="宋体"/>
                <w:color w:val="auto"/>
                <w:spacing w:val="-10"/>
                <w:sz w:val="21"/>
                <w:szCs w:val="21"/>
                <w:highlight w:val="none"/>
                <w:lang w:eastAsia="zh-CN"/>
              </w:rPr>
            </w:pPr>
            <w:r>
              <w:rPr>
                <w:rFonts w:hint="eastAsia" w:hAnsi="宋体" w:cs="宋体"/>
                <w:color w:val="auto"/>
                <w:sz w:val="21"/>
                <w:highlight w:val="none"/>
              </w:rPr>
              <w:t>注：响应文件中须提供以上拟投入</w:t>
            </w:r>
            <w:r>
              <w:rPr>
                <w:rFonts w:hint="eastAsia" w:ascii="宋体" w:hAnsi="宋体" w:cs="宋体"/>
                <w:color w:val="auto"/>
                <w:kern w:val="0"/>
                <w:szCs w:val="21"/>
                <w:highlight w:val="none"/>
                <w:lang w:val="en-US" w:eastAsia="zh-CN" w:bidi="ar"/>
              </w:rPr>
              <w:t>项目经理</w:t>
            </w:r>
            <w:r>
              <w:rPr>
                <w:rFonts w:hint="eastAsia" w:hAnsi="宋体" w:cs="宋体"/>
                <w:color w:val="auto"/>
                <w:sz w:val="21"/>
                <w:highlight w:val="none"/>
              </w:rPr>
              <w:t>的业绩一览表、项目用户单位出具的</w:t>
            </w:r>
            <w:r>
              <w:rPr>
                <w:rFonts w:hint="eastAsia" w:hAnsi="宋体" w:cs="宋体"/>
                <w:color w:val="auto"/>
                <w:sz w:val="21"/>
                <w:highlight w:val="none"/>
                <w:lang w:val="en-US" w:eastAsia="zh-CN"/>
              </w:rPr>
              <w:t>业绩</w:t>
            </w:r>
            <w:r>
              <w:rPr>
                <w:rFonts w:hint="eastAsia" w:hAnsi="宋体" w:cs="宋体"/>
                <w:color w:val="auto"/>
                <w:sz w:val="21"/>
                <w:highlight w:val="none"/>
              </w:rPr>
              <w:t>相关证明</w:t>
            </w:r>
            <w:r>
              <w:rPr>
                <w:rFonts w:hint="eastAsia" w:hAnsi="宋体" w:cs="宋体"/>
                <w:color w:val="auto"/>
                <w:sz w:val="21"/>
                <w:highlight w:val="none"/>
                <w:lang w:val="en-US" w:eastAsia="zh-CN"/>
              </w:rPr>
              <w:t>或合同或中标通知书（须显示项目经理姓名）</w:t>
            </w:r>
            <w:r>
              <w:rPr>
                <w:rFonts w:hint="eastAsia" w:hAnsi="宋体" w:cs="宋体"/>
                <w:color w:val="auto"/>
                <w:sz w:val="21"/>
                <w:highlight w:val="none"/>
              </w:rPr>
              <w:t>、供应商为拟投入</w:t>
            </w:r>
            <w:r>
              <w:rPr>
                <w:rFonts w:hint="eastAsia" w:hAnsi="宋体" w:cs="宋体"/>
                <w:color w:val="auto"/>
                <w:sz w:val="21"/>
                <w:highlight w:val="none"/>
                <w:lang w:val="en-US" w:eastAsia="zh-CN"/>
              </w:rPr>
              <w:t>项目经理</w:t>
            </w:r>
            <w:r>
              <w:rPr>
                <w:rFonts w:hint="eastAsia" w:hAnsi="宋体" w:cs="宋体"/>
                <w:color w:val="auto"/>
                <w:sz w:val="21"/>
                <w:highlight w:val="none"/>
              </w:rPr>
              <w:t>缴纳的2025年1月-</w:t>
            </w:r>
            <w:r>
              <w:rPr>
                <w:rFonts w:hint="eastAsia" w:hAnsi="宋体" w:cs="宋体"/>
                <w:color w:val="auto"/>
                <w:sz w:val="21"/>
                <w:highlight w:val="none"/>
                <w:lang w:val="en-US" w:eastAsia="zh-CN"/>
              </w:rPr>
              <w:t>6</w:t>
            </w:r>
            <w:r>
              <w:rPr>
                <w:rFonts w:hint="eastAsia" w:hAnsi="宋体" w:cs="宋体"/>
                <w:color w:val="auto"/>
                <w:sz w:val="21"/>
                <w:highlight w:val="none"/>
              </w:rPr>
              <w:t>月期间任意1个月有效社保证明（如拟投入</w:t>
            </w:r>
            <w:r>
              <w:rPr>
                <w:rFonts w:hint="eastAsia" w:hAnsi="宋体" w:cs="宋体"/>
                <w:color w:val="auto"/>
                <w:sz w:val="21"/>
                <w:highlight w:val="none"/>
                <w:lang w:val="en-US" w:eastAsia="zh-CN"/>
              </w:rPr>
              <w:t>项目经理</w:t>
            </w:r>
            <w:r>
              <w:rPr>
                <w:rFonts w:hint="eastAsia" w:hAnsi="宋体" w:cs="宋体"/>
                <w:color w:val="auto"/>
                <w:sz w:val="21"/>
                <w:highlight w:val="none"/>
              </w:rPr>
              <w:t>属于退休人员返聘无社保证明的，需提供退休证、返聘证明；</w:t>
            </w:r>
            <w:r>
              <w:rPr>
                <w:rFonts w:hint="eastAsia" w:hAnsi="宋体" w:cs="宋体"/>
                <w:color w:val="auto"/>
                <w:sz w:val="21"/>
                <w:highlight w:val="none"/>
                <w:lang w:eastAsia="zh-CN"/>
              </w:rPr>
              <w:t>如供应商为截标时间前60日以内成立的公司或</w:t>
            </w:r>
            <w:r>
              <w:rPr>
                <w:rFonts w:hint="eastAsia" w:hAnsi="宋体" w:cs="宋体"/>
                <w:color w:val="auto"/>
                <w:sz w:val="21"/>
                <w:highlight w:val="none"/>
                <w:lang w:val="en-US" w:eastAsia="zh-CN"/>
              </w:rPr>
              <w:t>拟投入项目经理</w:t>
            </w:r>
            <w:r>
              <w:rPr>
                <w:rFonts w:hint="eastAsia" w:hAnsi="宋体" w:cs="宋体"/>
                <w:color w:val="auto"/>
                <w:sz w:val="21"/>
                <w:highlight w:val="none"/>
                <w:lang w:eastAsia="zh-CN"/>
              </w:rPr>
              <w:t>为近一个月（指竞标截止之日当日前一个月）内入职的新员工的，可以提供供应商与</w:t>
            </w:r>
            <w:r>
              <w:rPr>
                <w:rFonts w:hint="eastAsia" w:hAnsi="宋体" w:cs="宋体"/>
                <w:color w:val="auto"/>
                <w:sz w:val="21"/>
                <w:highlight w:val="none"/>
                <w:lang w:val="en-US" w:eastAsia="zh-CN"/>
              </w:rPr>
              <w:t>其</w:t>
            </w:r>
            <w:r>
              <w:rPr>
                <w:rFonts w:hint="eastAsia" w:hAnsi="宋体" w:cs="宋体"/>
                <w:color w:val="auto"/>
                <w:sz w:val="21"/>
                <w:highlight w:val="none"/>
                <w:lang w:eastAsia="zh-CN"/>
              </w:rPr>
              <w:t>签订的劳动合同的原件或复印件扫描件代替社保证明</w:t>
            </w:r>
            <w:r>
              <w:rPr>
                <w:rFonts w:hint="eastAsia" w:hAnsi="宋体" w:cs="宋体"/>
                <w:color w:val="auto"/>
                <w:sz w:val="21"/>
                <w:highlight w:val="none"/>
              </w:rPr>
              <w:t>。；并加盖供应商单位公章，不按要求提供证明材料不得分。</w:t>
            </w:r>
          </w:p>
        </w:tc>
      </w:tr>
      <w:tr w14:paraId="4C70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AAA1AD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1054ED1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27" w:type="dxa"/>
            <w:vAlign w:val="center"/>
          </w:tcPr>
          <w:p w14:paraId="6F63B77D">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满分21分</w:t>
            </w:r>
          </w:p>
        </w:tc>
        <w:tc>
          <w:tcPr>
            <w:tcW w:w="6891" w:type="dxa"/>
            <w:gridSpan w:val="2"/>
            <w:vAlign w:val="center"/>
          </w:tcPr>
          <w:p w14:paraId="636E5D35">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cs="宋体"/>
                <w:color w:val="auto"/>
                <w:sz w:val="21"/>
                <w:highlight w:val="none"/>
                <w:lang w:eastAsia="zh-CN"/>
              </w:rPr>
            </w:pPr>
            <w:r>
              <w:rPr>
                <w:rFonts w:cs="宋体"/>
                <w:color w:val="auto"/>
                <w:sz w:val="21"/>
                <w:highlight w:val="none"/>
                <w:lang w:eastAsia="zh-CN"/>
              </w:rPr>
              <w:t>1、</w:t>
            </w:r>
            <w:r>
              <w:rPr>
                <w:rFonts w:hint="eastAsia" w:cs="宋体"/>
                <w:color w:val="auto"/>
                <w:sz w:val="21"/>
                <w:highlight w:val="none"/>
                <w:lang w:eastAsia="zh-CN"/>
              </w:rPr>
              <w:t>供应商2022年以来具有同类项目的业绩（以合同复印件为准）的，</w:t>
            </w:r>
            <w:r>
              <w:rPr>
                <w:rFonts w:hint="eastAsia" w:hAnsi="宋体" w:cs="宋体"/>
                <w:color w:val="auto"/>
                <w:sz w:val="21"/>
                <w:highlight w:val="none"/>
              </w:rPr>
              <w:t>每项得</w:t>
            </w:r>
            <w:r>
              <w:rPr>
                <w:rFonts w:hint="eastAsia" w:cs="宋体"/>
                <w:color w:val="auto"/>
                <w:sz w:val="21"/>
                <w:highlight w:val="none"/>
                <w:lang w:val="en-US" w:eastAsia="zh-CN"/>
              </w:rPr>
              <w:t>1</w:t>
            </w:r>
            <w:r>
              <w:rPr>
                <w:rFonts w:hint="eastAsia" w:hAnsi="宋体" w:cs="宋体"/>
                <w:color w:val="auto"/>
                <w:sz w:val="21"/>
                <w:highlight w:val="none"/>
              </w:rPr>
              <w:t>分，</w:t>
            </w:r>
            <w:r>
              <w:rPr>
                <w:rFonts w:cs="宋体"/>
                <w:b/>
                <w:bCs/>
                <w:color w:val="auto"/>
                <w:sz w:val="21"/>
                <w:highlight w:val="none"/>
                <w:lang w:eastAsia="zh-CN"/>
              </w:rPr>
              <w:t>满分</w:t>
            </w:r>
            <w:r>
              <w:rPr>
                <w:rFonts w:hint="eastAsia" w:cs="宋体"/>
                <w:b/>
                <w:bCs/>
                <w:color w:val="auto"/>
                <w:sz w:val="21"/>
                <w:highlight w:val="none"/>
                <w:lang w:eastAsia="zh-CN"/>
              </w:rPr>
              <w:t>5</w:t>
            </w:r>
            <w:r>
              <w:rPr>
                <w:rFonts w:cs="宋体"/>
                <w:b/>
                <w:bCs/>
                <w:color w:val="auto"/>
                <w:sz w:val="21"/>
                <w:highlight w:val="none"/>
                <w:lang w:eastAsia="zh-CN"/>
              </w:rPr>
              <w:t>分；</w:t>
            </w:r>
          </w:p>
          <w:p w14:paraId="7EE5CCD1">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cs="宋体"/>
                <w:color w:val="auto"/>
                <w:sz w:val="21"/>
                <w:highlight w:val="none"/>
                <w:lang w:eastAsia="zh-CN"/>
              </w:rPr>
            </w:pPr>
            <w:r>
              <w:rPr>
                <w:rFonts w:hint="eastAsia" w:cs="宋体"/>
                <w:color w:val="auto"/>
                <w:sz w:val="21"/>
                <w:highlight w:val="none"/>
                <w:lang w:eastAsia="zh-CN"/>
              </w:rPr>
              <w:t>2</w:t>
            </w:r>
            <w:r>
              <w:rPr>
                <w:rFonts w:cs="宋体"/>
                <w:color w:val="auto"/>
                <w:sz w:val="21"/>
                <w:highlight w:val="none"/>
                <w:lang w:eastAsia="zh-CN"/>
              </w:rPr>
              <w:t>、</w:t>
            </w:r>
            <w:r>
              <w:rPr>
                <w:rFonts w:hint="eastAsia" w:cs="宋体"/>
                <w:color w:val="auto"/>
                <w:sz w:val="21"/>
                <w:highlight w:val="none"/>
                <w:lang w:eastAsia="zh-CN"/>
              </w:rPr>
              <w:t>供应商获得质量管理体系认证证书，信息技术服务管理体系认证证书的，每项得2分，</w:t>
            </w:r>
            <w:r>
              <w:rPr>
                <w:rFonts w:hint="eastAsia" w:cs="宋体"/>
                <w:b/>
                <w:bCs/>
                <w:color w:val="auto"/>
                <w:sz w:val="21"/>
                <w:highlight w:val="none"/>
                <w:lang w:eastAsia="zh-CN"/>
              </w:rPr>
              <w:t>满分4分</w:t>
            </w:r>
            <w:r>
              <w:rPr>
                <w:rFonts w:cs="宋体"/>
                <w:b/>
                <w:bCs/>
                <w:color w:val="auto"/>
                <w:sz w:val="21"/>
                <w:highlight w:val="none"/>
                <w:lang w:eastAsia="zh-CN"/>
              </w:rPr>
              <w:t>；</w:t>
            </w:r>
          </w:p>
          <w:p w14:paraId="20FDBEED">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cs="宋体"/>
                <w:color w:val="auto"/>
                <w:sz w:val="21"/>
                <w:highlight w:val="none"/>
                <w:lang w:eastAsia="zh-CN"/>
              </w:rPr>
            </w:pPr>
            <w:r>
              <w:rPr>
                <w:rFonts w:hint="eastAsia" w:cs="宋体"/>
                <w:color w:val="auto"/>
                <w:sz w:val="21"/>
                <w:highlight w:val="none"/>
                <w:lang w:eastAsia="zh-CN"/>
              </w:rPr>
              <w:t>3</w:t>
            </w:r>
            <w:r>
              <w:rPr>
                <w:rFonts w:cs="宋体"/>
                <w:color w:val="auto"/>
                <w:sz w:val="21"/>
                <w:highlight w:val="none"/>
                <w:lang w:eastAsia="zh-CN"/>
              </w:rPr>
              <w:t>、</w:t>
            </w:r>
            <w:r>
              <w:rPr>
                <w:rFonts w:hint="eastAsia" w:cs="宋体"/>
                <w:color w:val="auto"/>
                <w:sz w:val="21"/>
                <w:highlight w:val="none"/>
                <w:lang w:eastAsia="zh-CN"/>
              </w:rPr>
              <w:t>供应商获得ITSS信息技术服务运行维护标准符合性证书（成熟度三级或三级以上，且证书在有效期内）的，得</w:t>
            </w:r>
            <w:r>
              <w:rPr>
                <w:rFonts w:hint="eastAsia" w:cs="宋体"/>
                <w:color w:val="auto"/>
                <w:sz w:val="21"/>
                <w:highlight w:val="none"/>
                <w:lang w:val="en-US" w:eastAsia="zh-CN"/>
              </w:rPr>
              <w:t>2</w:t>
            </w:r>
            <w:r>
              <w:rPr>
                <w:rFonts w:hint="eastAsia" w:cs="宋体"/>
                <w:color w:val="auto"/>
                <w:sz w:val="21"/>
                <w:highlight w:val="none"/>
                <w:lang w:eastAsia="zh-CN"/>
              </w:rPr>
              <w:t>分，</w:t>
            </w:r>
            <w:r>
              <w:rPr>
                <w:rFonts w:hint="eastAsia" w:cs="宋体"/>
                <w:b/>
                <w:bCs/>
                <w:color w:val="auto"/>
                <w:sz w:val="21"/>
                <w:highlight w:val="none"/>
                <w:lang w:eastAsia="zh-CN"/>
              </w:rPr>
              <w:t>满分</w:t>
            </w:r>
            <w:r>
              <w:rPr>
                <w:rFonts w:hint="eastAsia" w:cs="宋体"/>
                <w:b/>
                <w:bCs/>
                <w:color w:val="auto"/>
                <w:sz w:val="21"/>
                <w:highlight w:val="none"/>
                <w:lang w:val="en-US" w:eastAsia="zh-CN"/>
              </w:rPr>
              <w:t>2</w:t>
            </w:r>
            <w:r>
              <w:rPr>
                <w:rFonts w:hint="eastAsia" w:cs="宋体"/>
                <w:b/>
                <w:bCs/>
                <w:color w:val="auto"/>
                <w:sz w:val="21"/>
                <w:highlight w:val="none"/>
                <w:lang w:eastAsia="zh-CN"/>
              </w:rPr>
              <w:t>分</w:t>
            </w:r>
            <w:r>
              <w:rPr>
                <w:rFonts w:cs="宋体"/>
                <w:b/>
                <w:bCs/>
                <w:color w:val="auto"/>
                <w:sz w:val="21"/>
                <w:highlight w:val="none"/>
                <w:lang w:eastAsia="zh-CN"/>
              </w:rPr>
              <w:t>；</w:t>
            </w:r>
          </w:p>
          <w:p w14:paraId="33971D07">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cs="宋体"/>
                <w:color w:val="auto"/>
                <w:sz w:val="21"/>
                <w:highlight w:val="none"/>
              </w:rPr>
            </w:pPr>
            <w:r>
              <w:rPr>
                <w:rFonts w:hint="eastAsia" w:cs="宋体"/>
                <w:color w:val="auto"/>
                <w:sz w:val="21"/>
                <w:highlight w:val="none"/>
                <w:lang w:eastAsia="zh-CN"/>
              </w:rPr>
              <w:t>4</w:t>
            </w:r>
            <w:r>
              <w:rPr>
                <w:rFonts w:cs="宋体"/>
                <w:color w:val="auto"/>
                <w:sz w:val="21"/>
                <w:highlight w:val="none"/>
                <w:lang w:eastAsia="zh-CN"/>
              </w:rPr>
              <w:t>、</w:t>
            </w:r>
            <w:r>
              <w:rPr>
                <w:rFonts w:hint="eastAsia" w:cs="宋体"/>
                <w:color w:val="auto"/>
                <w:sz w:val="21"/>
                <w:highlight w:val="none"/>
                <w:lang w:val="en-US" w:eastAsia="zh-CN"/>
              </w:rPr>
              <w:t>供应商</w:t>
            </w:r>
            <w:r>
              <w:rPr>
                <w:rFonts w:hint="eastAsia" w:cs="宋体"/>
                <w:color w:val="auto"/>
                <w:sz w:val="21"/>
                <w:highlight w:val="none"/>
                <w:lang w:eastAsia="zh-CN"/>
              </w:rPr>
              <w:t>获得国家计算机网络应急技术处理协调中心颁发的“漏洞应急工作证书”，且在“国家信息安全漏洞共享平台（www.cnvd.org.cn）”可查，每获得一次得</w:t>
            </w:r>
            <w:r>
              <w:rPr>
                <w:rFonts w:hint="eastAsia" w:cs="宋体"/>
                <w:color w:val="auto"/>
                <w:sz w:val="21"/>
                <w:highlight w:val="none"/>
                <w:lang w:val="en-US" w:eastAsia="zh-CN"/>
              </w:rPr>
              <w:t>2</w:t>
            </w:r>
            <w:r>
              <w:rPr>
                <w:rFonts w:hint="eastAsia" w:cs="宋体"/>
                <w:color w:val="auto"/>
                <w:sz w:val="21"/>
                <w:highlight w:val="none"/>
                <w:lang w:eastAsia="zh-CN"/>
              </w:rPr>
              <w:t>分，</w:t>
            </w:r>
            <w:r>
              <w:rPr>
                <w:rFonts w:hint="eastAsia" w:cs="宋体"/>
                <w:b/>
                <w:bCs/>
                <w:color w:val="auto"/>
                <w:sz w:val="21"/>
                <w:highlight w:val="none"/>
                <w:lang w:eastAsia="zh-CN"/>
              </w:rPr>
              <w:t>满分</w:t>
            </w:r>
            <w:r>
              <w:rPr>
                <w:rFonts w:hint="eastAsia" w:cs="宋体"/>
                <w:b/>
                <w:bCs/>
                <w:color w:val="auto"/>
                <w:sz w:val="21"/>
                <w:highlight w:val="none"/>
                <w:lang w:val="en-US" w:eastAsia="zh-CN"/>
              </w:rPr>
              <w:t>10</w:t>
            </w:r>
            <w:r>
              <w:rPr>
                <w:rFonts w:hint="eastAsia" w:cs="宋体"/>
                <w:b/>
                <w:bCs/>
                <w:color w:val="auto"/>
                <w:sz w:val="21"/>
                <w:highlight w:val="none"/>
                <w:lang w:eastAsia="zh-CN"/>
              </w:rPr>
              <w:t>分</w:t>
            </w:r>
            <w:r>
              <w:rPr>
                <w:rFonts w:cs="宋体"/>
                <w:b/>
                <w:bCs/>
                <w:color w:val="auto"/>
                <w:sz w:val="21"/>
                <w:highlight w:val="none"/>
                <w:lang w:eastAsia="zh-CN"/>
              </w:rPr>
              <w:t>。</w:t>
            </w:r>
          </w:p>
        </w:tc>
      </w:tr>
      <w:tr w14:paraId="0AB2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6C677B66">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F362B1D">
      <w:pPr>
        <w:rPr>
          <w:rFonts w:ascii="宋体" w:cs="宋体"/>
          <w:bCs/>
          <w:color w:val="auto"/>
          <w:szCs w:val="21"/>
          <w:highlight w:val="none"/>
        </w:rPr>
      </w:pPr>
    </w:p>
    <w:p w14:paraId="6B26E2BA">
      <w:pPr>
        <w:rPr>
          <w:rFonts w:ascii="宋体" w:hAnsi="宋体" w:cs="宋体"/>
          <w:b/>
          <w:color w:val="auto"/>
          <w:szCs w:val="21"/>
          <w:highlight w:val="none"/>
        </w:rPr>
      </w:pPr>
    </w:p>
    <w:p w14:paraId="45CE9E9E">
      <w:pPr>
        <w:rPr>
          <w:rFonts w:hint="eastAsia" w:ascii="宋体" w:hAnsi="宋体" w:cs="宋体"/>
          <w:b/>
          <w:color w:val="auto"/>
          <w:szCs w:val="21"/>
          <w:highlight w:val="none"/>
        </w:rPr>
      </w:pPr>
    </w:p>
    <w:p w14:paraId="23668677">
      <w:pPr>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5863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C1C2AC5">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9335DB5">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BB7F71E">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66FF772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68A4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0471EBC">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325A931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0EEA1297">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7CFACACA">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105F2D5E">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722CCB85">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68CC74B">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C82641F">
            <w:pPr>
              <w:rPr>
                <w:b/>
                <w:bCs/>
                <w:color w:val="auto"/>
                <w:highlight w:val="none"/>
              </w:rPr>
            </w:pPr>
            <w:r>
              <w:rPr>
                <w:rFonts w:hint="eastAsia"/>
                <w:b/>
                <w:bCs/>
                <w:color w:val="auto"/>
                <w:highlight w:val="none"/>
              </w:rPr>
              <w:t>二、报价分（满分</w:t>
            </w:r>
            <w:r>
              <w:rPr>
                <w:b/>
                <w:bCs/>
                <w:color w:val="auto"/>
                <w:highlight w:val="none"/>
              </w:rPr>
              <w:t>10</w:t>
            </w:r>
            <w:r>
              <w:rPr>
                <w:rFonts w:hint="eastAsia"/>
                <w:b/>
                <w:bCs/>
                <w:color w:val="auto"/>
                <w:highlight w:val="none"/>
              </w:rPr>
              <w:t>分）</w:t>
            </w:r>
          </w:p>
          <w:p w14:paraId="4011B45D">
            <w:pPr>
              <w:pStyle w:val="20"/>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5AC6072A">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6645F606">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Ansi="宋体" w:cs="宋体"/>
                <w:bCs/>
                <w:color w:val="auto"/>
                <w:sz w:val="21"/>
                <w:highlight w:val="none"/>
              </w:rPr>
              <w:t>10</w:t>
            </w:r>
            <w:r>
              <w:rPr>
                <w:rFonts w:hint="eastAsia" w:hAnsi="宋体" w:cs="宋体"/>
                <w:bCs/>
                <w:color w:val="auto"/>
                <w:sz w:val="21"/>
                <w:highlight w:val="none"/>
              </w:rPr>
              <w:t>分</w:t>
            </w:r>
          </w:p>
        </w:tc>
      </w:tr>
      <w:tr w14:paraId="225C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7C8CACA3">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018C2093">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64FDC3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满分7</w:t>
            </w:r>
            <w:r>
              <w:rPr>
                <w:rFonts w:hint="eastAsia" w:ascii="宋体" w:hAnsi="宋体" w:cs="宋体"/>
                <w:b/>
                <w:color w:val="auto"/>
                <w:szCs w:val="21"/>
                <w:highlight w:val="none"/>
              </w:rPr>
              <w:t>4分</w:t>
            </w:r>
          </w:p>
        </w:tc>
        <w:tc>
          <w:tcPr>
            <w:tcW w:w="1244" w:type="dxa"/>
            <w:vAlign w:val="center"/>
          </w:tcPr>
          <w:p w14:paraId="19B4CEE9">
            <w:pPr>
              <w:spacing w:line="360" w:lineRule="auto"/>
              <w:jc w:val="center"/>
              <w:rPr>
                <w:rFonts w:ascii="宋体" w:cs="宋体"/>
                <w:bCs/>
                <w:color w:val="auto"/>
                <w:szCs w:val="21"/>
                <w:highlight w:val="none"/>
              </w:rPr>
            </w:pPr>
            <w:r>
              <w:rPr>
                <w:rFonts w:hint="eastAsia" w:ascii="宋体" w:hAnsi="宋体" w:cs="宋体"/>
                <w:b/>
                <w:bCs/>
                <w:color w:val="auto"/>
                <w:kern w:val="0"/>
                <w:szCs w:val="21"/>
                <w:highlight w:val="none"/>
              </w:rPr>
              <w:t>服务方案分（满分</w:t>
            </w:r>
            <w:r>
              <w:rPr>
                <w:rFonts w:hint="eastAsia" w:ascii="宋体" w:hAnsi="宋体" w:cs="宋体"/>
                <w:b/>
                <w:bCs/>
                <w:color w:val="auto"/>
                <w:kern w:val="0"/>
                <w:szCs w:val="21"/>
                <w:highlight w:val="none"/>
                <w:lang w:val="en-US" w:eastAsia="zh-CN"/>
              </w:rPr>
              <w:t>24</w:t>
            </w:r>
            <w:r>
              <w:rPr>
                <w:rFonts w:hint="eastAsia" w:ascii="宋体" w:hAnsi="宋体" w:cs="宋体"/>
                <w:b/>
                <w:bCs/>
                <w:color w:val="auto"/>
                <w:kern w:val="0"/>
                <w:szCs w:val="21"/>
                <w:highlight w:val="none"/>
              </w:rPr>
              <w:t>分）</w:t>
            </w:r>
          </w:p>
        </w:tc>
        <w:tc>
          <w:tcPr>
            <w:tcW w:w="5665" w:type="dxa"/>
            <w:vAlign w:val="center"/>
          </w:tcPr>
          <w:p w14:paraId="6611D089">
            <w:pPr>
              <w:spacing w:line="360" w:lineRule="auto"/>
              <w:ind w:firstLine="420" w:firstLineChars="200"/>
              <w:rPr>
                <w:rFonts w:ascii="宋体" w:hAnsi="宋体" w:cs="宋体"/>
                <w:color w:val="auto"/>
                <w:kern w:val="0"/>
                <w:szCs w:val="21"/>
                <w:highlight w:val="none"/>
              </w:rPr>
            </w:pPr>
            <w:r>
              <w:rPr>
                <w:rFonts w:hint="eastAsia"/>
                <w:color w:val="auto"/>
                <w:highlight w:val="none"/>
              </w:rPr>
              <w:t>由磋商小组根据供应商提供的服务方案确定各供应商所属档次及分值。达不到一档要求或不提供的得0分。</w:t>
            </w:r>
          </w:p>
          <w:p w14:paraId="547A138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一档 (满分 </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 ：需求分析笼统或没有需求分析，基本满足要求，采用的方案基本合理。配置有专门的项目服务团队负责人， 且</w:t>
            </w:r>
            <w:r>
              <w:rPr>
                <w:rFonts w:hint="eastAsia" w:ascii="宋体" w:hAnsi="宋体" w:cs="宋体"/>
                <w:color w:val="auto"/>
                <w:kern w:val="0"/>
                <w:szCs w:val="21"/>
                <w:highlight w:val="none"/>
                <w:lang w:val="en-US" w:eastAsia="zh-CN"/>
              </w:rPr>
              <w:t>拟投入</w:t>
            </w:r>
            <w:r>
              <w:rPr>
                <w:rFonts w:hint="eastAsia" w:ascii="宋体" w:hAnsi="宋体" w:cs="宋体"/>
                <w:color w:val="auto"/>
                <w:kern w:val="0"/>
                <w:szCs w:val="21"/>
                <w:highlight w:val="none"/>
              </w:rPr>
              <w:t>服务保障队伍人员数量</w:t>
            </w:r>
            <w:r>
              <w:rPr>
                <w:rFonts w:hint="eastAsia" w:ascii="宋体" w:hAnsi="宋体" w:cs="宋体"/>
                <w:color w:val="auto"/>
                <w:kern w:val="0"/>
                <w:szCs w:val="21"/>
                <w:highlight w:val="none"/>
                <w:lang w:val="en-US" w:eastAsia="zh-CN"/>
              </w:rPr>
              <w:t>至少</w:t>
            </w:r>
            <w:r>
              <w:rPr>
                <w:rFonts w:hint="eastAsia" w:ascii="宋体" w:hAnsi="宋体" w:cs="宋体"/>
                <w:color w:val="auto"/>
                <w:kern w:val="0"/>
                <w:szCs w:val="21"/>
                <w:highlight w:val="none"/>
              </w:rPr>
              <w:t xml:space="preserve"> 5 人 (不含负责人) 。</w:t>
            </w:r>
          </w:p>
          <w:p w14:paraId="6A4CE4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二档 (满分</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分) ：在满足一档的基础上，需求分析具有针对性；按要求逐项展开，细项详细论述，功能满足要求，采用的方案合理、成熟。</w:t>
            </w:r>
            <w:r>
              <w:rPr>
                <w:rFonts w:hint="eastAsia" w:ascii="宋体" w:hAnsi="宋体" w:cs="宋体"/>
                <w:color w:val="auto"/>
                <w:kern w:val="0"/>
                <w:szCs w:val="21"/>
                <w:highlight w:val="none"/>
                <w:lang w:val="en-US" w:eastAsia="zh-CN"/>
              </w:rPr>
              <w:t>拟投入</w:t>
            </w:r>
            <w:r>
              <w:rPr>
                <w:rFonts w:hint="eastAsia" w:ascii="宋体" w:hAnsi="宋体" w:cs="宋体"/>
                <w:color w:val="auto"/>
                <w:kern w:val="0"/>
                <w:szCs w:val="21"/>
                <w:highlight w:val="none"/>
              </w:rPr>
              <w:t>项目服务团队负责人具有信息系统项目管理 师认证，且</w:t>
            </w:r>
            <w:r>
              <w:rPr>
                <w:rFonts w:hint="eastAsia" w:ascii="宋体" w:hAnsi="宋体" w:cs="宋体"/>
                <w:color w:val="auto"/>
                <w:kern w:val="0"/>
                <w:szCs w:val="21"/>
                <w:highlight w:val="none"/>
                <w:lang w:val="en-US" w:eastAsia="zh-CN"/>
              </w:rPr>
              <w:t>拟投入</w:t>
            </w:r>
            <w:r>
              <w:rPr>
                <w:rFonts w:hint="eastAsia" w:ascii="宋体" w:hAnsi="宋体" w:cs="宋体"/>
                <w:color w:val="auto"/>
                <w:kern w:val="0"/>
                <w:szCs w:val="21"/>
                <w:highlight w:val="none"/>
              </w:rPr>
              <w:t>服务保障队伍人员数量大于 10 人 (不含负责人) ，服务团队中具有至少 5 名高级工程师、3 名高级信息系统项目管理师、2 名信息安全工程师。</w:t>
            </w:r>
          </w:p>
          <w:p w14:paraId="22F0CCD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三档 (满分</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rPr>
              <w:t>分) ：需求分析具有针对性， 按要求逐项展开各功能细项详细论述，完全满足要求，采用的服务方案合理、 成熟并兼顾先进性。</w:t>
            </w:r>
            <w:r>
              <w:rPr>
                <w:rFonts w:hint="eastAsia" w:ascii="宋体" w:hAnsi="宋体" w:cs="宋体"/>
                <w:color w:val="auto"/>
                <w:kern w:val="0"/>
                <w:szCs w:val="21"/>
                <w:highlight w:val="none"/>
                <w:lang w:val="en-US" w:eastAsia="zh-CN"/>
              </w:rPr>
              <w:t>拟投入</w:t>
            </w:r>
            <w:r>
              <w:rPr>
                <w:rFonts w:hint="eastAsia" w:ascii="宋体" w:hAnsi="宋体" w:cs="宋体"/>
                <w:color w:val="auto"/>
                <w:kern w:val="0"/>
                <w:szCs w:val="21"/>
                <w:highlight w:val="none"/>
              </w:rPr>
              <w:t>项目服务团队负责人同时具有信息系统项目管理师、软件设计师和数据库系统工程师认证，且</w:t>
            </w:r>
            <w:r>
              <w:rPr>
                <w:rFonts w:hint="eastAsia" w:ascii="宋体" w:hAnsi="宋体" w:cs="宋体"/>
                <w:color w:val="auto"/>
                <w:kern w:val="0"/>
                <w:szCs w:val="21"/>
                <w:highlight w:val="none"/>
                <w:lang w:val="en-US" w:eastAsia="zh-CN"/>
              </w:rPr>
              <w:t>拟投入</w:t>
            </w:r>
            <w:r>
              <w:rPr>
                <w:rFonts w:hint="eastAsia" w:ascii="宋体" w:hAnsi="宋体" w:cs="宋体"/>
                <w:color w:val="auto"/>
                <w:kern w:val="0"/>
                <w:szCs w:val="21"/>
                <w:highlight w:val="none"/>
              </w:rPr>
              <w:t>服务保障队伍人员数量大于 20 人 (不含负责人) ，服务团队中具有至少 10 名高级工程师、4 名高 级信息系统项目管理师、4 名信息安全工程师。</w:t>
            </w:r>
          </w:p>
          <w:p w14:paraId="49F27BA2">
            <w:pPr>
              <w:spacing w:line="360" w:lineRule="auto"/>
              <w:jc w:val="left"/>
              <w:rPr>
                <w:rFonts w:hint="eastAsia" w:ascii="宋体" w:hAnsi="宋体" w:cs="宋体"/>
                <w:color w:val="auto"/>
                <w:highlight w:val="none"/>
              </w:rPr>
            </w:pPr>
            <w:r>
              <w:rPr>
                <w:rFonts w:hint="eastAsia" w:ascii="宋体" w:hAnsi="宋体" w:cs="宋体"/>
                <w:bCs/>
                <w:color w:val="auto"/>
                <w:szCs w:val="21"/>
                <w:highlight w:val="none"/>
              </w:rPr>
              <w:t>注：以上所有人员须提供证明材料及供应商为拟投入服务团队人员缴纳的2025年1月-</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w:t>
            </w:r>
            <w:r>
              <w:rPr>
                <w:rFonts w:hint="eastAsia" w:cs="宋体"/>
                <w:color w:val="auto"/>
                <w:sz w:val="21"/>
                <w:highlight w:val="none"/>
                <w:lang w:val="en-US" w:eastAsia="zh-CN"/>
              </w:rPr>
              <w:t>服务团队</w:t>
            </w:r>
            <w:r>
              <w:rPr>
                <w:rFonts w:hint="eastAsia"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2119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3661CEE6">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02DC16A">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3442406A">
            <w:pPr>
              <w:adjustRightInd w:val="0"/>
              <w:spacing w:line="360" w:lineRule="auto"/>
              <w:jc w:val="center"/>
              <w:textAlignment w:val="baseline"/>
              <w:rPr>
                <w:rFonts w:ascii="宋体" w:cs="宋体"/>
                <w:b/>
                <w:color w:val="auto"/>
                <w:szCs w:val="21"/>
                <w:highlight w:val="none"/>
              </w:rPr>
            </w:pPr>
          </w:p>
        </w:tc>
        <w:tc>
          <w:tcPr>
            <w:tcW w:w="1244" w:type="dxa"/>
            <w:vAlign w:val="center"/>
          </w:tcPr>
          <w:p w14:paraId="362290FF">
            <w:pPr>
              <w:rPr>
                <w:rFonts w:hAnsi="宋体" w:cs="宋体"/>
                <w:bCs/>
                <w:color w:val="auto"/>
                <w:highlight w:val="none"/>
              </w:rPr>
            </w:pPr>
            <w:r>
              <w:rPr>
                <w:rFonts w:hint="eastAsia" w:ascii="宋体" w:hAnsi="宋体" w:eastAsia="宋体" w:cs="宋体"/>
                <w:b/>
                <w:bCs/>
                <w:color w:val="auto"/>
                <w:highlight w:val="none"/>
              </w:rPr>
              <w:t>实施组织方案分(满分</w:t>
            </w:r>
            <w:r>
              <w:rPr>
                <w:rFonts w:hint="eastAsia" w:ascii="宋体" w:hAnsi="宋体" w:eastAsia="宋体" w:cs="宋体"/>
                <w:b/>
                <w:bCs/>
                <w:color w:val="auto"/>
                <w:highlight w:val="none"/>
                <w:lang w:val="en-US" w:eastAsia="zh-CN"/>
              </w:rPr>
              <w:t>24</w:t>
            </w:r>
            <w:r>
              <w:rPr>
                <w:rFonts w:hint="eastAsia" w:ascii="宋体" w:hAnsi="宋体" w:eastAsia="宋体" w:cs="宋体"/>
                <w:b/>
                <w:bCs/>
                <w:color w:val="auto"/>
                <w:highlight w:val="none"/>
              </w:rPr>
              <w:t xml:space="preserve"> 分)</w:t>
            </w:r>
          </w:p>
        </w:tc>
        <w:tc>
          <w:tcPr>
            <w:tcW w:w="5665" w:type="dxa"/>
            <w:vAlign w:val="center"/>
          </w:tcPr>
          <w:p w14:paraId="5D8E4C06">
            <w:pPr>
              <w:spacing w:line="360" w:lineRule="auto"/>
              <w:ind w:firstLine="420" w:firstLineChars="200"/>
              <w:rPr>
                <w:color w:val="auto"/>
                <w:highlight w:val="none"/>
              </w:rPr>
            </w:pPr>
            <w:r>
              <w:rPr>
                <w:rFonts w:hint="eastAsia"/>
                <w:color w:val="auto"/>
                <w:highlight w:val="none"/>
              </w:rPr>
              <w:t>由磋商小组根据供应商提供的实施组织方案确定各供应商所属档次及分值。达不到一档要求或不提供的得0分。</w:t>
            </w:r>
          </w:p>
          <w:p w14:paraId="2C9538C4">
            <w:pPr>
              <w:widowControl/>
              <w:kinsoku w:val="0"/>
              <w:autoSpaceDE w:val="0"/>
              <w:autoSpaceDN w:val="0"/>
              <w:adjustRightInd w:val="0"/>
              <w:snapToGrid w:val="0"/>
              <w:spacing w:before="65" w:line="360" w:lineRule="auto"/>
              <w:ind w:firstLine="420" w:firstLineChars="200"/>
              <w:jc w:val="left"/>
              <w:textAlignment w:val="baseline"/>
              <w:rPr>
                <w:rFonts w:ascii="宋体" w:hAnsi="宋体" w:cs="宋体"/>
                <w:snapToGrid w:val="0"/>
                <w:color w:val="auto"/>
                <w:kern w:val="0"/>
                <w:szCs w:val="21"/>
                <w:highlight w:val="none"/>
              </w:rPr>
            </w:pPr>
            <w:r>
              <w:rPr>
                <w:rFonts w:hint="eastAsia" w:ascii="宋体" w:hAnsi="宋体" w:cs="宋体"/>
                <w:color w:val="auto"/>
                <w:szCs w:val="21"/>
                <w:highlight w:val="none"/>
              </w:rPr>
              <w:t xml:space="preserve">一档 (满分 </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分) ：具备有项目执行组织措施、项目执行保障措施，但对用户现状及需求的理解不满足采购文件要求，实施组织方案粗糙，整体规划缺</w:t>
            </w:r>
            <w:r>
              <w:rPr>
                <w:rFonts w:hint="eastAsia" w:ascii="宋体" w:hAnsi="宋体" w:cs="宋体"/>
                <w:snapToGrid w:val="0"/>
                <w:color w:val="auto"/>
                <w:spacing w:val="8"/>
                <w:kern w:val="0"/>
                <w:szCs w:val="21"/>
                <w:highlight w:val="none"/>
              </w:rPr>
              <w:t>少</w:t>
            </w:r>
            <w:r>
              <w:rPr>
                <w:rFonts w:hint="eastAsia" w:ascii="宋体" w:hAnsi="宋体" w:cs="宋体"/>
                <w:snapToGrid w:val="0"/>
                <w:color w:val="auto"/>
                <w:spacing w:val="5"/>
                <w:kern w:val="0"/>
                <w:szCs w:val="21"/>
                <w:highlight w:val="none"/>
              </w:rPr>
              <w:t>针对性。</w:t>
            </w:r>
          </w:p>
          <w:p w14:paraId="42A82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 (满分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 ：满足一档的基础上，供应商具备项目执行组织措施、 项目执行保障措施详细可行，对用户现状及需求的理解满足采购文件要求，实施组织方案具体，有简单实施进度计划；</w:t>
            </w:r>
            <w:r>
              <w:rPr>
                <w:rFonts w:hint="eastAsia" w:ascii="宋体" w:hAnsi="宋体" w:cs="宋体"/>
                <w:color w:val="auto"/>
                <w:szCs w:val="21"/>
                <w:highlight w:val="none"/>
                <w:lang w:val="en-US" w:eastAsia="zh-CN"/>
              </w:rPr>
              <w:t>拟投入</w:t>
            </w:r>
            <w:r>
              <w:rPr>
                <w:rFonts w:hint="eastAsia" w:ascii="宋体" w:hAnsi="宋体" w:cs="宋体"/>
                <w:color w:val="auto"/>
                <w:szCs w:val="21"/>
                <w:highlight w:val="none"/>
              </w:rPr>
              <w:t>实施人员包含 1 名项目经理，商务策 划、培训、质检人员、话务员各 1 人。</w:t>
            </w:r>
          </w:p>
          <w:p w14:paraId="718858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 (满分</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 ：满足二档基础上，</w:t>
            </w:r>
            <w:r>
              <w:rPr>
                <w:rFonts w:hint="eastAsia" w:ascii="宋体" w:hAnsi="宋体" w:cs="宋体"/>
                <w:color w:val="auto"/>
                <w:szCs w:val="21"/>
                <w:highlight w:val="none"/>
                <w:lang w:val="en-US" w:eastAsia="zh-CN"/>
              </w:rPr>
              <w:t>拟</w:t>
            </w:r>
            <w:r>
              <w:rPr>
                <w:rFonts w:hint="eastAsia" w:ascii="宋体" w:hAnsi="宋体" w:cs="宋体"/>
                <w:color w:val="auto"/>
                <w:szCs w:val="21"/>
                <w:highlight w:val="none"/>
              </w:rPr>
              <w:t>投入人员配置合理 (提供人员清单) ，有明确的组织分工，有合理的应急措施，实施进度计划详细明确合理， 项目实施风险控制方法完善可行。实施人员包含 1 名项目经理和 1 名商务策划主管，项目经理同时具有 PMP (或高级信息系统项目管理师) 证书和数据库系 统工程师、注册信息安全专业人员 (CISP) 证书；商务策划主管具备人事部人才交流中心颁发的高级商务策划师证书。</w:t>
            </w:r>
          </w:p>
          <w:p w14:paraId="095970F9">
            <w:pPr>
              <w:spacing w:line="360" w:lineRule="auto"/>
              <w:ind w:firstLine="420" w:firstLineChars="200"/>
              <w:rPr>
                <w:rFonts w:cs="宋体"/>
                <w:bCs/>
                <w:color w:val="auto"/>
                <w:highlight w:val="none"/>
              </w:rPr>
            </w:pPr>
            <w:r>
              <w:rPr>
                <w:rFonts w:hint="eastAsia" w:ascii="宋体" w:hAnsi="宋体" w:cs="宋体"/>
                <w:bCs/>
                <w:color w:val="auto"/>
                <w:szCs w:val="21"/>
                <w:highlight w:val="none"/>
              </w:rPr>
              <w:t>注：以上所有人员须提供证明材料及供应商为拟投入人员缴纳的2025年1月-</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w:t>
            </w:r>
            <w:r>
              <w:rPr>
                <w:rFonts w:hint="eastAsia" w:cs="宋体"/>
                <w:color w:val="auto"/>
                <w:sz w:val="21"/>
                <w:highlight w:val="none"/>
                <w:lang w:val="en-US" w:eastAsia="zh-CN"/>
              </w:rPr>
              <w:t>服务团队</w:t>
            </w:r>
            <w:r>
              <w:rPr>
                <w:rFonts w:hint="eastAsia"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1B74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09F6D06E">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11BAD514">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4C494015">
            <w:pPr>
              <w:adjustRightInd w:val="0"/>
              <w:spacing w:line="360" w:lineRule="auto"/>
              <w:jc w:val="center"/>
              <w:textAlignment w:val="baseline"/>
              <w:rPr>
                <w:rFonts w:ascii="宋体" w:cs="宋体"/>
                <w:b/>
                <w:color w:val="auto"/>
                <w:szCs w:val="21"/>
                <w:highlight w:val="none"/>
              </w:rPr>
            </w:pPr>
          </w:p>
        </w:tc>
        <w:tc>
          <w:tcPr>
            <w:tcW w:w="1244" w:type="dxa"/>
            <w:vAlign w:val="center"/>
          </w:tcPr>
          <w:p w14:paraId="2811BA50">
            <w:pPr>
              <w:adjustRightInd w:val="0"/>
              <w:spacing w:line="360" w:lineRule="auto"/>
              <w:jc w:val="left"/>
              <w:textAlignment w:val="baseline"/>
              <w:rPr>
                <w:rFonts w:ascii="宋体" w:cs="宋体"/>
                <w:bCs/>
                <w:color w:val="auto"/>
                <w:szCs w:val="21"/>
                <w:highlight w:val="none"/>
              </w:rPr>
            </w:pPr>
            <w:r>
              <w:rPr>
                <w:rFonts w:hint="eastAsia" w:ascii="宋体" w:hAnsi="宋体" w:cs="宋体"/>
                <w:b/>
                <w:color w:val="auto"/>
                <w:szCs w:val="21"/>
                <w:highlight w:val="none"/>
              </w:rPr>
              <w:t>驻场服务分(满分</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tc>
        <w:tc>
          <w:tcPr>
            <w:tcW w:w="5665" w:type="dxa"/>
            <w:vAlign w:val="center"/>
          </w:tcPr>
          <w:p w14:paraId="22858116">
            <w:pPr>
              <w:widowControl/>
              <w:spacing w:line="360" w:lineRule="auto"/>
              <w:ind w:firstLine="420" w:firstLineChars="200"/>
              <w:jc w:val="left"/>
              <w:rPr>
                <w:color w:val="auto"/>
                <w:szCs w:val="21"/>
                <w:highlight w:val="none"/>
              </w:rPr>
            </w:pPr>
            <w:r>
              <w:rPr>
                <w:rFonts w:hint="eastAsia"/>
                <w:color w:val="auto"/>
                <w:szCs w:val="21"/>
                <w:highlight w:val="none"/>
              </w:rPr>
              <w:t>拟派</w:t>
            </w:r>
            <w:r>
              <w:rPr>
                <w:rFonts w:hint="eastAsia"/>
                <w:color w:val="auto"/>
                <w:szCs w:val="21"/>
                <w:highlight w:val="none"/>
                <w:lang w:val="en-US" w:eastAsia="zh-CN"/>
              </w:rPr>
              <w:t>至少</w:t>
            </w:r>
            <w:r>
              <w:rPr>
                <w:rFonts w:hint="eastAsia"/>
                <w:color w:val="auto"/>
                <w:szCs w:val="21"/>
                <w:highlight w:val="none"/>
              </w:rPr>
              <w:t xml:space="preserve"> 1 人驻场负责知识库采编及维护专员并提供承诺书，得 </w:t>
            </w:r>
            <w:r>
              <w:rPr>
                <w:rFonts w:hint="eastAsia"/>
                <w:color w:val="auto"/>
                <w:szCs w:val="21"/>
                <w:highlight w:val="none"/>
                <w:lang w:val="en-US" w:eastAsia="zh-CN"/>
              </w:rPr>
              <w:t>5</w:t>
            </w:r>
            <w:r>
              <w:rPr>
                <w:rFonts w:hint="eastAsia"/>
                <w:color w:val="auto"/>
                <w:szCs w:val="21"/>
                <w:highlight w:val="none"/>
              </w:rPr>
              <w:t>分。</w:t>
            </w:r>
          </w:p>
          <w:p w14:paraId="6F735341">
            <w:pPr>
              <w:widowControl/>
              <w:spacing w:line="360" w:lineRule="auto"/>
              <w:ind w:firstLine="420" w:firstLineChars="200"/>
              <w:jc w:val="left"/>
              <w:rPr>
                <w:color w:val="auto"/>
                <w:highlight w:val="none"/>
              </w:rPr>
            </w:pPr>
            <w:r>
              <w:rPr>
                <w:rFonts w:hint="eastAsia"/>
                <w:color w:val="auto"/>
                <w:szCs w:val="21"/>
                <w:highlight w:val="none"/>
              </w:rPr>
              <w:t>注：未提供承诺书或不承诺驻场的，不得分；</w:t>
            </w:r>
          </w:p>
        </w:tc>
      </w:tr>
      <w:tr w14:paraId="7E56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A660E62">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650DB8D2">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5CDBF2C9">
            <w:pPr>
              <w:adjustRightInd w:val="0"/>
              <w:spacing w:line="360" w:lineRule="auto"/>
              <w:jc w:val="center"/>
              <w:textAlignment w:val="baseline"/>
              <w:rPr>
                <w:rFonts w:ascii="宋体" w:cs="宋体"/>
                <w:b/>
                <w:color w:val="auto"/>
                <w:szCs w:val="21"/>
                <w:highlight w:val="none"/>
              </w:rPr>
            </w:pPr>
          </w:p>
        </w:tc>
        <w:tc>
          <w:tcPr>
            <w:tcW w:w="1244" w:type="dxa"/>
            <w:vAlign w:val="top"/>
          </w:tcPr>
          <w:p w14:paraId="0D6E6D38">
            <w:pPr>
              <w:rPr>
                <w:rFonts w:ascii="宋体" w:hAnsi="宋体" w:cs="宋体"/>
                <w:b/>
                <w:color w:val="auto"/>
                <w:highlight w:val="none"/>
              </w:rPr>
            </w:pPr>
          </w:p>
          <w:p w14:paraId="14EB0341">
            <w:pPr>
              <w:rPr>
                <w:rFonts w:ascii="宋体" w:cs="宋体"/>
                <w:bCs/>
                <w:color w:val="auto"/>
                <w:szCs w:val="21"/>
                <w:highlight w:val="none"/>
              </w:rPr>
            </w:pPr>
            <w:r>
              <w:rPr>
                <w:rFonts w:hint="eastAsia" w:ascii="宋体" w:hAnsi="宋体" w:cs="宋体"/>
                <w:b/>
                <w:color w:val="auto"/>
                <w:highlight w:val="none"/>
              </w:rPr>
              <w:t>服务保障方案分(满分21 分)</w:t>
            </w:r>
          </w:p>
        </w:tc>
        <w:tc>
          <w:tcPr>
            <w:tcW w:w="5665" w:type="dxa"/>
            <w:vAlign w:val="top"/>
          </w:tcPr>
          <w:p w14:paraId="4B3CA185">
            <w:pPr>
              <w:spacing w:line="360" w:lineRule="auto"/>
              <w:ind w:firstLine="420" w:firstLineChars="200"/>
              <w:rPr>
                <w:color w:val="auto"/>
                <w:highlight w:val="none"/>
              </w:rPr>
            </w:pPr>
            <w:r>
              <w:rPr>
                <w:rFonts w:hint="eastAsia"/>
                <w:color w:val="auto"/>
                <w:highlight w:val="none"/>
              </w:rPr>
              <w:t>由磋商小组根据供应商提供的服务保障方案确定各供应商所属档次及分值。达不到一档要求或不提供的得0分。</w:t>
            </w:r>
          </w:p>
          <w:p w14:paraId="39A9FD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一档 (7 分) ：服务保障方案简单、基本满足采购文件要求。</w:t>
            </w:r>
          </w:p>
          <w:p w14:paraId="75F4C6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 (14 分) ：供应商服务保障方案全面、可行，服务措施到位，提供服 务保障机构及联系人、技术人员名单等资料，配置培训、质检人员各 1 人，能更好地为采购单位服务。</w:t>
            </w:r>
          </w:p>
          <w:p w14:paraId="13E3A9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 (21分) ：供应商服务保障方案详细、具体、有效，可操作性强，方案包含有项目售后维护、保密承诺及廉洁承诺等，且描述了项目售后维护和应急保障方案的方法以及实现方式，提供服务保障机构及联系人、技术人员名单等资料，服务保障人员保障到位，配置培训、质检人员各 1 人，其中培训人员具备信息系统项目管理师，质检人员具备 ITIL 相关认证证书；话务员至少 1 人且具备普通话水平测试等级证书一级乙等或以上；服务承诺和保障措施考虑 周全完整，提供有优惠服务及说明。</w:t>
            </w:r>
          </w:p>
          <w:p w14:paraId="47DF48EA">
            <w:pPr>
              <w:spacing w:line="360" w:lineRule="auto"/>
              <w:rPr>
                <w:rFonts w:hAnsi="宋体"/>
                <w:color w:val="auto"/>
                <w:szCs w:val="21"/>
                <w:highlight w:val="none"/>
              </w:rPr>
            </w:pPr>
            <w:r>
              <w:rPr>
                <w:rFonts w:hint="eastAsia" w:ascii="宋体" w:hAnsi="宋体" w:cs="宋体"/>
                <w:bCs/>
                <w:color w:val="auto"/>
                <w:szCs w:val="21"/>
                <w:highlight w:val="none"/>
              </w:rPr>
              <w:t>注：以上所有人员须提供证明材料及供应商为拟投入人员缴纳的2025年1月-</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w:t>
            </w:r>
            <w:r>
              <w:rPr>
                <w:rFonts w:hint="eastAsia" w:cs="宋体"/>
                <w:color w:val="auto"/>
                <w:sz w:val="21"/>
                <w:highlight w:val="none"/>
                <w:lang w:val="en-US" w:eastAsia="zh-CN"/>
              </w:rPr>
              <w:t>服务团队</w:t>
            </w:r>
            <w:r>
              <w:rPr>
                <w:rFonts w:hint="eastAsia"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477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2ADEF706">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78CFA1E2">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B3B50A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满分16</w:t>
            </w:r>
            <w:r>
              <w:rPr>
                <w:rFonts w:hint="eastAsia" w:ascii="宋体" w:hAnsi="宋体" w:cs="宋体"/>
                <w:b/>
                <w:color w:val="auto"/>
                <w:szCs w:val="21"/>
                <w:highlight w:val="none"/>
              </w:rPr>
              <w:t>分</w:t>
            </w:r>
          </w:p>
        </w:tc>
        <w:tc>
          <w:tcPr>
            <w:tcW w:w="6909" w:type="dxa"/>
            <w:gridSpan w:val="2"/>
            <w:vAlign w:val="center"/>
          </w:tcPr>
          <w:p w14:paraId="60B71B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 供应商202</w:t>
            </w:r>
            <w:r>
              <w:rPr>
                <w:rFonts w:ascii="宋体" w:hAnsi="宋体" w:cs="宋体"/>
                <w:color w:val="auto"/>
                <w:highlight w:val="none"/>
              </w:rPr>
              <w:t>2</w:t>
            </w:r>
            <w:r>
              <w:rPr>
                <w:rFonts w:hint="eastAsia" w:ascii="宋体" w:hAnsi="宋体" w:cs="宋体"/>
                <w:color w:val="auto"/>
                <w:highlight w:val="none"/>
              </w:rPr>
              <w:t>年以来承接过类似项目业绩，每个得2分，</w:t>
            </w:r>
            <w:r>
              <w:rPr>
                <w:rFonts w:hint="eastAsia" w:ascii="宋体" w:hAnsi="宋体" w:cs="宋体"/>
                <w:b/>
                <w:bCs/>
                <w:color w:val="auto"/>
                <w:highlight w:val="none"/>
              </w:rPr>
              <w:t>满分10分。</w:t>
            </w:r>
          </w:p>
          <w:p w14:paraId="6BA9D2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注：提供合同复印件加盖公章 (如提供框架合同，须另提供该合同的单项合同或采购订单) ，合同复印件应清晰反映采购标的物页、合同日期、签字盖章页。未按以上要求提供证明材料的，不得分。</w:t>
            </w:r>
          </w:p>
          <w:p w14:paraId="6CF131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供应商具备ISO9001质量管理体系认证证书、ISO14001环境管理体系认证证书、ISO45001职业健康管理体系认证证书的，每提供一个得1分，</w:t>
            </w:r>
            <w:r>
              <w:rPr>
                <w:rFonts w:hint="eastAsia" w:ascii="宋体" w:hAnsi="宋体" w:cs="宋体"/>
                <w:b/>
                <w:bCs/>
                <w:color w:val="auto"/>
                <w:highlight w:val="none"/>
              </w:rPr>
              <w:t>满分3 分。</w:t>
            </w:r>
          </w:p>
          <w:p w14:paraId="7C0914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 供应商具备ISO/IEC27001信息安全管理体系标准认证证书、ISO/IEC20000信息技术服务管理体系认证证书，每提供一个得1.5分，</w:t>
            </w:r>
            <w:r>
              <w:rPr>
                <w:rFonts w:hint="eastAsia" w:ascii="宋体" w:hAnsi="宋体" w:cs="宋体"/>
                <w:b/>
                <w:bCs/>
                <w:color w:val="auto"/>
                <w:highlight w:val="none"/>
              </w:rPr>
              <w:t>满分3分。</w:t>
            </w:r>
          </w:p>
          <w:p w14:paraId="7C1F1922">
            <w:pPr>
              <w:pStyle w:val="91"/>
              <w:ind w:firstLine="0" w:firstLineChars="0"/>
              <w:rPr>
                <w:rFonts w:hint="eastAsia" w:eastAsia="宋体" w:cs="宋体"/>
                <w:color w:val="auto"/>
                <w:kern w:val="1"/>
                <w:sz w:val="21"/>
                <w:highlight w:val="none"/>
                <w:lang w:val="en-US" w:eastAsia="zh-CN"/>
              </w:rPr>
            </w:pPr>
            <w:r>
              <w:rPr>
                <w:rFonts w:hint="eastAsia" w:ascii="宋体" w:hAnsi="宋体" w:eastAsia="宋体" w:cs="宋体"/>
                <w:color w:val="auto"/>
                <w:kern w:val="2"/>
                <w:sz w:val="21"/>
                <w:szCs w:val="24"/>
                <w:highlight w:val="none"/>
                <w:lang w:val="en-US" w:eastAsia="zh-CN" w:bidi="ar-SA"/>
              </w:rPr>
              <w:t>以上材料须提供复印件加盖公章。</w:t>
            </w:r>
          </w:p>
        </w:tc>
      </w:tr>
      <w:tr w14:paraId="1AFC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433CFDB">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7DC89495">
      <w:pPr>
        <w:spacing w:line="360" w:lineRule="auto"/>
        <w:rPr>
          <w:rFonts w:ascii="宋体" w:cs="宋体"/>
          <w:bCs/>
          <w:color w:val="auto"/>
          <w:szCs w:val="21"/>
          <w:highlight w:val="none"/>
        </w:rPr>
      </w:pPr>
    </w:p>
    <w:p w14:paraId="4323F385">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762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607CCD0">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0724636E">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3607F78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0E40823B">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7187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A98ECC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6B06693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674BB28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5D3D2DE6">
            <w:pPr>
              <w:pStyle w:val="20"/>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28064C8B">
            <w:pPr>
              <w:pStyle w:val="20"/>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282B2DCE">
            <w:pPr>
              <w:rPr>
                <w:rFonts w:ascii="宋体" w:hAnsi="宋体" w:cs="宋体"/>
                <w:b/>
                <w:bCs/>
                <w:color w:val="auto"/>
                <w:szCs w:val="21"/>
                <w:highlight w:val="none"/>
              </w:rPr>
            </w:pPr>
            <w:r>
              <w:rPr>
                <w:rFonts w:hint="eastAsia" w:ascii="宋体" w:hAnsi="宋体" w:cs="宋体"/>
                <w:b/>
                <w:bCs/>
                <w:color w:val="auto"/>
                <w:szCs w:val="21"/>
                <w:highlight w:val="none"/>
              </w:rPr>
              <w:t>二、报价分（满分10分）</w:t>
            </w:r>
          </w:p>
          <w:p w14:paraId="14020688">
            <w:pPr>
              <w:pStyle w:val="20"/>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7E6F43FE">
            <w:pPr>
              <w:pStyle w:val="20"/>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294229F1">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06A9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944C83A">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5933319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3E314C2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szCs w:val="21"/>
                <w:highlight w:val="none"/>
                <w:lang w:val="en-US" w:eastAsia="zh-CN"/>
              </w:rPr>
              <w:t>满分77</w:t>
            </w:r>
            <w:r>
              <w:rPr>
                <w:rFonts w:hint="eastAsia" w:ascii="宋体" w:hAnsi="宋体" w:cs="宋体"/>
                <w:b/>
                <w:bCs w:val="0"/>
                <w:color w:val="auto"/>
                <w:szCs w:val="21"/>
                <w:highlight w:val="none"/>
              </w:rPr>
              <w:t>分</w:t>
            </w:r>
          </w:p>
        </w:tc>
        <w:tc>
          <w:tcPr>
            <w:tcW w:w="1244" w:type="dxa"/>
            <w:vAlign w:val="center"/>
          </w:tcPr>
          <w:p w14:paraId="3B4AB3CB">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bCs w:val="0"/>
                <w:color w:val="auto"/>
                <w:kern w:val="0"/>
                <w:szCs w:val="21"/>
                <w:highlight w:val="none"/>
              </w:rPr>
              <w:t>服务方案</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满分25分</w:t>
            </w:r>
            <w:r>
              <w:rPr>
                <w:rFonts w:hint="eastAsia" w:ascii="宋体" w:hAnsi="宋体" w:eastAsia="宋体" w:cs="宋体"/>
                <w:b/>
                <w:bCs w:val="0"/>
                <w:color w:val="auto"/>
                <w:kern w:val="0"/>
                <w:szCs w:val="21"/>
                <w:highlight w:val="none"/>
                <w:lang w:eastAsia="zh-CN"/>
              </w:rPr>
              <w:t>）</w:t>
            </w:r>
          </w:p>
        </w:tc>
        <w:tc>
          <w:tcPr>
            <w:tcW w:w="5665" w:type="dxa"/>
            <w:vAlign w:val="center"/>
          </w:tcPr>
          <w:p w14:paraId="5FBE7DAE">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服务方案包含但不限于以下各项内容：①项目</w:t>
            </w:r>
            <w:r>
              <w:rPr>
                <w:rFonts w:hint="eastAsia" w:ascii="宋体" w:hAnsi="宋体" w:cs="宋体"/>
                <w:color w:val="auto"/>
                <w:szCs w:val="21"/>
                <w:highlight w:val="none"/>
              </w:rPr>
              <w:t>理解</w:t>
            </w:r>
            <w:r>
              <w:rPr>
                <w:rFonts w:hint="eastAsia" w:ascii="宋体" w:hAnsi="宋体" w:cs="宋体"/>
                <w:bCs/>
                <w:color w:val="auto"/>
                <w:highlight w:val="none"/>
              </w:rPr>
              <w:t>、②项目的技术重点、难点、</w:t>
            </w:r>
            <w:r>
              <w:rPr>
                <w:rFonts w:ascii="宋体" w:hAnsi="宋体" w:cs="宋体"/>
                <w:bCs/>
                <w:color w:val="auto"/>
                <w:highlight w:val="none"/>
              </w:rPr>
              <w:t>③</w:t>
            </w:r>
            <w:r>
              <w:rPr>
                <w:rFonts w:hint="eastAsia" w:ascii="宋体" w:hAnsi="宋体" w:cs="宋体"/>
                <w:bCs/>
                <w:color w:val="auto"/>
                <w:highlight w:val="none"/>
              </w:rPr>
              <w:t>平台的了解、④与农业农村部“三农”舆</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rPr>
              <w:t>情监测管理平台对接方案、</w:t>
            </w:r>
            <w:r>
              <w:rPr>
                <w:rFonts w:hint="eastAsia" w:ascii="宋体" w:hAnsi="宋体" w:eastAsia="宋体" w:cs="宋体"/>
                <w:bCs/>
                <w:color w:val="auto"/>
                <w:kern w:val="0"/>
                <w:szCs w:val="21"/>
                <w:highlight w:val="none"/>
              </w:rPr>
              <w:t>⑤</w:t>
            </w:r>
            <w:r>
              <w:rPr>
                <w:rFonts w:hint="eastAsia" w:ascii="宋体" w:hAnsi="宋体" w:cs="宋体"/>
                <w:bCs/>
                <w:color w:val="auto"/>
                <w:kern w:val="0"/>
                <w:szCs w:val="21"/>
                <w:highlight w:val="none"/>
              </w:rPr>
              <w:t>项目应急</w:t>
            </w:r>
            <w:r>
              <w:rPr>
                <w:rFonts w:hint="eastAsia" w:ascii="宋体" w:hAnsi="宋体" w:cs="宋体"/>
                <w:color w:val="auto"/>
                <w:szCs w:val="21"/>
                <w:highlight w:val="none"/>
              </w:rPr>
              <w:t>保障</w:t>
            </w:r>
            <w:r>
              <w:rPr>
                <w:rFonts w:hint="eastAsia" w:ascii="宋体" w:hAnsi="宋体" w:cs="宋体"/>
                <w:bCs/>
                <w:color w:val="auto"/>
                <w:kern w:val="0"/>
                <w:szCs w:val="21"/>
                <w:highlight w:val="none"/>
              </w:rPr>
              <w:t>方案</w:t>
            </w:r>
            <w:r>
              <w:rPr>
                <w:rFonts w:hint="eastAsia" w:ascii="宋体" w:hAnsi="宋体" w:cs="宋体"/>
                <w:bCs/>
                <w:color w:val="auto"/>
                <w:highlight w:val="none"/>
              </w:rPr>
              <w:t>。</w:t>
            </w:r>
          </w:p>
          <w:p w14:paraId="0CCB1EC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一档（0分）：未提供此内容的，不得分；</w:t>
            </w:r>
          </w:p>
          <w:p w14:paraId="15977DF3">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二档（3分）：方案有缺漏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少于上述5项</w:t>
            </w:r>
            <w:r>
              <w:rPr>
                <w:rFonts w:hint="eastAsia" w:ascii="宋体" w:hAnsi="宋体" w:cs="宋体"/>
                <w:bCs/>
                <w:color w:val="auto"/>
                <w:kern w:val="0"/>
                <w:szCs w:val="21"/>
                <w:highlight w:val="none"/>
              </w:rPr>
              <w:t>）</w:t>
            </w:r>
            <w:r>
              <w:rPr>
                <w:rFonts w:hint="eastAsia" w:ascii="宋体" w:hAnsi="宋体" w:cs="宋体"/>
                <w:bCs/>
                <w:color w:val="auto"/>
                <w:highlight w:val="none"/>
              </w:rPr>
              <w:t>；</w:t>
            </w:r>
          </w:p>
          <w:p w14:paraId="5819967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三档（10分）：方案无缺漏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bCs/>
                <w:color w:val="auto"/>
                <w:highlight w:val="none"/>
              </w:rPr>
              <w:t>；对项目理解仅有粗浅的认识，内容简单、不全面完整；项目技术服务重点、难点和要点把握不准确，内容简单浅薄，未能提出应对解决措施或提出解决措施简单、可行性差；基本了解现有平台使用、流程架构情况，能描述各系统相关技术功能；平台对接方案不详细、考虑不全面，没有项目针对性；应急方案内容不全面、考虑不细致；未能针对项目特性提出专业有效的方案，仅能满足项目采购要求；</w:t>
            </w:r>
          </w:p>
          <w:p w14:paraId="72BD9A8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四档（18分）：方案无缺漏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bCs/>
                <w:color w:val="auto"/>
                <w:highlight w:val="none"/>
              </w:rPr>
              <w:t>；对项目理解有一定认识，表达基本清晰，全面且合理；较准确理解、把握本项目的技术服务重点、难点和要点，但内容简单不详尽，能提出应对解决措施且措施详细有效；对运营平台的功能理解透彻，思路清晰，富有创意，实用性和可操作性强的；平台对接方案</w:t>
            </w:r>
            <w:r>
              <w:rPr>
                <w:rFonts w:ascii="宋体" w:hAnsi="宋体" w:cs="宋体"/>
                <w:color w:val="auto"/>
                <w:szCs w:val="21"/>
                <w:highlight w:val="none"/>
              </w:rPr>
              <w:t>完整清晰</w:t>
            </w:r>
            <w:r>
              <w:rPr>
                <w:rFonts w:hint="eastAsia" w:ascii="宋体" w:hAnsi="宋体" w:cs="宋体"/>
                <w:bCs/>
                <w:color w:val="auto"/>
                <w:highlight w:val="none"/>
              </w:rPr>
              <w:t>，有项目针对性；应急方案内容全面、合理；能针对项目特性提出专业有效的方案，能满足项目采购要求；</w:t>
            </w:r>
          </w:p>
          <w:p w14:paraId="3C25DCA2">
            <w:pPr>
              <w:pStyle w:val="20"/>
              <w:spacing w:line="440" w:lineRule="exact"/>
              <w:ind w:firstLine="400" w:firstLineChars="200"/>
              <w:jc w:val="left"/>
              <w:rPr>
                <w:rFonts w:hAnsi="宋体" w:cs="宋体"/>
                <w:bCs/>
                <w:color w:val="auto"/>
                <w:sz w:val="21"/>
                <w:highlight w:val="none"/>
              </w:rPr>
            </w:pPr>
            <w:r>
              <w:rPr>
                <w:rFonts w:hint="eastAsia" w:ascii="宋体" w:hAnsi="宋体" w:cs="宋体"/>
                <w:bCs/>
                <w:color w:val="auto"/>
                <w:highlight w:val="none"/>
              </w:rPr>
              <w:t>五档（25分）：方案无缺漏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bCs/>
                <w:color w:val="auto"/>
                <w:highlight w:val="none"/>
              </w:rPr>
              <w:t>；对项目有深刻认识，表达清晰、说明明确、描述完整；</w:t>
            </w:r>
            <w:r>
              <w:rPr>
                <w:rFonts w:hint="eastAsia"/>
                <w:color w:val="auto"/>
                <w:kern w:val="1"/>
                <w:szCs w:val="21"/>
                <w:highlight w:val="none"/>
              </w:rPr>
              <w:t>很好地把握本项目的项目重点、难点和要点，对关键技术点，描述清晰、到位，</w:t>
            </w:r>
            <w:r>
              <w:rPr>
                <w:rFonts w:hint="eastAsia" w:ascii="宋体" w:hAnsi="宋体" w:cs="宋体"/>
                <w:bCs/>
                <w:color w:val="auto"/>
                <w:highlight w:val="none"/>
              </w:rPr>
              <w:t>内容详细全面，提出应对解决措施详细且合理有效、与项目有关</w:t>
            </w:r>
            <w:r>
              <w:rPr>
                <w:rFonts w:hint="eastAsia" w:ascii="宋体" w:hAnsi="宋体" w:cs="宋体"/>
                <w:color w:val="auto"/>
                <w:szCs w:val="21"/>
                <w:highlight w:val="none"/>
              </w:rPr>
              <w:t>；</w:t>
            </w:r>
            <w:r>
              <w:rPr>
                <w:rFonts w:hint="eastAsia" w:ascii="宋体" w:hAnsi="宋体" w:cs="宋体"/>
                <w:bCs/>
                <w:color w:val="auto"/>
                <w:highlight w:val="none"/>
              </w:rPr>
              <w:t>对运营平台的功能理解透彻，思路清晰，富有创意，对项目实际情况具有针对性，具有前瞻性、战略性，实用性和可操作性强的；平台对接方案</w:t>
            </w:r>
            <w:r>
              <w:rPr>
                <w:rFonts w:ascii="宋体" w:hAnsi="宋体" w:cs="宋体"/>
                <w:color w:val="auto"/>
                <w:szCs w:val="21"/>
                <w:highlight w:val="none"/>
              </w:rPr>
              <w:t>完整清晰</w:t>
            </w:r>
            <w:r>
              <w:rPr>
                <w:rFonts w:hint="eastAsia" w:ascii="宋体" w:hAnsi="宋体" w:cs="宋体"/>
                <w:color w:val="auto"/>
                <w:szCs w:val="21"/>
                <w:highlight w:val="none"/>
              </w:rPr>
              <w:t>、详细合理</w:t>
            </w:r>
            <w:r>
              <w:rPr>
                <w:rFonts w:hint="eastAsia" w:ascii="宋体" w:hAnsi="宋体" w:cs="宋体"/>
                <w:bCs/>
                <w:color w:val="auto"/>
                <w:highlight w:val="none"/>
              </w:rPr>
              <w:t>，有项目针对性和可行性；应急方案内容详细全面、合理可行，有项目针对性；能针对项目特性提出专业有效的方案，能很好满足项目采购要求。</w:t>
            </w:r>
          </w:p>
        </w:tc>
      </w:tr>
      <w:tr w14:paraId="31FF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D6A0B5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60A0442">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0FDF685E">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9C2F6C2">
            <w:pPr>
              <w:spacing w:line="360" w:lineRule="auto"/>
              <w:jc w:val="center"/>
              <w:rPr>
                <w:rFonts w:hint="eastAsia" w:ascii="宋体" w:hAnsi="宋体" w:eastAsia="宋体" w:cs="宋体"/>
                <w:b/>
                <w:bCs w:val="0"/>
                <w:color w:val="auto"/>
                <w:kern w:val="0"/>
                <w:szCs w:val="21"/>
                <w:highlight w:val="none"/>
              </w:rPr>
            </w:pPr>
          </w:p>
          <w:p w14:paraId="24DB8CF7">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bCs w:val="0"/>
                <w:color w:val="auto"/>
                <w:kern w:val="0"/>
                <w:szCs w:val="21"/>
                <w:highlight w:val="none"/>
              </w:rPr>
              <w:t>组织实施方案</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满分21分</w:t>
            </w:r>
            <w:r>
              <w:rPr>
                <w:rFonts w:hint="eastAsia" w:ascii="宋体" w:hAnsi="宋体" w:eastAsia="宋体" w:cs="宋体"/>
                <w:b/>
                <w:bCs w:val="0"/>
                <w:color w:val="auto"/>
                <w:kern w:val="0"/>
                <w:szCs w:val="21"/>
                <w:highlight w:val="none"/>
                <w:lang w:eastAsia="zh-CN"/>
              </w:rPr>
              <w:t>）</w:t>
            </w:r>
          </w:p>
        </w:tc>
        <w:tc>
          <w:tcPr>
            <w:tcW w:w="5665" w:type="dxa"/>
            <w:vAlign w:val="center"/>
          </w:tcPr>
          <w:p w14:paraId="36D821FE">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组织实施方案包括但不限于以下内容：①</w:t>
            </w:r>
            <w:r>
              <w:rPr>
                <w:rFonts w:hint="eastAsia" w:ascii="宋体" w:hAnsi="宋体" w:cs="宋体"/>
                <w:color w:val="auto"/>
                <w:szCs w:val="21"/>
                <w:highlight w:val="none"/>
              </w:rPr>
              <w:t>实施方案</w:t>
            </w:r>
            <w:r>
              <w:rPr>
                <w:rFonts w:hint="eastAsia" w:ascii="宋体" w:hAnsi="宋体" w:cs="宋体"/>
                <w:bCs/>
                <w:color w:val="auto"/>
                <w:kern w:val="0"/>
                <w:szCs w:val="21"/>
                <w:highlight w:val="none"/>
              </w:rPr>
              <w:t>、②</w:t>
            </w:r>
            <w:r>
              <w:rPr>
                <w:rFonts w:hint="eastAsia" w:ascii="宋体" w:hAnsi="宋体" w:cs="宋体"/>
                <w:color w:val="auto"/>
                <w:szCs w:val="21"/>
                <w:highlight w:val="none"/>
              </w:rPr>
              <w:t>实施计划</w:t>
            </w:r>
            <w:r>
              <w:rPr>
                <w:rFonts w:hint="eastAsia" w:ascii="宋体" w:hAnsi="宋体" w:cs="宋体"/>
                <w:bCs/>
                <w:color w:val="auto"/>
                <w:kern w:val="0"/>
                <w:szCs w:val="21"/>
                <w:highlight w:val="none"/>
              </w:rPr>
              <w:t>、③</w:t>
            </w:r>
            <w:r>
              <w:rPr>
                <w:rFonts w:hint="eastAsia" w:ascii="宋体" w:hAnsi="宋体" w:cs="宋体"/>
                <w:color w:val="auto"/>
                <w:szCs w:val="21"/>
                <w:highlight w:val="none"/>
              </w:rPr>
              <w:t>项目管理组织机构及人员职能</w:t>
            </w:r>
            <w:r>
              <w:rPr>
                <w:rFonts w:hint="eastAsia" w:ascii="宋体" w:hAnsi="宋体" w:cs="宋体"/>
                <w:bCs/>
                <w:color w:val="auto"/>
                <w:kern w:val="0"/>
                <w:szCs w:val="21"/>
                <w:highlight w:val="none"/>
              </w:rPr>
              <w:t>。</w:t>
            </w:r>
          </w:p>
          <w:p w14:paraId="0F7FA194">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bCs/>
                <w:color w:val="auto"/>
                <w:kern w:val="0"/>
                <w:szCs w:val="21"/>
                <w:highlight w:val="none"/>
              </w:rPr>
              <w:t>未提供此内容的，不得分</w:t>
            </w:r>
            <w:r>
              <w:rPr>
                <w:rFonts w:hint="eastAsia" w:ascii="宋体" w:hAnsi="宋体" w:cs="宋体"/>
                <w:color w:val="auto"/>
                <w:szCs w:val="21"/>
                <w:highlight w:val="none"/>
              </w:rPr>
              <w:t>；</w:t>
            </w:r>
          </w:p>
          <w:p w14:paraId="649A6C1D">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分）：方案</w:t>
            </w:r>
            <w:r>
              <w:rPr>
                <w:rFonts w:hint="eastAsia" w:ascii="宋体" w:hAnsi="宋体" w:cs="宋体"/>
                <w:bCs/>
                <w:color w:val="auto"/>
                <w:kern w:val="0"/>
                <w:szCs w:val="21"/>
                <w:highlight w:val="none"/>
              </w:rPr>
              <w:t>有缺漏（</w:t>
            </w:r>
            <w:r>
              <w:rPr>
                <w:rFonts w:hint="eastAsia" w:ascii="宋体" w:hAnsi="宋体" w:cs="宋体"/>
                <w:bCs/>
                <w:color w:val="auto"/>
                <w:kern w:val="0"/>
                <w:sz w:val="20"/>
                <w:szCs w:val="21"/>
                <w:highlight w:val="none"/>
              </w:rPr>
              <w:t>少于上述3项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w:t>
            </w:r>
          </w:p>
          <w:p w14:paraId="35082CCA">
            <w:pPr>
              <w:adjustRightInd w:val="0"/>
              <w:spacing w:line="400" w:lineRule="exact"/>
              <w:ind w:firstLine="420" w:firstLineChars="200"/>
              <w:textAlignment w:val="baseline"/>
              <w:rPr>
                <w:rFonts w:ascii="宋体" w:hAnsi="宋体" w:eastAsia="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实施方案内容简单；实施计划混乱、内容粗陋，项目针对性不强；项目管理组织机构及人员职能基本满足项目要求；</w:t>
            </w:r>
          </w:p>
          <w:p w14:paraId="77B27455">
            <w:pPr>
              <w:adjustRightInd w:val="0"/>
              <w:spacing w:line="400" w:lineRule="exact"/>
              <w:ind w:firstLine="420" w:firstLineChars="200"/>
              <w:textAlignment w:val="baseline"/>
              <w:rPr>
                <w:rFonts w:ascii="宋体" w:hAnsi="宋体" w:eastAsia="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实施方案内容完整清晰；实施计划清晰、完整可行，有项目针对性；项目管理组织机构及人员职能清晰且合理，满足项目要求；</w:t>
            </w:r>
          </w:p>
          <w:p w14:paraId="6323ACE8">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五档（</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实施方案内容完整清晰、针对性强；实施计划完整明晰、可操作性强；项目管理组织机构及人员职能清晰合理、权责明确，满足项目要求。</w:t>
            </w:r>
          </w:p>
        </w:tc>
      </w:tr>
      <w:tr w14:paraId="2E7A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15F0096">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343B0C2">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58A83100">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D0F8063">
            <w:pPr>
              <w:spacing w:line="360" w:lineRule="auto"/>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技术及服务保障方案</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满分25分</w:t>
            </w:r>
            <w:r>
              <w:rPr>
                <w:rFonts w:hint="eastAsia" w:ascii="宋体" w:hAnsi="宋体" w:eastAsia="宋体" w:cs="宋体"/>
                <w:b/>
                <w:bCs w:val="0"/>
                <w:color w:val="auto"/>
                <w:kern w:val="0"/>
                <w:szCs w:val="21"/>
                <w:highlight w:val="none"/>
                <w:lang w:eastAsia="zh-CN"/>
              </w:rPr>
              <w:t>）</w:t>
            </w:r>
          </w:p>
        </w:tc>
        <w:tc>
          <w:tcPr>
            <w:tcW w:w="5665" w:type="dxa"/>
            <w:vAlign w:val="center"/>
          </w:tcPr>
          <w:p w14:paraId="634A7D32">
            <w:pPr>
              <w:spacing w:line="400" w:lineRule="exact"/>
              <w:ind w:firstLine="420" w:firstLineChars="200"/>
              <w:rPr>
                <w:rFonts w:ascii="宋体" w:hAnsi="宋体" w:cs="宋体"/>
                <w:bCs/>
                <w:color w:val="auto"/>
                <w:highlight w:val="none"/>
              </w:rPr>
            </w:pPr>
            <w:r>
              <w:rPr>
                <w:rFonts w:hint="eastAsia" w:ascii="宋体" w:hAnsi="宋体" w:cs="宋体"/>
                <w:bCs/>
                <w:color w:val="auto"/>
                <w:kern w:val="0"/>
                <w:szCs w:val="21"/>
                <w:highlight w:val="none"/>
              </w:rPr>
              <w:t>技术及服务保障方案包括但不限于以下内容：</w:t>
            </w:r>
            <w:r>
              <w:rPr>
                <w:rFonts w:hint="eastAsia" w:ascii="宋体" w:hAnsi="宋体" w:cs="宋体"/>
                <w:bCs/>
                <w:color w:val="auto"/>
                <w:highlight w:val="none"/>
              </w:rPr>
              <w:t>①项目背景、目标、范围、</w:t>
            </w:r>
            <w:r>
              <w:rPr>
                <w:rFonts w:hint="eastAsia" w:ascii="宋体" w:hAnsi="宋体" w:cs="宋体"/>
                <w:bCs/>
                <w:color w:val="auto"/>
                <w:kern w:val="0"/>
                <w:szCs w:val="21"/>
                <w:highlight w:val="none"/>
              </w:rPr>
              <w:t>②</w:t>
            </w:r>
            <w:r>
              <w:rPr>
                <w:rFonts w:hint="eastAsia" w:ascii="宋体" w:hAnsi="宋体" w:cs="宋体"/>
                <w:bCs/>
                <w:color w:val="auto"/>
                <w:highlight w:val="none"/>
              </w:rPr>
              <w:t>项目重点、难点和要点及解决措施、</w:t>
            </w:r>
            <w:r>
              <w:rPr>
                <w:rFonts w:hint="eastAsia" w:ascii="宋体" w:hAnsi="宋体" w:cs="宋体"/>
                <w:bCs/>
                <w:color w:val="auto"/>
                <w:kern w:val="0"/>
                <w:szCs w:val="21"/>
                <w:highlight w:val="none"/>
              </w:rPr>
              <w:t>③</w:t>
            </w:r>
            <w:r>
              <w:rPr>
                <w:rFonts w:hint="eastAsia" w:ascii="宋体" w:hAnsi="宋体" w:cs="宋体"/>
                <w:color w:val="auto"/>
                <w:szCs w:val="21"/>
                <w:highlight w:val="none"/>
              </w:rPr>
              <w:t>售后维护</w:t>
            </w:r>
            <w:r>
              <w:rPr>
                <w:rFonts w:hint="eastAsia" w:ascii="宋体" w:hAnsi="宋体" w:cs="宋体"/>
                <w:bCs/>
                <w:color w:val="auto"/>
                <w:kern w:val="0"/>
                <w:szCs w:val="21"/>
                <w:highlight w:val="none"/>
              </w:rPr>
              <w:t>、</w:t>
            </w:r>
            <w:r>
              <w:rPr>
                <w:rFonts w:hint="eastAsia" w:ascii="宋体" w:hAnsi="宋体" w:cs="宋体"/>
                <w:bCs/>
                <w:color w:val="auto"/>
                <w:highlight w:val="none"/>
              </w:rPr>
              <w:t>④</w:t>
            </w:r>
            <w:r>
              <w:rPr>
                <w:rFonts w:hint="eastAsia" w:ascii="宋体" w:hAnsi="宋体" w:cs="宋体"/>
                <w:color w:val="auto"/>
                <w:szCs w:val="21"/>
                <w:highlight w:val="none"/>
              </w:rPr>
              <w:t>保密措施</w:t>
            </w:r>
            <w:r>
              <w:rPr>
                <w:rFonts w:hint="eastAsia" w:ascii="宋体" w:hAnsi="宋体" w:cs="宋体"/>
                <w:bCs/>
                <w:color w:val="auto"/>
                <w:kern w:val="0"/>
                <w:szCs w:val="21"/>
                <w:highlight w:val="none"/>
              </w:rPr>
              <w:t>、</w:t>
            </w:r>
            <w:r>
              <w:rPr>
                <w:rFonts w:hint="eastAsia" w:ascii="宋体" w:hAnsi="宋体" w:eastAsia="宋体" w:cs="宋体"/>
                <w:bCs/>
                <w:color w:val="auto"/>
                <w:kern w:val="0"/>
                <w:szCs w:val="21"/>
                <w:highlight w:val="none"/>
              </w:rPr>
              <w:t>⑤</w:t>
            </w:r>
            <w:r>
              <w:rPr>
                <w:rFonts w:hint="eastAsia" w:ascii="宋体" w:hAnsi="宋体" w:cs="宋体"/>
                <w:color w:val="auto"/>
                <w:szCs w:val="21"/>
                <w:highlight w:val="none"/>
              </w:rPr>
              <w:t>廉洁承诺、</w:t>
            </w:r>
            <w:r>
              <w:rPr>
                <w:rFonts w:hint="eastAsia" w:ascii="宋体" w:hAnsi="宋体" w:eastAsia="宋体" w:cs="宋体"/>
                <w:bCs/>
                <w:color w:val="auto"/>
                <w:highlight w:val="none"/>
              </w:rPr>
              <w:t>⑥</w:t>
            </w:r>
            <w:r>
              <w:rPr>
                <w:rFonts w:hint="eastAsia" w:ascii="宋体" w:hAnsi="宋体" w:cs="宋体"/>
                <w:bCs/>
                <w:color w:val="auto"/>
                <w:kern w:val="0"/>
                <w:szCs w:val="21"/>
                <w:highlight w:val="none"/>
              </w:rPr>
              <w:t>项目应急</w:t>
            </w:r>
            <w:r>
              <w:rPr>
                <w:rFonts w:hint="eastAsia" w:ascii="宋体" w:hAnsi="宋体" w:cs="宋体"/>
                <w:color w:val="auto"/>
                <w:szCs w:val="21"/>
                <w:highlight w:val="none"/>
              </w:rPr>
              <w:t>保障</w:t>
            </w:r>
            <w:r>
              <w:rPr>
                <w:rFonts w:hint="eastAsia" w:ascii="宋体" w:hAnsi="宋体" w:cs="宋体"/>
                <w:bCs/>
                <w:color w:val="auto"/>
                <w:kern w:val="0"/>
                <w:szCs w:val="21"/>
                <w:highlight w:val="none"/>
              </w:rPr>
              <w:t>方案</w:t>
            </w:r>
            <w:r>
              <w:rPr>
                <w:rFonts w:hint="eastAsia" w:ascii="宋体" w:hAnsi="宋体" w:eastAsia="宋体" w:cs="宋体"/>
                <w:bCs/>
                <w:color w:val="auto"/>
                <w:kern w:val="0"/>
                <w:szCs w:val="21"/>
                <w:highlight w:val="none"/>
              </w:rPr>
              <w:t>、⑦</w:t>
            </w:r>
            <w:r>
              <w:rPr>
                <w:rFonts w:hint="eastAsia" w:ascii="宋体" w:hAnsi="宋体" w:cs="宋体"/>
                <w:color w:val="auto"/>
                <w:szCs w:val="21"/>
                <w:highlight w:val="none"/>
              </w:rPr>
              <w:t>服务保障机构</w:t>
            </w:r>
            <w:r>
              <w:rPr>
                <w:rFonts w:hint="eastAsia" w:ascii="宋体" w:hAnsi="宋体" w:cs="宋体"/>
                <w:bCs/>
                <w:color w:val="auto"/>
                <w:kern w:val="0"/>
                <w:szCs w:val="21"/>
                <w:highlight w:val="none"/>
              </w:rPr>
              <w:t>。</w:t>
            </w:r>
          </w:p>
          <w:p w14:paraId="590C2C8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一档（0分）：未提供此内容的，不得分；</w:t>
            </w:r>
          </w:p>
          <w:p w14:paraId="0E6B045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二档（3分）：方案有缺漏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少于上述7项</w:t>
            </w:r>
            <w:r>
              <w:rPr>
                <w:rFonts w:hint="eastAsia" w:ascii="宋体" w:hAnsi="宋体" w:cs="宋体"/>
                <w:bCs/>
                <w:color w:val="auto"/>
                <w:kern w:val="0"/>
                <w:szCs w:val="21"/>
                <w:highlight w:val="none"/>
              </w:rPr>
              <w:t>）</w:t>
            </w:r>
            <w:r>
              <w:rPr>
                <w:rFonts w:hint="eastAsia" w:ascii="宋体" w:hAnsi="宋体" w:cs="宋体"/>
                <w:bCs/>
                <w:color w:val="auto"/>
                <w:highlight w:val="none"/>
              </w:rPr>
              <w:t>；</w:t>
            </w:r>
          </w:p>
          <w:p w14:paraId="2AEA163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10</w:t>
            </w:r>
            <w:r>
              <w:rPr>
                <w:rFonts w:hint="eastAsia" w:ascii="宋体" w:hAnsi="宋体" w:cs="宋体"/>
                <w:bCs/>
                <w:color w:val="auto"/>
                <w:highlight w:val="none"/>
              </w:rPr>
              <w:t>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上述7项</w:t>
            </w:r>
            <w:r>
              <w:rPr>
                <w:rFonts w:hint="eastAsia" w:ascii="宋体" w:hAnsi="宋体" w:cs="宋体"/>
                <w:bCs/>
                <w:color w:val="auto"/>
                <w:kern w:val="0"/>
                <w:szCs w:val="21"/>
                <w:highlight w:val="none"/>
              </w:rPr>
              <w:t>）；方案</w:t>
            </w:r>
            <w:r>
              <w:rPr>
                <w:rFonts w:hint="eastAsia" w:ascii="宋体" w:hAnsi="宋体" w:cs="宋体"/>
                <w:bCs/>
                <w:color w:val="auto"/>
                <w:kern w:val="0"/>
                <w:sz w:val="20"/>
                <w:szCs w:val="21"/>
                <w:highlight w:val="none"/>
              </w:rPr>
              <w:t>上述7项仅</w:t>
            </w:r>
            <w:r>
              <w:rPr>
                <w:rFonts w:hint="eastAsia" w:ascii="宋体" w:hAnsi="宋体" w:cs="宋体"/>
                <w:bCs/>
                <w:color w:val="auto"/>
                <w:highlight w:val="none"/>
              </w:rPr>
              <w:t>针对本项目提供了基本的技术方案，方案内容简单粗陋、不全面、方案可行性不高；基本满足采购文件要求；</w:t>
            </w:r>
          </w:p>
          <w:p w14:paraId="69D54B7F">
            <w:pPr>
              <w:spacing w:line="400" w:lineRule="exact"/>
              <w:ind w:firstLine="420" w:firstLineChars="200"/>
              <w:rPr>
                <w:rFonts w:ascii="宋体" w:hAnsi="宋体" w:eastAsia="宋体" w:cs="宋体"/>
                <w:bCs/>
                <w:color w:val="auto"/>
                <w:highlight w:val="none"/>
              </w:rPr>
            </w:pPr>
            <w:r>
              <w:rPr>
                <w:rFonts w:hint="eastAsia" w:ascii="宋体" w:hAnsi="宋体" w:cs="宋体"/>
                <w:bCs/>
                <w:color w:val="auto"/>
                <w:highlight w:val="none"/>
              </w:rPr>
              <w:t>四档（1</w:t>
            </w:r>
            <w:r>
              <w:rPr>
                <w:rFonts w:hint="eastAsia" w:ascii="宋体" w:hAnsi="宋体" w:cs="宋体"/>
                <w:bCs/>
                <w:color w:val="auto"/>
                <w:highlight w:val="none"/>
                <w:lang w:val="en-US" w:eastAsia="zh-CN"/>
              </w:rPr>
              <w:t>8</w:t>
            </w:r>
            <w:r>
              <w:rPr>
                <w:rFonts w:hint="eastAsia" w:ascii="宋体" w:hAnsi="宋体" w:cs="宋体"/>
                <w:bCs/>
                <w:color w:val="auto"/>
                <w:highlight w:val="none"/>
              </w:rPr>
              <w:t>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上述7项</w:t>
            </w:r>
            <w:r>
              <w:rPr>
                <w:rFonts w:hint="eastAsia" w:ascii="宋体" w:hAnsi="宋体" w:cs="宋体"/>
                <w:bCs/>
                <w:color w:val="auto"/>
                <w:kern w:val="0"/>
                <w:szCs w:val="21"/>
                <w:highlight w:val="none"/>
              </w:rPr>
              <w:t>）；了解</w:t>
            </w:r>
            <w:r>
              <w:rPr>
                <w:rFonts w:hint="eastAsia" w:ascii="宋体" w:hAnsi="宋体" w:cs="宋体"/>
                <w:bCs/>
                <w:color w:val="auto"/>
                <w:highlight w:val="none"/>
              </w:rPr>
              <w:t>项目实际背景、目标准确、范围合理；较准确理解、把握本项目的技术服务重点、难点和要点，但内容简单不详尽，能提出应对解决措施且措施详细有效；</w:t>
            </w:r>
            <w:r>
              <w:rPr>
                <w:rFonts w:hint="eastAsia" w:ascii="宋体" w:hAnsi="宋体" w:cs="宋体"/>
                <w:color w:val="auto"/>
                <w:szCs w:val="21"/>
                <w:highlight w:val="none"/>
              </w:rPr>
              <w:t>售后维护内容全面；保密措施具体；廉洁承诺合理可行；项目应急保障方案详细；服务保障机构设置合理；</w:t>
            </w:r>
            <w:r>
              <w:rPr>
                <w:rFonts w:hint="eastAsia" w:ascii="宋体" w:hAnsi="宋体" w:cs="宋体"/>
                <w:bCs/>
                <w:color w:val="auto"/>
                <w:highlight w:val="none"/>
              </w:rPr>
              <w:t>保障方案全面、可行，服务措施到位，能更好地为采购单位服务，能满足采购文件要求的；</w:t>
            </w:r>
          </w:p>
          <w:p w14:paraId="440E008A">
            <w:pPr>
              <w:pStyle w:val="20"/>
              <w:spacing w:line="440" w:lineRule="exact"/>
              <w:ind w:firstLine="400" w:firstLineChars="200"/>
              <w:jc w:val="left"/>
              <w:rPr>
                <w:rFonts w:hint="eastAsia" w:ascii="宋体" w:hAnsi="宋体" w:cs="宋体"/>
                <w:color w:val="auto"/>
                <w:szCs w:val="21"/>
                <w:highlight w:val="none"/>
              </w:rPr>
            </w:pPr>
            <w:r>
              <w:rPr>
                <w:rFonts w:hint="eastAsia" w:ascii="宋体" w:hAnsi="宋体" w:cs="宋体"/>
                <w:bCs/>
                <w:color w:val="auto"/>
                <w:highlight w:val="none"/>
              </w:rPr>
              <w:t>五档（25分）：方案无缺漏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上述7项</w:t>
            </w:r>
            <w:r>
              <w:rPr>
                <w:rFonts w:hint="eastAsia" w:ascii="宋体" w:hAnsi="宋体" w:cs="宋体"/>
                <w:bCs/>
                <w:color w:val="auto"/>
                <w:kern w:val="0"/>
                <w:szCs w:val="21"/>
                <w:highlight w:val="none"/>
              </w:rPr>
              <w:t>）；</w:t>
            </w:r>
            <w:r>
              <w:rPr>
                <w:rFonts w:hint="eastAsia" w:ascii="宋体" w:hAnsi="宋体" w:cs="宋体"/>
                <w:bCs/>
                <w:color w:val="auto"/>
                <w:highlight w:val="none"/>
              </w:rPr>
              <w:t>深刻认识项目实际背景、目标准确、范围合理，表达清晰、说明明确、描述完整；</w:t>
            </w:r>
            <w:r>
              <w:rPr>
                <w:rFonts w:hint="eastAsia"/>
                <w:color w:val="auto"/>
                <w:kern w:val="1"/>
                <w:szCs w:val="21"/>
                <w:highlight w:val="none"/>
              </w:rPr>
              <w:t>很好地把握本项目的项目重点、难点和要点，对关键技术点，描述清晰、到位，</w:t>
            </w:r>
            <w:r>
              <w:rPr>
                <w:rFonts w:hint="eastAsia" w:ascii="宋体" w:hAnsi="宋体" w:cs="宋体"/>
                <w:bCs/>
                <w:color w:val="auto"/>
                <w:highlight w:val="none"/>
              </w:rPr>
              <w:t>内容详细全面，提出应对解决措施详细且合理有效、与项目有关</w:t>
            </w:r>
            <w:r>
              <w:rPr>
                <w:rFonts w:hint="eastAsia" w:ascii="宋体" w:hAnsi="宋体" w:cs="宋体"/>
                <w:color w:val="auto"/>
                <w:szCs w:val="21"/>
                <w:highlight w:val="none"/>
              </w:rPr>
              <w:t>；售后维护内容详细、具体、有效，可操作性强；保密措施详细具体、合理可行，有项目针对性，可操作性强；廉洁承诺合理可行、内容细致全面，符合项目实际；项目应急保障方案详细具体、考虑周全完整，措施合理可行，能很好服务项目；服务保障机构设置合理，明确各个保障过程及阶段的联系人、技术人员名单等资料详细；</w:t>
            </w:r>
            <w:r>
              <w:rPr>
                <w:rFonts w:hint="eastAsia" w:ascii="宋体" w:hAnsi="宋体" w:cs="宋体"/>
                <w:bCs/>
                <w:color w:val="auto"/>
                <w:highlight w:val="none"/>
              </w:rPr>
              <w:t>能够针对各项服务提出详细的服务方案；结合国家、自治区最新网站普查考评相关文件，提出各项优化建议。</w:t>
            </w:r>
          </w:p>
        </w:tc>
      </w:tr>
      <w:tr w14:paraId="3BBE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BEF1130">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A0AF7FB">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6B084C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5FFC609">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拟投入人员分（满分6分）</w:t>
            </w:r>
          </w:p>
        </w:tc>
        <w:tc>
          <w:tcPr>
            <w:tcW w:w="5665" w:type="dxa"/>
            <w:vAlign w:val="center"/>
          </w:tcPr>
          <w:p w14:paraId="1536FA7D">
            <w:pPr>
              <w:pStyle w:val="20"/>
              <w:spacing w:line="360" w:lineRule="exact"/>
              <w:ind w:firstLine="420" w:firstLineChars="200"/>
              <w:rPr>
                <w:rFonts w:hAnsi="宋体" w:cs="宋体"/>
                <w:color w:val="auto"/>
                <w:sz w:val="21"/>
                <w:highlight w:val="none"/>
              </w:rPr>
            </w:pPr>
            <w:r>
              <w:rPr>
                <w:rFonts w:hint="eastAsia" w:hAnsi="宋体" w:cs="宋体"/>
                <w:color w:val="auto"/>
                <w:sz w:val="21"/>
                <w:highlight w:val="none"/>
              </w:rPr>
              <w:t>供应商</w:t>
            </w:r>
            <w:r>
              <w:rPr>
                <w:rFonts w:hint="eastAsia" w:hAnsi="宋体" w:cs="宋体"/>
                <w:color w:val="auto"/>
                <w:sz w:val="21"/>
                <w:highlight w:val="none"/>
                <w:lang w:val="en-US" w:eastAsia="zh-CN"/>
              </w:rPr>
              <w:t>拟投入</w:t>
            </w:r>
            <w:r>
              <w:rPr>
                <w:rFonts w:hint="eastAsia" w:hAnsi="宋体" w:cs="宋体"/>
                <w:color w:val="auto"/>
                <w:sz w:val="21"/>
                <w:highlight w:val="none"/>
              </w:rPr>
              <w:t>服务人员具有中级</w:t>
            </w:r>
            <w:r>
              <w:rPr>
                <w:rFonts w:hint="eastAsia" w:hAnsi="宋体" w:cs="宋体"/>
                <w:color w:val="auto"/>
                <w:sz w:val="21"/>
                <w:highlight w:val="none"/>
                <w:lang w:val="en-US" w:eastAsia="zh-CN"/>
              </w:rPr>
              <w:t>及</w:t>
            </w:r>
            <w:r>
              <w:rPr>
                <w:rFonts w:hint="eastAsia" w:hAnsi="宋体" w:cs="宋体"/>
                <w:color w:val="auto"/>
                <w:sz w:val="21"/>
                <w:highlight w:val="none"/>
              </w:rPr>
              <w:t>以上网络舆</w:t>
            </w:r>
            <w:r>
              <w:rPr>
                <w:rFonts w:hint="eastAsia" w:hAnsi="宋体" w:cs="宋体"/>
                <w:color w:val="auto"/>
                <w:sz w:val="21"/>
                <w:highlight w:val="none"/>
                <w:lang w:val="en-US" w:eastAsia="zh-CN"/>
              </w:rPr>
              <w:t xml:space="preserve"> </w:t>
            </w:r>
            <w:r>
              <w:rPr>
                <w:rFonts w:hint="eastAsia" w:hAnsi="宋体" w:cs="宋体"/>
                <w:color w:val="auto"/>
                <w:sz w:val="21"/>
                <w:highlight w:val="none"/>
              </w:rPr>
              <w:t>情分析师证书的，每项得2分，</w:t>
            </w:r>
            <w:r>
              <w:rPr>
                <w:rFonts w:hint="eastAsia" w:hAnsi="宋体" w:cs="宋体"/>
                <w:b/>
                <w:bCs/>
                <w:color w:val="auto"/>
                <w:sz w:val="21"/>
                <w:highlight w:val="none"/>
              </w:rPr>
              <w:t>满分6分。</w:t>
            </w:r>
          </w:p>
          <w:p w14:paraId="732CF66C">
            <w:pPr>
              <w:pStyle w:val="20"/>
              <w:spacing w:line="440" w:lineRule="exact"/>
              <w:ind w:firstLine="400" w:firstLineChars="200"/>
              <w:jc w:val="left"/>
              <w:rPr>
                <w:rFonts w:hAnsi="宋体" w:cs="宋体"/>
                <w:color w:val="auto"/>
                <w:sz w:val="21"/>
                <w:highlight w:val="none"/>
              </w:rPr>
            </w:pPr>
            <w:r>
              <w:rPr>
                <w:rFonts w:hint="eastAsia" w:hAnsi="宋体" w:cs="宋体"/>
                <w:color w:val="auto"/>
                <w:highlight w:val="none"/>
              </w:rPr>
              <w:t xml:space="preserve"> 注：</w:t>
            </w:r>
            <w:r>
              <w:rPr>
                <w:rFonts w:hint="eastAsia" w:hAnsi="宋体" w:cs="宋体"/>
                <w:color w:val="auto"/>
                <w:highlight w:val="none"/>
                <w:lang w:val="en-US" w:eastAsia="zh-CN"/>
              </w:rPr>
              <w:t>响应</w:t>
            </w:r>
            <w:r>
              <w:rPr>
                <w:rFonts w:hint="eastAsia" w:hAnsi="宋体" w:cs="宋体"/>
                <w:color w:val="auto"/>
                <w:highlight w:val="none"/>
              </w:rPr>
              <w:t>文件中须提供证书复印件并加盖供应商公章，且</w:t>
            </w:r>
            <w:r>
              <w:rPr>
                <w:rFonts w:hint="eastAsia" w:ascii="宋体" w:hAnsi="宋体" w:cs="宋体"/>
                <w:bCs/>
                <w:color w:val="auto"/>
                <w:szCs w:val="21"/>
                <w:highlight w:val="none"/>
              </w:rPr>
              <w:t>供应商为拟投入人员缴纳的2025年1月-</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w:t>
            </w:r>
            <w:r>
              <w:rPr>
                <w:rFonts w:hint="eastAsia" w:cs="宋体"/>
                <w:color w:val="auto"/>
                <w:sz w:val="21"/>
                <w:highlight w:val="none"/>
                <w:lang w:val="en-US" w:eastAsia="zh-CN"/>
              </w:rPr>
              <w:t>服务团队</w:t>
            </w:r>
            <w:r>
              <w:rPr>
                <w:rFonts w:hint="eastAsia"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25C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B504B8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79525F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246354A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w:t>
            </w: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分</w:t>
            </w:r>
          </w:p>
        </w:tc>
        <w:tc>
          <w:tcPr>
            <w:tcW w:w="6909" w:type="dxa"/>
            <w:gridSpan w:val="2"/>
            <w:vAlign w:val="center"/>
          </w:tcPr>
          <w:p w14:paraId="4F94F943">
            <w:pPr>
              <w:pStyle w:val="91"/>
              <w:numPr>
                <w:ilvl w:val="0"/>
                <w:numId w:val="0"/>
              </w:numPr>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供应商自2022年以来具有同类业绩，每项得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r>
              <w:rPr>
                <w:rFonts w:hint="eastAsia" w:ascii="宋体" w:hAnsi="宋体" w:eastAsia="宋体" w:cs="宋体"/>
                <w:b/>
                <w:bCs/>
                <w:color w:val="auto"/>
                <w:sz w:val="21"/>
                <w:highlight w:val="none"/>
              </w:rPr>
              <w:t>满分</w:t>
            </w:r>
            <w:r>
              <w:rPr>
                <w:rFonts w:hint="eastAsia" w:ascii="宋体" w:hAnsi="宋体" w:eastAsia="宋体" w:cs="宋体"/>
                <w:b/>
                <w:bCs/>
                <w:color w:val="auto"/>
                <w:sz w:val="21"/>
                <w:highlight w:val="none"/>
                <w:lang w:val="en-US" w:eastAsia="zh-CN"/>
              </w:rPr>
              <w:t>10</w:t>
            </w:r>
            <w:r>
              <w:rPr>
                <w:rFonts w:hint="eastAsia" w:ascii="宋体" w:hAnsi="宋体" w:eastAsia="宋体" w:cs="宋体"/>
                <w:b/>
                <w:bCs/>
                <w:color w:val="auto"/>
                <w:sz w:val="21"/>
                <w:highlight w:val="none"/>
              </w:rPr>
              <w:t>分。</w:t>
            </w:r>
          </w:p>
          <w:p w14:paraId="5B439219">
            <w:pPr>
              <w:pStyle w:val="91"/>
              <w:numPr>
                <w:ilvl w:val="0"/>
                <w:numId w:val="0"/>
              </w:numPr>
              <w:ind w:firstLine="0" w:firstLineChars="0"/>
              <w:rPr>
                <w:rFonts w:hint="eastAsia"/>
                <w:color w:val="auto"/>
                <w:highlight w:val="none"/>
                <w:lang w:val="en-US"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供应商具有有效的</w:t>
            </w:r>
            <w:r>
              <w:rPr>
                <w:rFonts w:hint="eastAsia" w:ascii="宋体" w:hAnsi="宋体" w:eastAsia="宋体" w:cs="宋体"/>
                <w:color w:val="auto"/>
                <w:sz w:val="21"/>
                <w:highlight w:val="none"/>
                <w:lang w:val="zh-CN"/>
              </w:rPr>
              <w:t>ISO 9001</w:t>
            </w:r>
            <w:r>
              <w:rPr>
                <w:rFonts w:hint="eastAsia" w:ascii="宋体" w:hAnsi="宋体" w:eastAsia="宋体" w:cs="宋体"/>
                <w:color w:val="auto"/>
                <w:sz w:val="21"/>
                <w:highlight w:val="none"/>
              </w:rPr>
              <w:t>质量管理体系认证证书、</w:t>
            </w:r>
            <w:r>
              <w:rPr>
                <w:rFonts w:hint="eastAsia" w:ascii="宋体" w:hAnsi="宋体" w:eastAsia="宋体" w:cs="宋体"/>
                <w:color w:val="auto"/>
                <w:sz w:val="21"/>
                <w:highlight w:val="none"/>
                <w:lang w:val="zh-CN"/>
              </w:rPr>
              <w:t>ISO 27001信息安全管理体系认证</w:t>
            </w:r>
            <w:r>
              <w:rPr>
                <w:rFonts w:hint="eastAsia" w:ascii="宋体" w:hAnsi="宋体" w:eastAsia="宋体" w:cs="宋体"/>
                <w:color w:val="auto"/>
                <w:sz w:val="21"/>
                <w:highlight w:val="none"/>
              </w:rPr>
              <w:t>证书、</w:t>
            </w:r>
            <w:r>
              <w:rPr>
                <w:rFonts w:hint="eastAsia" w:ascii="宋体" w:hAnsi="宋体" w:eastAsia="宋体" w:cs="宋体"/>
                <w:color w:val="auto"/>
                <w:sz w:val="21"/>
                <w:highlight w:val="none"/>
                <w:lang w:val="zh-CN"/>
              </w:rPr>
              <w:t>ISO 20000 信息技术服务管理体系认证证书</w:t>
            </w:r>
            <w:r>
              <w:rPr>
                <w:rFonts w:hint="eastAsia" w:ascii="宋体" w:hAnsi="宋体" w:eastAsia="宋体" w:cs="宋体"/>
                <w:color w:val="auto"/>
                <w:sz w:val="21"/>
                <w:highlight w:val="none"/>
              </w:rPr>
              <w:t>，每有一项证书得1分</w:t>
            </w:r>
            <w:r>
              <w:rPr>
                <w:rFonts w:hint="eastAsia" w:ascii="宋体" w:hAnsi="宋体" w:eastAsia="宋体" w:cs="宋体"/>
                <w:b/>
                <w:bCs/>
                <w:color w:val="auto"/>
                <w:sz w:val="21"/>
                <w:highlight w:val="none"/>
              </w:rPr>
              <w:t>，满分3分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须提供有效认证证书，并加盖供应商单位公章，不按要求提供证明材料不得分</w:t>
            </w:r>
            <w:r>
              <w:rPr>
                <w:rFonts w:hint="eastAsia" w:ascii="宋体" w:hAnsi="宋体" w:eastAsia="宋体" w:cs="宋体"/>
                <w:color w:val="auto"/>
                <w:sz w:val="21"/>
                <w:highlight w:val="none"/>
                <w:lang w:eastAsia="zh-CN"/>
              </w:rPr>
              <w:t>）</w:t>
            </w:r>
          </w:p>
        </w:tc>
      </w:tr>
      <w:tr w14:paraId="324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097D51E8">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1C1031EF">
      <w:pPr>
        <w:rPr>
          <w:rFonts w:ascii="宋体" w:cs="宋体"/>
          <w:bCs/>
          <w:color w:val="auto"/>
          <w:szCs w:val="21"/>
          <w:highlight w:val="none"/>
        </w:rPr>
      </w:pPr>
    </w:p>
    <w:p w14:paraId="1C04D225">
      <w:pPr>
        <w:rPr>
          <w:rFonts w:ascii="宋体" w:hAnsi="宋体" w:cs="宋体"/>
          <w:b/>
          <w:color w:val="auto"/>
          <w:szCs w:val="21"/>
          <w:highlight w:val="none"/>
        </w:rPr>
      </w:pPr>
    </w:p>
    <w:p w14:paraId="72B4D073">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3CAA3C69">
      <w:pPr>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28C8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4C70169">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7AAE4FE">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D0D87A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1049AE0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0AD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5D549CA8">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282A83A3">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429D5B2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2</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67A771CD">
            <w:pPr>
              <w:pStyle w:val="20"/>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101F7B4F">
            <w:pPr>
              <w:pStyle w:val="20"/>
              <w:spacing w:line="360" w:lineRule="auto"/>
              <w:ind w:firstLine="420" w:firstLineChars="200"/>
              <w:rPr>
                <w:rFonts w:hAnsi="宋体" w:cs="宋体"/>
                <w:color w:val="auto"/>
                <w:highlight w:val="none"/>
              </w:rPr>
            </w:pPr>
            <w:r>
              <w:rPr>
                <w:rFonts w:hAnsi="宋体"/>
                <w:bCs/>
                <w:color w:val="auto"/>
                <w:sz w:val="21"/>
                <w:highlight w:val="none"/>
              </w:rPr>
              <w:t>1</w:t>
            </w:r>
            <w:r>
              <w:rPr>
                <w:rFonts w:hint="eastAsia" w:hAnsi="宋体"/>
                <w:bCs/>
                <w:color w:val="auto"/>
                <w:sz w:val="21"/>
                <w:highlight w:val="none"/>
              </w:rPr>
              <w:t>、本分标属于专门面向小微企业采购的项目，不再享受价格扣除优惠政策。</w:t>
            </w:r>
          </w:p>
          <w:p w14:paraId="6855B42E">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2</w:t>
            </w:r>
            <w:r>
              <w:rPr>
                <w:b/>
                <w:bCs/>
                <w:color w:val="auto"/>
                <w:highlight w:val="none"/>
              </w:rPr>
              <w:t>0</w:t>
            </w:r>
            <w:r>
              <w:rPr>
                <w:rFonts w:hint="eastAsia"/>
                <w:b/>
                <w:bCs/>
                <w:color w:val="auto"/>
                <w:highlight w:val="none"/>
              </w:rPr>
              <w:t>分）</w:t>
            </w:r>
          </w:p>
          <w:p w14:paraId="5052E594">
            <w:pPr>
              <w:pStyle w:val="20"/>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18CD7966">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4C9BED1B">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（评标基准价／某有效供应商最后报价）×</w:t>
            </w:r>
            <w:r>
              <w:rPr>
                <w:rFonts w:hint="eastAsia" w:hAnsi="宋体" w:cs="宋体"/>
                <w:bCs/>
                <w:color w:val="auto"/>
                <w:sz w:val="21"/>
                <w:highlight w:val="none"/>
                <w:lang w:val="en-US" w:eastAsia="zh-CN"/>
              </w:rPr>
              <w:t>2</w:t>
            </w:r>
            <w:r>
              <w:rPr>
                <w:rFonts w:hAnsi="宋体" w:cs="宋体"/>
                <w:bCs/>
                <w:color w:val="auto"/>
                <w:sz w:val="21"/>
                <w:highlight w:val="none"/>
              </w:rPr>
              <w:t>0</w:t>
            </w:r>
            <w:r>
              <w:rPr>
                <w:rFonts w:hint="eastAsia" w:hAnsi="宋体" w:cs="宋体"/>
                <w:bCs/>
                <w:color w:val="auto"/>
                <w:sz w:val="21"/>
                <w:highlight w:val="none"/>
              </w:rPr>
              <w:t>分</w:t>
            </w:r>
          </w:p>
        </w:tc>
      </w:tr>
      <w:tr w14:paraId="5F6B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3370CF3F">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1437FC62">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11390F4">
            <w:pPr>
              <w:adjustRightInd w:val="0"/>
              <w:spacing w:line="360" w:lineRule="auto"/>
              <w:jc w:val="center"/>
              <w:textAlignment w:val="baseline"/>
              <w:rPr>
                <w:rFonts w:ascii="宋体" w:cs="宋体"/>
                <w:b/>
                <w:color w:val="auto"/>
                <w:szCs w:val="21"/>
                <w:highlight w:val="none"/>
              </w:rPr>
            </w:pPr>
            <w:r>
              <w:rPr>
                <w:rFonts w:hint="eastAsia" w:ascii="宋体" w:hAnsi="宋体"/>
                <w:b/>
                <w:color w:val="auto"/>
                <w:szCs w:val="21"/>
                <w:highlight w:val="none"/>
              </w:rPr>
              <w:t>满分66分</w:t>
            </w:r>
          </w:p>
        </w:tc>
        <w:tc>
          <w:tcPr>
            <w:tcW w:w="1244" w:type="dxa"/>
            <w:vAlign w:val="center"/>
          </w:tcPr>
          <w:p w14:paraId="1D07B18A">
            <w:pPr>
              <w:spacing w:line="360" w:lineRule="auto"/>
              <w:jc w:val="center"/>
              <w:rPr>
                <w:rFonts w:ascii="宋体" w:cs="宋体"/>
                <w:bCs/>
                <w:color w:val="auto"/>
                <w:szCs w:val="21"/>
                <w:highlight w:val="none"/>
              </w:rPr>
            </w:pPr>
            <w:r>
              <w:rPr>
                <w:rFonts w:hint="eastAsia" w:ascii="宋体" w:hAnsi="宋体" w:eastAsia="宋体" w:cs="宋体"/>
                <w:b/>
                <w:color w:val="auto"/>
                <w:kern w:val="0"/>
                <w:sz w:val="21"/>
                <w:szCs w:val="21"/>
                <w:highlight w:val="none"/>
              </w:rPr>
              <w:t>服务方案分（满分24分）</w:t>
            </w:r>
          </w:p>
        </w:tc>
        <w:tc>
          <w:tcPr>
            <w:tcW w:w="5665" w:type="dxa"/>
            <w:vAlign w:val="center"/>
          </w:tcPr>
          <w:p w14:paraId="70247026">
            <w:pPr>
              <w:spacing w:line="360" w:lineRule="auto"/>
              <w:ind w:firstLine="420" w:firstLineChars="200"/>
              <w:jc w:val="left"/>
              <w:rPr>
                <w:rFonts w:cs="宋体"/>
                <w:bCs/>
                <w:color w:val="auto"/>
                <w:highlight w:val="none"/>
              </w:rPr>
            </w:pPr>
            <w:r>
              <w:rPr>
                <w:rFonts w:cs="宋体"/>
                <w:bCs/>
                <w:color w:val="auto"/>
                <w:highlight w:val="none"/>
              </w:rPr>
              <w:t xml:space="preserve"> </w:t>
            </w:r>
            <w:r>
              <w:rPr>
                <w:rFonts w:hint="eastAsia" w:cs="宋体"/>
                <w:bCs/>
                <w:color w:val="auto"/>
                <w:highlight w:val="none"/>
              </w:rPr>
              <w:t>由磋商小组在打分前根据各供应商的服务方案确定各供应商所属档次及得分。达不到一档要求或不提供的得0分。</w:t>
            </w:r>
          </w:p>
          <w:p w14:paraId="749F2759">
            <w:pPr>
              <w:spacing w:line="360" w:lineRule="auto"/>
              <w:ind w:firstLine="420" w:firstLineChars="200"/>
              <w:jc w:val="left"/>
              <w:rPr>
                <w:rFonts w:cs="宋体"/>
                <w:bCs/>
                <w:color w:val="auto"/>
                <w:highlight w:val="none"/>
              </w:rPr>
            </w:pPr>
            <w:r>
              <w:rPr>
                <w:rFonts w:hint="eastAsia" w:cs="宋体"/>
                <w:bCs/>
                <w:color w:val="auto"/>
                <w:highlight w:val="none"/>
              </w:rPr>
              <w:t>一档（</w:t>
            </w:r>
            <w:r>
              <w:rPr>
                <w:rFonts w:cs="宋体"/>
                <w:bCs/>
                <w:color w:val="auto"/>
                <w:highlight w:val="none"/>
              </w:rPr>
              <w:t>6</w:t>
            </w:r>
            <w:r>
              <w:rPr>
                <w:rFonts w:hint="eastAsia" w:cs="宋体"/>
                <w:bCs/>
                <w:color w:val="auto"/>
                <w:highlight w:val="none"/>
              </w:rPr>
              <w:t>分）：服务方案完整，对采购人需求理解，服务内容简单，基本符合要求；</w:t>
            </w:r>
          </w:p>
          <w:p w14:paraId="39C85E45">
            <w:pPr>
              <w:spacing w:line="360" w:lineRule="auto"/>
              <w:ind w:firstLine="420" w:firstLineChars="200"/>
              <w:jc w:val="left"/>
              <w:rPr>
                <w:rFonts w:cs="宋体"/>
                <w:bCs/>
                <w:color w:val="auto"/>
                <w:highlight w:val="none"/>
              </w:rPr>
            </w:pPr>
            <w:r>
              <w:rPr>
                <w:rFonts w:hint="eastAsia" w:cs="宋体"/>
                <w:bCs/>
                <w:color w:val="auto"/>
                <w:highlight w:val="none"/>
              </w:rPr>
              <w:t>二档（</w:t>
            </w:r>
            <w:r>
              <w:rPr>
                <w:rFonts w:cs="宋体"/>
                <w:bCs/>
                <w:color w:val="auto"/>
                <w:highlight w:val="none"/>
              </w:rPr>
              <w:t>12</w:t>
            </w:r>
            <w:r>
              <w:rPr>
                <w:rFonts w:hint="eastAsia" w:cs="宋体"/>
                <w:bCs/>
                <w:color w:val="auto"/>
                <w:highlight w:val="none"/>
              </w:rPr>
              <w:t>分）：服务方案完整清晰，对采购人需求理解，方案详细，服务全面；有一定的可操作性。</w:t>
            </w:r>
          </w:p>
          <w:p w14:paraId="0C0C0238">
            <w:pPr>
              <w:spacing w:line="360" w:lineRule="auto"/>
              <w:ind w:firstLine="420" w:firstLineChars="200"/>
              <w:jc w:val="left"/>
              <w:rPr>
                <w:rFonts w:cs="宋体"/>
                <w:bCs/>
                <w:color w:val="auto"/>
                <w:highlight w:val="none"/>
              </w:rPr>
            </w:pPr>
            <w:r>
              <w:rPr>
                <w:rFonts w:hint="eastAsia" w:cs="宋体"/>
                <w:bCs/>
                <w:color w:val="auto"/>
                <w:highlight w:val="none"/>
              </w:rPr>
              <w:t>三档（</w:t>
            </w:r>
            <w:r>
              <w:rPr>
                <w:rFonts w:cs="宋体"/>
                <w:bCs/>
                <w:color w:val="auto"/>
                <w:highlight w:val="none"/>
              </w:rPr>
              <w:t>18</w:t>
            </w:r>
            <w:r>
              <w:rPr>
                <w:rFonts w:hint="eastAsia" w:cs="宋体"/>
                <w:bCs/>
                <w:color w:val="auto"/>
                <w:highlight w:val="none"/>
              </w:rPr>
              <w:t>分）：服务方案完整清晰，熟练理解采购人需求，方案详细，服务全面，对运营平台的功能理解透彻，思路清晰，富有创意，实用性和可操作性强的。</w:t>
            </w:r>
          </w:p>
          <w:p w14:paraId="77B4F973">
            <w:pPr>
              <w:spacing w:line="360" w:lineRule="auto"/>
              <w:ind w:firstLine="420" w:firstLineChars="200"/>
              <w:jc w:val="left"/>
              <w:rPr>
                <w:rFonts w:cs="宋体"/>
                <w:bCs/>
                <w:color w:val="auto"/>
                <w:highlight w:val="none"/>
              </w:rPr>
            </w:pPr>
            <w:r>
              <w:rPr>
                <w:rFonts w:hint="eastAsia" w:cs="宋体"/>
                <w:bCs/>
                <w:color w:val="auto"/>
                <w:highlight w:val="none"/>
              </w:rPr>
              <w:t>四档（</w:t>
            </w:r>
            <w:r>
              <w:rPr>
                <w:rFonts w:cs="宋体"/>
                <w:bCs/>
                <w:color w:val="auto"/>
                <w:highlight w:val="none"/>
              </w:rPr>
              <w:t>24</w:t>
            </w:r>
            <w:r>
              <w:rPr>
                <w:rFonts w:hint="eastAsia" w:cs="宋体"/>
                <w:bCs/>
                <w:color w:val="auto"/>
                <w:highlight w:val="none"/>
              </w:rPr>
              <w:t>分）：服务方案完整清晰，熟练理解用户需求，方案全面，服务全面，对运营平台的功能理解透彻，思路清晰，富有创意，对项目实际情况具有针对性，具有前瞻性、战略性，实用性和可操作性强。</w:t>
            </w:r>
          </w:p>
        </w:tc>
      </w:tr>
      <w:tr w14:paraId="5E4D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1A25B6B5">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6B0F2A60">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4235A200">
            <w:pPr>
              <w:adjustRightInd w:val="0"/>
              <w:spacing w:line="360" w:lineRule="auto"/>
              <w:jc w:val="center"/>
              <w:textAlignment w:val="baseline"/>
              <w:rPr>
                <w:rFonts w:ascii="宋体" w:cs="宋体"/>
                <w:b/>
                <w:color w:val="auto"/>
                <w:szCs w:val="21"/>
                <w:highlight w:val="none"/>
              </w:rPr>
            </w:pPr>
          </w:p>
        </w:tc>
        <w:tc>
          <w:tcPr>
            <w:tcW w:w="1244" w:type="dxa"/>
            <w:vAlign w:val="center"/>
          </w:tcPr>
          <w:p w14:paraId="74983293">
            <w:pPr>
              <w:autoSpaceDE w:val="0"/>
              <w:autoSpaceDN w:val="0"/>
              <w:adjustRightInd w:val="0"/>
              <w:spacing w:line="360" w:lineRule="auto"/>
              <w:jc w:val="center"/>
              <w:rPr>
                <w:rFonts w:hAnsi="宋体" w:cs="宋体"/>
                <w:bCs/>
                <w:color w:val="auto"/>
                <w:highlight w:val="none"/>
              </w:rPr>
            </w:pPr>
            <w:r>
              <w:rPr>
                <w:rFonts w:hint="eastAsia" w:ascii="宋体" w:hAnsi="宋体" w:cs="宋体"/>
                <w:b/>
                <w:color w:val="auto"/>
                <w:kern w:val="0"/>
                <w:sz w:val="22"/>
                <w:szCs w:val="21"/>
                <w:highlight w:val="none"/>
              </w:rPr>
              <w:t>驻场服务分（满分</w:t>
            </w:r>
            <w:r>
              <w:rPr>
                <w:rFonts w:ascii="宋体" w:hAnsi="宋体" w:cs="宋体"/>
                <w:b/>
                <w:color w:val="auto"/>
                <w:kern w:val="0"/>
                <w:sz w:val="22"/>
                <w:szCs w:val="21"/>
                <w:highlight w:val="none"/>
              </w:rPr>
              <w:t>12</w:t>
            </w:r>
            <w:r>
              <w:rPr>
                <w:rFonts w:hint="eastAsia" w:ascii="宋体" w:hAnsi="宋体" w:cs="宋体"/>
                <w:b/>
                <w:color w:val="auto"/>
                <w:kern w:val="0"/>
                <w:sz w:val="22"/>
                <w:szCs w:val="21"/>
                <w:highlight w:val="none"/>
              </w:rPr>
              <w:t>分）</w:t>
            </w:r>
          </w:p>
        </w:tc>
        <w:tc>
          <w:tcPr>
            <w:tcW w:w="5665" w:type="dxa"/>
            <w:vAlign w:val="center"/>
          </w:tcPr>
          <w:p w14:paraId="201898C0">
            <w:pPr>
              <w:autoSpaceDE w:val="0"/>
              <w:autoSpaceDN w:val="0"/>
              <w:adjustRightInd w:val="0"/>
              <w:spacing w:line="360" w:lineRule="auto"/>
              <w:ind w:firstLine="420"/>
              <w:jc w:val="left"/>
              <w:rPr>
                <w:rFonts w:hint="default" w:eastAsia="宋体"/>
                <w:color w:val="auto"/>
                <w:highlight w:val="none"/>
                <w:lang w:val="en-US" w:eastAsia="zh-CN"/>
              </w:rPr>
            </w:pPr>
            <w:r>
              <w:rPr>
                <w:rFonts w:hint="eastAsia"/>
                <w:color w:val="auto"/>
                <w:highlight w:val="none"/>
              </w:rPr>
              <w:t>提供主要技术人员驻场服务1年，承诺提供1人得6分，承诺提供2人以上得12分。</w:t>
            </w:r>
            <w:r>
              <w:rPr>
                <w:rFonts w:hint="eastAsia"/>
                <w:b/>
                <w:bCs/>
                <w:color w:val="auto"/>
                <w:highlight w:val="none"/>
                <w:lang w:val="en-US" w:eastAsia="zh-CN"/>
              </w:rPr>
              <w:t>满分12分。</w:t>
            </w:r>
          </w:p>
          <w:p w14:paraId="7133502E">
            <w:pPr>
              <w:autoSpaceDE w:val="0"/>
              <w:autoSpaceDN w:val="0"/>
              <w:adjustRightInd w:val="0"/>
              <w:spacing w:line="360" w:lineRule="auto"/>
              <w:ind w:firstLine="420" w:firstLineChars="0"/>
              <w:jc w:val="left"/>
              <w:rPr>
                <w:rFonts w:cs="宋体"/>
                <w:bCs/>
                <w:color w:val="auto"/>
                <w:highlight w:val="none"/>
              </w:rPr>
            </w:pPr>
            <w:r>
              <w:rPr>
                <w:rFonts w:hint="eastAsia"/>
                <w:color w:val="auto"/>
                <w:highlight w:val="none"/>
              </w:rPr>
              <w:t>注：</w:t>
            </w:r>
            <w:r>
              <w:rPr>
                <w:rFonts w:hint="eastAsia" w:cs="宋体"/>
                <w:bCs/>
                <w:color w:val="auto"/>
                <w:highlight w:val="none"/>
                <w:lang w:val="en-US" w:eastAsia="zh-CN"/>
              </w:rPr>
              <w:t>注，需</w:t>
            </w:r>
            <w:r>
              <w:rPr>
                <w:rFonts w:hint="eastAsia" w:cs="宋体"/>
                <w:bCs/>
                <w:color w:val="auto"/>
                <w:highlight w:val="none"/>
              </w:rPr>
              <w:t>提供</w:t>
            </w:r>
            <w:r>
              <w:rPr>
                <w:rFonts w:hint="eastAsia" w:ascii="宋体" w:hAnsi="宋体" w:cs="宋体"/>
                <w:bCs/>
                <w:color w:val="auto"/>
                <w:highlight w:val="none"/>
              </w:rPr>
              <w:t>供应商为其缴纳的2025年1月-</w:t>
            </w:r>
            <w:r>
              <w:rPr>
                <w:rFonts w:hint="eastAsia" w:ascii="宋体" w:hAnsi="宋体" w:cs="宋体"/>
                <w:bCs/>
                <w:color w:val="auto"/>
                <w:highlight w:val="none"/>
                <w:lang w:val="en-US" w:eastAsia="zh-CN"/>
              </w:rPr>
              <w:t>6</w:t>
            </w:r>
            <w:r>
              <w:rPr>
                <w:rFonts w:hint="eastAsia" w:ascii="宋体" w:hAnsi="宋体" w:cs="宋体"/>
                <w:bCs/>
                <w:color w:val="auto"/>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29C3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07501302">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8C98FCF">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7BAFB4D7">
            <w:pPr>
              <w:adjustRightInd w:val="0"/>
              <w:spacing w:line="360" w:lineRule="auto"/>
              <w:jc w:val="center"/>
              <w:textAlignment w:val="baseline"/>
              <w:rPr>
                <w:rFonts w:ascii="宋体" w:cs="宋体"/>
                <w:b/>
                <w:color w:val="auto"/>
                <w:szCs w:val="21"/>
                <w:highlight w:val="none"/>
              </w:rPr>
            </w:pPr>
          </w:p>
        </w:tc>
        <w:tc>
          <w:tcPr>
            <w:tcW w:w="1244" w:type="dxa"/>
            <w:vAlign w:val="center"/>
          </w:tcPr>
          <w:p w14:paraId="1B2DD00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rPr>
              <w:t>组织实施方案分（满分15分）</w:t>
            </w:r>
          </w:p>
        </w:tc>
        <w:tc>
          <w:tcPr>
            <w:tcW w:w="5665" w:type="dxa"/>
            <w:vAlign w:val="center"/>
          </w:tcPr>
          <w:p w14:paraId="514760FF">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由磋商小组在打分前根据各供应商组织实施方案的可行性和成熟度确定各供应商所属档次及得分，</w:t>
            </w:r>
            <w:r>
              <w:rPr>
                <w:rFonts w:hint="eastAsia" w:ascii="宋体" w:hAnsi="宋体" w:eastAsia="宋体" w:cs="宋体"/>
                <w:color w:val="auto"/>
                <w:kern w:val="1"/>
                <w:sz w:val="21"/>
                <w:szCs w:val="21"/>
                <w:highlight w:val="none"/>
              </w:rPr>
              <w:t>达不到一档要求或不提供的得0分。</w:t>
            </w:r>
          </w:p>
          <w:p w14:paraId="222AE93C">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一档（5分）：实施方案完整，实施计划可行，项目管理组织机构及人员职能满足要求。</w:t>
            </w:r>
          </w:p>
          <w:p w14:paraId="32DF2351">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二档（10分）：实施方案完整清晰，实施计划完整可行，项目管理组织机构及人员职能清晰。</w:t>
            </w:r>
          </w:p>
          <w:p w14:paraId="0105106A">
            <w:pPr>
              <w:autoSpaceDE w:val="0"/>
              <w:autoSpaceDN w:val="0"/>
              <w:adjustRightInd w:val="0"/>
              <w:spacing w:line="360" w:lineRule="auto"/>
              <w:ind w:firstLine="42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三档（15分）：实施方案清晰、针对性强，实施计划完整明晰、可操作性强，项目管理组织机构及人员职能清晰可控。</w:t>
            </w:r>
          </w:p>
        </w:tc>
      </w:tr>
      <w:tr w14:paraId="53E2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B936FBE">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416B698">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2E7352CA">
            <w:pPr>
              <w:adjustRightInd w:val="0"/>
              <w:spacing w:line="360" w:lineRule="auto"/>
              <w:jc w:val="center"/>
              <w:textAlignment w:val="baseline"/>
              <w:rPr>
                <w:rFonts w:ascii="宋体" w:cs="宋体"/>
                <w:b/>
                <w:color w:val="auto"/>
                <w:szCs w:val="21"/>
                <w:highlight w:val="none"/>
              </w:rPr>
            </w:pPr>
          </w:p>
        </w:tc>
        <w:tc>
          <w:tcPr>
            <w:tcW w:w="1244" w:type="dxa"/>
            <w:vAlign w:val="center"/>
          </w:tcPr>
          <w:p w14:paraId="6B7FA089">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服务保障方案分（满分15分）</w:t>
            </w:r>
          </w:p>
          <w:p w14:paraId="5A9C732E">
            <w:pPr>
              <w:spacing w:line="360" w:lineRule="auto"/>
              <w:jc w:val="center"/>
              <w:rPr>
                <w:rFonts w:hint="eastAsia" w:ascii="宋体" w:hAnsi="宋体" w:eastAsia="宋体" w:cs="宋体"/>
                <w:bCs/>
                <w:color w:val="auto"/>
                <w:sz w:val="21"/>
                <w:szCs w:val="21"/>
                <w:highlight w:val="none"/>
              </w:rPr>
            </w:pPr>
          </w:p>
        </w:tc>
        <w:tc>
          <w:tcPr>
            <w:tcW w:w="5665" w:type="dxa"/>
            <w:vAlign w:val="center"/>
          </w:tcPr>
          <w:p w14:paraId="5AA5E981">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由磋商小组在打分前根据各供应商服务保障方案内容的完整性、可行性、到达突发现场时间、服务优惠及其他优惠确定各供应商所属档次及得分，</w:t>
            </w:r>
            <w:r>
              <w:rPr>
                <w:rFonts w:hint="eastAsia" w:ascii="宋体" w:hAnsi="宋体" w:eastAsia="宋体" w:cs="宋体"/>
                <w:color w:val="auto"/>
                <w:kern w:val="1"/>
                <w:sz w:val="21"/>
                <w:szCs w:val="21"/>
                <w:highlight w:val="none"/>
              </w:rPr>
              <w:t>达不到一档要求或不提供的得0分</w:t>
            </w:r>
          </w:p>
          <w:p w14:paraId="198E39A8">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一档（5分）：供应商服务保障方案简单、基本满足采购文件要求。</w:t>
            </w:r>
          </w:p>
          <w:p w14:paraId="3AC39CB6">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二档（10分）：供应商服务保障方案全面、可行，服务措施到位，能更好地为采购人服务。</w:t>
            </w:r>
          </w:p>
          <w:p w14:paraId="39A54B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三档（15分）：供应商服务保障方案详细、具体、有效，可操作性强，方案包含有项目售后维护、保密承诺及廉洁承诺等，且描述了项目售后维护和应急保障方案的方法以及实现方式 ，服务保障方案机构及联系人、技术人员名单等资料详细，服务承诺和保障措施考虑周全完整，有额外优惠服务。</w:t>
            </w:r>
          </w:p>
        </w:tc>
      </w:tr>
      <w:tr w14:paraId="6E24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7D414385">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3AA491A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72434445">
            <w:pPr>
              <w:adjustRightInd w:val="0"/>
              <w:spacing w:line="360" w:lineRule="auto"/>
              <w:jc w:val="center"/>
              <w:textAlignment w:val="baseline"/>
              <w:rPr>
                <w:rFonts w:ascii="宋体" w:cs="宋体"/>
                <w:b/>
                <w:color w:val="auto"/>
                <w:szCs w:val="21"/>
                <w:highlight w:val="none"/>
              </w:rPr>
            </w:pPr>
            <w:r>
              <w:rPr>
                <w:rFonts w:hint="eastAsia" w:ascii="宋体" w:cs="宋体"/>
                <w:b/>
                <w:color w:val="auto"/>
                <w:szCs w:val="21"/>
                <w:highlight w:val="none"/>
              </w:rPr>
              <w:t>满分14分</w:t>
            </w:r>
          </w:p>
        </w:tc>
        <w:tc>
          <w:tcPr>
            <w:tcW w:w="6909" w:type="dxa"/>
            <w:gridSpan w:val="2"/>
            <w:vAlign w:val="center"/>
          </w:tcPr>
          <w:p w14:paraId="74D42C0D">
            <w:pPr>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供应商提供2021年以来类似项目业绩，每个得2分，</w:t>
            </w:r>
            <w:r>
              <w:rPr>
                <w:rFonts w:hint="eastAsia" w:ascii="宋体" w:hAnsi="宋体" w:eastAsia="宋体" w:cs="宋体"/>
                <w:b/>
                <w:color w:val="auto"/>
                <w:kern w:val="0"/>
                <w:sz w:val="21"/>
                <w:szCs w:val="21"/>
                <w:highlight w:val="none"/>
              </w:rPr>
              <w:t>满分10分</w:t>
            </w:r>
            <w:r>
              <w:rPr>
                <w:rFonts w:hint="eastAsia" w:ascii="宋体" w:hAnsi="宋体" w:eastAsia="宋体" w:cs="宋体"/>
                <w:bCs/>
                <w:color w:val="auto"/>
                <w:kern w:val="0"/>
                <w:sz w:val="21"/>
                <w:szCs w:val="21"/>
                <w:highlight w:val="none"/>
              </w:rPr>
              <w:t>（提供合同或中标（成交）通知书复印件，原件备查，否则不得分）。</w:t>
            </w:r>
          </w:p>
          <w:p w14:paraId="4B3A0143">
            <w:pPr>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供应商通过ISO9001质量管理标准认证，得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p w14:paraId="76099225">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、供应商具有信息系统运行维护能力证书得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p w14:paraId="41039B81">
            <w:pPr>
              <w:pStyle w:val="91"/>
              <w:ind w:firstLine="0" w:firstLineChars="0"/>
              <w:rPr>
                <w:rFonts w:hint="eastAsia" w:eastAsia="宋体" w:cs="宋体"/>
                <w:color w:val="auto"/>
                <w:kern w:val="1"/>
                <w:sz w:val="21"/>
                <w:highlight w:val="none"/>
                <w:lang w:val="en-US" w:eastAsia="zh-CN"/>
              </w:rPr>
            </w:pPr>
            <w:r>
              <w:rPr>
                <w:rFonts w:hint="eastAsia" w:ascii="宋体" w:hAnsi="宋体" w:eastAsia="宋体" w:cs="宋体"/>
                <w:bCs/>
                <w:color w:val="auto"/>
                <w:kern w:val="0"/>
                <w:sz w:val="21"/>
                <w:szCs w:val="21"/>
                <w:highlight w:val="none"/>
              </w:rPr>
              <w:t>以上材料须提供复印件加盖公章。</w:t>
            </w:r>
          </w:p>
        </w:tc>
      </w:tr>
      <w:tr w14:paraId="1C0A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3836F5F">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01141E2C">
      <w:pPr>
        <w:rPr>
          <w:rFonts w:hint="eastAsia" w:ascii="宋体" w:hAnsi="宋体" w:cs="宋体"/>
          <w:b/>
          <w:color w:val="auto"/>
          <w:szCs w:val="21"/>
          <w:highlight w:val="none"/>
        </w:rPr>
      </w:pPr>
    </w:p>
    <w:p w14:paraId="67AC5390">
      <w:pPr>
        <w:rPr>
          <w:rFonts w:hint="eastAsia" w:ascii="宋体" w:hAnsi="宋体" w:cs="宋体"/>
          <w:b/>
          <w:color w:val="auto"/>
          <w:szCs w:val="21"/>
          <w:highlight w:val="none"/>
        </w:rPr>
      </w:pPr>
    </w:p>
    <w:p w14:paraId="54B2C254">
      <w:pPr>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BA7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66A6A20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2294DF8">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0D35858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48FF830C">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0A2A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BEC6FA4">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79F41718">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00CAF8E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2</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06609976">
            <w:pPr>
              <w:pStyle w:val="20"/>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20D90D53">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02BC0E15">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337610F">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2146C89">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2</w:t>
            </w:r>
            <w:r>
              <w:rPr>
                <w:b/>
                <w:bCs/>
                <w:color w:val="auto"/>
                <w:highlight w:val="none"/>
              </w:rPr>
              <w:t>0</w:t>
            </w:r>
            <w:r>
              <w:rPr>
                <w:rFonts w:hint="eastAsia"/>
                <w:b/>
                <w:bCs/>
                <w:color w:val="auto"/>
                <w:highlight w:val="none"/>
              </w:rPr>
              <w:t>分）</w:t>
            </w:r>
          </w:p>
          <w:p w14:paraId="47140ED5">
            <w:pPr>
              <w:pStyle w:val="20"/>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7AA34C6D">
            <w:pPr>
              <w:pStyle w:val="20"/>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4AB688CD">
            <w:pPr>
              <w:pStyle w:val="20"/>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int="eastAsia" w:hAnsi="宋体" w:cs="宋体"/>
                <w:bCs/>
                <w:color w:val="auto"/>
                <w:sz w:val="21"/>
                <w:highlight w:val="none"/>
                <w:lang w:val="en-US" w:eastAsia="zh-CN"/>
              </w:rPr>
              <w:t>2</w:t>
            </w:r>
            <w:r>
              <w:rPr>
                <w:rFonts w:hAnsi="宋体" w:cs="宋体"/>
                <w:bCs/>
                <w:color w:val="auto"/>
                <w:sz w:val="21"/>
                <w:highlight w:val="none"/>
              </w:rPr>
              <w:t>0</w:t>
            </w:r>
            <w:r>
              <w:rPr>
                <w:rFonts w:hint="eastAsia" w:hAnsi="宋体" w:cs="宋体"/>
                <w:bCs/>
                <w:color w:val="auto"/>
                <w:sz w:val="21"/>
                <w:highlight w:val="none"/>
              </w:rPr>
              <w:t>分</w:t>
            </w:r>
          </w:p>
        </w:tc>
      </w:tr>
      <w:tr w14:paraId="7D75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2C2CC8DF">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14B13584">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10D3E777">
            <w:pPr>
              <w:adjustRightInd w:val="0"/>
              <w:spacing w:line="360" w:lineRule="auto"/>
              <w:jc w:val="center"/>
              <w:textAlignment w:val="baseline"/>
              <w:rPr>
                <w:rFonts w:ascii="宋体" w:cs="宋体"/>
                <w:b/>
                <w:color w:val="auto"/>
                <w:szCs w:val="21"/>
                <w:highlight w:val="none"/>
              </w:rPr>
            </w:pPr>
            <w:r>
              <w:rPr>
                <w:rFonts w:hint="eastAsia" w:ascii="宋体" w:hAnsi="宋体"/>
                <w:b/>
                <w:color w:val="auto"/>
                <w:szCs w:val="21"/>
                <w:highlight w:val="none"/>
              </w:rPr>
              <w:t>满分66分</w:t>
            </w:r>
          </w:p>
        </w:tc>
        <w:tc>
          <w:tcPr>
            <w:tcW w:w="1244" w:type="dxa"/>
            <w:vAlign w:val="center"/>
          </w:tcPr>
          <w:p w14:paraId="1814DD98">
            <w:pPr>
              <w:spacing w:line="360" w:lineRule="auto"/>
              <w:jc w:val="center"/>
              <w:rPr>
                <w:rFonts w:ascii="宋体" w:cs="宋体"/>
                <w:bCs/>
                <w:color w:val="auto"/>
                <w:szCs w:val="21"/>
                <w:highlight w:val="none"/>
              </w:rPr>
            </w:pPr>
            <w:r>
              <w:rPr>
                <w:rFonts w:hint="eastAsia" w:ascii="宋体" w:hAnsi="宋体" w:eastAsia="宋体" w:cs="宋体"/>
                <w:b/>
                <w:color w:val="auto"/>
                <w:kern w:val="0"/>
                <w:sz w:val="21"/>
                <w:szCs w:val="21"/>
                <w:highlight w:val="none"/>
              </w:rPr>
              <w:t>服务方案分（满分24分）</w:t>
            </w:r>
          </w:p>
        </w:tc>
        <w:tc>
          <w:tcPr>
            <w:tcW w:w="5665" w:type="dxa"/>
            <w:vAlign w:val="center"/>
          </w:tcPr>
          <w:p w14:paraId="77069480">
            <w:pPr>
              <w:spacing w:line="360" w:lineRule="auto"/>
              <w:ind w:firstLine="420" w:firstLineChars="200"/>
              <w:jc w:val="left"/>
              <w:rPr>
                <w:rFonts w:cs="宋体"/>
                <w:bCs/>
                <w:color w:val="auto"/>
                <w:highlight w:val="none"/>
              </w:rPr>
            </w:pPr>
            <w:r>
              <w:rPr>
                <w:rFonts w:cs="宋体"/>
                <w:bCs/>
                <w:color w:val="auto"/>
                <w:highlight w:val="none"/>
              </w:rPr>
              <w:t xml:space="preserve"> </w:t>
            </w:r>
            <w:r>
              <w:rPr>
                <w:rFonts w:hint="eastAsia" w:cs="宋体"/>
                <w:bCs/>
                <w:color w:val="auto"/>
                <w:highlight w:val="none"/>
              </w:rPr>
              <w:t>由磋商小组在打分前根据各供应商的服务方案确定各供应商所属档次及得分。达不到一档要求或不提供的得0分。</w:t>
            </w:r>
          </w:p>
          <w:p w14:paraId="35CAE205">
            <w:pPr>
              <w:spacing w:line="360" w:lineRule="auto"/>
              <w:ind w:firstLine="420" w:firstLineChars="200"/>
              <w:jc w:val="left"/>
              <w:rPr>
                <w:rFonts w:cs="宋体"/>
                <w:bCs/>
                <w:color w:val="auto"/>
                <w:highlight w:val="none"/>
              </w:rPr>
            </w:pPr>
            <w:r>
              <w:rPr>
                <w:rFonts w:hint="eastAsia" w:cs="宋体"/>
                <w:bCs/>
                <w:color w:val="auto"/>
                <w:highlight w:val="none"/>
              </w:rPr>
              <w:t>一档（</w:t>
            </w:r>
            <w:r>
              <w:rPr>
                <w:rFonts w:cs="宋体"/>
                <w:bCs/>
                <w:color w:val="auto"/>
                <w:highlight w:val="none"/>
              </w:rPr>
              <w:t>6</w:t>
            </w:r>
            <w:r>
              <w:rPr>
                <w:rFonts w:hint="eastAsia" w:cs="宋体"/>
                <w:bCs/>
                <w:color w:val="auto"/>
                <w:highlight w:val="none"/>
              </w:rPr>
              <w:t>分）：服务方案完整，对采购人需求理解，服务内容简单，基本符合要求；</w:t>
            </w:r>
          </w:p>
          <w:p w14:paraId="202A37B5">
            <w:pPr>
              <w:spacing w:line="360" w:lineRule="auto"/>
              <w:ind w:firstLine="420" w:firstLineChars="200"/>
              <w:jc w:val="left"/>
              <w:rPr>
                <w:rFonts w:cs="宋体"/>
                <w:bCs/>
                <w:color w:val="auto"/>
                <w:highlight w:val="none"/>
              </w:rPr>
            </w:pPr>
            <w:r>
              <w:rPr>
                <w:rFonts w:hint="eastAsia" w:cs="宋体"/>
                <w:bCs/>
                <w:color w:val="auto"/>
                <w:highlight w:val="none"/>
              </w:rPr>
              <w:t>二档（</w:t>
            </w:r>
            <w:r>
              <w:rPr>
                <w:rFonts w:cs="宋体"/>
                <w:bCs/>
                <w:color w:val="auto"/>
                <w:highlight w:val="none"/>
              </w:rPr>
              <w:t>12</w:t>
            </w:r>
            <w:r>
              <w:rPr>
                <w:rFonts w:hint="eastAsia" w:cs="宋体"/>
                <w:bCs/>
                <w:color w:val="auto"/>
                <w:highlight w:val="none"/>
              </w:rPr>
              <w:t>分）：服务方案完整清晰，对采购人需求理解，方案详细，服务全面；有一定的可操作性。</w:t>
            </w:r>
          </w:p>
          <w:p w14:paraId="2B120525">
            <w:pPr>
              <w:spacing w:line="360" w:lineRule="auto"/>
              <w:ind w:firstLine="420" w:firstLineChars="200"/>
              <w:jc w:val="left"/>
              <w:rPr>
                <w:rFonts w:cs="宋体"/>
                <w:bCs/>
                <w:color w:val="auto"/>
                <w:highlight w:val="none"/>
              </w:rPr>
            </w:pPr>
            <w:r>
              <w:rPr>
                <w:rFonts w:hint="eastAsia" w:cs="宋体"/>
                <w:bCs/>
                <w:color w:val="auto"/>
                <w:highlight w:val="none"/>
              </w:rPr>
              <w:t>三档（</w:t>
            </w:r>
            <w:r>
              <w:rPr>
                <w:rFonts w:cs="宋体"/>
                <w:bCs/>
                <w:color w:val="auto"/>
                <w:highlight w:val="none"/>
              </w:rPr>
              <w:t>18</w:t>
            </w:r>
            <w:r>
              <w:rPr>
                <w:rFonts w:hint="eastAsia" w:cs="宋体"/>
                <w:bCs/>
                <w:color w:val="auto"/>
                <w:highlight w:val="none"/>
              </w:rPr>
              <w:t>分）：服务方案完整清晰，熟练理解采购人需求，方案详细，服务全面，对运营平台的功能理解透彻，思路清晰，富有创意，实用性和可操作性强的。</w:t>
            </w:r>
          </w:p>
          <w:p w14:paraId="0FD669D6">
            <w:pPr>
              <w:spacing w:line="360" w:lineRule="auto"/>
              <w:ind w:firstLine="420" w:firstLineChars="200"/>
              <w:jc w:val="left"/>
              <w:rPr>
                <w:rFonts w:cs="宋体"/>
                <w:bCs/>
                <w:color w:val="auto"/>
                <w:highlight w:val="none"/>
              </w:rPr>
            </w:pPr>
            <w:r>
              <w:rPr>
                <w:rFonts w:hint="eastAsia" w:cs="宋体"/>
                <w:bCs/>
                <w:color w:val="auto"/>
                <w:highlight w:val="none"/>
              </w:rPr>
              <w:t>四档（</w:t>
            </w:r>
            <w:r>
              <w:rPr>
                <w:rFonts w:cs="宋体"/>
                <w:bCs/>
                <w:color w:val="auto"/>
                <w:highlight w:val="none"/>
              </w:rPr>
              <w:t>24</w:t>
            </w:r>
            <w:r>
              <w:rPr>
                <w:rFonts w:hint="eastAsia" w:cs="宋体"/>
                <w:bCs/>
                <w:color w:val="auto"/>
                <w:highlight w:val="none"/>
              </w:rPr>
              <w:t>分）：服务方案完整清晰，熟练理解用户需求，方案全面，服务全面，对运营平台的功能理解透彻，思路清晰，富有创意，对项目实际情况具有针对性，具有前瞻性、战略性，实用性和可操作性强。</w:t>
            </w:r>
          </w:p>
        </w:tc>
      </w:tr>
      <w:tr w14:paraId="169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14604B85">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049C1BBD">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7BADD2FB">
            <w:pPr>
              <w:adjustRightInd w:val="0"/>
              <w:spacing w:line="360" w:lineRule="auto"/>
              <w:jc w:val="center"/>
              <w:textAlignment w:val="baseline"/>
              <w:rPr>
                <w:rFonts w:ascii="宋体" w:cs="宋体"/>
                <w:b/>
                <w:color w:val="auto"/>
                <w:szCs w:val="21"/>
                <w:highlight w:val="none"/>
              </w:rPr>
            </w:pPr>
          </w:p>
        </w:tc>
        <w:tc>
          <w:tcPr>
            <w:tcW w:w="1244" w:type="dxa"/>
            <w:vAlign w:val="center"/>
          </w:tcPr>
          <w:p w14:paraId="1CAABDC2">
            <w:pPr>
              <w:autoSpaceDE w:val="0"/>
              <w:autoSpaceDN w:val="0"/>
              <w:adjustRightInd w:val="0"/>
              <w:spacing w:line="360" w:lineRule="auto"/>
              <w:jc w:val="center"/>
              <w:rPr>
                <w:rFonts w:hAnsi="宋体" w:cs="宋体"/>
                <w:bCs/>
                <w:color w:val="auto"/>
                <w:highlight w:val="none"/>
              </w:rPr>
            </w:pPr>
            <w:r>
              <w:rPr>
                <w:rFonts w:hint="eastAsia" w:ascii="宋体" w:hAnsi="宋体" w:cs="宋体"/>
                <w:b/>
                <w:color w:val="auto"/>
                <w:kern w:val="0"/>
                <w:sz w:val="22"/>
                <w:szCs w:val="21"/>
                <w:highlight w:val="none"/>
              </w:rPr>
              <w:t>驻场服务分（满分</w:t>
            </w:r>
            <w:r>
              <w:rPr>
                <w:rFonts w:ascii="宋体" w:hAnsi="宋体" w:cs="宋体"/>
                <w:b/>
                <w:color w:val="auto"/>
                <w:kern w:val="0"/>
                <w:sz w:val="22"/>
                <w:szCs w:val="21"/>
                <w:highlight w:val="none"/>
              </w:rPr>
              <w:t>12</w:t>
            </w:r>
            <w:r>
              <w:rPr>
                <w:rFonts w:hint="eastAsia" w:ascii="宋体" w:hAnsi="宋体" w:cs="宋体"/>
                <w:b/>
                <w:color w:val="auto"/>
                <w:kern w:val="0"/>
                <w:sz w:val="22"/>
                <w:szCs w:val="21"/>
                <w:highlight w:val="none"/>
              </w:rPr>
              <w:t>分）</w:t>
            </w:r>
          </w:p>
        </w:tc>
        <w:tc>
          <w:tcPr>
            <w:tcW w:w="5665" w:type="dxa"/>
            <w:vAlign w:val="center"/>
          </w:tcPr>
          <w:p w14:paraId="275BC142">
            <w:pPr>
              <w:autoSpaceDE w:val="0"/>
              <w:autoSpaceDN w:val="0"/>
              <w:adjustRightInd w:val="0"/>
              <w:spacing w:line="360" w:lineRule="auto"/>
              <w:ind w:firstLine="420"/>
              <w:jc w:val="left"/>
              <w:rPr>
                <w:rFonts w:hint="default" w:eastAsia="宋体"/>
                <w:color w:val="auto"/>
                <w:highlight w:val="none"/>
                <w:lang w:val="en-US" w:eastAsia="zh-CN"/>
              </w:rPr>
            </w:pPr>
            <w:r>
              <w:rPr>
                <w:rFonts w:hint="eastAsia"/>
                <w:color w:val="auto"/>
                <w:highlight w:val="none"/>
              </w:rPr>
              <w:t>提供主要技术人员驻场服务1年，承诺提供1人得6分，承诺提供2人以上得12分。</w:t>
            </w:r>
            <w:r>
              <w:rPr>
                <w:rFonts w:hint="eastAsia"/>
                <w:b/>
                <w:bCs/>
                <w:color w:val="auto"/>
                <w:highlight w:val="none"/>
                <w:lang w:val="en-US" w:eastAsia="zh-CN"/>
              </w:rPr>
              <w:t>满分12分。</w:t>
            </w:r>
          </w:p>
          <w:p w14:paraId="36B83C3F">
            <w:pPr>
              <w:autoSpaceDE w:val="0"/>
              <w:autoSpaceDN w:val="0"/>
              <w:adjustRightInd w:val="0"/>
              <w:spacing w:line="360" w:lineRule="auto"/>
              <w:ind w:firstLine="420" w:firstLineChars="0"/>
              <w:jc w:val="left"/>
              <w:rPr>
                <w:rFonts w:cs="宋体"/>
                <w:bCs/>
                <w:color w:val="auto"/>
                <w:highlight w:val="none"/>
              </w:rPr>
            </w:pPr>
            <w:r>
              <w:rPr>
                <w:rFonts w:hint="eastAsia"/>
                <w:color w:val="auto"/>
                <w:highlight w:val="none"/>
              </w:rPr>
              <w:t>注：</w:t>
            </w:r>
            <w:r>
              <w:rPr>
                <w:rFonts w:hint="eastAsia" w:cs="宋体"/>
                <w:bCs/>
                <w:color w:val="auto"/>
                <w:highlight w:val="none"/>
                <w:lang w:val="en-US" w:eastAsia="zh-CN"/>
              </w:rPr>
              <w:t>注，需</w:t>
            </w:r>
            <w:r>
              <w:rPr>
                <w:rFonts w:hint="eastAsia" w:cs="宋体"/>
                <w:bCs/>
                <w:color w:val="auto"/>
                <w:highlight w:val="none"/>
              </w:rPr>
              <w:t>提供</w:t>
            </w:r>
            <w:r>
              <w:rPr>
                <w:rFonts w:hint="eastAsia" w:ascii="宋体" w:hAnsi="宋体" w:cs="宋体"/>
                <w:bCs/>
                <w:color w:val="auto"/>
                <w:highlight w:val="none"/>
              </w:rPr>
              <w:t>供应商为其缴纳的2025年1月-</w:t>
            </w:r>
            <w:r>
              <w:rPr>
                <w:rFonts w:hint="eastAsia" w:ascii="宋体" w:hAnsi="宋体" w:cs="宋体"/>
                <w:bCs/>
                <w:color w:val="auto"/>
                <w:highlight w:val="none"/>
                <w:lang w:val="en-US" w:eastAsia="zh-CN"/>
              </w:rPr>
              <w:t>6</w:t>
            </w:r>
            <w:r>
              <w:rPr>
                <w:rFonts w:hint="eastAsia" w:ascii="宋体" w:hAnsi="宋体" w:cs="宋体"/>
                <w:bCs/>
                <w:color w:val="auto"/>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0EA8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1F0E5814">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670927F3">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10E29C70">
            <w:pPr>
              <w:adjustRightInd w:val="0"/>
              <w:spacing w:line="360" w:lineRule="auto"/>
              <w:jc w:val="center"/>
              <w:textAlignment w:val="baseline"/>
              <w:rPr>
                <w:rFonts w:ascii="宋体" w:cs="宋体"/>
                <w:b/>
                <w:color w:val="auto"/>
                <w:szCs w:val="21"/>
                <w:highlight w:val="none"/>
              </w:rPr>
            </w:pPr>
          </w:p>
        </w:tc>
        <w:tc>
          <w:tcPr>
            <w:tcW w:w="1244" w:type="dxa"/>
            <w:vAlign w:val="center"/>
          </w:tcPr>
          <w:p w14:paraId="5F731A3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rPr>
              <w:t>组织实施方案分（满分15分）</w:t>
            </w:r>
          </w:p>
        </w:tc>
        <w:tc>
          <w:tcPr>
            <w:tcW w:w="5665" w:type="dxa"/>
            <w:vAlign w:val="center"/>
          </w:tcPr>
          <w:p w14:paraId="4BA00AEF">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 由磋商小组在打分前根据各供应商组织实施方案的可行性和成熟度确定各供应商所属档次及得分，</w:t>
            </w:r>
            <w:r>
              <w:rPr>
                <w:rFonts w:hint="eastAsia" w:ascii="宋体" w:hAnsi="宋体" w:eastAsia="宋体" w:cs="宋体"/>
                <w:color w:val="auto"/>
                <w:kern w:val="1"/>
                <w:sz w:val="21"/>
                <w:szCs w:val="21"/>
                <w:highlight w:val="none"/>
              </w:rPr>
              <w:t>达不到一档要求或不提供的得0分。</w:t>
            </w:r>
          </w:p>
          <w:p w14:paraId="2867877F">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一档（5分）：实施方案完整，实施计划可行，项目管理组织机构及人员职能满足要求。</w:t>
            </w:r>
          </w:p>
          <w:p w14:paraId="7DF9C5A5">
            <w:pPr>
              <w:autoSpaceDE w:val="0"/>
              <w:autoSpaceDN w:val="0"/>
              <w:adjustRightInd w:val="0"/>
              <w:spacing w:line="360" w:lineRule="auto"/>
              <w:ind w:firstLine="42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二档（10分）：实施方案完整清晰，实施计划完整可行，项目管理组织机构及人员职能清晰。</w:t>
            </w:r>
          </w:p>
          <w:p w14:paraId="3060D07F">
            <w:pPr>
              <w:autoSpaceDE w:val="0"/>
              <w:autoSpaceDN w:val="0"/>
              <w:adjustRightInd w:val="0"/>
              <w:spacing w:line="360" w:lineRule="auto"/>
              <w:ind w:firstLine="42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三档（15分）：实施方案清晰、针对性强，实施计划完整明晰、可操作性强，项目管理组织机构及人员职能清晰可控。</w:t>
            </w:r>
          </w:p>
        </w:tc>
      </w:tr>
      <w:tr w14:paraId="198E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C8A5084">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2F648CF5">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329493E7">
            <w:pPr>
              <w:adjustRightInd w:val="0"/>
              <w:spacing w:line="360" w:lineRule="auto"/>
              <w:jc w:val="center"/>
              <w:textAlignment w:val="baseline"/>
              <w:rPr>
                <w:rFonts w:ascii="宋体" w:cs="宋体"/>
                <w:b/>
                <w:color w:val="auto"/>
                <w:szCs w:val="21"/>
                <w:highlight w:val="none"/>
              </w:rPr>
            </w:pPr>
          </w:p>
        </w:tc>
        <w:tc>
          <w:tcPr>
            <w:tcW w:w="1244" w:type="dxa"/>
            <w:vAlign w:val="center"/>
          </w:tcPr>
          <w:p w14:paraId="78CE37BF">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服务保障方案分（满分15分）</w:t>
            </w:r>
          </w:p>
          <w:p w14:paraId="1CAC931B">
            <w:pPr>
              <w:spacing w:line="360" w:lineRule="auto"/>
              <w:jc w:val="center"/>
              <w:rPr>
                <w:rFonts w:hint="eastAsia" w:ascii="宋体" w:hAnsi="宋体" w:eastAsia="宋体" w:cs="宋体"/>
                <w:bCs/>
                <w:color w:val="auto"/>
                <w:sz w:val="21"/>
                <w:szCs w:val="21"/>
                <w:highlight w:val="none"/>
              </w:rPr>
            </w:pPr>
          </w:p>
        </w:tc>
        <w:tc>
          <w:tcPr>
            <w:tcW w:w="5665" w:type="dxa"/>
            <w:vAlign w:val="center"/>
          </w:tcPr>
          <w:p w14:paraId="01297EAF">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由磋商小组在打分前根据各供应商服务保障方案内容的完整性、可行性、到达突发现场时间、服务优惠及其他优惠确定各供应商所属档次及得分，</w:t>
            </w:r>
            <w:r>
              <w:rPr>
                <w:rFonts w:hint="eastAsia" w:ascii="宋体" w:hAnsi="宋体" w:eastAsia="宋体" w:cs="宋体"/>
                <w:color w:val="auto"/>
                <w:kern w:val="1"/>
                <w:sz w:val="21"/>
                <w:szCs w:val="21"/>
                <w:highlight w:val="none"/>
              </w:rPr>
              <w:t>达不到一档要求或不提供的得0分</w:t>
            </w:r>
          </w:p>
          <w:p w14:paraId="778EC808">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一档（5分）：供应商服务保障方案简单、基本满足采购文件要求。</w:t>
            </w:r>
          </w:p>
          <w:p w14:paraId="02154BA2">
            <w:pPr>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二档（10分）：供应商服务保障方案全面、可行，服务措施到位，能更好地为采购人服务。</w:t>
            </w:r>
          </w:p>
          <w:p w14:paraId="64EC8A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三档（15分）：供应商服务保障方案详细、具体、有效，可操作性强，方案包含有项目售后维护、保密承诺及廉洁承诺等，且描述了项目售后维护和应急保障方案的方法以及实现方式 ，服务保障方案机构及联系人、技术人员名单等资料详细，服务承诺和保障措施考虑周全完整，有额外优惠服务。</w:t>
            </w:r>
          </w:p>
        </w:tc>
      </w:tr>
      <w:tr w14:paraId="6AB9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7D888915">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28C82D7F">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BA05C77">
            <w:pPr>
              <w:adjustRightInd w:val="0"/>
              <w:spacing w:line="360" w:lineRule="auto"/>
              <w:jc w:val="center"/>
              <w:textAlignment w:val="baseline"/>
              <w:rPr>
                <w:rFonts w:ascii="宋体" w:cs="宋体"/>
                <w:b/>
                <w:color w:val="auto"/>
                <w:szCs w:val="21"/>
                <w:highlight w:val="none"/>
              </w:rPr>
            </w:pPr>
            <w:r>
              <w:rPr>
                <w:rFonts w:hint="eastAsia" w:ascii="宋体" w:cs="宋体"/>
                <w:b/>
                <w:color w:val="auto"/>
                <w:szCs w:val="21"/>
                <w:highlight w:val="none"/>
              </w:rPr>
              <w:t>满分14分</w:t>
            </w:r>
          </w:p>
        </w:tc>
        <w:tc>
          <w:tcPr>
            <w:tcW w:w="6909" w:type="dxa"/>
            <w:gridSpan w:val="2"/>
            <w:vAlign w:val="center"/>
          </w:tcPr>
          <w:p w14:paraId="30175341">
            <w:pPr>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供应商提供2021年以来类似项目业绩，每个得2分，</w:t>
            </w:r>
            <w:r>
              <w:rPr>
                <w:rFonts w:hint="eastAsia" w:ascii="宋体" w:hAnsi="宋体" w:eastAsia="宋体" w:cs="宋体"/>
                <w:b/>
                <w:color w:val="auto"/>
                <w:kern w:val="0"/>
                <w:sz w:val="21"/>
                <w:szCs w:val="21"/>
                <w:highlight w:val="none"/>
              </w:rPr>
              <w:t>满分10分</w:t>
            </w:r>
            <w:r>
              <w:rPr>
                <w:rFonts w:hint="eastAsia" w:ascii="宋体" w:hAnsi="宋体" w:eastAsia="宋体" w:cs="宋体"/>
                <w:bCs/>
                <w:color w:val="auto"/>
                <w:kern w:val="0"/>
                <w:sz w:val="21"/>
                <w:szCs w:val="21"/>
                <w:highlight w:val="none"/>
              </w:rPr>
              <w:t>（提供合同或中标（成交）通知书复印件，原件备查，否则不得分）。</w:t>
            </w:r>
          </w:p>
          <w:p w14:paraId="0D5B22EA">
            <w:pPr>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供应商通过ISO9001质量管理标准认证，得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p w14:paraId="2A36C33E">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供应商具有信息系统运行维护能力证书得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p w14:paraId="4CE25E28">
            <w:pPr>
              <w:pStyle w:val="91"/>
              <w:ind w:firstLine="0" w:firstLineChars="0"/>
              <w:rPr>
                <w:rFonts w:hint="eastAsia" w:eastAsia="宋体" w:cs="宋体"/>
                <w:color w:val="auto"/>
                <w:kern w:val="1"/>
                <w:sz w:val="21"/>
                <w:highlight w:val="none"/>
                <w:lang w:val="en-US" w:eastAsia="zh-CN"/>
              </w:rPr>
            </w:pPr>
            <w:r>
              <w:rPr>
                <w:rFonts w:hint="eastAsia" w:ascii="宋体" w:hAnsi="宋体" w:eastAsia="宋体" w:cs="宋体"/>
                <w:bCs/>
                <w:color w:val="auto"/>
                <w:kern w:val="0"/>
                <w:sz w:val="21"/>
                <w:szCs w:val="21"/>
                <w:highlight w:val="none"/>
              </w:rPr>
              <w:t>以上材料须提供复印件加盖公章。</w:t>
            </w:r>
          </w:p>
        </w:tc>
      </w:tr>
      <w:tr w14:paraId="0617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4DA3AE0">
            <w:pPr>
              <w:pStyle w:val="20"/>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342F0286">
      <w:pPr>
        <w:rPr>
          <w:rFonts w:ascii="宋体" w:cs="宋体"/>
          <w:bCs/>
          <w:color w:val="auto"/>
          <w:szCs w:val="21"/>
          <w:highlight w:val="none"/>
        </w:rPr>
      </w:pPr>
    </w:p>
    <w:p w14:paraId="2C0A153C">
      <w:pPr>
        <w:rPr>
          <w:rFonts w:ascii="宋体" w:cs="宋体"/>
          <w:bCs/>
          <w:color w:val="auto"/>
          <w:szCs w:val="21"/>
          <w:highlight w:val="none"/>
        </w:rPr>
      </w:pPr>
    </w:p>
    <w:p w14:paraId="7805ABA7">
      <w:pPr>
        <w:rPr>
          <w:rFonts w:ascii="宋体" w:cs="宋体"/>
          <w:color w:val="auto"/>
          <w:highlight w:val="none"/>
        </w:rPr>
      </w:pPr>
      <w:r>
        <w:rPr>
          <w:rFonts w:ascii="宋体" w:hAnsi="宋体" w:cs="宋体"/>
          <w:bCs/>
          <w:color w:val="auto"/>
          <w:szCs w:val="21"/>
          <w:highlight w:val="none"/>
        </w:rPr>
        <w:t>7.</w:t>
      </w: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名成交候选供应商，并编写评审报告。符合本章第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家成交候选供应商。评审得分相同的，按照最后报价（不计算价格折扣）由低到高的顺序推荐。评审得分且最后报价（不计算价格折扣）相同的，按照技术分高低顺序推荐。</w:t>
      </w:r>
    </w:p>
    <w:p w14:paraId="4117889A">
      <w:pPr>
        <w:pStyle w:val="2"/>
        <w:rPr>
          <w:rFonts w:ascii="宋体" w:cs="宋体"/>
          <w:color w:val="auto"/>
          <w:highlight w:val="none"/>
        </w:rPr>
      </w:pPr>
      <w:r>
        <w:rPr>
          <w:rFonts w:ascii="宋体" w:cs="宋体"/>
          <w:color w:val="auto"/>
          <w:highlight w:val="none"/>
        </w:rPr>
        <w:br w:type="page"/>
      </w:r>
    </w:p>
    <w:p w14:paraId="044D5C79">
      <w:pPr>
        <w:pStyle w:val="2"/>
        <w:rPr>
          <w:rFonts w:ascii="宋体" w:cs="宋体"/>
          <w:color w:val="auto"/>
          <w:highlight w:val="none"/>
        </w:rPr>
      </w:pPr>
      <w:bookmarkStart w:id="45" w:name="_Toc16056"/>
      <w:bookmarkStart w:id="46" w:name="_Toc22926"/>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45"/>
      <w:bookmarkEnd w:id="46"/>
    </w:p>
    <w:p w14:paraId="11909E9E">
      <w:pPr>
        <w:spacing w:line="240" w:lineRule="atLeast"/>
        <w:rPr>
          <w:rFonts w:ascii="宋体" w:cs="宋体"/>
          <w:b/>
          <w:color w:val="auto"/>
          <w:sz w:val="32"/>
          <w:szCs w:val="32"/>
          <w:highlight w:val="none"/>
        </w:rPr>
      </w:pPr>
    </w:p>
    <w:p w14:paraId="053EF11E">
      <w:pPr>
        <w:spacing w:line="240" w:lineRule="atLeast"/>
        <w:rPr>
          <w:rFonts w:ascii="宋体" w:cs="宋体"/>
          <w:b/>
          <w:color w:val="auto"/>
          <w:sz w:val="32"/>
          <w:szCs w:val="32"/>
          <w:highlight w:val="none"/>
        </w:rPr>
      </w:pPr>
    </w:p>
    <w:p w14:paraId="4C5349FB">
      <w:pPr>
        <w:spacing w:line="240" w:lineRule="atLeast"/>
        <w:rPr>
          <w:rFonts w:ascii="宋体" w:cs="宋体"/>
          <w:b/>
          <w:color w:val="auto"/>
          <w:sz w:val="32"/>
          <w:szCs w:val="32"/>
          <w:highlight w:val="none"/>
        </w:rPr>
      </w:pPr>
    </w:p>
    <w:p w14:paraId="08F6F1E0">
      <w:pPr>
        <w:spacing w:line="240" w:lineRule="atLeast"/>
        <w:rPr>
          <w:rFonts w:ascii="宋体" w:cs="宋体"/>
          <w:b/>
          <w:color w:val="auto"/>
          <w:sz w:val="32"/>
          <w:szCs w:val="32"/>
          <w:highlight w:val="none"/>
        </w:rPr>
      </w:pPr>
    </w:p>
    <w:p w14:paraId="3741AFC8">
      <w:pPr>
        <w:spacing w:line="240" w:lineRule="atLeast"/>
        <w:rPr>
          <w:rFonts w:ascii="宋体" w:cs="宋体"/>
          <w:b/>
          <w:color w:val="auto"/>
          <w:sz w:val="32"/>
          <w:szCs w:val="32"/>
          <w:highlight w:val="none"/>
        </w:rPr>
      </w:pPr>
    </w:p>
    <w:p w14:paraId="4BD53F53">
      <w:pPr>
        <w:spacing w:line="240" w:lineRule="atLeast"/>
        <w:rPr>
          <w:rFonts w:ascii="宋体" w:cs="宋体"/>
          <w:b/>
          <w:color w:val="auto"/>
          <w:sz w:val="32"/>
          <w:szCs w:val="32"/>
          <w:highlight w:val="none"/>
        </w:rPr>
      </w:pPr>
    </w:p>
    <w:p w14:paraId="78F5C647">
      <w:pPr>
        <w:spacing w:line="240" w:lineRule="atLeast"/>
        <w:rPr>
          <w:rFonts w:ascii="宋体" w:cs="宋体"/>
          <w:b/>
          <w:color w:val="auto"/>
          <w:sz w:val="32"/>
          <w:szCs w:val="32"/>
          <w:highlight w:val="none"/>
        </w:rPr>
      </w:pPr>
    </w:p>
    <w:p w14:paraId="0A66F577">
      <w:pPr>
        <w:spacing w:line="240" w:lineRule="atLeast"/>
        <w:rPr>
          <w:rFonts w:ascii="宋体" w:cs="宋体"/>
          <w:b/>
          <w:color w:val="auto"/>
          <w:sz w:val="32"/>
          <w:szCs w:val="32"/>
          <w:highlight w:val="none"/>
        </w:rPr>
      </w:pPr>
    </w:p>
    <w:p w14:paraId="766FFD75">
      <w:pPr>
        <w:spacing w:line="240" w:lineRule="atLeast"/>
        <w:rPr>
          <w:rFonts w:ascii="宋体" w:cs="宋体"/>
          <w:b/>
          <w:color w:val="auto"/>
          <w:sz w:val="32"/>
          <w:szCs w:val="32"/>
          <w:highlight w:val="none"/>
        </w:rPr>
      </w:pPr>
    </w:p>
    <w:p w14:paraId="06A1C413">
      <w:pPr>
        <w:spacing w:line="240" w:lineRule="atLeast"/>
        <w:rPr>
          <w:rFonts w:ascii="宋体" w:cs="宋体"/>
          <w:bCs/>
          <w:color w:val="auto"/>
          <w:sz w:val="32"/>
          <w:szCs w:val="32"/>
          <w:highlight w:val="none"/>
        </w:rPr>
      </w:pPr>
    </w:p>
    <w:p w14:paraId="51A3C3E0">
      <w:pPr>
        <w:rPr>
          <w:rFonts w:ascii="宋体" w:cs="宋体"/>
          <w:b/>
          <w:color w:val="auto"/>
          <w:sz w:val="32"/>
          <w:szCs w:val="32"/>
          <w:highlight w:val="none"/>
        </w:rPr>
      </w:pPr>
      <w:bookmarkStart w:id="47" w:name="_Toc35611516"/>
      <w:bookmarkStart w:id="48" w:name="_Toc31723070"/>
      <w:bookmarkStart w:id="49" w:name="_Toc31728084"/>
      <w:bookmarkStart w:id="50" w:name="_Toc44229899"/>
      <w:bookmarkStart w:id="51" w:name="_Toc71365925"/>
      <w:bookmarkStart w:id="52" w:name="_Toc35611438"/>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7"/>
      <w:bookmarkEnd w:id="48"/>
      <w:bookmarkEnd w:id="49"/>
      <w:bookmarkEnd w:id="50"/>
      <w:bookmarkEnd w:id="51"/>
      <w:bookmarkEnd w:id="52"/>
    </w:p>
    <w:p w14:paraId="295F7565">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r>
        <w:rPr>
          <w:rFonts w:ascii="宋体" w:hAnsi="宋体" w:cs="宋体"/>
          <w:b/>
          <w:color w:val="auto"/>
          <w:sz w:val="24"/>
          <w:highlight w:val="none"/>
        </w:rPr>
        <w:t xml:space="preserve"> </w:t>
      </w:r>
    </w:p>
    <w:p w14:paraId="1622880F">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E7DB0F1">
      <w:pPr>
        <w:snapToGrid w:val="0"/>
        <w:spacing w:beforeLines="50" w:after="50"/>
        <w:rPr>
          <w:rFonts w:ascii="宋体" w:cs="宋体"/>
          <w:color w:val="auto"/>
          <w:sz w:val="24"/>
          <w:szCs w:val="20"/>
          <w:highlight w:val="none"/>
        </w:rPr>
      </w:pPr>
    </w:p>
    <w:p w14:paraId="60982ECF">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4CA263FD">
      <w:pPr>
        <w:snapToGrid w:val="0"/>
        <w:spacing w:beforeLines="50" w:after="50"/>
        <w:jc w:val="center"/>
        <w:rPr>
          <w:rFonts w:ascii="宋体" w:cs="宋体"/>
          <w:bCs/>
          <w:color w:val="auto"/>
          <w:sz w:val="44"/>
          <w:szCs w:val="44"/>
          <w:highlight w:val="none"/>
        </w:rPr>
      </w:pPr>
    </w:p>
    <w:p w14:paraId="4E770336">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6A6992D4">
      <w:pPr>
        <w:snapToGrid w:val="0"/>
        <w:spacing w:beforeLines="50" w:after="50"/>
        <w:rPr>
          <w:rFonts w:ascii="宋体" w:cs="宋体"/>
          <w:bCs/>
          <w:color w:val="auto"/>
          <w:sz w:val="24"/>
          <w:szCs w:val="20"/>
          <w:highlight w:val="none"/>
        </w:rPr>
      </w:pPr>
    </w:p>
    <w:p w14:paraId="546C4718">
      <w:pPr>
        <w:snapToGrid w:val="0"/>
        <w:spacing w:beforeLines="50" w:after="50"/>
        <w:rPr>
          <w:rFonts w:ascii="宋体" w:cs="宋体"/>
          <w:bCs/>
          <w:color w:val="auto"/>
          <w:sz w:val="24"/>
          <w:szCs w:val="20"/>
          <w:highlight w:val="none"/>
        </w:rPr>
      </w:pPr>
    </w:p>
    <w:p w14:paraId="5F9DD161">
      <w:pPr>
        <w:snapToGrid w:val="0"/>
        <w:spacing w:beforeLines="50" w:after="50"/>
        <w:rPr>
          <w:rFonts w:ascii="宋体" w:cs="宋体"/>
          <w:bCs/>
          <w:color w:val="auto"/>
          <w:sz w:val="24"/>
          <w:szCs w:val="20"/>
          <w:highlight w:val="none"/>
        </w:rPr>
      </w:pPr>
    </w:p>
    <w:p w14:paraId="7F01D88C">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47F12338">
      <w:pPr>
        <w:snapToGrid w:val="0"/>
        <w:spacing w:beforeLines="50" w:after="50"/>
        <w:ind w:firstLine="720" w:firstLineChars="225"/>
        <w:rPr>
          <w:rFonts w:ascii="宋体" w:cs="宋体"/>
          <w:bCs/>
          <w:color w:val="auto"/>
          <w:sz w:val="32"/>
          <w:szCs w:val="32"/>
          <w:highlight w:val="none"/>
        </w:rPr>
      </w:pPr>
    </w:p>
    <w:p w14:paraId="09026B7A">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369F6BA1">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63F39B0B">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3260F492">
      <w:pPr>
        <w:snapToGrid w:val="0"/>
        <w:spacing w:beforeLines="50" w:after="50"/>
        <w:ind w:firstLine="720" w:firstLineChars="225"/>
        <w:rPr>
          <w:rFonts w:ascii="宋体" w:cs="宋体"/>
          <w:bCs/>
          <w:color w:val="auto"/>
          <w:sz w:val="32"/>
          <w:szCs w:val="32"/>
          <w:highlight w:val="none"/>
        </w:rPr>
      </w:pPr>
    </w:p>
    <w:p w14:paraId="4B8B0F17">
      <w:pPr>
        <w:pStyle w:val="7"/>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2C46DA63">
      <w:pPr>
        <w:pStyle w:val="7"/>
        <w:snapToGrid w:val="0"/>
        <w:spacing w:before="50" w:after="50"/>
        <w:ind w:firstLine="720" w:firstLineChars="225"/>
        <w:rPr>
          <w:rFonts w:ascii="宋体" w:cs="宋体"/>
          <w:bCs/>
          <w:color w:val="auto"/>
          <w:sz w:val="32"/>
          <w:szCs w:val="32"/>
          <w:highlight w:val="none"/>
        </w:rPr>
      </w:pPr>
    </w:p>
    <w:p w14:paraId="081EDD11">
      <w:pPr>
        <w:pStyle w:val="7"/>
        <w:snapToGrid w:val="0"/>
        <w:spacing w:before="50" w:after="50"/>
        <w:ind w:firstLine="720" w:firstLineChars="225"/>
        <w:rPr>
          <w:rFonts w:ascii="宋体" w:cs="宋体"/>
          <w:bCs/>
          <w:color w:val="auto"/>
          <w:sz w:val="32"/>
          <w:szCs w:val="32"/>
          <w:highlight w:val="none"/>
        </w:rPr>
      </w:pPr>
    </w:p>
    <w:p w14:paraId="340257BD">
      <w:pPr>
        <w:pStyle w:val="7"/>
        <w:snapToGrid w:val="0"/>
        <w:spacing w:before="50" w:after="50"/>
        <w:ind w:firstLine="1280" w:firstLineChars="400"/>
        <w:rPr>
          <w:rFonts w:ascii="宋体" w:cs="宋体"/>
          <w:bCs/>
          <w:color w:val="auto"/>
          <w:sz w:val="32"/>
          <w:szCs w:val="32"/>
          <w:highlight w:val="none"/>
        </w:rPr>
      </w:pPr>
    </w:p>
    <w:p w14:paraId="711CEB06">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2F2F32FD">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资格证明文件目录</w:t>
      </w:r>
    </w:p>
    <w:p w14:paraId="7ABF944B">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41A1046">
      <w:pPr>
        <w:snapToGrid w:val="0"/>
        <w:spacing w:beforeLines="50" w:after="50"/>
        <w:rPr>
          <w:rFonts w:ascii="宋体" w:cs="宋体"/>
          <w:color w:val="auto"/>
          <w:sz w:val="24"/>
          <w:szCs w:val="20"/>
          <w:highlight w:val="none"/>
        </w:rPr>
      </w:pPr>
      <w:r>
        <w:rPr>
          <w:rFonts w:ascii="宋体" w:hAnsi="宋体" w:cs="宋体"/>
          <w:color w:val="auto"/>
          <w:sz w:val="24"/>
          <w:szCs w:val="20"/>
          <w:highlight w:val="none"/>
        </w:rPr>
        <w:t xml:space="preserve"> </w:t>
      </w:r>
    </w:p>
    <w:p w14:paraId="2C194D7C">
      <w:pPr>
        <w:spacing w:line="300" w:lineRule="auto"/>
        <w:rPr>
          <w:rFonts w:ascii="宋体" w:cs="宋体"/>
          <w:color w:val="auto"/>
          <w:szCs w:val="21"/>
          <w:highlight w:val="none"/>
        </w:rPr>
      </w:pPr>
    </w:p>
    <w:p w14:paraId="1997A449">
      <w:pPr>
        <w:spacing w:line="300" w:lineRule="auto"/>
        <w:rPr>
          <w:rFonts w:ascii="宋体" w:cs="宋体"/>
          <w:color w:val="auto"/>
          <w:szCs w:val="21"/>
          <w:highlight w:val="none"/>
        </w:rPr>
      </w:pPr>
    </w:p>
    <w:p w14:paraId="64151AB8">
      <w:pPr>
        <w:spacing w:line="300" w:lineRule="auto"/>
        <w:rPr>
          <w:rFonts w:ascii="宋体" w:cs="宋体"/>
          <w:color w:val="auto"/>
          <w:szCs w:val="21"/>
          <w:highlight w:val="none"/>
        </w:rPr>
      </w:pPr>
    </w:p>
    <w:p w14:paraId="6418EDBA">
      <w:pPr>
        <w:spacing w:line="300" w:lineRule="auto"/>
        <w:rPr>
          <w:rFonts w:ascii="宋体" w:cs="宋体"/>
          <w:color w:val="auto"/>
          <w:szCs w:val="21"/>
          <w:highlight w:val="none"/>
        </w:rPr>
      </w:pPr>
    </w:p>
    <w:p w14:paraId="1EE03B2D">
      <w:pPr>
        <w:spacing w:line="300" w:lineRule="auto"/>
        <w:rPr>
          <w:rFonts w:ascii="宋体" w:cs="宋体"/>
          <w:color w:val="auto"/>
          <w:szCs w:val="21"/>
          <w:highlight w:val="none"/>
        </w:rPr>
      </w:pPr>
    </w:p>
    <w:p w14:paraId="2B0EC5A1">
      <w:pPr>
        <w:spacing w:line="300" w:lineRule="auto"/>
        <w:rPr>
          <w:rFonts w:ascii="宋体" w:cs="宋体"/>
          <w:color w:val="auto"/>
          <w:szCs w:val="21"/>
          <w:highlight w:val="none"/>
        </w:rPr>
      </w:pPr>
    </w:p>
    <w:p w14:paraId="2212660B">
      <w:pPr>
        <w:spacing w:line="300" w:lineRule="auto"/>
        <w:rPr>
          <w:rFonts w:ascii="宋体" w:cs="宋体"/>
          <w:color w:val="auto"/>
          <w:szCs w:val="21"/>
          <w:highlight w:val="none"/>
        </w:rPr>
      </w:pPr>
    </w:p>
    <w:p w14:paraId="17FE9D99">
      <w:pPr>
        <w:spacing w:line="300" w:lineRule="auto"/>
        <w:rPr>
          <w:rFonts w:ascii="宋体" w:cs="宋体"/>
          <w:color w:val="auto"/>
          <w:szCs w:val="21"/>
          <w:highlight w:val="none"/>
        </w:rPr>
      </w:pPr>
    </w:p>
    <w:p w14:paraId="4B6C5282">
      <w:pPr>
        <w:spacing w:line="300" w:lineRule="auto"/>
        <w:rPr>
          <w:rFonts w:ascii="宋体" w:cs="宋体"/>
          <w:color w:val="auto"/>
          <w:szCs w:val="21"/>
          <w:highlight w:val="none"/>
        </w:rPr>
      </w:pPr>
    </w:p>
    <w:p w14:paraId="5AF076D3">
      <w:pPr>
        <w:spacing w:line="300" w:lineRule="auto"/>
        <w:rPr>
          <w:rFonts w:ascii="宋体" w:cs="宋体"/>
          <w:color w:val="auto"/>
          <w:szCs w:val="21"/>
          <w:highlight w:val="none"/>
        </w:rPr>
      </w:pPr>
    </w:p>
    <w:p w14:paraId="154EBD6C">
      <w:pPr>
        <w:spacing w:line="300" w:lineRule="auto"/>
        <w:rPr>
          <w:rFonts w:ascii="宋体" w:cs="宋体"/>
          <w:color w:val="auto"/>
          <w:szCs w:val="21"/>
          <w:highlight w:val="none"/>
        </w:rPr>
      </w:pPr>
    </w:p>
    <w:p w14:paraId="02F78A57">
      <w:pPr>
        <w:spacing w:line="300" w:lineRule="auto"/>
        <w:rPr>
          <w:rFonts w:ascii="宋体" w:cs="宋体"/>
          <w:color w:val="auto"/>
          <w:szCs w:val="21"/>
          <w:highlight w:val="none"/>
        </w:rPr>
      </w:pPr>
    </w:p>
    <w:p w14:paraId="61E40595">
      <w:pPr>
        <w:spacing w:line="300" w:lineRule="auto"/>
        <w:rPr>
          <w:rFonts w:ascii="宋体" w:cs="宋体"/>
          <w:color w:val="auto"/>
          <w:szCs w:val="21"/>
          <w:highlight w:val="none"/>
        </w:rPr>
      </w:pPr>
    </w:p>
    <w:p w14:paraId="709F5A85">
      <w:pPr>
        <w:spacing w:line="300" w:lineRule="auto"/>
        <w:rPr>
          <w:rFonts w:ascii="宋体" w:cs="宋体"/>
          <w:color w:val="auto"/>
          <w:szCs w:val="21"/>
          <w:highlight w:val="none"/>
        </w:rPr>
      </w:pPr>
    </w:p>
    <w:p w14:paraId="03E1A1D4">
      <w:pPr>
        <w:spacing w:line="300" w:lineRule="auto"/>
        <w:rPr>
          <w:rFonts w:ascii="宋体" w:cs="宋体"/>
          <w:color w:val="auto"/>
          <w:szCs w:val="21"/>
          <w:highlight w:val="none"/>
        </w:rPr>
      </w:pPr>
    </w:p>
    <w:p w14:paraId="4E209119">
      <w:pPr>
        <w:spacing w:line="320" w:lineRule="exact"/>
        <w:jc w:val="left"/>
        <w:rPr>
          <w:rFonts w:ascii="宋体" w:cs="宋体"/>
          <w:color w:val="auto"/>
          <w:szCs w:val="21"/>
          <w:highlight w:val="none"/>
        </w:rPr>
      </w:pPr>
      <w:r>
        <w:rPr>
          <w:rFonts w:ascii="宋体" w:cs="宋体"/>
          <w:color w:val="auto"/>
          <w:szCs w:val="21"/>
          <w:highlight w:val="none"/>
        </w:rPr>
        <w:br w:type="page"/>
      </w:r>
      <w:r>
        <w:rPr>
          <w:rFonts w:ascii="宋体" w:hAnsi="宋体" w:cs="宋体"/>
          <w:color w:val="auto"/>
          <w:szCs w:val="21"/>
          <w:highlight w:val="none"/>
        </w:rPr>
        <w:t xml:space="preserve"> </w:t>
      </w:r>
    </w:p>
    <w:p w14:paraId="5474B602">
      <w:pPr>
        <w:wordWrap w:val="0"/>
        <w:spacing w:beforeLines="50" w:after="50" w:line="320" w:lineRule="exact"/>
        <w:ind w:right="482" w:firstLine="210" w:firstLineChars="100"/>
        <w:contextualSpacing/>
        <w:jc w:val="center"/>
        <w:rPr>
          <w:rFonts w:ascii="宋体" w:cs="宋体"/>
          <w:color w:val="auto"/>
          <w:szCs w:val="21"/>
          <w:highlight w:val="none"/>
        </w:rPr>
      </w:pPr>
    </w:p>
    <w:p w14:paraId="2FE2366C">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7D4016BD">
      <w:pPr>
        <w:snapToGrid w:val="0"/>
        <w:spacing w:beforeLines="50" w:after="50" w:line="360" w:lineRule="auto"/>
        <w:jc w:val="center"/>
        <w:rPr>
          <w:rFonts w:ascii="宋体" w:cs="宋体"/>
          <w:b/>
          <w:color w:val="auto"/>
          <w:sz w:val="24"/>
          <w:highlight w:val="none"/>
        </w:rPr>
      </w:pPr>
    </w:p>
    <w:p w14:paraId="5C3C0791">
      <w:pPr>
        <w:spacing w:line="360" w:lineRule="auto"/>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4642EC36">
      <w:pPr>
        <w:spacing w:line="360" w:lineRule="auto"/>
        <w:contextualSpacing/>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80"/>
        <w:gridCol w:w="2655"/>
        <w:gridCol w:w="1455"/>
        <w:gridCol w:w="4287"/>
        <w:gridCol w:w="870"/>
      </w:tblGrid>
      <w:tr w14:paraId="72C67FC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8FEB4C">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293A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8E68DE">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9A94B1">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F99EF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6D3F66F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81F5D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3B3731">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9F623">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D6930A">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E5C5C">
            <w:pPr>
              <w:widowControl/>
              <w:spacing w:line="360" w:lineRule="auto"/>
              <w:contextualSpacing/>
              <w:jc w:val="center"/>
              <w:rPr>
                <w:rFonts w:ascii="宋体" w:cs="宋体"/>
                <w:color w:val="auto"/>
                <w:kern w:val="0"/>
                <w:sz w:val="24"/>
                <w:highlight w:val="none"/>
              </w:rPr>
            </w:pPr>
          </w:p>
        </w:tc>
      </w:tr>
      <w:tr w14:paraId="19A488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3342E8">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9F245">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5922B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907F07">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75B1D">
            <w:pPr>
              <w:widowControl/>
              <w:spacing w:line="360" w:lineRule="auto"/>
              <w:contextualSpacing/>
              <w:jc w:val="center"/>
              <w:rPr>
                <w:rFonts w:ascii="宋体" w:cs="宋体"/>
                <w:color w:val="auto"/>
                <w:kern w:val="0"/>
                <w:sz w:val="24"/>
                <w:highlight w:val="none"/>
              </w:rPr>
            </w:pPr>
          </w:p>
        </w:tc>
      </w:tr>
      <w:tr w14:paraId="7AB1D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DFAEB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E86476">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8305AF">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38C17F">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50AFCF">
            <w:pPr>
              <w:widowControl/>
              <w:spacing w:line="360" w:lineRule="auto"/>
              <w:contextualSpacing/>
              <w:jc w:val="center"/>
              <w:rPr>
                <w:rFonts w:ascii="宋体" w:cs="宋体"/>
                <w:color w:val="auto"/>
                <w:kern w:val="0"/>
                <w:sz w:val="24"/>
                <w:highlight w:val="none"/>
              </w:rPr>
            </w:pPr>
          </w:p>
        </w:tc>
      </w:tr>
      <w:tr w14:paraId="69175EF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1D7E8B">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988A08">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9BBDC">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86E4B5">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A503F">
            <w:pPr>
              <w:widowControl/>
              <w:spacing w:line="360" w:lineRule="auto"/>
              <w:contextualSpacing/>
              <w:jc w:val="center"/>
              <w:rPr>
                <w:rFonts w:ascii="宋体" w:cs="宋体"/>
                <w:color w:val="auto"/>
                <w:kern w:val="0"/>
                <w:sz w:val="24"/>
                <w:highlight w:val="none"/>
              </w:rPr>
            </w:pPr>
          </w:p>
        </w:tc>
      </w:tr>
    </w:tbl>
    <w:p w14:paraId="2E777039">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2B349CFC">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AF0B6E">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181A841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14:paraId="39AED456">
      <w:pPr>
        <w:snapToGrid w:val="0"/>
        <w:spacing w:line="360" w:lineRule="auto"/>
        <w:jc w:val="left"/>
        <w:rPr>
          <w:rFonts w:ascii="宋体" w:cs="宋体"/>
          <w:color w:val="auto"/>
          <w:sz w:val="24"/>
          <w:highlight w:val="none"/>
        </w:rPr>
      </w:pPr>
    </w:p>
    <w:p w14:paraId="2A26DF07">
      <w:pPr>
        <w:snapToGrid w:val="0"/>
        <w:spacing w:line="360" w:lineRule="auto"/>
        <w:jc w:val="left"/>
        <w:rPr>
          <w:rFonts w:ascii="宋体" w:cs="宋体"/>
          <w:color w:val="auto"/>
          <w:sz w:val="24"/>
          <w:highlight w:val="none"/>
        </w:rPr>
      </w:pPr>
    </w:p>
    <w:p w14:paraId="53E10F1D">
      <w:pPr>
        <w:snapToGrid w:val="0"/>
        <w:spacing w:line="360" w:lineRule="auto"/>
        <w:jc w:val="left"/>
        <w:rPr>
          <w:rFonts w:ascii="宋体" w:cs="宋体"/>
          <w:color w:val="auto"/>
          <w:sz w:val="24"/>
          <w:highlight w:val="none"/>
        </w:rPr>
      </w:pPr>
    </w:p>
    <w:p w14:paraId="2928BD02">
      <w:pPr>
        <w:snapToGrid w:val="0"/>
        <w:spacing w:beforeLines="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216FF4EF">
      <w:pPr>
        <w:snapToGrid w:val="0"/>
        <w:spacing w:beforeLines="50" w:after="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3E4FA705">
      <w:pPr>
        <w:snapToGrid w:val="0"/>
        <w:spacing w:beforeLines="50" w:after="50" w:line="360" w:lineRule="auto"/>
        <w:ind w:right="480" w:firstLine="5280" w:firstLineChars="2200"/>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CABC38C">
      <w:pPr>
        <w:snapToGrid w:val="0"/>
        <w:jc w:val="center"/>
        <w:rPr>
          <w:rFonts w:ascii="宋体" w:cs="宋体"/>
          <w:b/>
          <w:color w:val="auto"/>
          <w:sz w:val="28"/>
          <w:szCs w:val="28"/>
          <w:highlight w:val="none"/>
        </w:rPr>
      </w:pPr>
      <w:r>
        <w:rPr>
          <w:rFonts w:ascii="宋体" w:cs="宋体"/>
          <w:b/>
          <w:color w:val="auto"/>
          <w:sz w:val="28"/>
          <w:szCs w:val="28"/>
          <w:highlight w:val="none"/>
        </w:rPr>
        <w:br w:type="page"/>
      </w:r>
    </w:p>
    <w:p w14:paraId="32E4CE34">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1F48B89">
      <w:pPr>
        <w:snapToGrid w:val="0"/>
        <w:spacing w:line="360" w:lineRule="auto"/>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08"/>
        <w:gridCol w:w="3600"/>
        <w:gridCol w:w="3555"/>
        <w:gridCol w:w="1689"/>
      </w:tblGrid>
      <w:tr w14:paraId="185940A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4886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D6DB75">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6183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787DD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0BA75D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5259C3">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9A629B">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6EEADA">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F93386">
            <w:pPr>
              <w:widowControl/>
              <w:spacing w:line="360" w:lineRule="auto"/>
              <w:contextualSpacing/>
              <w:jc w:val="center"/>
              <w:rPr>
                <w:rFonts w:ascii="宋体" w:cs="宋体"/>
                <w:color w:val="auto"/>
                <w:kern w:val="0"/>
                <w:sz w:val="24"/>
                <w:highlight w:val="none"/>
              </w:rPr>
            </w:pPr>
          </w:p>
        </w:tc>
      </w:tr>
      <w:tr w14:paraId="43BE0C5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9A47E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E545A7">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56E467">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918314">
            <w:pPr>
              <w:widowControl/>
              <w:spacing w:line="360" w:lineRule="auto"/>
              <w:contextualSpacing/>
              <w:jc w:val="center"/>
              <w:rPr>
                <w:rFonts w:ascii="宋体" w:cs="宋体"/>
                <w:color w:val="auto"/>
                <w:kern w:val="0"/>
                <w:sz w:val="24"/>
                <w:highlight w:val="none"/>
              </w:rPr>
            </w:pPr>
          </w:p>
        </w:tc>
      </w:tr>
      <w:tr w14:paraId="597B444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3765F2">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649608">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BE008E">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50B627">
            <w:pPr>
              <w:widowControl/>
              <w:spacing w:line="360" w:lineRule="auto"/>
              <w:contextualSpacing/>
              <w:jc w:val="center"/>
              <w:rPr>
                <w:rFonts w:ascii="宋体" w:cs="宋体"/>
                <w:color w:val="auto"/>
                <w:kern w:val="0"/>
                <w:sz w:val="24"/>
                <w:highlight w:val="none"/>
              </w:rPr>
            </w:pPr>
          </w:p>
        </w:tc>
      </w:tr>
      <w:tr w14:paraId="6030A17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4BB107">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B36C79">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CC2404">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B0BEC">
            <w:pPr>
              <w:widowControl/>
              <w:spacing w:line="360" w:lineRule="auto"/>
              <w:contextualSpacing/>
              <w:jc w:val="center"/>
              <w:rPr>
                <w:rFonts w:ascii="宋体" w:cs="宋体"/>
                <w:color w:val="auto"/>
                <w:kern w:val="0"/>
                <w:sz w:val="24"/>
                <w:highlight w:val="none"/>
              </w:rPr>
            </w:pPr>
          </w:p>
        </w:tc>
      </w:tr>
    </w:tbl>
    <w:p w14:paraId="1980C4A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5869A27D">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14:paraId="7B4E9EAF">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0320013">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14:paraId="1F4DBA11">
      <w:pPr>
        <w:spacing w:line="360" w:lineRule="auto"/>
        <w:contextualSpacing/>
        <w:jc w:val="left"/>
        <w:rPr>
          <w:rFonts w:ascii="宋体" w:cs="宋体"/>
          <w:color w:val="auto"/>
          <w:sz w:val="24"/>
          <w:highlight w:val="none"/>
        </w:rPr>
      </w:pPr>
    </w:p>
    <w:p w14:paraId="2914FEA6">
      <w:pPr>
        <w:spacing w:line="360" w:lineRule="auto"/>
        <w:contextualSpacing/>
        <w:jc w:val="left"/>
        <w:rPr>
          <w:rFonts w:ascii="宋体" w:cs="宋体"/>
          <w:color w:val="auto"/>
          <w:sz w:val="24"/>
          <w:highlight w:val="none"/>
        </w:rPr>
      </w:pPr>
    </w:p>
    <w:p w14:paraId="3BD08D7E">
      <w:pPr>
        <w:spacing w:line="360" w:lineRule="auto"/>
        <w:contextualSpacing/>
        <w:jc w:val="left"/>
        <w:rPr>
          <w:rFonts w:ascii="宋体" w:cs="宋体"/>
          <w:color w:val="auto"/>
          <w:sz w:val="24"/>
          <w:highlight w:val="none"/>
        </w:rPr>
      </w:pPr>
    </w:p>
    <w:p w14:paraId="44A1E6B5">
      <w:pPr>
        <w:spacing w:line="360" w:lineRule="auto"/>
        <w:contextualSpacing/>
        <w:jc w:val="left"/>
        <w:rPr>
          <w:rFonts w:ascii="宋体" w:cs="宋体"/>
          <w:color w:val="auto"/>
          <w:sz w:val="24"/>
          <w:highlight w:val="none"/>
        </w:rPr>
      </w:pPr>
    </w:p>
    <w:p w14:paraId="6FFC8BBE">
      <w:pPr>
        <w:spacing w:line="360" w:lineRule="auto"/>
        <w:contextualSpacing/>
        <w:jc w:val="left"/>
        <w:rPr>
          <w:rFonts w:ascii="宋体" w:cs="宋体"/>
          <w:color w:val="auto"/>
          <w:sz w:val="24"/>
          <w:highlight w:val="none"/>
        </w:rPr>
      </w:pPr>
    </w:p>
    <w:p w14:paraId="366E44A7">
      <w:pPr>
        <w:spacing w:line="360" w:lineRule="auto"/>
        <w:contextualSpacing/>
        <w:jc w:val="left"/>
        <w:rPr>
          <w:rFonts w:ascii="宋体" w:cs="宋体"/>
          <w:color w:val="auto"/>
          <w:sz w:val="24"/>
          <w:highlight w:val="none"/>
        </w:rPr>
      </w:pPr>
    </w:p>
    <w:p w14:paraId="5A72DE85">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53B338FC">
      <w:pPr>
        <w:spacing w:line="360" w:lineRule="auto"/>
        <w:ind w:right="480" w:firstLine="3360" w:firstLineChars="14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10DC5DF5">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1B5DFF2">
      <w:pPr>
        <w:spacing w:line="320" w:lineRule="exact"/>
        <w:jc w:val="center"/>
        <w:rPr>
          <w:rFonts w:ascii="宋体" w:cs="宋体"/>
          <w:b/>
          <w:color w:val="auto"/>
          <w:sz w:val="32"/>
          <w:szCs w:val="32"/>
          <w:highlight w:val="none"/>
        </w:rPr>
      </w:pPr>
      <w:r>
        <w:rPr>
          <w:rFonts w:ascii="宋体" w:cs="宋体"/>
          <w:color w:val="auto"/>
          <w:sz w:val="28"/>
          <w:szCs w:val="28"/>
          <w:highlight w:val="none"/>
        </w:rPr>
        <w:br w:type="page"/>
      </w:r>
      <w:r>
        <w:rPr>
          <w:rFonts w:hint="eastAsia" w:ascii="宋体" w:hAnsi="宋体" w:cs="宋体"/>
          <w:b/>
          <w:color w:val="auto"/>
          <w:sz w:val="32"/>
          <w:szCs w:val="32"/>
          <w:highlight w:val="none"/>
        </w:rPr>
        <w:t>竞标声明</w:t>
      </w:r>
    </w:p>
    <w:p w14:paraId="489025B9">
      <w:pPr>
        <w:spacing w:line="320" w:lineRule="exact"/>
        <w:jc w:val="center"/>
        <w:rPr>
          <w:rFonts w:ascii="宋体" w:cs="宋体"/>
          <w:color w:val="auto"/>
          <w:sz w:val="24"/>
          <w:szCs w:val="20"/>
          <w:highlight w:val="none"/>
        </w:rPr>
      </w:pPr>
    </w:p>
    <w:p w14:paraId="48F807E5">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3507C8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D128A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2FA4B8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2BD19BF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14:paraId="4E5820D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38B2D8E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2B71FD0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738EFD8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0DA547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18AC6D0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5402837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79292E1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5324928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17D2273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70C0F1F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76CB3C6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61D4BEA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6F8421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3F1383D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8F99B4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88EEF5">
      <w:pPr>
        <w:pStyle w:val="20"/>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73EB4EB8">
      <w:pPr>
        <w:pStyle w:val="2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2B924BF1">
      <w:pPr>
        <w:pStyle w:val="19"/>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4446985F">
      <w:pPr>
        <w:pStyle w:val="19"/>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C86B17F">
      <w:pPr>
        <w:pStyle w:val="19"/>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06909B5A">
      <w:pPr>
        <w:pStyle w:val="19"/>
        <w:tabs>
          <w:tab w:val="left" w:pos="939"/>
        </w:tabs>
        <w:spacing w:line="360" w:lineRule="auto"/>
        <w:ind w:left="0" w:leftChars="0" w:firstLine="480" w:firstLineChars="200"/>
        <w:rPr>
          <w:rFonts w:ascii="宋体" w:cs="宋体"/>
          <w:color w:val="auto"/>
          <w:sz w:val="24"/>
          <w:highlight w:val="none"/>
        </w:rPr>
      </w:pPr>
    </w:p>
    <w:p w14:paraId="1EF04A26">
      <w:pPr>
        <w:spacing w:line="360" w:lineRule="auto"/>
        <w:ind w:firstLine="4320" w:firstLineChars="1800"/>
        <w:contextualSpacing/>
        <w:rPr>
          <w:rFonts w:ascii="宋体" w:cs="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AA719AC">
      <w:pPr>
        <w:spacing w:line="360" w:lineRule="auto"/>
        <w:ind w:firstLine="4320" w:firstLineChars="18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CD64061">
      <w:pPr>
        <w:spacing w:line="360" w:lineRule="auto"/>
        <w:ind w:right="480" w:firstLine="240" w:firstLineChars="1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13C03B2">
      <w:pPr>
        <w:snapToGrid w:val="0"/>
        <w:spacing w:beforeLines="50" w:after="50" w:line="360" w:lineRule="auto"/>
        <w:ind w:right="480"/>
        <w:rPr>
          <w:rFonts w:ascii="宋体" w:cs="宋体"/>
          <w:b/>
          <w:color w:val="auto"/>
          <w:sz w:val="32"/>
          <w:szCs w:val="32"/>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409330F9">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报价商务技术文件封面格式</w:t>
      </w:r>
    </w:p>
    <w:p w14:paraId="0D75BF78">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01284BB">
      <w:pPr>
        <w:snapToGrid w:val="0"/>
        <w:spacing w:beforeLines="50" w:after="50"/>
        <w:rPr>
          <w:rFonts w:ascii="宋体" w:cs="宋体"/>
          <w:color w:val="auto"/>
          <w:sz w:val="24"/>
          <w:szCs w:val="20"/>
          <w:highlight w:val="none"/>
        </w:rPr>
      </w:pPr>
    </w:p>
    <w:p w14:paraId="43829BFA">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5122626E">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1A92F627">
      <w:pPr>
        <w:snapToGrid w:val="0"/>
        <w:spacing w:beforeLines="50" w:after="50"/>
        <w:rPr>
          <w:rFonts w:ascii="宋体" w:cs="宋体"/>
          <w:bCs/>
          <w:color w:val="auto"/>
          <w:sz w:val="24"/>
          <w:szCs w:val="20"/>
          <w:highlight w:val="none"/>
        </w:rPr>
      </w:pPr>
    </w:p>
    <w:p w14:paraId="63AD94AF">
      <w:pPr>
        <w:snapToGrid w:val="0"/>
        <w:spacing w:beforeLines="50" w:after="50"/>
        <w:rPr>
          <w:rFonts w:ascii="宋体" w:cs="宋体"/>
          <w:bCs/>
          <w:color w:val="auto"/>
          <w:sz w:val="24"/>
          <w:szCs w:val="20"/>
          <w:highlight w:val="none"/>
        </w:rPr>
      </w:pPr>
    </w:p>
    <w:p w14:paraId="1A998AC0">
      <w:pPr>
        <w:snapToGrid w:val="0"/>
        <w:spacing w:beforeLines="50" w:after="50"/>
        <w:rPr>
          <w:rFonts w:ascii="宋体" w:cs="宋体"/>
          <w:bCs/>
          <w:color w:val="auto"/>
          <w:sz w:val="24"/>
          <w:szCs w:val="20"/>
          <w:highlight w:val="none"/>
        </w:rPr>
      </w:pPr>
    </w:p>
    <w:p w14:paraId="1A97269F">
      <w:pPr>
        <w:snapToGrid w:val="0"/>
        <w:spacing w:beforeLines="50" w:after="50"/>
        <w:rPr>
          <w:rFonts w:ascii="宋体" w:cs="宋体"/>
          <w:bCs/>
          <w:color w:val="auto"/>
          <w:sz w:val="24"/>
          <w:szCs w:val="20"/>
          <w:highlight w:val="none"/>
        </w:rPr>
      </w:pPr>
    </w:p>
    <w:p w14:paraId="79EC65F1">
      <w:pPr>
        <w:snapToGrid w:val="0"/>
        <w:spacing w:beforeLines="50" w:after="50"/>
        <w:rPr>
          <w:rFonts w:ascii="宋体" w:cs="宋体"/>
          <w:bCs/>
          <w:color w:val="auto"/>
          <w:sz w:val="24"/>
          <w:szCs w:val="20"/>
          <w:highlight w:val="none"/>
        </w:rPr>
      </w:pPr>
    </w:p>
    <w:p w14:paraId="55F488C5">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05E0F536">
      <w:pPr>
        <w:snapToGrid w:val="0"/>
        <w:spacing w:beforeLines="50" w:after="50"/>
        <w:ind w:firstLine="720" w:firstLineChars="225"/>
        <w:rPr>
          <w:rFonts w:ascii="宋体" w:cs="宋体"/>
          <w:bCs/>
          <w:color w:val="auto"/>
          <w:sz w:val="32"/>
          <w:szCs w:val="32"/>
          <w:highlight w:val="none"/>
        </w:rPr>
      </w:pPr>
    </w:p>
    <w:p w14:paraId="477A9459">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2395A7FD">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16E95ED2">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50D74E76">
      <w:pPr>
        <w:snapToGrid w:val="0"/>
        <w:spacing w:beforeLines="50" w:after="50"/>
        <w:ind w:firstLine="720" w:firstLineChars="225"/>
        <w:rPr>
          <w:rFonts w:ascii="宋体" w:cs="宋体"/>
          <w:bCs/>
          <w:color w:val="auto"/>
          <w:sz w:val="32"/>
          <w:szCs w:val="32"/>
          <w:highlight w:val="none"/>
        </w:rPr>
      </w:pPr>
    </w:p>
    <w:p w14:paraId="0E0D2BF6">
      <w:pPr>
        <w:pStyle w:val="7"/>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1DD5D162">
      <w:pPr>
        <w:pStyle w:val="7"/>
        <w:snapToGrid w:val="0"/>
        <w:spacing w:before="50" w:after="50"/>
        <w:ind w:firstLine="720" w:firstLineChars="225"/>
        <w:rPr>
          <w:rFonts w:ascii="宋体" w:cs="宋体"/>
          <w:bCs/>
          <w:color w:val="auto"/>
          <w:sz w:val="32"/>
          <w:szCs w:val="32"/>
          <w:highlight w:val="none"/>
        </w:rPr>
      </w:pPr>
    </w:p>
    <w:p w14:paraId="78AC1F06">
      <w:pPr>
        <w:pStyle w:val="7"/>
        <w:snapToGrid w:val="0"/>
        <w:spacing w:before="50" w:after="50"/>
        <w:ind w:firstLine="720" w:firstLineChars="225"/>
        <w:rPr>
          <w:rFonts w:ascii="宋体" w:cs="宋体"/>
          <w:bCs/>
          <w:color w:val="auto"/>
          <w:sz w:val="32"/>
          <w:szCs w:val="32"/>
          <w:highlight w:val="none"/>
        </w:rPr>
      </w:pPr>
    </w:p>
    <w:p w14:paraId="600E0D7C">
      <w:pPr>
        <w:pStyle w:val="7"/>
        <w:snapToGrid w:val="0"/>
        <w:spacing w:before="50" w:after="50"/>
        <w:ind w:firstLine="1280" w:firstLineChars="400"/>
        <w:rPr>
          <w:rFonts w:ascii="宋体" w:cs="宋体"/>
          <w:bCs/>
          <w:color w:val="auto"/>
          <w:sz w:val="32"/>
          <w:szCs w:val="32"/>
          <w:highlight w:val="none"/>
        </w:rPr>
      </w:pPr>
    </w:p>
    <w:p w14:paraId="3A18476E">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5E6F43FB">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报价商务技术文件目录</w:t>
      </w:r>
    </w:p>
    <w:p w14:paraId="2B6A3709">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80812BD">
      <w:pPr>
        <w:spacing w:line="400" w:lineRule="exact"/>
        <w:rPr>
          <w:rFonts w:ascii="宋体" w:cs="宋体"/>
          <w:color w:val="auto"/>
          <w:sz w:val="32"/>
          <w:szCs w:val="32"/>
          <w:highlight w:val="none"/>
        </w:rPr>
      </w:pPr>
    </w:p>
    <w:p w14:paraId="7446F960">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48508FDC">
      <w:pPr>
        <w:spacing w:line="360" w:lineRule="auto"/>
        <w:ind w:firstLine="640" w:firstLineChars="200"/>
        <w:contextualSpacing/>
        <w:rPr>
          <w:rFonts w:ascii="宋体" w:cs="宋体"/>
          <w:color w:val="auto"/>
          <w:sz w:val="32"/>
          <w:szCs w:val="32"/>
          <w:highlight w:val="none"/>
        </w:rPr>
      </w:pPr>
    </w:p>
    <w:p w14:paraId="2DA73123">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694C82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r>
        <w:rPr>
          <w:rFonts w:ascii="宋体" w:hAnsi="宋体" w:cs="宋体"/>
          <w:color w:val="auto"/>
          <w:sz w:val="24"/>
          <w:highlight w:val="none"/>
        </w:rPr>
        <w:t xml:space="preserve"> </w:t>
      </w:r>
    </w:p>
    <w:p w14:paraId="1488201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378D2F5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0A14846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14:paraId="0BB58A4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1F076FE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6F7C21DE">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18378AF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4FB3C5D4">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2C61AC7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51BD51F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5A58214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3140C3D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6A025C6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F6F7CA1">
      <w:pPr>
        <w:spacing w:line="360" w:lineRule="auto"/>
        <w:ind w:firstLine="480" w:firstLineChars="200"/>
        <w:contextualSpacing/>
        <w:rPr>
          <w:rFonts w:ascii="宋体" w:cs="宋体"/>
          <w:color w:val="auto"/>
          <w:sz w:val="24"/>
          <w:highlight w:val="none"/>
        </w:rPr>
      </w:pPr>
    </w:p>
    <w:p w14:paraId="47D0F1A8">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65C3BE8">
      <w:pPr>
        <w:spacing w:line="360" w:lineRule="auto"/>
        <w:contextualSpacing/>
        <w:rPr>
          <w:rFonts w:ascii="宋体" w:cs="宋体"/>
          <w:color w:val="auto"/>
          <w:sz w:val="24"/>
          <w:highlight w:val="none"/>
        </w:rPr>
      </w:pPr>
    </w:p>
    <w:p w14:paraId="0127D225">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p>
    <w:p w14:paraId="17D784AA">
      <w:pPr>
        <w:spacing w:line="360" w:lineRule="auto"/>
        <w:ind w:firstLine="480" w:firstLineChars="200"/>
        <w:contextualSpacing/>
        <w:jc w:val="center"/>
        <w:rPr>
          <w:rFonts w:ascii="宋体" w:cs="宋体"/>
          <w:color w:val="auto"/>
          <w:sz w:val="32"/>
          <w:szCs w:val="32"/>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1F5D489">
      <w:pPr>
        <w:pStyle w:val="25"/>
        <w:tabs>
          <w:tab w:val="right" w:leader="dot" w:pos="8398"/>
        </w:tabs>
        <w:rPr>
          <w:color w:val="auto"/>
          <w:highlight w:val="none"/>
        </w:rPr>
      </w:pPr>
      <w:r>
        <w:rPr>
          <w:rFonts w:ascii="宋体" w:cs="宋体"/>
          <w:bCs/>
          <w:color w:val="auto"/>
          <w:sz w:val="44"/>
          <w:szCs w:val="44"/>
          <w:highlight w:val="none"/>
        </w:rPr>
        <w:br w:type="page"/>
      </w:r>
    </w:p>
    <w:p w14:paraId="0EAFA444">
      <w:pPr>
        <w:spacing w:line="520" w:lineRule="exact"/>
        <w:jc w:val="center"/>
        <w:rPr>
          <w:rFonts w:ascii="宋体" w:cs="宋体"/>
          <w:bCs/>
          <w:color w:val="auto"/>
          <w:sz w:val="32"/>
          <w:szCs w:val="32"/>
          <w:highlight w:val="none"/>
        </w:rPr>
      </w:pP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14:paraId="03FA49BD">
      <w:pPr>
        <w:spacing w:line="440" w:lineRule="exact"/>
        <w:jc w:val="center"/>
        <w:rPr>
          <w:rFonts w:ascii="宋体" w:cs="宋体"/>
          <w:bCs/>
          <w:color w:val="auto"/>
          <w:sz w:val="32"/>
          <w:szCs w:val="32"/>
          <w:highlight w:val="none"/>
        </w:rPr>
      </w:pPr>
    </w:p>
    <w:p w14:paraId="4313325B">
      <w:pPr>
        <w:spacing w:line="360" w:lineRule="auto"/>
        <w:contextualSpacing/>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p w14:paraId="3FC6213A">
      <w:pPr>
        <w:spacing w:line="360" w:lineRule="auto"/>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20A6A26">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单位：元</w:t>
      </w:r>
    </w:p>
    <w:tbl>
      <w:tblPr>
        <w:tblStyle w:val="32"/>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14C2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5910A7BB">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序号</w:t>
            </w:r>
          </w:p>
        </w:tc>
        <w:tc>
          <w:tcPr>
            <w:tcW w:w="2633" w:type="dxa"/>
            <w:vAlign w:val="center"/>
          </w:tcPr>
          <w:p w14:paraId="36B518C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标的名称</w:t>
            </w:r>
          </w:p>
        </w:tc>
        <w:tc>
          <w:tcPr>
            <w:tcW w:w="1009" w:type="dxa"/>
            <w:vAlign w:val="center"/>
          </w:tcPr>
          <w:p w14:paraId="6DB167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数量</w:t>
            </w:r>
          </w:p>
        </w:tc>
        <w:tc>
          <w:tcPr>
            <w:tcW w:w="767" w:type="dxa"/>
            <w:vAlign w:val="center"/>
          </w:tcPr>
          <w:p w14:paraId="5D160FC0">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单位</w:t>
            </w:r>
          </w:p>
        </w:tc>
        <w:tc>
          <w:tcPr>
            <w:tcW w:w="2044" w:type="dxa"/>
            <w:vAlign w:val="center"/>
          </w:tcPr>
          <w:p w14:paraId="6AC3120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单价</w:t>
            </w:r>
          </w:p>
        </w:tc>
        <w:tc>
          <w:tcPr>
            <w:tcW w:w="1303" w:type="dxa"/>
            <w:vAlign w:val="center"/>
          </w:tcPr>
          <w:p w14:paraId="7DD6C6E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总价</w:t>
            </w:r>
          </w:p>
        </w:tc>
        <w:tc>
          <w:tcPr>
            <w:tcW w:w="1327" w:type="dxa"/>
            <w:vAlign w:val="center"/>
          </w:tcPr>
          <w:p w14:paraId="3AAA9613">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备注</w:t>
            </w:r>
          </w:p>
        </w:tc>
      </w:tr>
      <w:tr w14:paraId="1DE3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2A93D2EE">
            <w:pPr>
              <w:spacing w:line="360" w:lineRule="auto"/>
              <w:contextualSpacing/>
              <w:jc w:val="center"/>
              <w:rPr>
                <w:rFonts w:ascii="宋体" w:cs="宋体"/>
                <w:color w:val="auto"/>
                <w:sz w:val="24"/>
                <w:highlight w:val="none"/>
              </w:rPr>
            </w:pPr>
            <w:r>
              <w:rPr>
                <w:rFonts w:ascii="宋体" w:hAnsi="宋体" w:cs="宋体"/>
                <w:color w:val="auto"/>
                <w:sz w:val="24"/>
                <w:highlight w:val="none"/>
              </w:rPr>
              <w:t>1</w:t>
            </w:r>
          </w:p>
        </w:tc>
        <w:tc>
          <w:tcPr>
            <w:tcW w:w="2633" w:type="dxa"/>
            <w:vAlign w:val="center"/>
          </w:tcPr>
          <w:p w14:paraId="34B52D76">
            <w:pPr>
              <w:spacing w:line="360" w:lineRule="auto"/>
              <w:contextualSpacing/>
              <w:jc w:val="center"/>
              <w:rPr>
                <w:rFonts w:ascii="宋体" w:cs="宋体"/>
                <w:color w:val="auto"/>
                <w:sz w:val="24"/>
                <w:highlight w:val="none"/>
              </w:rPr>
            </w:pPr>
          </w:p>
        </w:tc>
        <w:tc>
          <w:tcPr>
            <w:tcW w:w="1009" w:type="dxa"/>
            <w:vAlign w:val="center"/>
          </w:tcPr>
          <w:p w14:paraId="1AABD3E1">
            <w:pPr>
              <w:spacing w:line="360" w:lineRule="auto"/>
              <w:contextualSpacing/>
              <w:jc w:val="center"/>
              <w:rPr>
                <w:rFonts w:ascii="宋体" w:cs="宋体"/>
                <w:color w:val="auto"/>
                <w:sz w:val="24"/>
                <w:highlight w:val="none"/>
              </w:rPr>
            </w:pPr>
          </w:p>
        </w:tc>
        <w:tc>
          <w:tcPr>
            <w:tcW w:w="767" w:type="dxa"/>
          </w:tcPr>
          <w:p w14:paraId="37B81904">
            <w:pPr>
              <w:spacing w:line="360" w:lineRule="auto"/>
              <w:contextualSpacing/>
              <w:rPr>
                <w:rFonts w:ascii="宋体" w:cs="宋体"/>
                <w:color w:val="auto"/>
                <w:sz w:val="24"/>
                <w:highlight w:val="none"/>
              </w:rPr>
            </w:pPr>
          </w:p>
        </w:tc>
        <w:tc>
          <w:tcPr>
            <w:tcW w:w="2044" w:type="dxa"/>
          </w:tcPr>
          <w:p w14:paraId="2E73BD10">
            <w:pPr>
              <w:spacing w:line="360" w:lineRule="auto"/>
              <w:contextualSpacing/>
              <w:rPr>
                <w:rFonts w:ascii="宋体" w:cs="宋体"/>
                <w:color w:val="auto"/>
                <w:sz w:val="24"/>
                <w:highlight w:val="none"/>
              </w:rPr>
            </w:pPr>
          </w:p>
        </w:tc>
        <w:tc>
          <w:tcPr>
            <w:tcW w:w="1303" w:type="dxa"/>
          </w:tcPr>
          <w:p w14:paraId="42E8A26C">
            <w:pPr>
              <w:spacing w:line="360" w:lineRule="auto"/>
              <w:contextualSpacing/>
              <w:rPr>
                <w:rFonts w:ascii="宋体" w:cs="宋体"/>
                <w:color w:val="auto"/>
                <w:sz w:val="24"/>
                <w:highlight w:val="none"/>
              </w:rPr>
            </w:pPr>
          </w:p>
        </w:tc>
        <w:tc>
          <w:tcPr>
            <w:tcW w:w="1327" w:type="dxa"/>
            <w:vAlign w:val="center"/>
          </w:tcPr>
          <w:p w14:paraId="678A745D">
            <w:pPr>
              <w:spacing w:line="360" w:lineRule="auto"/>
              <w:contextualSpacing/>
              <w:rPr>
                <w:rFonts w:ascii="宋体" w:cs="宋体"/>
                <w:color w:val="auto"/>
                <w:sz w:val="24"/>
                <w:highlight w:val="none"/>
              </w:rPr>
            </w:pPr>
          </w:p>
        </w:tc>
      </w:tr>
      <w:tr w14:paraId="652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76B84293">
            <w:pPr>
              <w:spacing w:line="360" w:lineRule="auto"/>
              <w:contextualSpacing/>
              <w:rPr>
                <w:rFonts w:ascii="宋体" w:cs="宋体"/>
                <w:color w:val="auto"/>
                <w:sz w:val="24"/>
                <w:highlight w:val="none"/>
              </w:rPr>
            </w:pPr>
            <w:r>
              <w:rPr>
                <w:rFonts w:hint="eastAsia" w:ascii="宋体" w:hAnsi="宋体" w:cs="宋体"/>
                <w:color w:val="auto"/>
                <w:sz w:val="24"/>
                <w:highlight w:val="none"/>
              </w:rPr>
              <w:t>合计金额大写：人民币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14:paraId="325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5398C236">
            <w:pPr>
              <w:spacing w:line="360" w:lineRule="auto"/>
              <w:contextualSpacing/>
              <w:rPr>
                <w:rFonts w:ascii="宋体" w:cs="宋体"/>
                <w:color w:val="auto"/>
                <w:sz w:val="24"/>
                <w:highlight w:val="none"/>
              </w:rPr>
            </w:pPr>
            <w:r>
              <w:rPr>
                <w:rFonts w:hint="eastAsia" w:ascii="宋体" w:hAnsi="宋体" w:cs="宋体"/>
                <w:color w:val="auto"/>
                <w:sz w:val="24"/>
                <w:highlight w:val="none"/>
              </w:rPr>
              <w:t>合同履约期限：</w:t>
            </w:r>
          </w:p>
        </w:tc>
      </w:tr>
    </w:tbl>
    <w:p w14:paraId="25E0E630">
      <w:pPr>
        <w:spacing w:line="360" w:lineRule="auto"/>
        <w:contextualSpacing/>
        <w:jc w:val="left"/>
        <w:rPr>
          <w:rFonts w:ascii="宋体" w:cs="宋体"/>
          <w:color w:val="auto"/>
          <w:sz w:val="24"/>
          <w:highlight w:val="none"/>
        </w:rPr>
      </w:pPr>
    </w:p>
    <w:p w14:paraId="06594DB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 </w:t>
      </w:r>
    </w:p>
    <w:p w14:paraId="2609D4F3">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7C03A541">
      <w:pPr>
        <w:spacing w:line="360" w:lineRule="auto"/>
        <w:ind w:firstLine="480" w:firstLineChars="200"/>
        <w:contextualSpacing/>
        <w:jc w:val="left"/>
        <w:rPr>
          <w:rFonts w:ascii="宋体" w:cs="宋体"/>
          <w:b/>
          <w:color w:val="auto"/>
          <w:sz w:val="24"/>
          <w:highlight w:val="none"/>
        </w:rPr>
      </w:pPr>
      <w:r>
        <w:rPr>
          <w:rFonts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0E9FB131">
      <w:pPr>
        <w:spacing w:line="360" w:lineRule="auto"/>
        <w:ind w:right="-817" w:rightChars="-389"/>
        <w:contextualSpacing/>
        <w:rPr>
          <w:rFonts w:ascii="宋体" w:cs="宋体"/>
          <w:color w:val="auto"/>
          <w:sz w:val="24"/>
          <w:highlight w:val="none"/>
        </w:rPr>
      </w:pPr>
    </w:p>
    <w:p w14:paraId="48E3D138">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28D919A3">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15AF3E03">
      <w:pPr>
        <w:spacing w:line="360" w:lineRule="auto"/>
        <w:ind w:right="-817" w:rightChars="-389" w:firstLine="4080" w:firstLineChars="1700"/>
        <w:contextualSpacing/>
        <w:rPr>
          <w:rFonts w:ascii="宋体" w:cs="宋体"/>
          <w:b/>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3A7C0F7">
      <w:pPr>
        <w:spacing w:beforeLines="100" w:afterLines="50" w:line="520" w:lineRule="exact"/>
        <w:jc w:val="center"/>
        <w:rPr>
          <w:rFonts w:ascii="宋体" w:cs="宋体"/>
          <w:color w:val="auto"/>
          <w:sz w:val="32"/>
          <w:szCs w:val="32"/>
          <w:highlight w:val="none"/>
        </w:rPr>
      </w:pPr>
      <w:r>
        <w:rPr>
          <w:rFonts w:asci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7CC0CA3F">
      <w:pPr>
        <w:spacing w:line="360" w:lineRule="auto"/>
        <w:ind w:left="540"/>
        <w:contextualSpacing/>
        <w:rPr>
          <w:rFonts w:ascii="宋体" w:cs="宋体"/>
          <w:color w:val="auto"/>
          <w:sz w:val="32"/>
          <w:szCs w:val="32"/>
          <w:highlight w:val="none"/>
        </w:rPr>
      </w:pPr>
    </w:p>
    <w:p w14:paraId="598C9901">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73350433">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0C247EEF">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3E229B74">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102FA367">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050F3E6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9752458">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5CC60327">
      <w:pPr>
        <w:spacing w:line="360" w:lineRule="auto"/>
        <w:ind w:left="540"/>
        <w:contextualSpacing/>
        <w:rPr>
          <w:rFonts w:ascii="宋体" w:cs="宋体"/>
          <w:color w:val="auto"/>
          <w:sz w:val="24"/>
          <w:highlight w:val="none"/>
        </w:rPr>
      </w:pPr>
    </w:p>
    <w:p w14:paraId="0E7DEC7F">
      <w:pPr>
        <w:spacing w:line="360" w:lineRule="auto"/>
        <w:ind w:left="540"/>
        <w:contextualSpacing/>
        <w:rPr>
          <w:rFonts w:ascii="宋体" w:cs="宋体"/>
          <w:color w:val="auto"/>
          <w:sz w:val="24"/>
          <w:highlight w:val="none"/>
        </w:rPr>
      </w:pPr>
    </w:p>
    <w:p w14:paraId="4ED1DCD7">
      <w:pPr>
        <w:spacing w:line="360" w:lineRule="auto"/>
        <w:ind w:left="540"/>
        <w:contextualSpacing/>
        <w:rPr>
          <w:rFonts w:ascii="宋体" w:cs="宋体"/>
          <w:color w:val="auto"/>
          <w:sz w:val="24"/>
          <w:highlight w:val="none"/>
        </w:rPr>
      </w:pPr>
    </w:p>
    <w:p w14:paraId="10582F7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586333DF">
      <w:pPr>
        <w:spacing w:line="360" w:lineRule="auto"/>
        <w:ind w:left="540"/>
        <w:contextualSpacing/>
        <w:rPr>
          <w:rFonts w:ascii="宋体" w:cs="宋体"/>
          <w:color w:val="auto"/>
          <w:sz w:val="24"/>
          <w:highlight w:val="none"/>
        </w:rPr>
      </w:pPr>
    </w:p>
    <w:p w14:paraId="36D408BF">
      <w:pPr>
        <w:spacing w:line="360" w:lineRule="auto"/>
        <w:ind w:left="54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3F5907FD">
      <w:pPr>
        <w:spacing w:line="360" w:lineRule="auto"/>
        <w:contextualSpacing/>
        <w:jc w:val="righ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412490F">
      <w:pPr>
        <w:spacing w:line="360" w:lineRule="auto"/>
        <w:contextualSpacing/>
        <w:jc w:val="center"/>
        <w:rPr>
          <w:rFonts w:ascii="宋体" w:cs="宋体"/>
          <w:b/>
          <w:color w:val="auto"/>
          <w:sz w:val="24"/>
          <w:highlight w:val="none"/>
        </w:rPr>
      </w:pPr>
    </w:p>
    <w:p w14:paraId="44562953">
      <w:pPr>
        <w:spacing w:line="360" w:lineRule="auto"/>
        <w:contextualSpacing/>
        <w:jc w:val="left"/>
        <w:rPr>
          <w:rFonts w:ascii="宋体" w:cs="宋体"/>
          <w:color w:val="auto"/>
          <w:sz w:val="24"/>
          <w:highlight w:val="none"/>
        </w:rPr>
      </w:pPr>
    </w:p>
    <w:p w14:paraId="5FDB06F1">
      <w:pPr>
        <w:adjustRightInd w:val="0"/>
        <w:snapToGrid w:val="0"/>
        <w:spacing w:line="300" w:lineRule="auto"/>
        <w:jc w:val="left"/>
        <w:rPr>
          <w:rFonts w:ascii="宋体" w:cs="宋体"/>
          <w:b/>
          <w:color w:val="auto"/>
          <w:szCs w:val="21"/>
          <w:highlight w:val="none"/>
        </w:rPr>
      </w:pPr>
    </w:p>
    <w:p w14:paraId="27ABC1E5">
      <w:pPr>
        <w:spacing w:line="500" w:lineRule="exact"/>
        <w:jc w:val="center"/>
        <w:rPr>
          <w:rFonts w:ascii="宋体" w:cs="宋体"/>
          <w:color w:val="auto"/>
          <w:sz w:val="44"/>
          <w:szCs w:val="44"/>
          <w:highlight w:val="none"/>
        </w:rPr>
      </w:pPr>
      <w:r>
        <w:rPr>
          <w:rFonts w:ascii="宋体" w:cs="宋体"/>
          <w:color w:val="auto"/>
          <w:sz w:val="44"/>
          <w:szCs w:val="44"/>
          <w:highlight w:val="none"/>
        </w:rPr>
        <w:br w:type="page"/>
      </w:r>
      <w:r>
        <w:rPr>
          <w:rFonts w:ascii="宋体" w:hAnsi="宋体" w:cs="宋体"/>
          <w:color w:val="auto"/>
          <w:sz w:val="44"/>
          <w:szCs w:val="44"/>
          <w:highlight w:val="none"/>
        </w:rPr>
        <w:t xml:space="preserve"> </w:t>
      </w:r>
    </w:p>
    <w:p w14:paraId="22DC2C3C">
      <w:pPr>
        <w:spacing w:line="520" w:lineRule="exact"/>
        <w:jc w:val="center"/>
        <w:rPr>
          <w:rFonts w:ascii="宋体" w:cs="宋体"/>
          <w:color w:val="auto"/>
          <w:sz w:val="44"/>
          <w:szCs w:val="44"/>
          <w:highlight w:val="none"/>
        </w:rPr>
      </w:pPr>
      <w:bookmarkStart w:id="53" w:name="_Hlk65853643"/>
      <w:r>
        <w:rPr>
          <w:rFonts w:hint="eastAsia" w:ascii="宋体" w:hAnsi="宋体" w:cs="宋体"/>
          <w:color w:val="auto"/>
          <w:sz w:val="44"/>
          <w:szCs w:val="44"/>
          <w:highlight w:val="none"/>
        </w:rPr>
        <w:t>授权委托书</w:t>
      </w:r>
    </w:p>
    <w:p w14:paraId="146C5A17">
      <w:pPr>
        <w:spacing w:line="520" w:lineRule="exact"/>
        <w:jc w:val="center"/>
        <w:rPr>
          <w:rFonts w:ascii="宋体" w:cs="宋体"/>
          <w:color w:val="auto"/>
          <w:sz w:val="44"/>
          <w:szCs w:val="44"/>
          <w:highlight w:val="none"/>
        </w:rPr>
      </w:pPr>
      <w:r>
        <w:rPr>
          <w:rFonts w:hint="eastAsia" w:ascii="宋体" w:hAnsi="宋体" w:cs="宋体"/>
          <w:color w:val="auto"/>
          <w:sz w:val="32"/>
          <w:szCs w:val="32"/>
          <w:highlight w:val="none"/>
        </w:rPr>
        <w:t>（如有委托时）</w:t>
      </w:r>
    </w:p>
    <w:p w14:paraId="45CF1FA5">
      <w:pPr>
        <w:spacing w:line="520" w:lineRule="exact"/>
        <w:rPr>
          <w:rFonts w:ascii="宋体" w:cs="宋体"/>
          <w:color w:val="auto"/>
          <w:sz w:val="32"/>
          <w:szCs w:val="32"/>
          <w:highlight w:val="none"/>
        </w:rPr>
      </w:pPr>
    </w:p>
    <w:p w14:paraId="465FA342">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1DE7658">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0C386FBB">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26D9EF20">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8091934">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61FB0B2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2EFE0BF3">
      <w:pPr>
        <w:spacing w:line="360" w:lineRule="auto"/>
        <w:rPr>
          <w:rFonts w:ascii="宋体" w:cs="宋体"/>
          <w:color w:val="auto"/>
          <w:sz w:val="24"/>
          <w:highlight w:val="none"/>
        </w:rPr>
      </w:pPr>
    </w:p>
    <w:p w14:paraId="439D2F57">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法定代表人（签字或者盖章）：</w:t>
      </w:r>
      <w:r>
        <w:rPr>
          <w:rFonts w:ascii="宋体" w:hAnsi="宋体" w:cs="宋体"/>
          <w:color w:val="auto"/>
          <w:sz w:val="24"/>
          <w:highlight w:val="none"/>
        </w:rPr>
        <w:t xml:space="preserve">                    </w:t>
      </w:r>
    </w:p>
    <w:p w14:paraId="66C849FF">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1FA6DF3C">
      <w:pPr>
        <w:spacing w:line="360" w:lineRule="auto"/>
        <w:rPr>
          <w:rFonts w:ascii="宋体" w:cs="宋体"/>
          <w:color w:val="auto"/>
          <w:sz w:val="24"/>
          <w:highlight w:val="none"/>
        </w:rPr>
      </w:pPr>
      <w:r>
        <w:rPr>
          <w:rFonts w:ascii="宋体" w:hAnsi="宋体" w:cs="宋体"/>
          <w:color w:val="auto"/>
          <w:sz w:val="24"/>
          <w:highlight w:val="none"/>
        </w:rPr>
        <w:t xml:space="preserve">                                </w:t>
      </w:r>
    </w:p>
    <w:p w14:paraId="71C1C961">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5348B1AF">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0E0551B">
      <w:pPr>
        <w:spacing w:line="360" w:lineRule="auto"/>
        <w:rPr>
          <w:rFonts w:ascii="宋体" w:cs="宋体"/>
          <w:color w:val="auto"/>
          <w:sz w:val="24"/>
          <w:highlight w:val="none"/>
        </w:rPr>
      </w:pPr>
    </w:p>
    <w:p w14:paraId="7B4AEAB0">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783C0F16">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bookmarkStart w:id="54" w:name="_Hlk65853109"/>
      <w:bookmarkStart w:id="55" w:name="_Hlk65853542"/>
      <w:r>
        <w:rPr>
          <w:rFonts w:hint="eastAsia" w:ascii="宋体" w:hAnsi="宋体" w:cs="宋体"/>
          <w:color w:val="auto"/>
          <w:sz w:val="24"/>
          <w:highlight w:val="none"/>
        </w:rPr>
        <w:t>法人、其他组织竞标时“我方”是指“我单位”，自然人竞标时“我方”是指“本人”。</w:t>
      </w:r>
      <w:bookmarkEnd w:id="54"/>
    </w:p>
    <w:bookmarkEnd w:id="55"/>
    <w:p w14:paraId="19837159">
      <w:pPr>
        <w:spacing w:line="360" w:lineRule="auto"/>
        <w:ind w:firstLine="420" w:firstLineChars="200"/>
        <w:jc w:val="left"/>
        <w:rPr>
          <w:rFonts w:ascii="宋体" w:cs="宋体"/>
          <w:color w:val="auto"/>
          <w:szCs w:val="21"/>
          <w:highlight w:val="none"/>
        </w:rPr>
      </w:pPr>
    </w:p>
    <w:bookmarkEnd w:id="53"/>
    <w:p w14:paraId="06F47942">
      <w:pPr>
        <w:rPr>
          <w:rFonts w:ascii="宋体" w:cs="宋体"/>
          <w:bCs/>
          <w:color w:val="auto"/>
          <w:sz w:val="44"/>
          <w:szCs w:val="44"/>
          <w:highlight w:val="none"/>
        </w:rPr>
      </w:pPr>
      <w:r>
        <w:rPr>
          <w:rFonts w:ascii="宋体" w:cs="宋体"/>
          <w:bCs/>
          <w:color w:val="auto"/>
          <w:sz w:val="44"/>
          <w:szCs w:val="44"/>
          <w:highlight w:val="none"/>
        </w:rPr>
        <w:br w:type="page"/>
      </w:r>
    </w:p>
    <w:p w14:paraId="6A92ACAC">
      <w:pPr>
        <w:spacing w:line="500" w:lineRule="exact"/>
        <w:jc w:val="center"/>
        <w:rPr>
          <w:rFonts w:ascii="宋体" w:cs="宋体"/>
          <w:bCs/>
          <w:color w:val="auto"/>
          <w:sz w:val="44"/>
          <w:szCs w:val="44"/>
          <w:highlight w:val="none"/>
        </w:rPr>
      </w:pPr>
      <w:r>
        <w:rPr>
          <w:rFonts w:hint="eastAsia" w:ascii="宋体" w:hAnsi="宋体" w:cs="宋体"/>
          <w:bCs/>
          <w:color w:val="auto"/>
          <w:sz w:val="44"/>
          <w:szCs w:val="44"/>
          <w:highlight w:val="none"/>
        </w:rPr>
        <w:t>商务要求偏离表</w:t>
      </w:r>
    </w:p>
    <w:p w14:paraId="2E9A5E64">
      <w:pPr>
        <w:spacing w:line="360" w:lineRule="auto"/>
        <w:contextualSpacing/>
        <w:jc w:val="left"/>
        <w:rPr>
          <w:rFonts w:ascii="宋体" w:cs="宋体"/>
          <w:color w:val="auto"/>
          <w:sz w:val="24"/>
          <w:highlight w:val="none"/>
        </w:rPr>
      </w:pPr>
    </w:p>
    <w:p w14:paraId="6AD45F9E">
      <w:pPr>
        <w:pStyle w:val="20"/>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p>
    <w:p w14:paraId="2E7421ED">
      <w:pPr>
        <w:spacing w:line="360" w:lineRule="auto"/>
        <w:contextualSpacing/>
        <w:jc w:val="left"/>
        <w:rPr>
          <w:rFonts w:ascii="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7188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612996D4">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D8DFA9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D1EF32">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6FC8A6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偏离说明</w:t>
            </w:r>
          </w:p>
        </w:tc>
      </w:tr>
      <w:tr w14:paraId="7E25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11CD9BA4">
            <w:pPr>
              <w:jc w:val="center"/>
              <w:rPr>
                <w:rFonts w:asci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660F5742">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6B2461">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6B12292">
            <w:pPr>
              <w:spacing w:line="360" w:lineRule="auto"/>
              <w:contextualSpacing/>
              <w:jc w:val="center"/>
              <w:rPr>
                <w:rFonts w:ascii="宋体" w:cs="宋体"/>
                <w:color w:val="auto"/>
                <w:sz w:val="24"/>
                <w:highlight w:val="none"/>
              </w:rPr>
            </w:pPr>
          </w:p>
        </w:tc>
      </w:tr>
      <w:tr w14:paraId="77F8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bottom w:val="single" w:color="auto" w:sz="4" w:space="0"/>
              <w:right w:val="single" w:color="auto" w:sz="4" w:space="0"/>
            </w:tcBorders>
            <w:vAlign w:val="center"/>
          </w:tcPr>
          <w:p w14:paraId="75FA95AB">
            <w:pPr>
              <w:jc w:val="center"/>
              <w:rPr>
                <w:rFonts w:asci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3036FDCF">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271057">
            <w:pPr>
              <w:spacing w:line="360" w:lineRule="auto"/>
              <w:ind w:left="43"/>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E93FD69">
            <w:pPr>
              <w:spacing w:line="360" w:lineRule="auto"/>
              <w:ind w:left="43"/>
              <w:contextualSpacing/>
              <w:jc w:val="center"/>
              <w:rPr>
                <w:rFonts w:ascii="宋体" w:cs="宋体"/>
                <w:color w:val="auto"/>
                <w:sz w:val="24"/>
                <w:highlight w:val="none"/>
              </w:rPr>
            </w:pPr>
          </w:p>
        </w:tc>
      </w:tr>
      <w:tr w14:paraId="2E9A8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B8FB17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04F4C7B">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9F46EB">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1E3D593">
            <w:pPr>
              <w:spacing w:line="360" w:lineRule="auto"/>
              <w:contextualSpacing/>
              <w:jc w:val="center"/>
              <w:rPr>
                <w:rFonts w:ascii="宋体" w:cs="宋体"/>
                <w:color w:val="auto"/>
                <w:sz w:val="24"/>
                <w:highlight w:val="none"/>
              </w:rPr>
            </w:pPr>
          </w:p>
        </w:tc>
      </w:tr>
      <w:tr w14:paraId="3242B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6C5B7E8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49E9D574">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59C193E">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FF4C88C">
            <w:pPr>
              <w:spacing w:line="360" w:lineRule="auto"/>
              <w:contextualSpacing/>
              <w:jc w:val="center"/>
              <w:rPr>
                <w:rFonts w:ascii="宋体" w:cs="宋体"/>
                <w:color w:val="auto"/>
                <w:sz w:val="24"/>
                <w:highlight w:val="none"/>
              </w:rPr>
            </w:pPr>
          </w:p>
        </w:tc>
      </w:tr>
    </w:tbl>
    <w:p w14:paraId="47390503">
      <w:pPr>
        <w:pStyle w:val="14"/>
        <w:spacing w:after="0" w:line="360" w:lineRule="auto"/>
        <w:contextualSpacing/>
        <w:rPr>
          <w:rFonts w:ascii="宋体" w:cs="宋体"/>
          <w:color w:val="auto"/>
          <w:kern w:val="0"/>
          <w:sz w:val="24"/>
          <w:szCs w:val="24"/>
          <w:highlight w:val="none"/>
        </w:rPr>
      </w:pPr>
    </w:p>
    <w:p w14:paraId="5224F740">
      <w:pPr>
        <w:pStyle w:val="14"/>
        <w:spacing w:after="0" w:line="360" w:lineRule="auto"/>
        <w:ind w:firstLine="240" w:firstLineChars="100"/>
        <w:contextualSpacing/>
        <w:rPr>
          <w:rFonts w:ascii="宋体" w:cs="宋体"/>
          <w:color w:val="auto"/>
          <w:kern w:val="0"/>
          <w:sz w:val="24"/>
          <w:szCs w:val="24"/>
          <w:highlight w:val="none"/>
        </w:rPr>
      </w:pPr>
    </w:p>
    <w:p w14:paraId="4E2CC127">
      <w:pPr>
        <w:pStyle w:val="14"/>
        <w:spacing w:after="0" w:line="360" w:lineRule="auto"/>
        <w:ind w:firstLine="240" w:firstLineChars="100"/>
        <w:contextualSpacing/>
        <w:rPr>
          <w:rFonts w:ascii="宋体" w:cs="宋体"/>
          <w:color w:val="auto"/>
          <w:kern w:val="0"/>
          <w:sz w:val="24"/>
          <w:szCs w:val="24"/>
          <w:highlight w:val="none"/>
        </w:rPr>
      </w:pPr>
    </w:p>
    <w:p w14:paraId="5C7615BC">
      <w:pPr>
        <w:pStyle w:val="14"/>
        <w:spacing w:after="0" w:line="360" w:lineRule="auto"/>
        <w:ind w:firstLine="240" w:firstLineChars="100"/>
        <w:contextualSpacing/>
        <w:rPr>
          <w:rFonts w:ascii="宋体" w:cs="宋体"/>
          <w:color w:val="auto"/>
          <w:kern w:val="0"/>
          <w:sz w:val="24"/>
          <w:szCs w:val="24"/>
          <w:highlight w:val="none"/>
        </w:rPr>
      </w:pPr>
    </w:p>
    <w:p w14:paraId="1FCBCA46">
      <w:pPr>
        <w:pStyle w:val="14"/>
        <w:spacing w:after="0" w:line="360" w:lineRule="auto"/>
        <w:ind w:firstLine="240" w:firstLineChars="100"/>
        <w:contextualSpacing/>
        <w:rPr>
          <w:rFonts w:ascii="宋体" w:cs="宋体"/>
          <w:color w:val="auto"/>
          <w:kern w:val="0"/>
          <w:sz w:val="24"/>
          <w:szCs w:val="24"/>
          <w:highlight w:val="none"/>
        </w:rPr>
      </w:pPr>
    </w:p>
    <w:p w14:paraId="6BCD7684">
      <w:pPr>
        <w:pStyle w:val="14"/>
        <w:spacing w:after="0" w:line="360" w:lineRule="auto"/>
        <w:ind w:firstLine="240" w:firstLineChars="100"/>
        <w:contextualSpacing/>
        <w:rPr>
          <w:rFonts w:ascii="宋体" w:cs="宋体"/>
          <w:color w:val="auto"/>
          <w:kern w:val="0"/>
          <w:sz w:val="24"/>
          <w:szCs w:val="24"/>
          <w:highlight w:val="none"/>
        </w:rPr>
      </w:pPr>
    </w:p>
    <w:p w14:paraId="124B10EF">
      <w:pPr>
        <w:pStyle w:val="14"/>
        <w:spacing w:after="0" w:line="360" w:lineRule="auto"/>
        <w:ind w:firstLine="240" w:firstLineChars="100"/>
        <w:contextualSpacing/>
        <w:rPr>
          <w:rFonts w:ascii="宋体" w:cs="宋体"/>
          <w:color w:val="auto"/>
          <w:kern w:val="0"/>
          <w:sz w:val="24"/>
          <w:szCs w:val="24"/>
          <w:highlight w:val="none"/>
        </w:rPr>
      </w:pPr>
    </w:p>
    <w:p w14:paraId="7EFF4793">
      <w:pPr>
        <w:pStyle w:val="14"/>
        <w:spacing w:after="0" w:line="360" w:lineRule="auto"/>
        <w:ind w:firstLine="240" w:firstLineChars="100"/>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043C4E74">
      <w:pPr>
        <w:pStyle w:val="14"/>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说明：应对照磋商文件“第三章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采购需求”中的商务要求逐条作出明确响应，并作出偏离说明。</w:t>
      </w:r>
    </w:p>
    <w:p w14:paraId="608BCA49">
      <w:pPr>
        <w:spacing w:line="360" w:lineRule="auto"/>
        <w:contextualSpacing/>
        <w:jc w:val="left"/>
        <w:rPr>
          <w:rFonts w:ascii="宋体" w:cs="宋体"/>
          <w:color w:val="auto"/>
          <w:sz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供应商应根据自身的承诺，对照磋商文件要求在“偏离说明”中注明“正偏离”、“负偏离”或者“无偏离”。既不属于“正偏离”也不属于“负偏离”即为“无偏离”。</w:t>
      </w:r>
    </w:p>
    <w:p w14:paraId="1BEAE2B6">
      <w:pPr>
        <w:spacing w:line="360" w:lineRule="auto"/>
        <w:ind w:right="-817" w:rightChars="-389"/>
        <w:contextualSpacing/>
        <w:rPr>
          <w:rFonts w:ascii="宋体" w:cs="宋体"/>
          <w:color w:val="auto"/>
          <w:sz w:val="24"/>
          <w:highlight w:val="none"/>
        </w:rPr>
      </w:pPr>
    </w:p>
    <w:p w14:paraId="7ADBB66F">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0EEC26C8">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2CAD6F54">
      <w:pPr>
        <w:spacing w:line="360" w:lineRule="auto"/>
        <w:ind w:right="-817" w:rightChars="-389" w:firstLine="4800" w:firstLineChars="2000"/>
        <w:contextualSpacing/>
        <w:rPr>
          <w:rFonts w:ascii="宋体" w:cs="宋体"/>
          <w:b/>
          <w:color w:val="auto"/>
          <w:sz w:val="32"/>
          <w:szCs w:val="32"/>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56A1CFA">
      <w:pPr>
        <w:adjustRightInd w:val="0"/>
        <w:snapToGrid w:val="0"/>
        <w:spacing w:line="520" w:lineRule="exact"/>
        <w:ind w:firstLine="7040" w:firstLineChars="1600"/>
        <w:jc w:val="center"/>
        <w:rPr>
          <w:rFonts w:ascii="宋体" w:cs="宋体"/>
          <w:bCs/>
          <w:color w:val="auto"/>
          <w:sz w:val="44"/>
          <w:szCs w:val="44"/>
          <w:highlight w:val="none"/>
        </w:rPr>
      </w:pPr>
    </w:p>
    <w:p w14:paraId="5661DECA">
      <w:pPr>
        <w:adjustRightInd w:val="0"/>
        <w:snapToGrid w:val="0"/>
        <w:spacing w:line="520" w:lineRule="exact"/>
        <w:ind w:firstLine="7040" w:firstLineChars="1600"/>
        <w:jc w:val="center"/>
        <w:rPr>
          <w:rFonts w:ascii="宋体" w:cs="宋体"/>
          <w:bCs/>
          <w:color w:val="auto"/>
          <w:sz w:val="44"/>
          <w:szCs w:val="44"/>
          <w:highlight w:val="none"/>
        </w:rPr>
      </w:pPr>
    </w:p>
    <w:p w14:paraId="2B01008D">
      <w:pPr>
        <w:adjustRightInd w:val="0"/>
        <w:snapToGrid w:val="0"/>
        <w:spacing w:line="520" w:lineRule="exact"/>
        <w:ind w:firstLine="7040" w:firstLineChars="1600"/>
        <w:jc w:val="center"/>
        <w:rPr>
          <w:rFonts w:ascii="宋体" w:cs="宋体"/>
          <w:bCs/>
          <w:color w:val="auto"/>
          <w:sz w:val="44"/>
          <w:szCs w:val="44"/>
          <w:highlight w:val="none"/>
        </w:rPr>
      </w:pPr>
    </w:p>
    <w:p w14:paraId="5E8CBB7E">
      <w:pPr>
        <w:adjustRightInd w:val="0"/>
        <w:snapToGrid w:val="0"/>
        <w:spacing w:line="520" w:lineRule="exact"/>
        <w:ind w:firstLine="7040" w:firstLineChars="1600"/>
        <w:jc w:val="center"/>
        <w:rPr>
          <w:rFonts w:ascii="宋体" w:cs="宋体"/>
          <w:bCs/>
          <w:color w:val="auto"/>
          <w:sz w:val="44"/>
          <w:szCs w:val="44"/>
          <w:highlight w:val="none"/>
        </w:rPr>
      </w:pPr>
    </w:p>
    <w:p w14:paraId="17BDA182">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5CF732ED">
      <w:pPr>
        <w:spacing w:line="520" w:lineRule="exact"/>
        <w:rPr>
          <w:rFonts w:ascii="宋体" w:cs="宋体"/>
          <w:color w:val="auto"/>
          <w:sz w:val="32"/>
          <w:szCs w:val="32"/>
          <w:highlight w:val="none"/>
        </w:rPr>
      </w:pPr>
    </w:p>
    <w:p w14:paraId="5853341C">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single"/>
        </w:rPr>
        <w:t xml:space="preserve">                 </w:t>
      </w:r>
    </w:p>
    <w:p w14:paraId="2E63F684">
      <w:pPr>
        <w:spacing w:line="360" w:lineRule="auto"/>
        <w:contextualSpacing/>
        <w:rPr>
          <w:rFonts w:asci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u w:val="single"/>
        </w:rPr>
        <w:t xml:space="preserve">                 </w:t>
      </w:r>
    </w:p>
    <w:p w14:paraId="3F48BD39">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1CDA9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tcBorders>
              <w:top w:val="single" w:color="auto" w:sz="4" w:space="0"/>
            </w:tcBorders>
            <w:vAlign w:val="center"/>
          </w:tcPr>
          <w:p w14:paraId="6D56741C">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56" w:name="_Toc297193185"/>
            <w:bookmarkStart w:id="57" w:name="_Toc173066401"/>
            <w:bookmarkStart w:id="58" w:name="_Toc254970588"/>
            <w:bookmarkStart w:id="59" w:name="_Toc373333689"/>
            <w:bookmarkStart w:id="60" w:name="_Toc173211900"/>
            <w:bookmarkStart w:id="61" w:name="_Toc295404981"/>
            <w:bookmarkStart w:id="62" w:name="_Toc301781611"/>
            <w:bookmarkStart w:id="63" w:name="_Toc254970729"/>
            <w:bookmarkStart w:id="64" w:name="_Toc383699906"/>
            <w:r>
              <w:rPr>
                <w:rFonts w:hint="eastAsia" w:ascii="宋体" w:hAnsi="宋体" w:eastAsia="宋体" w:cs="宋体"/>
                <w:color w:val="auto"/>
                <w:kern w:val="2"/>
                <w:sz w:val="24"/>
                <w:szCs w:val="24"/>
                <w:highlight w:val="none"/>
              </w:rPr>
              <w:t>序号</w:t>
            </w:r>
            <w:bookmarkEnd w:id="56"/>
            <w:bookmarkEnd w:id="57"/>
            <w:bookmarkEnd w:id="58"/>
            <w:bookmarkEnd w:id="59"/>
            <w:bookmarkEnd w:id="60"/>
            <w:bookmarkEnd w:id="61"/>
            <w:bookmarkEnd w:id="62"/>
            <w:bookmarkEnd w:id="63"/>
            <w:bookmarkEnd w:id="64"/>
          </w:p>
        </w:tc>
        <w:tc>
          <w:tcPr>
            <w:tcW w:w="503" w:type="pct"/>
            <w:tcBorders>
              <w:top w:val="single" w:color="auto" w:sz="4" w:space="0"/>
              <w:right w:val="single" w:color="auto" w:sz="4" w:space="0"/>
            </w:tcBorders>
            <w:vAlign w:val="center"/>
          </w:tcPr>
          <w:p w14:paraId="3CB89BF7">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top w:val="single" w:color="auto" w:sz="4" w:space="0"/>
              <w:left w:val="single" w:color="auto" w:sz="4" w:space="0"/>
            </w:tcBorders>
            <w:vAlign w:val="center"/>
          </w:tcPr>
          <w:p w14:paraId="7F69B5CA">
            <w:pPr>
              <w:pStyle w:val="18"/>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tcBorders>
              <w:top w:val="single" w:color="auto" w:sz="4" w:space="0"/>
            </w:tcBorders>
            <w:vAlign w:val="center"/>
          </w:tcPr>
          <w:p w14:paraId="71E88677">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65" w:name="_Toc173066403"/>
            <w:bookmarkStart w:id="66" w:name="_Toc295404983"/>
            <w:bookmarkStart w:id="67" w:name="_Toc173211902"/>
            <w:bookmarkStart w:id="68" w:name="_Toc254970590"/>
            <w:bookmarkStart w:id="69" w:name="_Toc373333691"/>
            <w:bookmarkStart w:id="70" w:name="_Toc301781613"/>
            <w:bookmarkStart w:id="71" w:name="_Toc297193187"/>
            <w:bookmarkStart w:id="72" w:name="_Toc254970731"/>
            <w:bookmarkStart w:id="73" w:name="_Toc383699908"/>
            <w:r>
              <w:rPr>
                <w:rFonts w:hint="eastAsia" w:ascii="宋体" w:hAnsi="宋体" w:eastAsia="宋体" w:cs="宋体"/>
                <w:color w:val="auto"/>
                <w:kern w:val="2"/>
                <w:sz w:val="24"/>
                <w:szCs w:val="24"/>
                <w:highlight w:val="none"/>
              </w:rPr>
              <w:t>竞标响应</w:t>
            </w:r>
            <w:bookmarkEnd w:id="65"/>
            <w:bookmarkEnd w:id="66"/>
            <w:bookmarkEnd w:id="67"/>
            <w:bookmarkEnd w:id="68"/>
            <w:bookmarkEnd w:id="69"/>
            <w:bookmarkEnd w:id="70"/>
            <w:bookmarkEnd w:id="71"/>
            <w:bookmarkEnd w:id="72"/>
            <w:bookmarkEnd w:id="73"/>
          </w:p>
        </w:tc>
        <w:tc>
          <w:tcPr>
            <w:tcW w:w="820" w:type="pct"/>
            <w:tcBorders>
              <w:top w:val="single" w:color="auto" w:sz="4" w:space="0"/>
            </w:tcBorders>
            <w:vAlign w:val="center"/>
          </w:tcPr>
          <w:p w14:paraId="7FCA796A">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74" w:name="_Toc173066404"/>
            <w:bookmarkStart w:id="75" w:name="_Toc383699909"/>
            <w:bookmarkStart w:id="76" w:name="_Toc373333692"/>
            <w:bookmarkStart w:id="77" w:name="_Toc295404984"/>
            <w:bookmarkStart w:id="78" w:name="_Toc173211903"/>
            <w:bookmarkStart w:id="79" w:name="_Toc254970732"/>
            <w:bookmarkStart w:id="80" w:name="_Toc254970591"/>
            <w:bookmarkStart w:id="81" w:name="_Toc297193188"/>
            <w:bookmarkStart w:id="82" w:name="_Toc301781614"/>
            <w:r>
              <w:rPr>
                <w:rFonts w:hint="eastAsia" w:ascii="宋体" w:hAnsi="宋体" w:eastAsia="宋体" w:cs="宋体"/>
                <w:color w:val="auto"/>
                <w:kern w:val="2"/>
                <w:sz w:val="24"/>
                <w:szCs w:val="24"/>
                <w:highlight w:val="none"/>
              </w:rPr>
              <w:t>偏离</w:t>
            </w:r>
            <w:bookmarkEnd w:id="74"/>
            <w:bookmarkEnd w:id="75"/>
            <w:bookmarkEnd w:id="76"/>
            <w:bookmarkEnd w:id="77"/>
            <w:bookmarkEnd w:id="78"/>
            <w:bookmarkEnd w:id="79"/>
            <w:bookmarkEnd w:id="80"/>
            <w:bookmarkEnd w:id="81"/>
            <w:bookmarkEnd w:id="82"/>
            <w:bookmarkStart w:id="83" w:name="_Toc173066405"/>
            <w:bookmarkStart w:id="84" w:name="_Toc295404985"/>
            <w:bookmarkStart w:id="85" w:name="_Toc297193189"/>
            <w:bookmarkStart w:id="86" w:name="_Toc383699910"/>
            <w:bookmarkStart w:id="87" w:name="_Toc373333693"/>
            <w:bookmarkStart w:id="88" w:name="_Toc173211904"/>
            <w:bookmarkStart w:id="89" w:name="_Toc254970592"/>
            <w:bookmarkStart w:id="90" w:name="_Toc254970733"/>
            <w:bookmarkStart w:id="91" w:name="_Toc301781615"/>
            <w:r>
              <w:rPr>
                <w:rFonts w:hint="eastAsia" w:ascii="宋体" w:hAnsi="宋体" w:eastAsia="宋体" w:cs="宋体"/>
                <w:color w:val="auto"/>
                <w:kern w:val="2"/>
                <w:sz w:val="24"/>
                <w:szCs w:val="24"/>
                <w:highlight w:val="none"/>
              </w:rPr>
              <w:t>说明</w:t>
            </w:r>
            <w:bookmarkEnd w:id="83"/>
            <w:bookmarkEnd w:id="84"/>
            <w:bookmarkEnd w:id="85"/>
            <w:bookmarkEnd w:id="86"/>
            <w:bookmarkEnd w:id="87"/>
            <w:bookmarkEnd w:id="88"/>
            <w:bookmarkEnd w:id="89"/>
            <w:bookmarkEnd w:id="90"/>
            <w:bookmarkEnd w:id="91"/>
          </w:p>
        </w:tc>
      </w:tr>
      <w:tr w14:paraId="4AD53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82B4521">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92" w:name="_Toc173211905"/>
            <w:bookmarkStart w:id="93" w:name="_Toc173066406"/>
            <w:bookmarkStart w:id="94" w:name="_Toc297193190"/>
            <w:bookmarkStart w:id="95" w:name="_Toc383699911"/>
            <w:bookmarkStart w:id="96" w:name="_Toc254970734"/>
            <w:bookmarkStart w:id="97" w:name="_Toc254970593"/>
            <w:bookmarkStart w:id="98" w:name="_Toc301781616"/>
            <w:bookmarkStart w:id="99" w:name="_Toc373333694"/>
            <w:bookmarkStart w:id="100" w:name="_Toc295404986"/>
            <w:r>
              <w:rPr>
                <w:rFonts w:ascii="宋体" w:hAnsi="宋体" w:eastAsia="宋体" w:cs="宋体"/>
                <w:color w:val="auto"/>
                <w:kern w:val="2"/>
                <w:sz w:val="24"/>
                <w:szCs w:val="24"/>
                <w:highlight w:val="none"/>
              </w:rPr>
              <w:t>1</w:t>
            </w:r>
            <w:bookmarkEnd w:id="92"/>
            <w:bookmarkEnd w:id="93"/>
            <w:bookmarkEnd w:id="94"/>
            <w:bookmarkEnd w:id="95"/>
            <w:bookmarkEnd w:id="96"/>
            <w:bookmarkEnd w:id="97"/>
            <w:bookmarkEnd w:id="98"/>
            <w:bookmarkEnd w:id="99"/>
            <w:bookmarkEnd w:id="100"/>
          </w:p>
        </w:tc>
        <w:tc>
          <w:tcPr>
            <w:tcW w:w="503" w:type="pct"/>
            <w:tcBorders>
              <w:right w:val="single" w:color="auto" w:sz="4" w:space="0"/>
            </w:tcBorders>
            <w:vAlign w:val="center"/>
          </w:tcPr>
          <w:p w14:paraId="3E395FEF">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C983DD0">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DF15C31">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23D78655">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31DC5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3C22FD0">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01" w:name="_Toc254970594"/>
            <w:bookmarkStart w:id="102" w:name="_Toc295404987"/>
            <w:bookmarkStart w:id="103" w:name="_Toc383699912"/>
            <w:bookmarkStart w:id="104" w:name="_Toc373333695"/>
            <w:bookmarkStart w:id="105" w:name="_Toc297193191"/>
            <w:bookmarkStart w:id="106" w:name="_Toc173066407"/>
            <w:bookmarkStart w:id="107" w:name="_Toc173211906"/>
            <w:bookmarkStart w:id="108" w:name="_Toc254970735"/>
            <w:bookmarkStart w:id="109" w:name="_Toc301781617"/>
            <w:r>
              <w:rPr>
                <w:rFonts w:ascii="宋体" w:hAnsi="宋体" w:eastAsia="宋体" w:cs="宋体"/>
                <w:color w:val="auto"/>
                <w:kern w:val="2"/>
                <w:sz w:val="24"/>
                <w:szCs w:val="24"/>
                <w:highlight w:val="none"/>
              </w:rPr>
              <w:t>2</w:t>
            </w:r>
            <w:bookmarkEnd w:id="101"/>
            <w:bookmarkEnd w:id="102"/>
            <w:bookmarkEnd w:id="103"/>
            <w:bookmarkEnd w:id="104"/>
            <w:bookmarkEnd w:id="105"/>
            <w:bookmarkEnd w:id="106"/>
            <w:bookmarkEnd w:id="107"/>
            <w:bookmarkEnd w:id="108"/>
            <w:bookmarkEnd w:id="109"/>
          </w:p>
        </w:tc>
        <w:tc>
          <w:tcPr>
            <w:tcW w:w="503" w:type="pct"/>
            <w:tcBorders>
              <w:right w:val="single" w:color="auto" w:sz="4" w:space="0"/>
            </w:tcBorders>
            <w:vAlign w:val="center"/>
          </w:tcPr>
          <w:p w14:paraId="14B71CA6">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38877AF9">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74BF5D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106EA6D">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71D0E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BC2DD8C">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10" w:name="_Toc295404988"/>
            <w:bookmarkStart w:id="111" w:name="_Toc173066408"/>
            <w:bookmarkStart w:id="112" w:name="_Toc254970595"/>
            <w:bookmarkStart w:id="113" w:name="_Toc173211907"/>
            <w:bookmarkStart w:id="114" w:name="_Toc301781618"/>
            <w:bookmarkStart w:id="115" w:name="_Toc254970736"/>
            <w:bookmarkStart w:id="116" w:name="_Toc383699913"/>
            <w:bookmarkStart w:id="117" w:name="_Toc373333696"/>
            <w:bookmarkStart w:id="118" w:name="_Toc297193192"/>
            <w:r>
              <w:rPr>
                <w:rFonts w:ascii="宋体" w:hAnsi="宋体" w:eastAsia="宋体" w:cs="宋体"/>
                <w:color w:val="auto"/>
                <w:kern w:val="2"/>
                <w:sz w:val="24"/>
                <w:szCs w:val="24"/>
                <w:highlight w:val="none"/>
              </w:rPr>
              <w:t>3</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vAlign w:val="center"/>
          </w:tcPr>
          <w:p w14:paraId="184B7159">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3F511EE">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BE84DE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25164D9">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1A3F4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7E40B5">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19" w:name="_Toc297193193"/>
            <w:bookmarkStart w:id="120" w:name="_Toc373333697"/>
            <w:bookmarkStart w:id="121" w:name="_Toc173066409"/>
            <w:bookmarkStart w:id="122" w:name="_Toc173211908"/>
            <w:bookmarkStart w:id="123" w:name="_Toc254970737"/>
            <w:bookmarkStart w:id="124" w:name="_Toc301781619"/>
            <w:bookmarkStart w:id="125" w:name="_Toc254970596"/>
            <w:bookmarkStart w:id="126" w:name="_Toc383699914"/>
            <w:bookmarkStart w:id="127" w:name="_Toc295404989"/>
            <w:r>
              <w:rPr>
                <w:rFonts w:ascii="宋体" w:hAnsi="宋体" w:eastAsia="宋体" w:cs="宋体"/>
                <w:color w:val="auto"/>
                <w:kern w:val="2"/>
                <w:sz w:val="24"/>
                <w:szCs w:val="24"/>
                <w:highlight w:val="none"/>
              </w:rPr>
              <w:t>4</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vAlign w:val="center"/>
          </w:tcPr>
          <w:p w14:paraId="408FC84F">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0A9D1811">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1A52BE6">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58DD94D">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78081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AED1A29">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28" w:name="_Toc254970597"/>
            <w:bookmarkStart w:id="129" w:name="_Toc301781620"/>
            <w:bookmarkStart w:id="130" w:name="_Toc383699915"/>
            <w:bookmarkStart w:id="131" w:name="_Toc297193194"/>
            <w:bookmarkStart w:id="132" w:name="_Toc373333698"/>
            <w:bookmarkStart w:id="133" w:name="_Toc254970738"/>
            <w:bookmarkStart w:id="134" w:name="_Toc173211909"/>
            <w:bookmarkStart w:id="135" w:name="_Toc295404990"/>
            <w:bookmarkStart w:id="136" w:name="_Toc173066410"/>
            <w:r>
              <w:rPr>
                <w:rFonts w:ascii="宋体" w:hAnsi="宋体" w:eastAsia="宋体" w:cs="宋体"/>
                <w:color w:val="auto"/>
                <w:kern w:val="2"/>
                <w:sz w:val="24"/>
                <w:szCs w:val="24"/>
                <w:highlight w:val="none"/>
              </w:rPr>
              <w:t>5</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vAlign w:val="center"/>
          </w:tcPr>
          <w:p w14:paraId="6872C0ED">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01E9B03">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AB171C8">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49B1C2A">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r w14:paraId="261A2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tcBorders>
              <w:bottom w:val="single" w:color="auto" w:sz="4" w:space="0"/>
            </w:tcBorders>
            <w:vAlign w:val="center"/>
          </w:tcPr>
          <w:p w14:paraId="26734E6F">
            <w:pPr>
              <w:pStyle w:val="18"/>
              <w:spacing w:line="360" w:lineRule="auto"/>
              <w:ind w:firstLine="0" w:firstLineChars="0"/>
              <w:contextualSpacing/>
              <w:jc w:val="center"/>
              <w:rPr>
                <w:rFonts w:ascii="宋体" w:hAnsi="宋体" w:eastAsia="宋体" w:cs="宋体"/>
                <w:color w:val="auto"/>
                <w:kern w:val="2"/>
                <w:sz w:val="24"/>
                <w:szCs w:val="24"/>
                <w:highlight w:val="none"/>
              </w:rPr>
            </w:pPr>
            <w:bookmarkStart w:id="137" w:name="_Toc373333699"/>
            <w:bookmarkStart w:id="138" w:name="_Toc383699916"/>
            <w:bookmarkStart w:id="139" w:name="_Toc301781621"/>
            <w:bookmarkStart w:id="140" w:name="_Toc173211914"/>
            <w:bookmarkStart w:id="141" w:name="_Toc254970743"/>
            <w:bookmarkStart w:id="142" w:name="_Toc295404991"/>
            <w:bookmarkStart w:id="143" w:name="_Toc297193195"/>
            <w:bookmarkStart w:id="144" w:name="_Toc173066415"/>
            <w:bookmarkStart w:id="145" w:name="_Toc254970602"/>
            <w:r>
              <w:rPr>
                <w:rFonts w:hint="eastAsia" w:ascii="宋体" w:hAnsi="宋体" w:eastAsia="宋体" w:cs="宋体"/>
                <w:color w:val="auto"/>
                <w:kern w:val="2"/>
                <w:sz w:val="24"/>
                <w:szCs w:val="24"/>
                <w:highlight w:val="none"/>
              </w:rPr>
              <w:t>…</w:t>
            </w:r>
            <w:bookmarkEnd w:id="137"/>
            <w:bookmarkEnd w:id="138"/>
            <w:bookmarkEnd w:id="139"/>
            <w:bookmarkEnd w:id="140"/>
            <w:bookmarkEnd w:id="141"/>
            <w:bookmarkEnd w:id="142"/>
            <w:bookmarkEnd w:id="143"/>
            <w:bookmarkEnd w:id="144"/>
            <w:bookmarkEnd w:id="145"/>
          </w:p>
        </w:tc>
        <w:tc>
          <w:tcPr>
            <w:tcW w:w="503" w:type="pct"/>
            <w:tcBorders>
              <w:bottom w:val="single" w:color="auto" w:sz="4" w:space="0"/>
              <w:right w:val="single" w:color="auto" w:sz="4" w:space="0"/>
            </w:tcBorders>
            <w:vAlign w:val="center"/>
          </w:tcPr>
          <w:p w14:paraId="4A0B40F1">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bottom w:val="single" w:color="auto" w:sz="4" w:space="0"/>
            </w:tcBorders>
            <w:vAlign w:val="center"/>
          </w:tcPr>
          <w:p w14:paraId="64405965">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tcBorders>
              <w:bottom w:val="single" w:color="auto" w:sz="4" w:space="0"/>
            </w:tcBorders>
            <w:vAlign w:val="center"/>
          </w:tcPr>
          <w:p w14:paraId="189DF79E">
            <w:pPr>
              <w:pStyle w:val="18"/>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bottom w:val="single" w:color="auto" w:sz="4" w:space="0"/>
            </w:tcBorders>
            <w:vAlign w:val="center"/>
          </w:tcPr>
          <w:p w14:paraId="4B917036">
            <w:pPr>
              <w:pStyle w:val="18"/>
              <w:spacing w:line="360" w:lineRule="auto"/>
              <w:ind w:firstLine="0" w:firstLineChars="0"/>
              <w:contextualSpacing/>
              <w:jc w:val="center"/>
              <w:rPr>
                <w:rFonts w:ascii="宋体" w:hAnsi="宋体" w:eastAsia="宋体" w:cs="宋体"/>
                <w:color w:val="auto"/>
                <w:kern w:val="2"/>
                <w:sz w:val="24"/>
                <w:szCs w:val="24"/>
                <w:highlight w:val="none"/>
              </w:rPr>
            </w:pPr>
          </w:p>
        </w:tc>
      </w:tr>
    </w:tbl>
    <w:p w14:paraId="4A69886B">
      <w:pPr>
        <w:adjustRightInd w:val="0"/>
        <w:spacing w:line="360" w:lineRule="auto"/>
        <w:contextualSpacing/>
        <w:rPr>
          <w:rFonts w:ascii="宋体" w:cs="宋体"/>
          <w:color w:val="auto"/>
          <w:sz w:val="24"/>
          <w:highlight w:val="none"/>
        </w:rPr>
      </w:pPr>
    </w:p>
    <w:p w14:paraId="044C32E0">
      <w:pPr>
        <w:pStyle w:val="18"/>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4C5934A">
      <w:pPr>
        <w:pStyle w:val="18"/>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说明：应对照磋商文件“第三章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采购需求”中的技术要求逐条作出明确响应，并作出偏离说明。</w:t>
      </w:r>
    </w:p>
    <w:p w14:paraId="403CDC89">
      <w:pPr>
        <w:pStyle w:val="18"/>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供应商应根据自身的承诺，对照磋商文件要求，在“偏离说明”中注明“正偏离”、“负偏离”或者“无偏离”。既不属于“正偏离”也不属于“负偏离”即为“无偏离”。</w:t>
      </w:r>
    </w:p>
    <w:p w14:paraId="53161283">
      <w:pPr>
        <w:spacing w:line="360" w:lineRule="auto"/>
        <w:ind w:right="-817" w:rightChars="-389"/>
        <w:contextualSpacing/>
        <w:rPr>
          <w:rFonts w:ascii="宋体" w:cs="宋体"/>
          <w:color w:val="auto"/>
          <w:sz w:val="24"/>
          <w:highlight w:val="none"/>
        </w:rPr>
      </w:pPr>
    </w:p>
    <w:p w14:paraId="0A1684AA">
      <w:pPr>
        <w:spacing w:line="360" w:lineRule="auto"/>
        <w:ind w:right="-817" w:rightChars="-389" w:firstLine="960" w:firstLineChars="4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18282DD4">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7A2856C1">
      <w:pPr>
        <w:spacing w:line="360" w:lineRule="auto"/>
        <w:ind w:right="-817" w:rightChars="-389" w:firstLine="4080" w:firstLineChars="170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720099E">
      <w:pPr>
        <w:snapToGrid w:val="0"/>
        <w:spacing w:beforeLines="50" w:after="50"/>
        <w:ind w:left="142"/>
        <w:jc w:val="left"/>
        <w:rPr>
          <w:rFonts w:ascii="宋体" w:cs="宋体"/>
          <w:b/>
          <w:color w:val="auto"/>
          <w:sz w:val="24"/>
          <w:highlight w:val="none"/>
        </w:rPr>
      </w:pPr>
      <w:r>
        <w:rPr>
          <w:rFonts w:ascii="宋体" w:cs="宋体"/>
          <w:color w:val="auto"/>
          <w:sz w:val="24"/>
          <w:highlight w:val="none"/>
        </w:rPr>
        <w:br w:type="page"/>
      </w:r>
      <w:r>
        <w:rPr>
          <w:rFonts w:hint="eastAsia" w:ascii="宋体" w:hAnsi="宋体" w:cs="宋体"/>
          <w:b/>
          <w:color w:val="auto"/>
          <w:sz w:val="24"/>
          <w:highlight w:val="none"/>
        </w:rPr>
        <w:t>项目实施人员一览表格式</w:t>
      </w:r>
    </w:p>
    <w:p w14:paraId="2A55D357">
      <w:pPr>
        <w:snapToGrid w:val="0"/>
        <w:spacing w:beforeLines="50" w:after="50"/>
        <w:ind w:left="142"/>
        <w:jc w:val="left"/>
        <w:rPr>
          <w:rFonts w:ascii="宋体" w:cs="宋体"/>
          <w:b/>
          <w:color w:val="auto"/>
          <w:sz w:val="24"/>
          <w:highlight w:val="none"/>
        </w:rPr>
      </w:pPr>
    </w:p>
    <w:p w14:paraId="066FCCEE">
      <w:pPr>
        <w:spacing w:line="360" w:lineRule="auto"/>
        <w:ind w:left="142"/>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项目实施人员一览表</w:t>
      </w:r>
    </w:p>
    <w:p w14:paraId="79BB438D">
      <w:pPr>
        <w:pStyle w:val="20"/>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129C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77CBA8">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6DEE7B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0DAC62BE">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0AF0C3DA">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2DD3A67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参加本单位</w:t>
            </w:r>
          </w:p>
          <w:p w14:paraId="43D3D90C">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1DF3B20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劳动合同编号</w:t>
            </w:r>
          </w:p>
        </w:tc>
      </w:tr>
      <w:tr w14:paraId="50A7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E9A682">
            <w:pPr>
              <w:spacing w:line="360" w:lineRule="auto"/>
              <w:contextualSpacing/>
              <w:jc w:val="center"/>
              <w:rPr>
                <w:rFonts w:ascii="宋体" w:cs="宋体"/>
                <w:color w:val="auto"/>
                <w:sz w:val="24"/>
                <w:szCs w:val="20"/>
                <w:highlight w:val="none"/>
              </w:rPr>
            </w:pPr>
          </w:p>
        </w:tc>
        <w:tc>
          <w:tcPr>
            <w:tcW w:w="709" w:type="dxa"/>
            <w:vAlign w:val="center"/>
          </w:tcPr>
          <w:p w14:paraId="5E945FE1">
            <w:pPr>
              <w:spacing w:line="360" w:lineRule="auto"/>
              <w:contextualSpacing/>
              <w:jc w:val="center"/>
              <w:rPr>
                <w:rFonts w:ascii="宋体" w:cs="宋体"/>
                <w:color w:val="auto"/>
                <w:sz w:val="24"/>
                <w:szCs w:val="20"/>
                <w:highlight w:val="none"/>
              </w:rPr>
            </w:pPr>
          </w:p>
        </w:tc>
        <w:tc>
          <w:tcPr>
            <w:tcW w:w="2905" w:type="dxa"/>
            <w:vAlign w:val="center"/>
          </w:tcPr>
          <w:p w14:paraId="7FC5B32F">
            <w:pPr>
              <w:spacing w:line="360" w:lineRule="auto"/>
              <w:contextualSpacing/>
              <w:jc w:val="center"/>
              <w:rPr>
                <w:rFonts w:ascii="宋体" w:cs="宋体"/>
                <w:color w:val="auto"/>
                <w:sz w:val="24"/>
                <w:szCs w:val="20"/>
                <w:highlight w:val="none"/>
              </w:rPr>
            </w:pPr>
          </w:p>
        </w:tc>
        <w:tc>
          <w:tcPr>
            <w:tcW w:w="1309" w:type="dxa"/>
            <w:vAlign w:val="center"/>
          </w:tcPr>
          <w:p w14:paraId="5D8B36A1">
            <w:pPr>
              <w:spacing w:line="360" w:lineRule="auto"/>
              <w:contextualSpacing/>
              <w:jc w:val="center"/>
              <w:rPr>
                <w:rFonts w:ascii="宋体" w:cs="宋体"/>
                <w:color w:val="auto"/>
                <w:sz w:val="24"/>
                <w:szCs w:val="20"/>
                <w:highlight w:val="none"/>
              </w:rPr>
            </w:pPr>
          </w:p>
        </w:tc>
        <w:tc>
          <w:tcPr>
            <w:tcW w:w="1956" w:type="dxa"/>
            <w:vAlign w:val="center"/>
          </w:tcPr>
          <w:p w14:paraId="06B247A4">
            <w:pPr>
              <w:spacing w:line="360" w:lineRule="auto"/>
              <w:contextualSpacing/>
              <w:jc w:val="center"/>
              <w:rPr>
                <w:rFonts w:ascii="宋体" w:cs="宋体"/>
                <w:color w:val="auto"/>
                <w:sz w:val="24"/>
                <w:szCs w:val="20"/>
                <w:highlight w:val="none"/>
              </w:rPr>
            </w:pPr>
          </w:p>
        </w:tc>
        <w:tc>
          <w:tcPr>
            <w:tcW w:w="1935" w:type="dxa"/>
            <w:vAlign w:val="center"/>
          </w:tcPr>
          <w:p w14:paraId="3E100639">
            <w:pPr>
              <w:spacing w:line="360" w:lineRule="auto"/>
              <w:contextualSpacing/>
              <w:jc w:val="center"/>
              <w:rPr>
                <w:rFonts w:ascii="宋体" w:cs="宋体"/>
                <w:color w:val="auto"/>
                <w:sz w:val="24"/>
                <w:szCs w:val="20"/>
                <w:highlight w:val="none"/>
              </w:rPr>
            </w:pPr>
          </w:p>
        </w:tc>
      </w:tr>
      <w:tr w14:paraId="087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76F2DA">
            <w:pPr>
              <w:spacing w:line="360" w:lineRule="auto"/>
              <w:contextualSpacing/>
              <w:jc w:val="center"/>
              <w:rPr>
                <w:rFonts w:ascii="宋体" w:cs="宋体"/>
                <w:color w:val="auto"/>
                <w:sz w:val="24"/>
                <w:szCs w:val="20"/>
                <w:highlight w:val="none"/>
              </w:rPr>
            </w:pPr>
          </w:p>
        </w:tc>
        <w:tc>
          <w:tcPr>
            <w:tcW w:w="709" w:type="dxa"/>
            <w:vAlign w:val="center"/>
          </w:tcPr>
          <w:p w14:paraId="02D9E692">
            <w:pPr>
              <w:spacing w:line="360" w:lineRule="auto"/>
              <w:contextualSpacing/>
              <w:jc w:val="center"/>
              <w:rPr>
                <w:rFonts w:ascii="宋体" w:cs="宋体"/>
                <w:color w:val="auto"/>
                <w:sz w:val="24"/>
                <w:szCs w:val="20"/>
                <w:highlight w:val="none"/>
              </w:rPr>
            </w:pPr>
          </w:p>
        </w:tc>
        <w:tc>
          <w:tcPr>
            <w:tcW w:w="2905" w:type="dxa"/>
            <w:vAlign w:val="center"/>
          </w:tcPr>
          <w:p w14:paraId="755F4B39">
            <w:pPr>
              <w:spacing w:line="360" w:lineRule="auto"/>
              <w:contextualSpacing/>
              <w:jc w:val="center"/>
              <w:rPr>
                <w:rFonts w:ascii="宋体" w:cs="宋体"/>
                <w:color w:val="auto"/>
                <w:sz w:val="24"/>
                <w:szCs w:val="20"/>
                <w:highlight w:val="none"/>
              </w:rPr>
            </w:pPr>
          </w:p>
        </w:tc>
        <w:tc>
          <w:tcPr>
            <w:tcW w:w="1309" w:type="dxa"/>
            <w:vAlign w:val="center"/>
          </w:tcPr>
          <w:p w14:paraId="19B4F246">
            <w:pPr>
              <w:spacing w:line="360" w:lineRule="auto"/>
              <w:contextualSpacing/>
              <w:jc w:val="center"/>
              <w:rPr>
                <w:rFonts w:ascii="宋体" w:cs="宋体"/>
                <w:color w:val="auto"/>
                <w:sz w:val="24"/>
                <w:szCs w:val="20"/>
                <w:highlight w:val="none"/>
              </w:rPr>
            </w:pPr>
          </w:p>
        </w:tc>
        <w:tc>
          <w:tcPr>
            <w:tcW w:w="1956" w:type="dxa"/>
            <w:vAlign w:val="center"/>
          </w:tcPr>
          <w:p w14:paraId="5F95D113">
            <w:pPr>
              <w:spacing w:line="360" w:lineRule="auto"/>
              <w:contextualSpacing/>
              <w:jc w:val="center"/>
              <w:rPr>
                <w:rFonts w:ascii="宋体" w:cs="宋体"/>
                <w:color w:val="auto"/>
                <w:sz w:val="24"/>
                <w:szCs w:val="20"/>
                <w:highlight w:val="none"/>
              </w:rPr>
            </w:pPr>
          </w:p>
        </w:tc>
        <w:tc>
          <w:tcPr>
            <w:tcW w:w="1935" w:type="dxa"/>
            <w:vAlign w:val="center"/>
          </w:tcPr>
          <w:p w14:paraId="15B72F8F">
            <w:pPr>
              <w:spacing w:line="360" w:lineRule="auto"/>
              <w:contextualSpacing/>
              <w:jc w:val="center"/>
              <w:rPr>
                <w:rFonts w:ascii="宋体" w:cs="宋体"/>
                <w:color w:val="auto"/>
                <w:sz w:val="24"/>
                <w:szCs w:val="20"/>
                <w:highlight w:val="none"/>
              </w:rPr>
            </w:pPr>
          </w:p>
        </w:tc>
      </w:tr>
      <w:tr w14:paraId="4127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1C7CF2">
            <w:pPr>
              <w:spacing w:line="360" w:lineRule="auto"/>
              <w:contextualSpacing/>
              <w:jc w:val="center"/>
              <w:rPr>
                <w:rFonts w:ascii="宋体" w:cs="宋体"/>
                <w:color w:val="auto"/>
                <w:sz w:val="24"/>
                <w:szCs w:val="20"/>
                <w:highlight w:val="none"/>
              </w:rPr>
            </w:pPr>
          </w:p>
        </w:tc>
        <w:tc>
          <w:tcPr>
            <w:tcW w:w="709" w:type="dxa"/>
            <w:vAlign w:val="center"/>
          </w:tcPr>
          <w:p w14:paraId="3A96D1A3">
            <w:pPr>
              <w:spacing w:line="360" w:lineRule="auto"/>
              <w:contextualSpacing/>
              <w:jc w:val="center"/>
              <w:rPr>
                <w:rFonts w:ascii="宋体" w:cs="宋体"/>
                <w:color w:val="auto"/>
                <w:sz w:val="24"/>
                <w:szCs w:val="20"/>
                <w:highlight w:val="none"/>
              </w:rPr>
            </w:pPr>
          </w:p>
        </w:tc>
        <w:tc>
          <w:tcPr>
            <w:tcW w:w="2905" w:type="dxa"/>
            <w:vAlign w:val="center"/>
          </w:tcPr>
          <w:p w14:paraId="0ABC598A">
            <w:pPr>
              <w:spacing w:line="360" w:lineRule="auto"/>
              <w:contextualSpacing/>
              <w:jc w:val="center"/>
              <w:rPr>
                <w:rFonts w:ascii="宋体" w:cs="宋体"/>
                <w:color w:val="auto"/>
                <w:sz w:val="24"/>
                <w:szCs w:val="20"/>
                <w:highlight w:val="none"/>
              </w:rPr>
            </w:pPr>
          </w:p>
        </w:tc>
        <w:tc>
          <w:tcPr>
            <w:tcW w:w="1309" w:type="dxa"/>
            <w:vAlign w:val="center"/>
          </w:tcPr>
          <w:p w14:paraId="6648DC32">
            <w:pPr>
              <w:spacing w:line="360" w:lineRule="auto"/>
              <w:contextualSpacing/>
              <w:jc w:val="center"/>
              <w:rPr>
                <w:rFonts w:ascii="宋体" w:cs="宋体"/>
                <w:color w:val="auto"/>
                <w:sz w:val="24"/>
                <w:szCs w:val="20"/>
                <w:highlight w:val="none"/>
              </w:rPr>
            </w:pPr>
          </w:p>
        </w:tc>
        <w:tc>
          <w:tcPr>
            <w:tcW w:w="1956" w:type="dxa"/>
            <w:vAlign w:val="center"/>
          </w:tcPr>
          <w:p w14:paraId="5603B1E4">
            <w:pPr>
              <w:spacing w:line="360" w:lineRule="auto"/>
              <w:contextualSpacing/>
              <w:jc w:val="center"/>
              <w:rPr>
                <w:rFonts w:ascii="宋体" w:cs="宋体"/>
                <w:color w:val="auto"/>
                <w:sz w:val="24"/>
                <w:szCs w:val="20"/>
                <w:highlight w:val="none"/>
              </w:rPr>
            </w:pPr>
          </w:p>
        </w:tc>
        <w:tc>
          <w:tcPr>
            <w:tcW w:w="1935" w:type="dxa"/>
            <w:vAlign w:val="center"/>
          </w:tcPr>
          <w:p w14:paraId="50127203">
            <w:pPr>
              <w:spacing w:line="360" w:lineRule="auto"/>
              <w:contextualSpacing/>
              <w:jc w:val="center"/>
              <w:rPr>
                <w:rFonts w:ascii="宋体" w:cs="宋体"/>
                <w:color w:val="auto"/>
                <w:sz w:val="24"/>
                <w:szCs w:val="20"/>
                <w:highlight w:val="none"/>
              </w:rPr>
            </w:pPr>
          </w:p>
        </w:tc>
      </w:tr>
    </w:tbl>
    <w:p w14:paraId="4CA4872E">
      <w:pPr>
        <w:spacing w:line="360" w:lineRule="auto"/>
        <w:contextualSpacing/>
        <w:jc w:val="left"/>
        <w:rPr>
          <w:rFonts w:ascii="宋体" w:cs="宋体"/>
          <w:color w:val="auto"/>
          <w:sz w:val="24"/>
          <w:szCs w:val="20"/>
          <w:highlight w:val="none"/>
        </w:rPr>
      </w:pPr>
      <w:r>
        <w:rPr>
          <w:rFonts w:hint="eastAsia" w:ascii="宋体" w:hAnsi="宋体" w:cs="宋体"/>
          <w:color w:val="auto"/>
          <w:sz w:val="24"/>
          <w:szCs w:val="20"/>
          <w:highlight w:val="none"/>
        </w:rPr>
        <w:t>注：</w:t>
      </w:r>
    </w:p>
    <w:p w14:paraId="0CEA331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1.</w:t>
      </w:r>
      <w:r>
        <w:rPr>
          <w:rFonts w:hint="eastAsia" w:ascii="宋体" w:hAnsi="宋体" w:cs="宋体"/>
          <w:color w:val="auto"/>
          <w:sz w:val="24"/>
          <w:szCs w:val="20"/>
          <w:highlight w:val="none"/>
        </w:rPr>
        <w:t>在填写时，如本表格不适合供应商的实际情况，可根据本表格式自行制表填写。</w:t>
      </w:r>
    </w:p>
    <w:p w14:paraId="427A64F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2.</w:t>
      </w:r>
      <w:r>
        <w:rPr>
          <w:rFonts w:hint="eastAsia" w:ascii="宋体" w:hAnsi="宋体" w:cs="宋体"/>
          <w:color w:val="auto"/>
          <w:sz w:val="24"/>
          <w:szCs w:val="20"/>
          <w:highlight w:val="none"/>
        </w:rPr>
        <w:t>供应商应当附本表所列证书的复印件并加盖供应商公章。</w:t>
      </w:r>
    </w:p>
    <w:p w14:paraId="32FB2C13">
      <w:pPr>
        <w:spacing w:line="360" w:lineRule="auto"/>
        <w:contextualSpacing/>
        <w:rPr>
          <w:rFonts w:asci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ascii="宋体" w:hAnsi="宋体" w:cs="宋体"/>
          <w:color w:val="auto"/>
          <w:spacing w:val="20"/>
          <w:sz w:val="24"/>
          <w:highlight w:val="none"/>
          <w:u w:val="single"/>
        </w:rPr>
        <w:t xml:space="preserve">        </w:t>
      </w:r>
    </w:p>
    <w:p w14:paraId="14330F76">
      <w:pPr>
        <w:spacing w:line="360" w:lineRule="auto"/>
        <w:contextualSpacing/>
        <w:jc w:val="left"/>
        <w:rPr>
          <w:rFonts w:ascii="宋体" w:cs="宋体"/>
          <w:color w:val="auto"/>
          <w:sz w:val="24"/>
          <w:szCs w:val="20"/>
          <w:highlight w:val="none"/>
        </w:rPr>
      </w:pPr>
      <w:r>
        <w:rPr>
          <w:rFonts w:hint="eastAsia" w:ascii="宋体" w:hAnsi="宋体" w:cs="宋体"/>
          <w:color w:val="auto"/>
          <w:spacing w:val="20"/>
          <w:sz w:val="24"/>
          <w:highlight w:val="none"/>
        </w:rPr>
        <w:t>供应商（盖公章）：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14:paraId="46EA37B2">
      <w:pPr>
        <w:snapToGrid w:val="0"/>
        <w:spacing w:before="50" w:afterLines="50"/>
        <w:jc w:val="left"/>
        <w:rPr>
          <w:rFonts w:ascii="宋体" w:cs="宋体"/>
          <w:color w:val="auto"/>
          <w:sz w:val="24"/>
          <w:szCs w:val="20"/>
          <w:highlight w:val="none"/>
        </w:rPr>
      </w:pPr>
    </w:p>
    <w:p w14:paraId="581F2346">
      <w:pPr>
        <w:snapToGrid w:val="0"/>
        <w:spacing w:before="50" w:after="50" w:line="360" w:lineRule="auto"/>
        <w:ind w:right="-817" w:rightChars="-389" w:firstLine="5461" w:firstLineChars="1700"/>
        <w:rPr>
          <w:rFonts w:ascii="宋体" w:cs="宋体"/>
          <w:b/>
          <w:color w:val="auto"/>
          <w:sz w:val="32"/>
          <w:szCs w:val="32"/>
          <w:highlight w:val="none"/>
        </w:rPr>
      </w:pPr>
    </w:p>
    <w:p w14:paraId="4A8F33B8">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14:paraId="386E2DD8">
      <w:pPr>
        <w:jc w:val="center"/>
        <w:rPr>
          <w:rFonts w:ascii="宋体" w:cs="宋体"/>
          <w:color w:val="auto"/>
          <w:sz w:val="44"/>
          <w:szCs w:val="44"/>
          <w:highlight w:val="none"/>
        </w:rPr>
      </w:pPr>
      <w:bookmarkStart w:id="146" w:name="_Toc71365926"/>
      <w:r>
        <w:rPr>
          <w:rFonts w:hint="eastAsia" w:ascii="宋体" w:hAnsi="宋体" w:cs="宋体"/>
          <w:color w:val="auto"/>
          <w:sz w:val="44"/>
          <w:szCs w:val="44"/>
          <w:highlight w:val="none"/>
        </w:rPr>
        <w:t>中小企业声明函（服务）</w:t>
      </w:r>
      <w:bookmarkEnd w:id="146"/>
    </w:p>
    <w:p w14:paraId="42C025DF">
      <w:pPr>
        <w:spacing w:before="2" w:line="500" w:lineRule="exact"/>
        <w:ind w:firstLine="708" w:firstLineChars="294"/>
        <w:rPr>
          <w:rFonts w:ascii="宋体" w:cs="宋体"/>
          <w:b/>
          <w:bCs/>
          <w:color w:val="auto"/>
          <w:sz w:val="24"/>
          <w:highlight w:val="none"/>
        </w:rPr>
      </w:pPr>
    </w:p>
    <w:p w14:paraId="1B638BEB">
      <w:pPr>
        <w:pStyle w:val="15"/>
        <w:spacing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E2F8FC5">
      <w:pPr>
        <w:tabs>
          <w:tab w:val="left" w:pos="1384"/>
          <w:tab w:val="left" w:pos="4562"/>
          <w:tab w:val="left" w:pos="6803"/>
        </w:tabs>
        <w:spacing w:before="13" w:line="500" w:lineRule="exact"/>
        <w:ind w:right="142" w:firstLine="772" w:firstLineChars="322"/>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1E1C9F0">
      <w:pPr>
        <w:tabs>
          <w:tab w:val="left" w:pos="1065"/>
          <w:tab w:val="left" w:pos="4262"/>
          <w:tab w:val="left" w:pos="6477"/>
        </w:tabs>
        <w:spacing w:before="20" w:line="500" w:lineRule="exact"/>
        <w:ind w:right="84" w:firstLine="772" w:firstLineChars="322"/>
        <w:rPr>
          <w:rFonts w:asci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066F073">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14:paraId="4DFF9E85">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421BBA">
      <w:pPr>
        <w:pStyle w:val="15"/>
        <w:spacing w:before="25"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7329AF6">
      <w:pPr>
        <w:pStyle w:val="15"/>
        <w:spacing w:before="56" w:line="500" w:lineRule="exact"/>
        <w:ind w:right="1808" w:firstLine="705" w:firstLineChars="294"/>
        <w:rPr>
          <w:rFonts w:ascii="宋体" w:cs="宋体"/>
          <w:color w:val="auto"/>
          <w:sz w:val="24"/>
          <w:highlight w:val="none"/>
        </w:rPr>
      </w:pPr>
    </w:p>
    <w:p w14:paraId="1DF15C62">
      <w:pPr>
        <w:pStyle w:val="15"/>
        <w:spacing w:before="56" w:line="500" w:lineRule="exact"/>
        <w:ind w:right="650" w:firstLine="5625" w:firstLineChars="2344"/>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14:paraId="41FE56CA">
      <w:pPr>
        <w:pStyle w:val="15"/>
        <w:spacing w:before="56" w:line="500" w:lineRule="exact"/>
        <w:ind w:right="1808" w:firstLine="5625" w:firstLineChars="2344"/>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4C3309DA">
      <w:pPr>
        <w:spacing w:line="520" w:lineRule="exact"/>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17BE62B6">
      <w:pPr>
        <w:spacing w:line="520" w:lineRule="exact"/>
        <w:jc w:val="center"/>
        <w:rPr>
          <w:rFonts w:ascii="宋体" w:cs="宋体"/>
          <w:color w:val="auto"/>
          <w:sz w:val="24"/>
          <w:highlight w:val="none"/>
        </w:rPr>
      </w:pPr>
    </w:p>
    <w:p w14:paraId="3C6DB6D3">
      <w:pPr>
        <w:pStyle w:val="20"/>
        <w:jc w:val="left"/>
        <w:rPr>
          <w:rFonts w:hAnsi="宋体" w:cs="宋体"/>
          <w:color w:val="auto"/>
          <w:sz w:val="32"/>
          <w:szCs w:val="32"/>
          <w:highlight w:val="none"/>
        </w:rPr>
      </w:pPr>
      <w:r>
        <w:rPr>
          <w:rFonts w:hAnsi="宋体" w:cs="宋体"/>
          <w:color w:val="auto"/>
          <w:sz w:val="24"/>
          <w:highlight w:val="none"/>
        </w:rPr>
        <w:br w:type="page"/>
      </w:r>
      <w:r>
        <w:rPr>
          <w:rFonts w:hint="eastAsia" w:hAnsi="宋体" w:cs="宋体"/>
          <w:color w:val="auto"/>
          <w:sz w:val="32"/>
          <w:szCs w:val="32"/>
          <w:highlight w:val="none"/>
        </w:rPr>
        <w:t>附：</w:t>
      </w:r>
    </w:p>
    <w:p w14:paraId="78549301">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14:paraId="3406DA0C">
      <w:pPr>
        <w:ind w:left="1871"/>
        <w:rPr>
          <w:rFonts w:ascii="宋体" w:cs="宋体"/>
          <w:color w:val="auto"/>
          <w:szCs w:val="21"/>
          <w:highlight w:val="none"/>
        </w:rPr>
      </w:pP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AF3932E">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4CE11F0">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0FC9A7E">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2B0675F">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9C58BDF">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3E9FA0A">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78ACFBC">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2F4C7BC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D9712D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E95F96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77C330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6050F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AB977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3553402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17284F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BF3A7C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A8FA2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681DC1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477A7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0B808B2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7D45B5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05B3CE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1C987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B1F232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0F5D7F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ABB7F4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174BB7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3B28E6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518E4CA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1CAF6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6C61B9B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8E6AE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55EB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6C6432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14:paraId="475978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4CCE17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DC667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AFCAC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765FCF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208A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1B5074E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21F0DC0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3EB2A1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E02AE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D35CB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842B3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63CA7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082F6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14:paraId="52906AB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5C7749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591602">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BD14B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4C2688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AB9702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5D56E62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75F8B8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541872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85F44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DF906B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661E18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39751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0399B07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14:paraId="14F62A9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AE4C9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F45726">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9C7F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90AA2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00C32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E8DA15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18965DD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846875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045013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C88B3E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D8B7A4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DCF9A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92031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63F4CA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499AEA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FC45E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D8CFA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89F018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9C33FE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1ED2725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14:paraId="16C6BD4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79DBB5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5178B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6E6A5E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E71F4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57BD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4EEDEB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6A1A08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261655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CB02A0">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363DF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D6991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7E437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02DB072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36DDE0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0B7B22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1594B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24747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84585D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E6F2E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25F2BC9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5C0E69F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B43FE7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FF65E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225C0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E27FFD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861E72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6A337F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0193443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BBD17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14D94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17604B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132F2D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7DD58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F57D8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54EEE6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F94FA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0BA95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79F2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CD328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75DE85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719705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619BFAB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B1170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1DB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DFA086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298FC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E5F9A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390983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3C845F6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699183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969C9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CD969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7E861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144FC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BA947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F67AE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DE321E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60C8DC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7102C6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F7A1D2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D55C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14:paraId="212CF0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2A9C53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6EA841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218FC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14A3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4B9140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AC064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14:paraId="2100D56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D70DB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75658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1FD24A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CD4361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92A39A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8F5026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6192310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F387D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27F9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A715D4">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B5560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ABDF20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DB3DFD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1411D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18C452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084F04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85F2D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31097B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12E01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0180C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14:paraId="1ECA074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E8C94E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00AC5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58BCFF">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56142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BC6939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A80A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4A22F3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4930E27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6AF7302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77AF0E">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B6C390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775668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0663B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719E4F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8E0D2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8A316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79412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9B113F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63D6A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2F0DD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14:paraId="2862C72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274994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5786F27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E61AD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25B85C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01352F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2B01E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1203E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ACFD61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7435F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665CBB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5D0D7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C383C6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E1CE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14:paraId="3118403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14:paraId="5793113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02F2304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650305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83E33F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87672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7FCA6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D6C06C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4278A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67D32B17">
      <w:pPr>
        <w:spacing w:line="360" w:lineRule="auto"/>
        <w:ind w:firstLine="525" w:firstLineChars="250"/>
        <w:rPr>
          <w:rFonts w:ascii="宋体" w:cs="宋体"/>
          <w:color w:val="auto"/>
          <w:szCs w:val="21"/>
          <w:highlight w:val="none"/>
        </w:rPr>
      </w:pPr>
    </w:p>
    <w:p w14:paraId="7C5E5DD9">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6A7BFBB5">
      <w:pPr>
        <w:spacing w:line="520" w:lineRule="exact"/>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14:paraId="5C8CD41C">
      <w:pPr>
        <w:spacing w:line="360" w:lineRule="auto"/>
        <w:contextualSpacing/>
        <w:rPr>
          <w:rFonts w:ascii="宋体" w:cs="宋体"/>
          <w:color w:val="auto"/>
          <w:sz w:val="32"/>
          <w:szCs w:val="32"/>
          <w:highlight w:val="none"/>
        </w:rPr>
      </w:pPr>
    </w:p>
    <w:p w14:paraId="250C994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4DA982F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779932A">
      <w:pPr>
        <w:spacing w:line="360" w:lineRule="auto"/>
        <w:contextualSpacing/>
        <w:rPr>
          <w:rFonts w:ascii="宋体" w:cs="宋体"/>
          <w:color w:val="auto"/>
          <w:sz w:val="24"/>
          <w:highlight w:val="none"/>
        </w:rPr>
      </w:pPr>
    </w:p>
    <w:p w14:paraId="31714101">
      <w:pPr>
        <w:spacing w:line="360" w:lineRule="auto"/>
        <w:contextualSpacing/>
        <w:rPr>
          <w:rFonts w:ascii="宋体" w:cs="宋体"/>
          <w:color w:val="auto"/>
          <w:sz w:val="24"/>
          <w:highlight w:val="none"/>
        </w:rPr>
      </w:pPr>
    </w:p>
    <w:p w14:paraId="33707957">
      <w:pPr>
        <w:spacing w:line="360" w:lineRule="auto"/>
        <w:contextualSpacing/>
        <w:rPr>
          <w:rFonts w:ascii="宋体" w:cs="宋体"/>
          <w:color w:val="auto"/>
          <w:sz w:val="24"/>
          <w:highlight w:val="none"/>
        </w:rPr>
      </w:pPr>
    </w:p>
    <w:p w14:paraId="011EA9DF">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14:paraId="5C4B36B8">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7BE9C0B4">
      <w:pPr>
        <w:spacing w:line="360" w:lineRule="auto"/>
        <w:contextualSpacing/>
        <w:rPr>
          <w:rFonts w:ascii="宋体" w:cs="宋体"/>
          <w:color w:val="auto"/>
          <w:sz w:val="24"/>
          <w:highlight w:val="none"/>
        </w:rPr>
      </w:pPr>
    </w:p>
    <w:p w14:paraId="40709908">
      <w:pPr>
        <w:spacing w:line="360" w:lineRule="auto"/>
        <w:contextualSpacing/>
        <w:rPr>
          <w:rFonts w:ascii="宋体" w:cs="宋体"/>
          <w:color w:val="auto"/>
          <w:sz w:val="24"/>
          <w:highlight w:val="none"/>
        </w:rPr>
      </w:pPr>
    </w:p>
    <w:p w14:paraId="64114FE8">
      <w:pPr>
        <w:spacing w:line="360" w:lineRule="auto"/>
        <w:contextualSpacing/>
        <w:rPr>
          <w:rFonts w:ascii="宋体" w:cs="宋体"/>
          <w:color w:val="auto"/>
          <w:sz w:val="24"/>
          <w:highlight w:val="none"/>
        </w:rPr>
      </w:pPr>
    </w:p>
    <w:p w14:paraId="6E75C939">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240E189">
      <w:pPr>
        <w:spacing w:line="360" w:lineRule="auto"/>
        <w:jc w:val="center"/>
        <w:rPr>
          <w:rFonts w:ascii="宋体" w:cs="宋体"/>
          <w:color w:val="auto"/>
          <w:sz w:val="24"/>
          <w:highlight w:val="none"/>
        </w:rPr>
      </w:pPr>
      <w:r>
        <w:rPr>
          <w:rFonts w:ascii="宋体" w:cs="宋体"/>
          <w:color w:val="auto"/>
          <w:sz w:val="24"/>
          <w:highlight w:val="none"/>
        </w:rPr>
        <w:br w:type="page"/>
      </w:r>
    </w:p>
    <w:p w14:paraId="70DD731F">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4BE5765F">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12F56D8">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8B09ACD">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99AB326">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A72AEC6">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2DA28E44">
      <w:pPr>
        <w:pStyle w:val="20"/>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F89ED0B">
      <w:pPr>
        <w:pStyle w:val="20"/>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E7C7BE2">
      <w:pPr>
        <w:pStyle w:val="20"/>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47D3CBD">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68B63FF">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637D52FB">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25B92BD7">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5875420E">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2891BD9F">
      <w:pPr>
        <w:pStyle w:val="20"/>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507F8198">
      <w:pPr>
        <w:pStyle w:val="20"/>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566B77B4">
      <w:pPr>
        <w:pStyle w:val="20"/>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A03C86D">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21DACF1F">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683D2193">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2E216BE1">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7EFCC090">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555D5E6">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C83F914">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2C920BD0">
      <w:pPr>
        <w:pStyle w:val="20"/>
        <w:spacing w:line="360" w:lineRule="auto"/>
        <w:ind w:left="25" w:leftChars="12" w:firstLine="352" w:firstLineChars="147"/>
        <w:contextualSpacing/>
        <w:rPr>
          <w:rFonts w:hAnsi="宋体" w:cs="宋体"/>
          <w:color w:val="auto"/>
          <w:sz w:val="24"/>
          <w:szCs w:val="24"/>
          <w:highlight w:val="none"/>
        </w:rPr>
      </w:pPr>
    </w:p>
    <w:p w14:paraId="7AC9E7F8">
      <w:pPr>
        <w:pStyle w:val="20"/>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1882260">
      <w:pPr>
        <w:pStyle w:val="20"/>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60268531">
      <w:pPr>
        <w:pStyle w:val="20"/>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C64DBDA">
      <w:pPr>
        <w:pStyle w:val="20"/>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494BE60C">
      <w:pPr>
        <w:pStyle w:val="20"/>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1B820B">
      <w:pPr>
        <w:pStyle w:val="20"/>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6D8D5A94">
      <w:pPr>
        <w:pStyle w:val="20"/>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5446818B">
      <w:pPr>
        <w:pStyle w:val="20"/>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70A06A8">
      <w:pPr>
        <w:pStyle w:val="20"/>
        <w:snapToGrid w:val="0"/>
        <w:rPr>
          <w:rFonts w:hAnsi="宋体" w:cs="宋体"/>
          <w:b/>
          <w:color w:val="auto"/>
          <w:sz w:val="24"/>
          <w:szCs w:val="24"/>
          <w:highlight w:val="none"/>
        </w:rPr>
      </w:pPr>
    </w:p>
    <w:p w14:paraId="1C6B8531">
      <w:pPr>
        <w:rPr>
          <w:rFonts w:ascii="宋体" w:cs="宋体"/>
          <w:color w:val="auto"/>
          <w:sz w:val="32"/>
          <w:szCs w:val="40"/>
          <w:highlight w:val="none"/>
        </w:rPr>
      </w:pPr>
    </w:p>
    <w:p w14:paraId="79B143CF">
      <w:pPr>
        <w:rPr>
          <w:rFonts w:ascii="宋体" w:cs="宋体"/>
          <w:color w:val="auto"/>
          <w:sz w:val="32"/>
          <w:szCs w:val="40"/>
          <w:highlight w:val="none"/>
        </w:rPr>
      </w:pPr>
    </w:p>
    <w:p w14:paraId="2C384432">
      <w:pPr>
        <w:rPr>
          <w:rFonts w:ascii="宋体" w:cs="宋体"/>
          <w:color w:val="auto"/>
          <w:sz w:val="32"/>
          <w:szCs w:val="40"/>
          <w:highlight w:val="none"/>
        </w:rPr>
      </w:pPr>
    </w:p>
    <w:p w14:paraId="682A24FE">
      <w:pPr>
        <w:rPr>
          <w:rFonts w:ascii="宋体" w:cs="宋体"/>
          <w:color w:val="auto"/>
          <w:sz w:val="32"/>
          <w:szCs w:val="40"/>
          <w:highlight w:val="none"/>
        </w:rPr>
      </w:pPr>
    </w:p>
    <w:p w14:paraId="259032F6">
      <w:pPr>
        <w:rPr>
          <w:rFonts w:ascii="宋体" w:cs="宋体"/>
          <w:color w:val="auto"/>
          <w:sz w:val="32"/>
          <w:szCs w:val="40"/>
          <w:highlight w:val="none"/>
        </w:rPr>
      </w:pPr>
    </w:p>
    <w:p w14:paraId="54CC1195">
      <w:pPr>
        <w:rPr>
          <w:rFonts w:ascii="宋体" w:cs="宋体"/>
          <w:color w:val="auto"/>
          <w:sz w:val="32"/>
          <w:szCs w:val="40"/>
          <w:highlight w:val="none"/>
        </w:rPr>
      </w:pPr>
    </w:p>
    <w:p w14:paraId="7AF9D2F1">
      <w:pPr>
        <w:rPr>
          <w:rFonts w:ascii="宋体" w:cs="宋体"/>
          <w:color w:val="auto"/>
          <w:sz w:val="32"/>
          <w:szCs w:val="40"/>
          <w:highlight w:val="none"/>
        </w:rPr>
      </w:pPr>
    </w:p>
    <w:p w14:paraId="7F34133C">
      <w:pPr>
        <w:rPr>
          <w:rFonts w:ascii="宋体" w:cs="宋体"/>
          <w:color w:val="auto"/>
          <w:sz w:val="32"/>
          <w:szCs w:val="40"/>
          <w:highlight w:val="none"/>
        </w:rPr>
      </w:pPr>
    </w:p>
    <w:p w14:paraId="44ED4CA3">
      <w:pPr>
        <w:rPr>
          <w:rFonts w:ascii="宋体" w:cs="宋体"/>
          <w:color w:val="auto"/>
          <w:sz w:val="32"/>
          <w:szCs w:val="40"/>
          <w:highlight w:val="none"/>
        </w:rPr>
      </w:pPr>
    </w:p>
    <w:p w14:paraId="4514DD95">
      <w:pPr>
        <w:rPr>
          <w:rFonts w:ascii="宋体" w:cs="宋体"/>
          <w:color w:val="auto"/>
          <w:sz w:val="32"/>
          <w:szCs w:val="40"/>
          <w:highlight w:val="none"/>
        </w:rPr>
      </w:pPr>
    </w:p>
    <w:p w14:paraId="19FAAD1C">
      <w:pPr>
        <w:rPr>
          <w:rFonts w:ascii="宋体" w:cs="宋体"/>
          <w:color w:val="auto"/>
          <w:sz w:val="32"/>
          <w:szCs w:val="40"/>
          <w:highlight w:val="none"/>
        </w:rPr>
      </w:pPr>
    </w:p>
    <w:p w14:paraId="72D6340E">
      <w:pPr>
        <w:rPr>
          <w:rFonts w:ascii="宋体" w:cs="宋体"/>
          <w:color w:val="auto"/>
          <w:sz w:val="32"/>
          <w:szCs w:val="40"/>
          <w:highlight w:val="none"/>
        </w:rPr>
      </w:pPr>
    </w:p>
    <w:p w14:paraId="0423751D">
      <w:pPr>
        <w:rPr>
          <w:rFonts w:ascii="宋体" w:cs="宋体"/>
          <w:color w:val="auto"/>
          <w:sz w:val="32"/>
          <w:szCs w:val="40"/>
          <w:highlight w:val="none"/>
        </w:rPr>
      </w:pPr>
    </w:p>
    <w:p w14:paraId="2FD4935B">
      <w:pPr>
        <w:rPr>
          <w:rFonts w:ascii="宋体" w:cs="宋体"/>
          <w:color w:val="auto"/>
          <w:sz w:val="32"/>
          <w:szCs w:val="40"/>
          <w:highlight w:val="none"/>
        </w:rPr>
      </w:pPr>
    </w:p>
    <w:p w14:paraId="7C776C27">
      <w:pPr>
        <w:spacing w:line="360" w:lineRule="auto"/>
        <w:jc w:val="center"/>
        <w:rPr>
          <w:rFonts w:ascii="宋体" w:cs="宋体"/>
          <w:color w:val="auto"/>
          <w:sz w:val="2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5F775262">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15CB727">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B51D217">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B77C3B3">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26EACACB">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1DA22C8">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94FB3F9">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6796E55">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1959070">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77363CA3">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AB9AD92">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24F970E">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7E89429">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2A184970">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71576B3F">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45E6BA3A">
      <w:pPr>
        <w:pStyle w:val="20"/>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10F7F221">
      <w:pPr>
        <w:pStyle w:val="20"/>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306AF62">
      <w:pPr>
        <w:pStyle w:val="2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E683063">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D471029">
      <w:pPr>
        <w:pStyle w:val="20"/>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DA69E78">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68EE3EC6">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766270C4">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0528434F">
      <w:pPr>
        <w:pStyle w:val="20"/>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7897DEF8">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998C581">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C67168E">
      <w:pPr>
        <w:pStyle w:val="20"/>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0FAFA5F9">
      <w:pPr>
        <w:pStyle w:val="20"/>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2F1D2DAF">
      <w:pPr>
        <w:pStyle w:val="20"/>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3EDF397A">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8487A63">
      <w:pPr>
        <w:pStyle w:val="20"/>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1A4F829D">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6E64C1C9">
      <w:pPr>
        <w:pStyle w:val="20"/>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027AE0FE">
      <w:pPr>
        <w:pStyle w:val="2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190EEDAD">
      <w:pPr>
        <w:pStyle w:val="20"/>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6348AB12">
      <w:pPr>
        <w:pStyle w:val="20"/>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76FE1574">
      <w:pPr>
        <w:pStyle w:val="20"/>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2A8AE69">
      <w:pPr>
        <w:pStyle w:val="20"/>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677B4AEA">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732D9FA5">
      <w:pPr>
        <w:pStyle w:val="20"/>
        <w:spacing w:line="360" w:lineRule="auto"/>
        <w:ind w:left="25" w:leftChars="12" w:firstLine="352" w:firstLineChars="147"/>
        <w:rPr>
          <w:rFonts w:hAnsi="宋体" w:cs="宋体"/>
          <w:color w:val="auto"/>
          <w:sz w:val="24"/>
          <w:szCs w:val="24"/>
          <w:highlight w:val="none"/>
        </w:rPr>
      </w:pPr>
    </w:p>
    <w:p w14:paraId="16EB6540">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4A39B951">
      <w:pPr>
        <w:pStyle w:val="20"/>
        <w:spacing w:line="360" w:lineRule="auto"/>
        <w:ind w:left="25" w:leftChars="12" w:firstLine="352" w:firstLineChars="147"/>
        <w:rPr>
          <w:rFonts w:hAnsi="宋体" w:cs="宋体"/>
          <w:color w:val="auto"/>
          <w:sz w:val="24"/>
          <w:szCs w:val="24"/>
          <w:highlight w:val="none"/>
        </w:rPr>
      </w:pPr>
    </w:p>
    <w:p w14:paraId="1E6BCF3E">
      <w:pPr>
        <w:pStyle w:val="20"/>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7AA96E6">
      <w:pPr>
        <w:pStyle w:val="20"/>
        <w:spacing w:line="360" w:lineRule="auto"/>
        <w:ind w:left="25" w:leftChars="12" w:firstLine="472" w:firstLineChars="197"/>
        <w:rPr>
          <w:rFonts w:hAnsi="宋体" w:cs="宋体"/>
          <w:b/>
          <w:color w:val="auto"/>
          <w:sz w:val="24"/>
          <w:szCs w:val="24"/>
          <w:highlight w:val="none"/>
        </w:rPr>
      </w:pPr>
      <w:r>
        <w:rPr>
          <w:rFonts w:hAnsi="宋体" w:cs="宋体"/>
          <w:bCs/>
          <w:color w:val="auto"/>
          <w:sz w:val="24"/>
          <w:szCs w:val="24"/>
          <w:highlight w:val="none"/>
        </w:rPr>
        <w:t xml:space="preserve">                                                                                 </w:t>
      </w:r>
    </w:p>
    <w:p w14:paraId="603C2868">
      <w:pPr>
        <w:pStyle w:val="2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DA547CE">
      <w:pPr>
        <w:pStyle w:val="20"/>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646EA30">
      <w:pPr>
        <w:pStyle w:val="20"/>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13FE08D8">
      <w:pPr>
        <w:pStyle w:val="20"/>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40A9F596">
      <w:pPr>
        <w:pStyle w:val="20"/>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41BE7C87">
      <w:pPr>
        <w:pStyle w:val="20"/>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1BF29525">
      <w:pPr>
        <w:pStyle w:val="20"/>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5C009180">
      <w:pPr>
        <w:rPr>
          <w:color w:val="auto"/>
          <w:highlight w:val="none"/>
        </w:rPr>
      </w:pPr>
      <w:bookmarkStart w:id="147" w:name="_Toc19603"/>
      <w:bookmarkStart w:id="148" w:name="_Toc10662"/>
      <w:bookmarkStart w:id="149" w:name="_Toc1723"/>
      <w:bookmarkStart w:id="150" w:name="_Toc11130"/>
      <w:bookmarkStart w:id="151" w:name="_Toc20110"/>
      <w:r>
        <w:rPr>
          <w:color w:val="auto"/>
          <w:highlight w:val="none"/>
        </w:rPr>
        <w:br w:type="page"/>
      </w:r>
    </w:p>
    <w:p w14:paraId="2195325A">
      <w:pPr>
        <w:pStyle w:val="2"/>
        <w:rPr>
          <w:rFonts w:ascii="宋体" w:cs="宋体"/>
          <w:color w:val="auto"/>
          <w:szCs w:val="21"/>
          <w:highlight w:val="none"/>
        </w:rPr>
      </w:pPr>
      <w:r>
        <w:rPr>
          <w:rFonts w:hint="eastAsia"/>
          <w:color w:val="auto"/>
          <w:highlight w:val="none"/>
        </w:rPr>
        <w:t>第六章</w:t>
      </w:r>
      <w:r>
        <w:rPr>
          <w:color w:val="auto"/>
          <w:highlight w:val="none"/>
        </w:rPr>
        <w:t xml:space="preserve"> </w:t>
      </w:r>
      <w:r>
        <w:rPr>
          <w:rFonts w:hint="eastAsia"/>
          <w:color w:val="auto"/>
          <w:highlight w:val="none"/>
        </w:rPr>
        <w:t>合同文本</w:t>
      </w:r>
      <w:bookmarkEnd w:id="147"/>
      <w:bookmarkEnd w:id="148"/>
      <w:bookmarkEnd w:id="149"/>
      <w:bookmarkEnd w:id="150"/>
      <w:bookmarkEnd w:id="151"/>
      <w:r>
        <w:rPr>
          <w:rFonts w:ascii="宋体" w:hAnsi="宋体" w:cs="宋体"/>
          <w:color w:val="auto"/>
          <w:szCs w:val="21"/>
          <w:highlight w:val="none"/>
        </w:rPr>
        <w:t xml:space="preserve">                                                            </w:t>
      </w:r>
    </w:p>
    <w:p w14:paraId="366EF15D">
      <w:pPr>
        <w:spacing w:line="360" w:lineRule="auto"/>
        <w:ind w:right="800"/>
        <w:rPr>
          <w:rFonts w:ascii="宋体" w:cs="宋体"/>
          <w:color w:val="auto"/>
          <w:szCs w:val="21"/>
          <w:highlight w:val="none"/>
        </w:rPr>
      </w:pPr>
      <w:r>
        <w:rPr>
          <w:rFonts w:hint="eastAsia" w:ascii="宋体" w:hAnsi="宋体" w:cs="宋体"/>
          <w:color w:val="auto"/>
          <w:szCs w:val="21"/>
          <w:highlight w:val="none"/>
        </w:rPr>
        <w:t>分标：</w:t>
      </w:r>
    </w:p>
    <w:p w14:paraId="6FF8AC82">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12CFE67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C93D259">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2BD2AE74">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2F1819EB">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5B98D0D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342A85D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2C652D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CD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18F21F7A">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6266A98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3487BBF5">
            <w:pPr>
              <w:spacing w:line="360" w:lineRule="auto"/>
              <w:jc w:val="center"/>
              <w:rPr>
                <w:rFonts w:asci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4967B1A2">
            <w:pPr>
              <w:spacing w:line="360" w:lineRule="auto"/>
              <w:jc w:val="center"/>
              <w:rPr>
                <w:rFonts w:ascii="宋体" w:cs="宋体"/>
                <w:color w:val="auto"/>
                <w:szCs w:val="21"/>
                <w:highlight w:val="none"/>
              </w:rPr>
            </w:pPr>
            <w:r>
              <w:rPr>
                <w:rFonts w:hint="eastAsia" w:ascii="宋体" w:hAnsi="宋体" w:cs="宋体"/>
                <w:color w:val="auto"/>
                <w:szCs w:val="21"/>
                <w:highlight w:val="none"/>
              </w:rPr>
              <w:t>数</w:t>
            </w:r>
            <w:r>
              <w:rPr>
                <w:rFonts w:ascii="宋体" w:hAnsi="宋体" w:cs="宋体"/>
                <w:color w:val="auto"/>
                <w:szCs w:val="21"/>
                <w:highlight w:val="none"/>
              </w:rPr>
              <w:t xml:space="preserve">  </w:t>
            </w:r>
            <w:r>
              <w:rPr>
                <w:rFonts w:hint="eastAsia" w:ascii="宋体" w:hAnsi="宋体" w:cs="宋体"/>
                <w:color w:val="auto"/>
                <w:szCs w:val="21"/>
                <w:highlight w:val="none"/>
              </w:rPr>
              <w:t>量</w:t>
            </w:r>
          </w:p>
        </w:tc>
        <w:tc>
          <w:tcPr>
            <w:tcW w:w="1200" w:type="dxa"/>
            <w:vAlign w:val="center"/>
          </w:tcPr>
          <w:p w14:paraId="767C1DC6">
            <w:pPr>
              <w:spacing w:line="360" w:lineRule="auto"/>
              <w:jc w:val="center"/>
              <w:rPr>
                <w:rFonts w:asci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56257176">
            <w:pPr>
              <w:spacing w:line="360" w:lineRule="auto"/>
              <w:jc w:val="center"/>
              <w:rPr>
                <w:rFonts w:asci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1BAEE4F7">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0D1C365C">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632A16BD">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r>
      <w:tr w14:paraId="5631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7F610F9F">
            <w:pPr>
              <w:spacing w:line="360" w:lineRule="auto"/>
              <w:jc w:val="center"/>
              <w:rPr>
                <w:rFonts w:ascii="宋体" w:cs="宋体"/>
                <w:color w:val="auto"/>
                <w:szCs w:val="21"/>
                <w:highlight w:val="none"/>
              </w:rPr>
            </w:pPr>
          </w:p>
        </w:tc>
        <w:tc>
          <w:tcPr>
            <w:tcW w:w="1213" w:type="dxa"/>
            <w:vAlign w:val="center"/>
          </w:tcPr>
          <w:p w14:paraId="602ABC23">
            <w:pPr>
              <w:spacing w:line="360" w:lineRule="auto"/>
              <w:jc w:val="center"/>
              <w:rPr>
                <w:rFonts w:ascii="宋体" w:cs="宋体"/>
                <w:color w:val="auto"/>
                <w:szCs w:val="21"/>
                <w:highlight w:val="none"/>
              </w:rPr>
            </w:pPr>
          </w:p>
        </w:tc>
        <w:tc>
          <w:tcPr>
            <w:tcW w:w="2400" w:type="dxa"/>
            <w:vAlign w:val="center"/>
          </w:tcPr>
          <w:p w14:paraId="05A9AD38">
            <w:pPr>
              <w:spacing w:line="360" w:lineRule="auto"/>
              <w:jc w:val="center"/>
              <w:rPr>
                <w:rFonts w:ascii="宋体" w:cs="宋体"/>
                <w:color w:val="auto"/>
                <w:szCs w:val="21"/>
                <w:highlight w:val="none"/>
              </w:rPr>
            </w:pPr>
          </w:p>
        </w:tc>
        <w:tc>
          <w:tcPr>
            <w:tcW w:w="1320" w:type="dxa"/>
            <w:vAlign w:val="center"/>
          </w:tcPr>
          <w:p w14:paraId="22A50B1E">
            <w:pPr>
              <w:spacing w:line="360" w:lineRule="auto"/>
              <w:jc w:val="center"/>
              <w:rPr>
                <w:rFonts w:ascii="宋体" w:cs="宋体"/>
                <w:color w:val="auto"/>
                <w:szCs w:val="21"/>
                <w:highlight w:val="none"/>
              </w:rPr>
            </w:pPr>
          </w:p>
        </w:tc>
        <w:tc>
          <w:tcPr>
            <w:tcW w:w="1200" w:type="dxa"/>
            <w:vAlign w:val="center"/>
          </w:tcPr>
          <w:p w14:paraId="419D65A3">
            <w:pPr>
              <w:spacing w:line="360" w:lineRule="auto"/>
              <w:jc w:val="center"/>
              <w:rPr>
                <w:rFonts w:ascii="宋体" w:cs="宋体"/>
                <w:color w:val="auto"/>
                <w:szCs w:val="21"/>
                <w:highlight w:val="none"/>
              </w:rPr>
            </w:pPr>
          </w:p>
        </w:tc>
        <w:tc>
          <w:tcPr>
            <w:tcW w:w="1300" w:type="dxa"/>
            <w:vAlign w:val="center"/>
          </w:tcPr>
          <w:p w14:paraId="61979FDE">
            <w:pPr>
              <w:spacing w:line="360" w:lineRule="auto"/>
              <w:jc w:val="center"/>
              <w:rPr>
                <w:rFonts w:ascii="宋体" w:cs="宋体"/>
                <w:color w:val="auto"/>
                <w:szCs w:val="21"/>
                <w:highlight w:val="none"/>
              </w:rPr>
            </w:pPr>
          </w:p>
        </w:tc>
        <w:tc>
          <w:tcPr>
            <w:tcW w:w="1207" w:type="dxa"/>
            <w:vAlign w:val="center"/>
          </w:tcPr>
          <w:p w14:paraId="54327C1E">
            <w:pPr>
              <w:spacing w:line="360" w:lineRule="auto"/>
              <w:jc w:val="center"/>
              <w:rPr>
                <w:rFonts w:ascii="宋体" w:cs="宋体"/>
                <w:color w:val="auto"/>
                <w:szCs w:val="21"/>
                <w:highlight w:val="none"/>
              </w:rPr>
            </w:pPr>
          </w:p>
        </w:tc>
      </w:tr>
      <w:tr w14:paraId="1300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7D0FC4B">
            <w:pPr>
              <w:spacing w:line="360" w:lineRule="auto"/>
              <w:jc w:val="center"/>
              <w:rPr>
                <w:rFonts w:ascii="宋体" w:cs="宋体"/>
                <w:color w:val="auto"/>
                <w:szCs w:val="21"/>
                <w:highlight w:val="none"/>
              </w:rPr>
            </w:pPr>
            <w:r>
              <w:rPr>
                <w:rFonts w:hint="eastAsia" w:ascii="宋体" w:hAnsi="宋体" w:cs="宋体"/>
                <w:color w:val="auto"/>
                <w:szCs w:val="21"/>
                <w:highlight w:val="none"/>
              </w:rPr>
              <w:t>详见报价表</w:t>
            </w:r>
          </w:p>
        </w:tc>
      </w:tr>
      <w:tr w14:paraId="50E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636F4D6">
            <w:pPr>
              <w:spacing w:line="360" w:lineRule="auto"/>
              <w:rPr>
                <w:rFonts w:asci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tc>
      </w:tr>
    </w:tbl>
    <w:p w14:paraId="4AE5C9C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5F58F5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第二条　质量保证</w:t>
      </w:r>
    </w:p>
    <w:p w14:paraId="5E038FE7">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59CC63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492BBE2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、乙方应保证所提供服务在使用时不会侵犯任何第三方的专利权、商标权、著作权等知识产权及其他合法权利，且所有权、处分权等没有受到任何限制。</w:t>
      </w:r>
    </w:p>
    <w:p w14:paraId="649E594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CEBE45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647348E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、合同履约期限：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D76845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、乙方应按响应文件的承诺向甲方提供相应的服务，并提供所服务内容的相关技术资料。</w:t>
      </w:r>
    </w:p>
    <w:p w14:paraId="38FE86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、乙方提供不符合响应文件和本合同规定的服务成果，甲方有权拒绝接受。</w:t>
      </w:r>
    </w:p>
    <w:p w14:paraId="7C81A6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F8C0B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、甲乙双方应按照《广西壮族自治区政府采购项目履约验收管理办法》、双方合同、响应文件验收。</w:t>
      </w:r>
    </w:p>
    <w:p w14:paraId="4B2403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5CC55D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1EFA80B3">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后续服务及培训</w:t>
      </w:r>
    </w:p>
    <w:p w14:paraId="15A405F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、乙方应按照国家有关法律法规和本合同所附的《后续服务承诺》要求为甲方提供相应的后续服务。</w:t>
      </w:r>
    </w:p>
    <w:p w14:paraId="22176C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、甲方应提供必要测试条件（如场地、电源、水源等）。</w:t>
      </w:r>
    </w:p>
    <w:p w14:paraId="1EC2241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、乙方负责甲方有关人员的培训。培训时间、地点：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AF3DD0">
      <w:pPr>
        <w:snapToGrid w:val="0"/>
        <w:spacing w:line="360" w:lineRule="auto"/>
        <w:ind w:firstLine="422" w:firstLineChars="200"/>
        <w:rPr>
          <w:rFonts w:ascii="宋体" w:cs="宋体"/>
          <w:color w:val="auto"/>
          <w:szCs w:val="21"/>
          <w:highlight w:val="none"/>
          <w:u w:val="single"/>
        </w:rPr>
      </w:pPr>
      <w:r>
        <w:rPr>
          <w:rFonts w:hint="eastAsia" w:ascii="宋体" w:hAnsi="宋体" w:cs="宋体"/>
          <w:b/>
          <w:color w:val="auto"/>
          <w:szCs w:val="21"/>
          <w:highlight w:val="none"/>
        </w:rPr>
        <w:t>第六条　付款方式</w:t>
      </w:r>
    </w:p>
    <w:p w14:paraId="19F87403">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付款方式：</w:t>
      </w:r>
      <w:r>
        <w:rPr>
          <w:rFonts w:ascii="宋体" w:hAnsi="宋体" w:cs="宋体"/>
          <w:bCs/>
          <w:color w:val="auto"/>
          <w:szCs w:val="21"/>
          <w:highlight w:val="none"/>
          <w:u w:val="single"/>
        </w:rPr>
        <w:t xml:space="preserve">                       </w:t>
      </w:r>
    </w:p>
    <w:p w14:paraId="79A7EB47">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第七条　履约保证金</w:t>
      </w:r>
    </w:p>
    <w:p w14:paraId="7E53387A">
      <w:pPr>
        <w:spacing w:line="360" w:lineRule="auto"/>
        <w:ind w:firstLine="420" w:firstLineChars="200"/>
        <w:rPr>
          <w:rFonts w:ascii="宋体" w:cs="宋体"/>
          <w:b/>
          <w:color w:val="auto"/>
          <w:szCs w:val="21"/>
          <w:highlight w:val="none"/>
        </w:rPr>
      </w:pPr>
      <w:r>
        <w:rPr>
          <w:rFonts w:hint="eastAsia" w:ascii="宋体" w:hAnsi="宋体" w:cs="宋体"/>
          <w:color w:val="auto"/>
          <w:szCs w:val="21"/>
          <w:highlight w:val="none"/>
        </w:rPr>
        <w:t>本项目不收取履约保证金</w:t>
      </w:r>
    </w:p>
    <w:p w14:paraId="7FE6073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4B933EF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60052A95">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第九条　违约责任</w:t>
      </w:r>
    </w:p>
    <w:p w14:paraId="70DC1967">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、除不可抗力原因外，乙方没有按照合同规定的时间提供服务的，甲方可要求乙方支付违约金。每推迟一天按合同金额的</w:t>
      </w:r>
      <w:r>
        <w:rPr>
          <w:rFonts w:ascii="宋体" w:hAnsi="宋体" w:cs="宋体"/>
          <w:color w:val="auto"/>
          <w:szCs w:val="21"/>
          <w:highlight w:val="none"/>
        </w:rPr>
        <w:t>3</w:t>
      </w:r>
      <w:r>
        <w:rPr>
          <w:rFonts w:hint="eastAsia" w:ascii="宋体" w:hAnsi="宋体" w:cs="宋体"/>
          <w:color w:val="auto"/>
          <w:szCs w:val="21"/>
          <w:highlight w:val="none"/>
        </w:rPr>
        <w:t>‰支付违约金，该违约金累计不超过合同金额的</w:t>
      </w: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CCCC8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、乙方提供的服务如侵犯了第三方合法权益而引发的任何纠纷或者诉讼，均由乙方负责交涉并承担全部责任。同时，甲方有权单方解除合同，合同金额没有支付的，不再支付；已经支付的，甲方有权追回，</w:t>
      </w:r>
    </w:p>
    <w:p w14:paraId="4F6C2159">
      <w:pPr>
        <w:snapToGrid w:val="0"/>
        <w:spacing w:line="360" w:lineRule="auto"/>
        <w:rPr>
          <w:rFonts w:ascii="宋体" w:cs="宋体"/>
          <w:color w:val="auto"/>
          <w:szCs w:val="21"/>
          <w:highlight w:val="none"/>
        </w:rPr>
      </w:pPr>
      <w:r>
        <w:rPr>
          <w:rFonts w:hint="eastAsia" w:ascii="宋体" w:hAnsi="宋体" w:cs="宋体"/>
          <w:color w:val="auto"/>
          <w:szCs w:val="21"/>
          <w:highlight w:val="none"/>
        </w:rPr>
        <w:t>且乙方应按合同金额</w:t>
      </w:r>
      <w:r>
        <w:rPr>
          <w:rFonts w:ascii="宋体" w:hAnsi="宋体" w:cs="宋体"/>
          <w:color w:val="auto"/>
          <w:szCs w:val="21"/>
          <w:highlight w:val="none"/>
        </w:rPr>
        <w:t>20%</w:t>
      </w:r>
      <w:r>
        <w:rPr>
          <w:rFonts w:hint="eastAsia" w:ascii="宋体" w:hAnsi="宋体" w:cs="宋体"/>
          <w:color w:val="auto"/>
          <w:szCs w:val="21"/>
          <w:highlight w:val="none"/>
        </w:rPr>
        <w:t>承担违约金，违约金无法弥补甲方损失的，乙方应当继续赔偿。</w:t>
      </w:r>
    </w:p>
    <w:p w14:paraId="7B8893A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、甲方延期付款的，每天向乙方偿付延期款额</w:t>
      </w:r>
      <w:r>
        <w:rPr>
          <w:rFonts w:ascii="宋体" w:hAnsi="宋体" w:cs="宋体"/>
          <w:color w:val="auto"/>
          <w:szCs w:val="21"/>
          <w:highlight w:val="none"/>
        </w:rPr>
        <w:t>3</w:t>
      </w:r>
      <w:r>
        <w:rPr>
          <w:rFonts w:hint="eastAsia" w:ascii="宋体" w:hAnsi="宋体" w:cs="宋体"/>
          <w:color w:val="auto"/>
          <w:szCs w:val="21"/>
          <w:highlight w:val="none"/>
        </w:rPr>
        <w:t>‰违约金，但违约金累计不得超过延期款额</w:t>
      </w:r>
      <w:r>
        <w:rPr>
          <w:rFonts w:ascii="宋体" w:hAnsi="宋体" w:cs="宋体"/>
          <w:color w:val="auto"/>
          <w:szCs w:val="21"/>
          <w:highlight w:val="none"/>
        </w:rPr>
        <w:t>5%</w:t>
      </w:r>
      <w:r>
        <w:rPr>
          <w:rFonts w:hint="eastAsia" w:ascii="宋体" w:hAnsi="宋体" w:cs="宋体"/>
          <w:color w:val="auto"/>
          <w:szCs w:val="21"/>
          <w:highlight w:val="none"/>
        </w:rPr>
        <w:t>。</w:t>
      </w:r>
    </w:p>
    <w:p w14:paraId="22B816A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、乙方所提供的服务成果、数量、技术参数要求</w:t>
      </w:r>
      <w:r>
        <w:rPr>
          <w:rFonts w:ascii="宋体" w:hAnsi="宋体" w:cs="宋体"/>
          <w:color w:val="auto"/>
          <w:szCs w:val="21"/>
          <w:highlight w:val="none"/>
        </w:rPr>
        <w:t>(</w:t>
      </w:r>
      <w:r>
        <w:rPr>
          <w:rFonts w:hint="eastAsia" w:ascii="宋体" w:hAnsi="宋体" w:cs="宋体"/>
          <w:color w:val="auto"/>
          <w:szCs w:val="21"/>
          <w:highlight w:val="none"/>
        </w:rPr>
        <w:t>技术参数需求</w:t>
      </w:r>
      <w:r>
        <w:rPr>
          <w:rFonts w:ascii="宋体" w:hAnsi="宋体" w:cs="宋体"/>
          <w:color w:val="auto"/>
          <w:szCs w:val="21"/>
          <w:highlight w:val="none"/>
        </w:rPr>
        <w:t>)</w:t>
      </w:r>
      <w:r>
        <w:rPr>
          <w:rFonts w:hint="eastAsia" w:ascii="宋体" w:hAnsi="宋体" w:cs="宋体"/>
          <w:color w:val="auto"/>
          <w:szCs w:val="21"/>
          <w:highlight w:val="none"/>
        </w:rPr>
        <w:t>等不符合甲方要求的，应及时整改；乙方在甲方规定期限内不能完成整改的或无正当理由拒绝整改或经整改后仍不能达到甲方要求的，甲方有权终止合同，追回已付款项，并按本合同总价的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673D61D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、甲方有权依据采购文件、响应文件及乙方的磋商承诺对乙方的服务人员进行管理或要求更换，对于甲方要求更换服务人员的，乙方应无条件及时更换</w:t>
      </w:r>
      <w:r>
        <w:rPr>
          <w:rFonts w:ascii="宋体" w:hAnsi="宋体" w:cs="宋体"/>
          <w:color w:val="auto"/>
          <w:szCs w:val="21"/>
          <w:highlight w:val="none"/>
        </w:rPr>
        <w:t>;</w:t>
      </w:r>
      <w:r>
        <w:rPr>
          <w:rFonts w:hint="eastAsia" w:ascii="宋体" w:hAnsi="宋体" w:cs="宋体"/>
          <w:color w:val="auto"/>
          <w:szCs w:val="21"/>
          <w:highlight w:val="none"/>
        </w:rPr>
        <w:t>乙方拒绝更换的，甲方有权终止合同，并按本合同总价的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5C1C173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、乙方未按本合同和响应文件中规定的服务承诺提供后续服务的，乙方应按本合同总金额的</w:t>
      </w:r>
      <w:r>
        <w:rPr>
          <w:rFonts w:ascii="宋体" w:hAnsi="宋体" w:cs="宋体"/>
          <w:color w:val="auto"/>
          <w:szCs w:val="21"/>
          <w:highlight w:val="none"/>
        </w:rPr>
        <w:t>5%/</w:t>
      </w:r>
      <w:r>
        <w:rPr>
          <w:rFonts w:hint="eastAsia" w:ascii="宋体" w:hAnsi="宋体" w:cs="宋体"/>
          <w:color w:val="auto"/>
          <w:szCs w:val="21"/>
          <w:highlight w:val="none"/>
        </w:rPr>
        <w:t>次向甲方支付违约金。</w:t>
      </w:r>
    </w:p>
    <w:p w14:paraId="51DF95D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、乙方提供的服务及其成果在服务期及售后期内，因设计缺陷或其它质量原因造成的问题，由乙方负责处理并承担费用。</w:t>
      </w:r>
    </w:p>
    <w:p w14:paraId="6D817B3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76169F9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、乙方不能就所成交的项目进行分包、转包，如发现乙方有分包、转包现象，甲方有权单方解除合同，同时乙方应向甲方支付合同总金额</w:t>
      </w:r>
      <w:r>
        <w:rPr>
          <w:rFonts w:ascii="宋体" w:hAnsi="宋体" w:cs="宋体"/>
          <w:color w:val="auto"/>
          <w:szCs w:val="21"/>
          <w:highlight w:val="none"/>
        </w:rPr>
        <w:t>20%</w:t>
      </w:r>
      <w:r>
        <w:rPr>
          <w:rFonts w:hint="eastAsia" w:ascii="宋体" w:hAnsi="宋体" w:cs="宋体"/>
          <w:color w:val="auto"/>
          <w:szCs w:val="21"/>
          <w:highlight w:val="none"/>
        </w:rPr>
        <w:t>的违约金，由此造成的损失由乙方负责。</w:t>
      </w:r>
    </w:p>
    <w:p w14:paraId="37FCB67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、本合同有效期内，乙方因自身原因要求终止或解除合同，应返还甲方已付款项，并按合同总价款的</w:t>
      </w:r>
      <w:r>
        <w:rPr>
          <w:rFonts w:ascii="宋体" w:hAnsi="宋体" w:cs="宋体"/>
          <w:color w:val="auto"/>
          <w:szCs w:val="21"/>
          <w:highlight w:val="none"/>
        </w:rPr>
        <w:t>20%</w:t>
      </w:r>
      <w:r>
        <w:rPr>
          <w:rFonts w:hint="eastAsia" w:ascii="宋体" w:hAnsi="宋体" w:cs="宋体"/>
          <w:color w:val="auto"/>
          <w:szCs w:val="21"/>
          <w:highlight w:val="none"/>
        </w:rPr>
        <w:t>承担违约责任。</w:t>
      </w:r>
    </w:p>
    <w:p w14:paraId="1EBE1E2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、如乙方违反合同约定的信息安全及保密要求，每违反一次收取合同总金额</w:t>
      </w:r>
      <w:r>
        <w:rPr>
          <w:rFonts w:ascii="宋体" w:hAnsi="宋体" w:cs="宋体"/>
          <w:color w:val="auto"/>
          <w:szCs w:val="21"/>
          <w:highlight w:val="none"/>
        </w:rPr>
        <w:t>0.2%</w:t>
      </w:r>
      <w:r>
        <w:rPr>
          <w:rFonts w:hint="eastAsia" w:ascii="宋体" w:hAnsi="宋体" w:cs="宋体"/>
          <w:color w:val="auto"/>
          <w:szCs w:val="21"/>
          <w:highlight w:val="none"/>
        </w:rPr>
        <w:t>的违约金，累计不超过合同总金额的</w:t>
      </w:r>
      <w:r>
        <w:rPr>
          <w:rFonts w:ascii="宋体" w:hAnsi="宋体" w:cs="宋体"/>
          <w:color w:val="auto"/>
          <w:szCs w:val="21"/>
          <w:highlight w:val="none"/>
        </w:rPr>
        <w:t>30%</w:t>
      </w:r>
      <w:r>
        <w:rPr>
          <w:rFonts w:hint="eastAsia" w:ascii="宋体" w:hAnsi="宋体" w:cs="宋体"/>
          <w:color w:val="auto"/>
          <w:szCs w:val="21"/>
          <w:highlight w:val="none"/>
        </w:rPr>
        <w:t>，违约金不足以弥补甲方实际损失的，乙方还应支付赔偿金。</w:t>
      </w:r>
    </w:p>
    <w:p w14:paraId="6C206F8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、其它违约行为按合同总金额的</w:t>
      </w:r>
      <w:r>
        <w:rPr>
          <w:rFonts w:ascii="宋体" w:hAnsi="宋体" w:cs="宋体"/>
          <w:color w:val="auto"/>
          <w:szCs w:val="21"/>
          <w:highlight w:val="none"/>
        </w:rPr>
        <w:t>5%</w:t>
      </w:r>
      <w:r>
        <w:rPr>
          <w:rFonts w:hint="eastAsia" w:ascii="宋体" w:hAnsi="宋体" w:cs="宋体"/>
          <w:color w:val="auto"/>
          <w:szCs w:val="21"/>
          <w:highlight w:val="none"/>
        </w:rPr>
        <w:t>收取违约金。</w:t>
      </w:r>
    </w:p>
    <w:p w14:paraId="4FD4A77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、本条所称损失是指一方因另一方违约而遭受的全部经济损失</w:t>
      </w:r>
      <w:r>
        <w:rPr>
          <w:rFonts w:ascii="宋体" w:hAnsi="宋体" w:cs="宋体"/>
          <w:color w:val="auto"/>
          <w:szCs w:val="21"/>
          <w:highlight w:val="none"/>
        </w:rPr>
        <w:t>(</w:t>
      </w:r>
      <w:r>
        <w:rPr>
          <w:rFonts w:hint="eastAsia" w:ascii="宋体" w:hAnsi="宋体" w:cs="宋体"/>
          <w:color w:val="auto"/>
          <w:szCs w:val="21"/>
          <w:highlight w:val="none"/>
        </w:rPr>
        <w:t>包括但不限于直接损失、间接损失及实现债权的费用，如诉讼费、律师费、差旅费、调查费、财产保全责任险保险费等</w:t>
      </w:r>
      <w:r>
        <w:rPr>
          <w:rFonts w:ascii="宋体" w:hAnsi="宋体" w:cs="宋体"/>
          <w:color w:val="auto"/>
          <w:szCs w:val="21"/>
          <w:highlight w:val="none"/>
        </w:rPr>
        <w:t>)</w:t>
      </w:r>
      <w:r>
        <w:rPr>
          <w:rFonts w:hint="eastAsia" w:ascii="宋体" w:hAnsi="宋体" w:cs="宋体"/>
          <w:color w:val="auto"/>
          <w:szCs w:val="21"/>
          <w:highlight w:val="none"/>
        </w:rPr>
        <w:t>。</w:t>
      </w:r>
    </w:p>
    <w:p w14:paraId="57CD31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p>
    <w:p w14:paraId="799361A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61F6F77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14:paraId="2D90AF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5E471748">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5D134EF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07918D5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40CEFF3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2ECB64E6">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p>
    <w:p w14:paraId="57CFC01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、合同经双方法定代表人或者授权代表签字并加盖单位公章后生效。</w:t>
      </w:r>
    </w:p>
    <w:p w14:paraId="508C0B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68246D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、本合同未尽事宜，遵照《中华人民共和国民法典》有关条文执行。</w:t>
      </w:r>
    </w:p>
    <w:p w14:paraId="6D4D850A">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第十三条　合同的变更、终止与转让</w:t>
      </w:r>
    </w:p>
    <w:p w14:paraId="0143A8A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319B89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04B06E0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第十四条　签订本合同依据</w:t>
      </w:r>
    </w:p>
    <w:p w14:paraId="2CF542D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、成交通知书；</w:t>
      </w:r>
    </w:p>
    <w:p w14:paraId="15DF7E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w:t>
      </w:r>
    </w:p>
    <w:p w14:paraId="3F893E2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、商务要求偏离表和技术要求偏离表；</w:t>
      </w:r>
    </w:p>
    <w:p w14:paraId="28F3354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3A90C51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、响应文件中的其他相关文件。</w:t>
      </w:r>
    </w:p>
    <w:p w14:paraId="54FB63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C23403B">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六份</w:t>
      </w:r>
      <w:r>
        <w:rPr>
          <w:rFonts w:hint="eastAsia" w:ascii="宋体" w:hAnsi="宋体" w:cs="宋体"/>
          <w:color w:val="auto"/>
          <w:szCs w:val="21"/>
          <w:highlight w:val="none"/>
        </w:rPr>
        <w:t>，具有同等法律效力，采购代理机构一份，甲</w:t>
      </w:r>
      <w:r>
        <w:rPr>
          <w:rFonts w:hint="eastAsia" w:ascii="宋体" w:hAnsi="宋体" w:cs="宋体"/>
          <w:color w:val="auto"/>
          <w:szCs w:val="21"/>
          <w:highlight w:val="none"/>
          <w:lang w:eastAsia="zh-CN"/>
        </w:rPr>
        <w:t>方三份</w:t>
      </w:r>
      <w:r>
        <w:rPr>
          <w:rFonts w:hint="eastAsia" w:ascii="宋体" w:hAnsi="宋体" w:cs="宋体"/>
          <w:color w:val="auto"/>
          <w:szCs w:val="21"/>
          <w:highlight w:val="none"/>
        </w:rPr>
        <w:t>、乙方两份。</w:t>
      </w:r>
    </w:p>
    <w:p w14:paraId="17BBD44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本合同甲乙双方签字盖章后生效，本合同自签订之日起</w:t>
      </w:r>
      <w:r>
        <w:rPr>
          <w:rFonts w:ascii="宋体" w:hAnsi="宋体" w:cs="宋体"/>
          <w:color w:val="auto"/>
          <w:szCs w:val="21"/>
          <w:highlight w:val="none"/>
        </w:rPr>
        <w:t>2</w:t>
      </w:r>
      <w:r>
        <w:rPr>
          <w:rFonts w:hint="eastAsia" w:ascii="宋体" w:hAnsi="宋体" w:cs="宋体"/>
          <w:color w:val="auto"/>
          <w:szCs w:val="21"/>
          <w:highlight w:val="none"/>
        </w:rPr>
        <w:t>个工作日内，甲方应当将采购合同在广西壮族自治区财政厅指定的媒体上公告。</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18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0123EA1F">
            <w:pPr>
              <w:snapToGrid w:val="0"/>
              <w:spacing w:line="360" w:lineRule="auto"/>
              <w:rPr>
                <w:rFonts w:ascii="宋体" w:cs="宋体"/>
                <w:color w:val="auto"/>
                <w:szCs w:val="21"/>
                <w:highlight w:val="none"/>
              </w:rPr>
            </w:pPr>
            <w:r>
              <w:rPr>
                <w:rFonts w:hint="eastAsia" w:ascii="宋体" w:hAnsi="宋体" w:cs="宋体"/>
                <w:color w:val="auto"/>
                <w:szCs w:val="21"/>
                <w:highlight w:val="none"/>
              </w:rPr>
              <w:t>甲方：（章）</w:t>
            </w:r>
          </w:p>
          <w:p w14:paraId="3172FEA1">
            <w:pPr>
              <w:snapToGrid w:val="0"/>
              <w:spacing w:line="360" w:lineRule="auto"/>
              <w:rPr>
                <w:rFonts w:ascii="宋体" w:cs="宋体"/>
                <w:color w:val="auto"/>
                <w:szCs w:val="21"/>
                <w:highlight w:val="none"/>
              </w:rPr>
            </w:pPr>
          </w:p>
          <w:p w14:paraId="34B87928">
            <w:pPr>
              <w:snapToGrid w:val="0"/>
              <w:spacing w:line="360" w:lineRule="auto"/>
              <w:rPr>
                <w:rFonts w:ascii="宋体" w:cs="宋体"/>
                <w:color w:val="auto"/>
                <w:szCs w:val="21"/>
                <w:highlight w:val="none"/>
              </w:rPr>
            </w:pPr>
          </w:p>
          <w:p w14:paraId="46696436">
            <w:pPr>
              <w:snapToGrid w:val="0"/>
              <w:spacing w:line="360" w:lineRule="auto"/>
              <w:ind w:firstLine="945" w:firstLineChars="450"/>
              <w:jc w:val="right"/>
              <w:rPr>
                <w:rFonts w:ascii="宋体" w:cs="宋体"/>
                <w:color w:val="auto"/>
                <w:szCs w:val="21"/>
                <w:highlight w:val="none"/>
              </w:rPr>
            </w:pPr>
          </w:p>
          <w:p w14:paraId="58DF032B">
            <w:pPr>
              <w:snapToGrid w:val="0"/>
              <w:spacing w:line="360" w:lineRule="auto"/>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4583" w:type="dxa"/>
            <w:vAlign w:val="center"/>
          </w:tcPr>
          <w:p w14:paraId="0B8D9FE2">
            <w:pPr>
              <w:snapToGrid w:val="0"/>
              <w:spacing w:line="360" w:lineRule="auto"/>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0B326207">
            <w:pPr>
              <w:snapToGrid w:val="0"/>
              <w:spacing w:line="360" w:lineRule="auto"/>
              <w:rPr>
                <w:rFonts w:ascii="宋体" w:cs="宋体"/>
                <w:color w:val="auto"/>
                <w:szCs w:val="21"/>
                <w:highlight w:val="none"/>
              </w:rPr>
            </w:pPr>
          </w:p>
          <w:p w14:paraId="6123E271">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p>
          <w:p w14:paraId="459B5BD3">
            <w:pPr>
              <w:snapToGrid w:val="0"/>
              <w:spacing w:line="360" w:lineRule="auto"/>
              <w:jc w:val="right"/>
              <w:rPr>
                <w:rFonts w:ascii="宋体" w:cs="宋体"/>
                <w:color w:val="auto"/>
                <w:szCs w:val="21"/>
                <w:highlight w:val="none"/>
              </w:rPr>
            </w:pPr>
          </w:p>
          <w:p w14:paraId="2BA08892">
            <w:pPr>
              <w:snapToGrid w:val="0"/>
              <w:spacing w:line="360" w:lineRule="auto"/>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2012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3F91CE6">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vAlign w:val="center"/>
          </w:tcPr>
          <w:p w14:paraId="13190AA5">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r>
      <w:tr w14:paraId="30D4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9ED95EF">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130BD800">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r>
      <w:tr w14:paraId="31D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5EB52242">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726D5BCC">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r>
      <w:tr w14:paraId="5C25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43AE98C">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775800CA">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r>
      <w:tr w14:paraId="2B4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6101E69">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c>
          <w:tcPr>
            <w:tcW w:w="4583" w:type="dxa"/>
            <w:vAlign w:val="center"/>
          </w:tcPr>
          <w:p w14:paraId="4CB200A2">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r>
      <w:tr w14:paraId="464B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620CA72">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32F95A06">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r>
      <w:tr w14:paraId="7EDE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7D7FA726">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15B85A70">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r>
    </w:tbl>
    <w:p w14:paraId="4DB20430">
      <w:pPr>
        <w:widowControl/>
        <w:jc w:val="left"/>
        <w:rPr>
          <w:rFonts w:ascii="宋体" w:cs="宋体"/>
          <w:color w:val="auto"/>
          <w:sz w:val="20"/>
          <w:szCs w:val="20"/>
          <w:highlight w:val="none"/>
        </w:rPr>
      </w:pPr>
    </w:p>
    <w:p w14:paraId="774BB6B0">
      <w:pPr>
        <w:spacing w:before="4"/>
        <w:rPr>
          <w:rFonts w:ascii="宋体" w:cs="宋体"/>
          <w:color w:val="auto"/>
          <w:sz w:val="6"/>
          <w:szCs w:val="6"/>
          <w:highlight w:val="none"/>
        </w:rPr>
      </w:pPr>
    </w:p>
    <w:p w14:paraId="091FCD0C">
      <w:pPr>
        <w:spacing w:before="4"/>
        <w:rPr>
          <w:rFonts w:ascii="宋体" w:cs="宋体"/>
          <w:color w:val="auto"/>
          <w:sz w:val="6"/>
          <w:szCs w:val="6"/>
          <w:highlight w:val="none"/>
        </w:rPr>
      </w:pPr>
    </w:p>
    <w:sectPr>
      <w:footerReference r:id="rId12" w:type="first"/>
      <w:footerReference r:id="rId11"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0AC6">
    <w:pPr>
      <w:pStyle w:val="23"/>
      <w:tabs>
        <w:tab w:val="center" w:pos="4439"/>
        <w:tab w:val="clear" w:pos="4153"/>
      </w:tabs>
      <w:jc w:val="both"/>
    </w:pPr>
    <w:r>
      <w:pict>
        <v:shape id="文本框 5123"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path/>
          <v:fill on="f" focussize="0,0"/>
          <v:stroke on="f" joinstyle="miter"/>
          <v:imagedata o:title=""/>
          <o:lock v:ext="edit"/>
          <v:textbox inset="0mm,0mm,0mm,0mm" style="mso-fit-shape-to-text:t;">
            <w:txbxContent>
              <w:p w14:paraId="708272ED">
                <w:pPr>
                  <w:pStyle w:val="23"/>
                </w:pPr>
                <w:r>
                  <w:fldChar w:fldCharType="begin"/>
                </w:r>
                <w:r>
                  <w:instrText xml:space="preserve"> PAGE  \* MERGEFORMAT </w:instrText>
                </w:r>
                <w:r>
                  <w:fldChar w:fldCharType="separate"/>
                </w:r>
                <w:r>
                  <w:t>87</w:t>
                </w:r>
                <w:r>
                  <w:fldChar w:fldCharType="end"/>
                </w:r>
              </w:p>
            </w:txbxContent>
          </v:textbox>
        </v:shape>
      </w:pict>
    </w:r>
  </w:p>
  <w:p w14:paraId="769E3064">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ED9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FB0C">
    <w:pPr>
      <w:pStyle w:val="23"/>
      <w:tabs>
        <w:tab w:val="center" w:pos="4439"/>
        <w:tab w:val="clear" w:pos="4153"/>
      </w:tabs>
    </w:pPr>
    <w:r>
      <w:pict>
        <v:shape id="文本框 5124"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path/>
          <v:fill on="f" focussize="0,0"/>
          <v:stroke on="f" joinstyle="miter"/>
          <v:imagedata o:title=""/>
          <o:lock v:ext="edit"/>
          <v:textbox inset="0mm,0mm,0mm,0mm" style="mso-fit-shape-to-text:t;">
            <w:txbxContent>
              <w:p w14:paraId="58569CBC"/>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603B">
    <w:pPr>
      <w:pStyle w:val="23"/>
      <w:tabs>
        <w:tab w:val="center" w:pos="4439"/>
        <w:tab w:val="clear" w:pos="4153"/>
      </w:tabs>
      <w:jc w:val="both"/>
    </w:pPr>
  </w:p>
  <w:p w14:paraId="46F26FE1">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9AA8">
    <w:pPr>
      <w:pStyle w:val="23"/>
      <w:tabs>
        <w:tab w:val="center" w:pos="4439"/>
        <w:tab w:val="clear" w:pos="4153"/>
      </w:tabs>
    </w:pPr>
    <w:r>
      <w:pict>
        <v:shape id="文本框 5126"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path/>
          <v:fill on="f" focussize="0,0"/>
          <v:stroke on="f" joinstyle="miter"/>
          <v:imagedata o:title=""/>
          <o:lock v:ext="edit"/>
          <v:textbox inset="0mm,0mm,0mm,0mm" style="mso-fit-shape-to-text:t;">
            <w:txbxContent>
              <w:p w14:paraId="19DC24AC"/>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03AB">
    <w:pPr>
      <w:pStyle w:val="23"/>
      <w:jc w:val="center"/>
    </w:pPr>
    <w:r>
      <w:pict>
        <v:shape id="文本框 51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path/>
          <v:fill on="f" focussize="0,0"/>
          <v:stroke on="f" joinstyle="miter"/>
          <v:imagedata o:title=""/>
          <o:lock v:ext="edit"/>
          <v:textbox inset="0mm,0mm,0mm,0mm" style="mso-fit-shape-to-text:t;">
            <w:txbxContent>
              <w:p w14:paraId="20F497EC">
                <w:pPr>
                  <w:pStyle w:val="23"/>
                  <w:jc w:val="center"/>
                </w:pPr>
                <w:r>
                  <w:fldChar w:fldCharType="begin"/>
                </w:r>
                <w:r>
                  <w:instrText xml:space="preserve"> PAGE  \* MERGEFORMAT </w:instrText>
                </w:r>
                <w:r>
                  <w:fldChar w:fldCharType="separate"/>
                </w:r>
                <w:r>
                  <w:t>64</w:t>
                </w:r>
                <w:r>
                  <w:fldChar w:fldCharType="end"/>
                </w:r>
              </w:p>
            </w:txbxContent>
          </v:textbox>
        </v:shape>
      </w:pict>
    </w:r>
  </w:p>
  <w:p w14:paraId="66DEF420">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F8EA">
    <w:pPr>
      <w:pStyle w:val="23"/>
    </w:pPr>
    <w:r>
      <w:pict>
        <v:shape id="文本框 5122"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path/>
          <v:fill on="f" focussize="0,0"/>
          <v:stroke on="f" joinstyle="miter"/>
          <v:imagedata o:title=""/>
          <o:lock v:ext="edit"/>
          <v:textbox inset="0mm,0mm,0mm,0mm" style="mso-fit-shape-to-text:t;">
            <w:txbxContent>
              <w:p w14:paraId="20B6675C">
                <w:pPr>
                  <w:pStyle w:val="2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D6A9">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A0C2">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DF8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5099"/>
    <w:multiLevelType w:val="multilevel"/>
    <w:tmpl w:val="5EE75099"/>
    <w:lvl w:ilvl="0" w:tentative="0">
      <w:start w:val="1"/>
      <w:numFmt w:val="chineseCountingThousand"/>
      <w:pStyle w:val="92"/>
      <w:suff w:val="nothing"/>
      <w:lvlText w:val="第%1章 "/>
      <w:lvlJc w:val="left"/>
      <w:pPr>
        <w:ind w:left="200"/>
      </w:pPr>
      <w:rPr>
        <w:rFonts w:hint="eastAsia" w:ascii="黑体" w:hAnsi="黑体" w:eastAsia="黑体" w:cs="宋体"/>
        <w:b w:val="0"/>
        <w:i w:val="0"/>
        <w:sz w:val="36"/>
      </w:rPr>
    </w:lvl>
    <w:lvl w:ilvl="1" w:tentative="0">
      <w:start w:val="1"/>
      <w:numFmt w:val="chineseCountingThousand"/>
      <w:suff w:val="nothing"/>
      <w:lvlText w:val="%2、"/>
      <w:lvlJc w:val="left"/>
      <w:pPr>
        <w:ind w:left="2978"/>
      </w:pPr>
      <w:rPr>
        <w:rFonts w:hint="eastAsia" w:ascii="黑体" w:hAnsi="黑体" w:eastAsia="黑体" w:cs="宋体"/>
        <w:b w:val="0"/>
        <w:i w:val="0"/>
        <w:sz w:val="32"/>
      </w:rPr>
    </w:lvl>
    <w:lvl w:ilvl="2" w:tentative="0">
      <w:start w:val="1"/>
      <w:numFmt w:val="decimal"/>
      <w:suff w:val="nothing"/>
      <w:lvlText w:val="%3."/>
      <w:lvlJc w:val="left"/>
      <w:pPr>
        <w:ind w:left="20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pPr>
      <w:rPr>
        <w:rFonts w:hint="eastAsia" w:ascii="宋体" w:hAnsi="宋体" w:eastAsia="宋体" w:cs="宋体"/>
        <w:b/>
        <w:i w:val="0"/>
        <w:sz w:val="24"/>
      </w:rPr>
    </w:lvl>
    <w:lvl w:ilvl="4" w:tentative="0">
      <w:start w:val="1"/>
      <w:numFmt w:val="decimal"/>
      <w:suff w:val="nothing"/>
      <w:lvlText w:val="%3.%4.%5 "/>
      <w:lvlJc w:val="left"/>
      <w:pPr>
        <w:tabs>
          <w:tab w:val="left" w:pos="0"/>
        </w:tabs>
      </w:pPr>
      <w:rPr>
        <w:rFonts w:hint="eastAsia" w:ascii="宋体" w:hAnsi="宋体" w:eastAsia="宋体" w:cs="宋体"/>
        <w:b/>
      </w:rPr>
    </w:lvl>
    <w:lvl w:ilvl="5" w:tentative="0">
      <w:start w:val="1"/>
      <w:numFmt w:val="decimal"/>
      <w:suff w:val="nothing"/>
      <w:lvlText w:val="%3.%4.%5.%6 "/>
      <w:lvlJc w:val="left"/>
      <w:pPr>
        <w:tabs>
          <w:tab w:val="left" w:pos="0"/>
        </w:tabs>
        <w:ind w:left="20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cs="Times New Roman"/>
      </w:rPr>
    </w:lvl>
    <w:lvl w:ilvl="8" w:tentative="0">
      <w:start w:val="1"/>
      <w:numFmt w:val="lowerRoman"/>
      <w:suff w:val="nothing"/>
      <w:lvlText w:val="%9. "/>
      <w:lvlJc w:val="left"/>
      <w:pPr>
        <w:ind w:left="200"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2"/>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97494"/>
    <w:rsid w:val="003A19C0"/>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3B99"/>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0500"/>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71"/>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8E"/>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97EEF"/>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130"/>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2EA2"/>
    <w:rsid w:val="00CA3451"/>
    <w:rsid w:val="00CA35C6"/>
    <w:rsid w:val="00CA4669"/>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55F"/>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B6B5E"/>
    <w:rsid w:val="03447834"/>
    <w:rsid w:val="035100F2"/>
    <w:rsid w:val="036543A8"/>
    <w:rsid w:val="03654FA1"/>
    <w:rsid w:val="03A03330"/>
    <w:rsid w:val="03A314B8"/>
    <w:rsid w:val="03B7227C"/>
    <w:rsid w:val="03BB1D6C"/>
    <w:rsid w:val="03C5243A"/>
    <w:rsid w:val="03D82B98"/>
    <w:rsid w:val="03E47515"/>
    <w:rsid w:val="03F83E8B"/>
    <w:rsid w:val="03FF37B7"/>
    <w:rsid w:val="04140663"/>
    <w:rsid w:val="04181B28"/>
    <w:rsid w:val="043C6FD0"/>
    <w:rsid w:val="0451328B"/>
    <w:rsid w:val="046269DF"/>
    <w:rsid w:val="04BF763A"/>
    <w:rsid w:val="04CD61FB"/>
    <w:rsid w:val="04EF7F2B"/>
    <w:rsid w:val="04F55751"/>
    <w:rsid w:val="050140F6"/>
    <w:rsid w:val="05067536"/>
    <w:rsid w:val="051929AB"/>
    <w:rsid w:val="05305068"/>
    <w:rsid w:val="05A131E3"/>
    <w:rsid w:val="05AC1B2E"/>
    <w:rsid w:val="05C56868"/>
    <w:rsid w:val="05CB2E5F"/>
    <w:rsid w:val="061C715B"/>
    <w:rsid w:val="06380EFC"/>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576D2"/>
    <w:rsid w:val="08B80099"/>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DDB49DD"/>
    <w:rsid w:val="0E14123E"/>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D60A24"/>
    <w:rsid w:val="12FE2018"/>
    <w:rsid w:val="130628D8"/>
    <w:rsid w:val="131928BF"/>
    <w:rsid w:val="131B727A"/>
    <w:rsid w:val="135B2B22"/>
    <w:rsid w:val="137D5290"/>
    <w:rsid w:val="138A3509"/>
    <w:rsid w:val="13914897"/>
    <w:rsid w:val="13946135"/>
    <w:rsid w:val="13AF4F03"/>
    <w:rsid w:val="13E04CDB"/>
    <w:rsid w:val="142F1196"/>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735895"/>
    <w:rsid w:val="16816E45"/>
    <w:rsid w:val="16881F81"/>
    <w:rsid w:val="16A24A72"/>
    <w:rsid w:val="16B54D41"/>
    <w:rsid w:val="16C653F4"/>
    <w:rsid w:val="16D01B7A"/>
    <w:rsid w:val="16D93709"/>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1C10A7"/>
    <w:rsid w:val="192F0F26"/>
    <w:rsid w:val="194A4B48"/>
    <w:rsid w:val="195474DE"/>
    <w:rsid w:val="195B507D"/>
    <w:rsid w:val="19BE25EF"/>
    <w:rsid w:val="19EE7E5D"/>
    <w:rsid w:val="1A1D50D7"/>
    <w:rsid w:val="1A5F0EA6"/>
    <w:rsid w:val="1A7B3BAB"/>
    <w:rsid w:val="1A8B76DB"/>
    <w:rsid w:val="1A98650B"/>
    <w:rsid w:val="1AA94BBC"/>
    <w:rsid w:val="1AAA4452"/>
    <w:rsid w:val="1AC252C2"/>
    <w:rsid w:val="1AC63078"/>
    <w:rsid w:val="1AD01D22"/>
    <w:rsid w:val="1AD11A1D"/>
    <w:rsid w:val="1AFF0AFE"/>
    <w:rsid w:val="1B412001"/>
    <w:rsid w:val="1B4967E4"/>
    <w:rsid w:val="1B4F19F8"/>
    <w:rsid w:val="1B5A7857"/>
    <w:rsid w:val="1B6870AE"/>
    <w:rsid w:val="1BA972F6"/>
    <w:rsid w:val="1BE50DD1"/>
    <w:rsid w:val="1C1F23FA"/>
    <w:rsid w:val="1C4306F9"/>
    <w:rsid w:val="1C4526C3"/>
    <w:rsid w:val="1C5D5C5E"/>
    <w:rsid w:val="1C6B432E"/>
    <w:rsid w:val="1C8101E5"/>
    <w:rsid w:val="1C8409D2"/>
    <w:rsid w:val="1C970A1D"/>
    <w:rsid w:val="1CB97998"/>
    <w:rsid w:val="1CCE2EE5"/>
    <w:rsid w:val="1CDA72AF"/>
    <w:rsid w:val="1CDF6F49"/>
    <w:rsid w:val="1CEF7146"/>
    <w:rsid w:val="1D0A6375"/>
    <w:rsid w:val="1D181B85"/>
    <w:rsid w:val="1D322C47"/>
    <w:rsid w:val="1DB7314C"/>
    <w:rsid w:val="1DBE272D"/>
    <w:rsid w:val="1DC31AF1"/>
    <w:rsid w:val="1DE1641B"/>
    <w:rsid w:val="1DE5046B"/>
    <w:rsid w:val="1E00340E"/>
    <w:rsid w:val="1E1F1D09"/>
    <w:rsid w:val="1E3E4FB4"/>
    <w:rsid w:val="1E4852D2"/>
    <w:rsid w:val="1E4F2A7A"/>
    <w:rsid w:val="1E694596"/>
    <w:rsid w:val="1E70765E"/>
    <w:rsid w:val="1E9621D4"/>
    <w:rsid w:val="1EB202A6"/>
    <w:rsid w:val="1EBD7CC9"/>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00B93"/>
    <w:rsid w:val="21771E62"/>
    <w:rsid w:val="21781212"/>
    <w:rsid w:val="21B83F86"/>
    <w:rsid w:val="21EA380F"/>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19690F"/>
    <w:rsid w:val="24571307"/>
    <w:rsid w:val="24715ECA"/>
    <w:rsid w:val="24754E93"/>
    <w:rsid w:val="247E43DB"/>
    <w:rsid w:val="24967F5F"/>
    <w:rsid w:val="249C557D"/>
    <w:rsid w:val="24D067A8"/>
    <w:rsid w:val="24F829C8"/>
    <w:rsid w:val="25110A2A"/>
    <w:rsid w:val="25145328"/>
    <w:rsid w:val="25240D0A"/>
    <w:rsid w:val="256C0944"/>
    <w:rsid w:val="25733194"/>
    <w:rsid w:val="258F03E8"/>
    <w:rsid w:val="25950217"/>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63F95"/>
    <w:rsid w:val="29283150"/>
    <w:rsid w:val="29316245"/>
    <w:rsid w:val="299802D6"/>
    <w:rsid w:val="29AE5D4B"/>
    <w:rsid w:val="29B41CE1"/>
    <w:rsid w:val="29B75078"/>
    <w:rsid w:val="29D75F7F"/>
    <w:rsid w:val="29E22D43"/>
    <w:rsid w:val="29FB2613"/>
    <w:rsid w:val="2A13795C"/>
    <w:rsid w:val="2A1E2D2D"/>
    <w:rsid w:val="2A353998"/>
    <w:rsid w:val="2A9D41C3"/>
    <w:rsid w:val="2AA212FD"/>
    <w:rsid w:val="2AA607D0"/>
    <w:rsid w:val="2AF61758"/>
    <w:rsid w:val="2B011EAB"/>
    <w:rsid w:val="2B095AA2"/>
    <w:rsid w:val="2B195E43"/>
    <w:rsid w:val="2B6C7A10"/>
    <w:rsid w:val="2B724B56"/>
    <w:rsid w:val="2B774624"/>
    <w:rsid w:val="2B81687D"/>
    <w:rsid w:val="2B8608E2"/>
    <w:rsid w:val="2B876854"/>
    <w:rsid w:val="2BA14AB8"/>
    <w:rsid w:val="2BB51EDD"/>
    <w:rsid w:val="2BD126E4"/>
    <w:rsid w:val="2BDD6474"/>
    <w:rsid w:val="2BEC6A86"/>
    <w:rsid w:val="2BEE242F"/>
    <w:rsid w:val="2BF074E3"/>
    <w:rsid w:val="2BF52B8C"/>
    <w:rsid w:val="2C35005E"/>
    <w:rsid w:val="2C45281E"/>
    <w:rsid w:val="2C7A72BE"/>
    <w:rsid w:val="2C864D5D"/>
    <w:rsid w:val="2C9A7D75"/>
    <w:rsid w:val="2CA64B3B"/>
    <w:rsid w:val="2CC17412"/>
    <w:rsid w:val="2CD60BF4"/>
    <w:rsid w:val="2CD86C3B"/>
    <w:rsid w:val="2CDD2BFE"/>
    <w:rsid w:val="2D183B14"/>
    <w:rsid w:val="2D283E6C"/>
    <w:rsid w:val="2D770813"/>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EFF05E8"/>
    <w:rsid w:val="2F1877C3"/>
    <w:rsid w:val="2F3B2F8F"/>
    <w:rsid w:val="2F401D3C"/>
    <w:rsid w:val="2F4800A8"/>
    <w:rsid w:val="2F5051AF"/>
    <w:rsid w:val="2F5B24E1"/>
    <w:rsid w:val="2F80100D"/>
    <w:rsid w:val="2F9C5CDB"/>
    <w:rsid w:val="2FA23C5C"/>
    <w:rsid w:val="2FA95C88"/>
    <w:rsid w:val="2FBC149F"/>
    <w:rsid w:val="2FC93AD3"/>
    <w:rsid w:val="2FD61B58"/>
    <w:rsid w:val="2FD86E9B"/>
    <w:rsid w:val="2FDE37A5"/>
    <w:rsid w:val="2FE14059"/>
    <w:rsid w:val="2FF3270A"/>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CE6BFB"/>
    <w:rsid w:val="32EC745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491957"/>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53608"/>
    <w:rsid w:val="373D24BC"/>
    <w:rsid w:val="373D42AF"/>
    <w:rsid w:val="37517D16"/>
    <w:rsid w:val="37537F32"/>
    <w:rsid w:val="376D14AF"/>
    <w:rsid w:val="37CB5D1A"/>
    <w:rsid w:val="37EA5922"/>
    <w:rsid w:val="381D69EA"/>
    <w:rsid w:val="38251228"/>
    <w:rsid w:val="38276B93"/>
    <w:rsid w:val="382C2678"/>
    <w:rsid w:val="386F48F8"/>
    <w:rsid w:val="387A3C2D"/>
    <w:rsid w:val="388C36FB"/>
    <w:rsid w:val="38A8605B"/>
    <w:rsid w:val="38AC3431"/>
    <w:rsid w:val="38CE39D9"/>
    <w:rsid w:val="38D66725"/>
    <w:rsid w:val="38DB59A9"/>
    <w:rsid w:val="38E31989"/>
    <w:rsid w:val="38FC35F8"/>
    <w:rsid w:val="390A63CE"/>
    <w:rsid w:val="392F2E16"/>
    <w:rsid w:val="39522A4F"/>
    <w:rsid w:val="39803873"/>
    <w:rsid w:val="39B43358"/>
    <w:rsid w:val="39DE1D35"/>
    <w:rsid w:val="39E00529"/>
    <w:rsid w:val="3A0B64A7"/>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B6324"/>
    <w:rsid w:val="3B6C15C2"/>
    <w:rsid w:val="3B890DC1"/>
    <w:rsid w:val="3BA65070"/>
    <w:rsid w:val="3BAE586B"/>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B75DEA"/>
    <w:rsid w:val="3DCC6348"/>
    <w:rsid w:val="3DEC579F"/>
    <w:rsid w:val="3DF6345D"/>
    <w:rsid w:val="3E034F5C"/>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765169"/>
    <w:rsid w:val="3FB362C2"/>
    <w:rsid w:val="3FB45515"/>
    <w:rsid w:val="3FB6105E"/>
    <w:rsid w:val="3FB90C6E"/>
    <w:rsid w:val="3FC731E3"/>
    <w:rsid w:val="3FCA4E37"/>
    <w:rsid w:val="3FEC0F24"/>
    <w:rsid w:val="3FEE07F8"/>
    <w:rsid w:val="400022D9"/>
    <w:rsid w:val="40153FD6"/>
    <w:rsid w:val="40192BA6"/>
    <w:rsid w:val="40A54907"/>
    <w:rsid w:val="40D44BB8"/>
    <w:rsid w:val="40F63E08"/>
    <w:rsid w:val="40F8373D"/>
    <w:rsid w:val="41114D6F"/>
    <w:rsid w:val="416274F1"/>
    <w:rsid w:val="416B088F"/>
    <w:rsid w:val="41760AA5"/>
    <w:rsid w:val="41766EA9"/>
    <w:rsid w:val="41866B13"/>
    <w:rsid w:val="41935450"/>
    <w:rsid w:val="41AD09C3"/>
    <w:rsid w:val="41B65373"/>
    <w:rsid w:val="41C77F5B"/>
    <w:rsid w:val="41DE664A"/>
    <w:rsid w:val="41E6725D"/>
    <w:rsid w:val="41F77652"/>
    <w:rsid w:val="42131E80"/>
    <w:rsid w:val="4217445F"/>
    <w:rsid w:val="423D5A66"/>
    <w:rsid w:val="42550A18"/>
    <w:rsid w:val="426E308D"/>
    <w:rsid w:val="429D496A"/>
    <w:rsid w:val="42A038DB"/>
    <w:rsid w:val="42A16911"/>
    <w:rsid w:val="42C4395D"/>
    <w:rsid w:val="42F473A1"/>
    <w:rsid w:val="431A7B56"/>
    <w:rsid w:val="43362BE2"/>
    <w:rsid w:val="43602A2A"/>
    <w:rsid w:val="437217EA"/>
    <w:rsid w:val="4392187A"/>
    <w:rsid w:val="43AB7156"/>
    <w:rsid w:val="43DE0B83"/>
    <w:rsid w:val="441E62C0"/>
    <w:rsid w:val="442102EF"/>
    <w:rsid w:val="442D4712"/>
    <w:rsid w:val="4434212B"/>
    <w:rsid w:val="443C665A"/>
    <w:rsid w:val="44684A59"/>
    <w:rsid w:val="44916AD9"/>
    <w:rsid w:val="449D7506"/>
    <w:rsid w:val="44A71A4C"/>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9F0ACD"/>
    <w:rsid w:val="47A0743D"/>
    <w:rsid w:val="47A617A5"/>
    <w:rsid w:val="47C56F66"/>
    <w:rsid w:val="47D31E1A"/>
    <w:rsid w:val="47DC4F5C"/>
    <w:rsid w:val="4840005F"/>
    <w:rsid w:val="484F7DD9"/>
    <w:rsid w:val="48552BC8"/>
    <w:rsid w:val="48B40671"/>
    <w:rsid w:val="48BC6F7A"/>
    <w:rsid w:val="48CF0271"/>
    <w:rsid w:val="48F8074C"/>
    <w:rsid w:val="49042FF5"/>
    <w:rsid w:val="49076335"/>
    <w:rsid w:val="4922291D"/>
    <w:rsid w:val="492B4C09"/>
    <w:rsid w:val="492B6619"/>
    <w:rsid w:val="495856C4"/>
    <w:rsid w:val="49604478"/>
    <w:rsid w:val="49645248"/>
    <w:rsid w:val="499B5738"/>
    <w:rsid w:val="499F244D"/>
    <w:rsid w:val="49B900C8"/>
    <w:rsid w:val="49CF169A"/>
    <w:rsid w:val="4A1953E5"/>
    <w:rsid w:val="4A1E617D"/>
    <w:rsid w:val="4A7E670F"/>
    <w:rsid w:val="4A970798"/>
    <w:rsid w:val="4A973F3F"/>
    <w:rsid w:val="4A9D48C2"/>
    <w:rsid w:val="4ABB577A"/>
    <w:rsid w:val="4ABC3301"/>
    <w:rsid w:val="4AC31D20"/>
    <w:rsid w:val="4AC83F74"/>
    <w:rsid w:val="4ACE1952"/>
    <w:rsid w:val="4ACF10C7"/>
    <w:rsid w:val="4AF96BC7"/>
    <w:rsid w:val="4B0A2D44"/>
    <w:rsid w:val="4B0C003F"/>
    <w:rsid w:val="4B136655"/>
    <w:rsid w:val="4B643D98"/>
    <w:rsid w:val="4B702A09"/>
    <w:rsid w:val="4B862A85"/>
    <w:rsid w:val="4B8F39AF"/>
    <w:rsid w:val="4BA53E30"/>
    <w:rsid w:val="4BB94F2D"/>
    <w:rsid w:val="4BDD0672"/>
    <w:rsid w:val="4BE33F9B"/>
    <w:rsid w:val="4BF36441"/>
    <w:rsid w:val="4C2832E3"/>
    <w:rsid w:val="4C455C43"/>
    <w:rsid w:val="4C4D68A6"/>
    <w:rsid w:val="4C6A0734"/>
    <w:rsid w:val="4C7E1155"/>
    <w:rsid w:val="4C8E7362"/>
    <w:rsid w:val="4C9F7D59"/>
    <w:rsid w:val="4CA010CC"/>
    <w:rsid w:val="4CB708CE"/>
    <w:rsid w:val="4CCE79E7"/>
    <w:rsid w:val="4CD7788D"/>
    <w:rsid w:val="4CDB23B6"/>
    <w:rsid w:val="4CDE5035"/>
    <w:rsid w:val="4CE54D31"/>
    <w:rsid w:val="4CEF36E2"/>
    <w:rsid w:val="4CEF4DC5"/>
    <w:rsid w:val="4D1D595E"/>
    <w:rsid w:val="4D2E492A"/>
    <w:rsid w:val="4D5674A9"/>
    <w:rsid w:val="4D5906C3"/>
    <w:rsid w:val="4DAD1323"/>
    <w:rsid w:val="4DAE0576"/>
    <w:rsid w:val="4DB43081"/>
    <w:rsid w:val="4DBA440F"/>
    <w:rsid w:val="4DCC61A3"/>
    <w:rsid w:val="4DDA7116"/>
    <w:rsid w:val="4DFD59BE"/>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373BA2"/>
    <w:rsid w:val="4F50685F"/>
    <w:rsid w:val="4F552D33"/>
    <w:rsid w:val="4F604F02"/>
    <w:rsid w:val="4F6D6A9E"/>
    <w:rsid w:val="4FA5794C"/>
    <w:rsid w:val="4FAC106B"/>
    <w:rsid w:val="4FAD6032"/>
    <w:rsid w:val="4FDC1C12"/>
    <w:rsid w:val="4FDD1914"/>
    <w:rsid w:val="4FED287A"/>
    <w:rsid w:val="500D6A78"/>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991055"/>
    <w:rsid w:val="55C37BD9"/>
    <w:rsid w:val="55CE6CAA"/>
    <w:rsid w:val="55D2686D"/>
    <w:rsid w:val="55E025CB"/>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9EE5D29"/>
    <w:rsid w:val="5A161AA5"/>
    <w:rsid w:val="5A1E62F5"/>
    <w:rsid w:val="5A2F2CC8"/>
    <w:rsid w:val="5A5534F6"/>
    <w:rsid w:val="5A615E58"/>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BFB00CD"/>
    <w:rsid w:val="5C10702D"/>
    <w:rsid w:val="5C1212B5"/>
    <w:rsid w:val="5C152601"/>
    <w:rsid w:val="5C2238AB"/>
    <w:rsid w:val="5C563555"/>
    <w:rsid w:val="5C581F57"/>
    <w:rsid w:val="5C591F03"/>
    <w:rsid w:val="5C5B5602"/>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1C56A1"/>
    <w:rsid w:val="5E251431"/>
    <w:rsid w:val="5E954808"/>
    <w:rsid w:val="5EA22C56"/>
    <w:rsid w:val="5EBA0DC9"/>
    <w:rsid w:val="5EFB006B"/>
    <w:rsid w:val="5F324EA1"/>
    <w:rsid w:val="5F3B73F3"/>
    <w:rsid w:val="5F447FDD"/>
    <w:rsid w:val="5F463F63"/>
    <w:rsid w:val="5F561B72"/>
    <w:rsid w:val="5F5924E9"/>
    <w:rsid w:val="5FCF5AF8"/>
    <w:rsid w:val="5FF44DA7"/>
    <w:rsid w:val="5FF732CD"/>
    <w:rsid w:val="5FF75D1E"/>
    <w:rsid w:val="600D6620"/>
    <w:rsid w:val="6037544B"/>
    <w:rsid w:val="603900D0"/>
    <w:rsid w:val="603B318E"/>
    <w:rsid w:val="6052125F"/>
    <w:rsid w:val="606007BB"/>
    <w:rsid w:val="60771CEC"/>
    <w:rsid w:val="609E54CA"/>
    <w:rsid w:val="60AC7F66"/>
    <w:rsid w:val="60C50CA9"/>
    <w:rsid w:val="60C95281"/>
    <w:rsid w:val="60EE58F6"/>
    <w:rsid w:val="611F485D"/>
    <w:rsid w:val="6149254E"/>
    <w:rsid w:val="615B1CEA"/>
    <w:rsid w:val="61665FE8"/>
    <w:rsid w:val="61730EFA"/>
    <w:rsid w:val="6180680C"/>
    <w:rsid w:val="6181445A"/>
    <w:rsid w:val="61AB60F1"/>
    <w:rsid w:val="61BF10D9"/>
    <w:rsid w:val="61FC6D54"/>
    <w:rsid w:val="620470D5"/>
    <w:rsid w:val="62224475"/>
    <w:rsid w:val="623B56C7"/>
    <w:rsid w:val="62400F9F"/>
    <w:rsid w:val="625B6730"/>
    <w:rsid w:val="627209BD"/>
    <w:rsid w:val="628726BA"/>
    <w:rsid w:val="62AC22DC"/>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F659AF"/>
    <w:rsid w:val="660E46E0"/>
    <w:rsid w:val="665C0356"/>
    <w:rsid w:val="66640969"/>
    <w:rsid w:val="6691014E"/>
    <w:rsid w:val="6692427B"/>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AF26B3F"/>
    <w:rsid w:val="6AFD1AE7"/>
    <w:rsid w:val="6AFE283B"/>
    <w:rsid w:val="6B4D4DA6"/>
    <w:rsid w:val="6B9946B3"/>
    <w:rsid w:val="6BAC13E3"/>
    <w:rsid w:val="6BD1379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2A7F88"/>
    <w:rsid w:val="6F385179"/>
    <w:rsid w:val="6F4E5CAC"/>
    <w:rsid w:val="6F4F27B2"/>
    <w:rsid w:val="6F5E1A6F"/>
    <w:rsid w:val="6F7F3327"/>
    <w:rsid w:val="6F80296B"/>
    <w:rsid w:val="6FB20BD4"/>
    <w:rsid w:val="6FB27657"/>
    <w:rsid w:val="6FBA59BE"/>
    <w:rsid w:val="6FD76702"/>
    <w:rsid w:val="6FE545C5"/>
    <w:rsid w:val="6FE949B4"/>
    <w:rsid w:val="70296B3E"/>
    <w:rsid w:val="7049646A"/>
    <w:rsid w:val="704C0C3E"/>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3B061B"/>
    <w:rsid w:val="754D5C4B"/>
    <w:rsid w:val="755723C0"/>
    <w:rsid w:val="75D27C98"/>
    <w:rsid w:val="75E82186"/>
    <w:rsid w:val="75FD6934"/>
    <w:rsid w:val="761024BB"/>
    <w:rsid w:val="76183420"/>
    <w:rsid w:val="7630676D"/>
    <w:rsid w:val="764F0490"/>
    <w:rsid w:val="76591EC6"/>
    <w:rsid w:val="765C74B9"/>
    <w:rsid w:val="766F3739"/>
    <w:rsid w:val="76751ABE"/>
    <w:rsid w:val="76BA0E58"/>
    <w:rsid w:val="76C240A7"/>
    <w:rsid w:val="76CE33B8"/>
    <w:rsid w:val="76D637B8"/>
    <w:rsid w:val="76DA416A"/>
    <w:rsid w:val="76F229C2"/>
    <w:rsid w:val="770E33B0"/>
    <w:rsid w:val="771D13E7"/>
    <w:rsid w:val="77336515"/>
    <w:rsid w:val="774B7D02"/>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0B647D"/>
    <w:rsid w:val="79720EA4"/>
    <w:rsid w:val="79781D2E"/>
    <w:rsid w:val="798E4CA2"/>
    <w:rsid w:val="79AD7444"/>
    <w:rsid w:val="79C36276"/>
    <w:rsid w:val="79E32474"/>
    <w:rsid w:val="7A0348C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513B99"/>
    <w:rsid w:val="7D537911"/>
    <w:rsid w:val="7D80675E"/>
    <w:rsid w:val="7D8F476B"/>
    <w:rsid w:val="7D951CD7"/>
    <w:rsid w:val="7DA03048"/>
    <w:rsid w:val="7DA37C8F"/>
    <w:rsid w:val="7DCF62C2"/>
    <w:rsid w:val="7DD11708"/>
    <w:rsid w:val="7DEE4A4F"/>
    <w:rsid w:val="7E036801"/>
    <w:rsid w:val="7E1339DF"/>
    <w:rsid w:val="7E171E3C"/>
    <w:rsid w:val="7E2412AD"/>
    <w:rsid w:val="7E3358F5"/>
    <w:rsid w:val="7E402F77"/>
    <w:rsid w:val="7E6B44DD"/>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9"/>
    <w:pPr>
      <w:keepNext/>
      <w:keepLines/>
      <w:spacing w:before="340" w:after="330" w:line="578" w:lineRule="auto"/>
      <w:jc w:val="center"/>
      <w:outlineLvl w:val="0"/>
    </w:pPr>
    <w:rPr>
      <w:b/>
      <w:bCs/>
      <w:kern w:val="44"/>
      <w:sz w:val="36"/>
      <w:szCs w:val="44"/>
    </w:rPr>
  </w:style>
  <w:style w:type="paragraph" w:styleId="3">
    <w:name w:val="heading 2"/>
    <w:basedOn w:val="1"/>
    <w:next w:val="1"/>
    <w:link w:val="3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41"/>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42"/>
    <w:qFormat/>
    <w:uiPriority w:val="99"/>
    <w:pPr>
      <w:keepNext/>
      <w:keepLines/>
      <w:spacing w:before="280" w:after="290" w:line="376" w:lineRule="auto"/>
      <w:outlineLvl w:val="4"/>
    </w:pPr>
    <w:rPr>
      <w:b/>
      <w:bCs/>
      <w:sz w:val="28"/>
      <w:szCs w:val="28"/>
    </w:rPr>
  </w:style>
  <w:style w:type="paragraph" w:styleId="8">
    <w:name w:val="heading 7"/>
    <w:basedOn w:val="1"/>
    <w:next w:val="1"/>
    <w:link w:val="43"/>
    <w:qFormat/>
    <w:uiPriority w:val="99"/>
    <w:pPr>
      <w:keepNext/>
      <w:keepLines/>
      <w:spacing w:before="240" w:after="64" w:line="320" w:lineRule="auto"/>
      <w:outlineLvl w:val="6"/>
    </w:pPr>
    <w:rPr>
      <w:b/>
      <w:bCs/>
      <w:sz w:val="24"/>
    </w:rPr>
  </w:style>
  <w:style w:type="paragraph" w:styleId="9">
    <w:name w:val="heading 8"/>
    <w:basedOn w:val="1"/>
    <w:next w:val="1"/>
    <w:link w:val="44"/>
    <w:qFormat/>
    <w:uiPriority w:val="9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0">
    <w:name w:val="index 8"/>
    <w:basedOn w:val="1"/>
    <w:next w:val="1"/>
    <w:qFormat/>
    <w:uiPriority w:val="99"/>
    <w:pPr>
      <w:ind w:left="2940"/>
    </w:pPr>
  </w:style>
  <w:style w:type="paragraph" w:styleId="11">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annotation text"/>
    <w:basedOn w:val="1"/>
    <w:link w:val="45"/>
    <w:qFormat/>
    <w:uiPriority w:val="99"/>
    <w:pPr>
      <w:jc w:val="left"/>
    </w:pPr>
  </w:style>
  <w:style w:type="paragraph" w:styleId="14">
    <w:name w:val="Body Text 3"/>
    <w:basedOn w:val="1"/>
    <w:link w:val="46"/>
    <w:qFormat/>
    <w:uiPriority w:val="99"/>
    <w:pPr>
      <w:spacing w:after="120"/>
    </w:pPr>
    <w:rPr>
      <w:sz w:val="16"/>
      <w:szCs w:val="16"/>
    </w:rPr>
  </w:style>
  <w:style w:type="paragraph" w:styleId="15">
    <w:name w:val="Body Text"/>
    <w:basedOn w:val="1"/>
    <w:next w:val="16"/>
    <w:link w:val="47"/>
    <w:qFormat/>
    <w:uiPriority w:val="99"/>
    <w:pPr>
      <w:spacing w:after="120"/>
    </w:pPr>
  </w:style>
  <w:style w:type="paragraph" w:styleId="16">
    <w:name w:val="Body Text First Indent"/>
    <w:basedOn w:val="15"/>
    <w:next w:val="17"/>
    <w:link w:val="48"/>
    <w:qFormat/>
    <w:uiPriority w:val="99"/>
    <w:pPr>
      <w:ind w:firstLine="420" w:firstLineChars="100"/>
    </w:pPr>
  </w:style>
  <w:style w:type="paragraph" w:styleId="17">
    <w:name w:val="toc 6"/>
    <w:basedOn w:val="1"/>
    <w:next w:val="1"/>
    <w:semiHidden/>
    <w:qFormat/>
    <w:uiPriority w:val="99"/>
    <w:pPr>
      <w:ind w:left="2100" w:leftChars="1000"/>
    </w:pPr>
  </w:style>
  <w:style w:type="paragraph" w:styleId="18">
    <w:name w:val="Body Text Indent"/>
    <w:basedOn w:val="1"/>
    <w:link w:val="49"/>
    <w:qFormat/>
    <w:uiPriority w:val="99"/>
    <w:pPr>
      <w:ind w:firstLine="830" w:firstLineChars="352"/>
    </w:pPr>
    <w:rPr>
      <w:rFonts w:ascii="仿宋_GB2312" w:eastAsia="仿宋_GB2312"/>
      <w:kern w:val="0"/>
      <w:sz w:val="32"/>
      <w:szCs w:val="20"/>
    </w:rPr>
  </w:style>
  <w:style w:type="paragraph" w:styleId="19">
    <w:name w:val="List 2"/>
    <w:basedOn w:val="1"/>
    <w:qFormat/>
    <w:uiPriority w:val="99"/>
    <w:pPr>
      <w:ind w:left="100" w:leftChars="200" w:hanging="200" w:hangingChars="200"/>
      <w:contextualSpacing/>
    </w:pPr>
  </w:style>
  <w:style w:type="paragraph" w:styleId="20">
    <w:name w:val="Plain Text"/>
    <w:basedOn w:val="1"/>
    <w:next w:val="1"/>
    <w:link w:val="50"/>
    <w:qFormat/>
    <w:uiPriority w:val="99"/>
    <w:rPr>
      <w:rFonts w:ascii="宋体" w:hAnsi="Courier New"/>
      <w:kern w:val="0"/>
      <w:sz w:val="20"/>
      <w:szCs w:val="21"/>
    </w:rPr>
  </w:style>
  <w:style w:type="paragraph" w:styleId="21">
    <w:name w:val="Date"/>
    <w:basedOn w:val="1"/>
    <w:next w:val="1"/>
    <w:link w:val="51"/>
    <w:qFormat/>
    <w:uiPriority w:val="99"/>
    <w:pPr>
      <w:ind w:left="100" w:leftChars="2500"/>
    </w:pPr>
  </w:style>
  <w:style w:type="paragraph" w:styleId="22">
    <w:name w:val="Balloon Text"/>
    <w:basedOn w:val="1"/>
    <w:link w:val="52"/>
    <w:semiHidden/>
    <w:qFormat/>
    <w:uiPriority w:val="99"/>
    <w:rPr>
      <w:sz w:val="18"/>
      <w:szCs w:val="18"/>
    </w:rPr>
  </w:style>
  <w:style w:type="paragraph" w:styleId="23">
    <w:name w:val="footer"/>
    <w:basedOn w:val="1"/>
    <w:link w:val="53"/>
    <w:qFormat/>
    <w:uiPriority w:val="99"/>
    <w:pPr>
      <w:tabs>
        <w:tab w:val="center" w:pos="4153"/>
        <w:tab w:val="right" w:pos="8306"/>
      </w:tabs>
      <w:snapToGrid w:val="0"/>
      <w:jc w:val="left"/>
    </w:pPr>
    <w:rPr>
      <w:kern w:val="0"/>
      <w:sz w:val="18"/>
      <w:szCs w:val="18"/>
    </w:rPr>
  </w:style>
  <w:style w:type="paragraph" w:styleId="24">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99"/>
  </w:style>
  <w:style w:type="paragraph" w:styleId="26">
    <w:name w:val="toc 2"/>
    <w:basedOn w:val="1"/>
    <w:next w:val="1"/>
    <w:qFormat/>
    <w:uiPriority w:val="99"/>
    <w:pPr>
      <w:tabs>
        <w:tab w:val="right" w:leader="dot" w:pos="8296"/>
      </w:tabs>
      <w:ind w:left="420" w:leftChars="200"/>
    </w:pPr>
  </w:style>
  <w:style w:type="paragraph" w:styleId="27">
    <w:name w:val="Body Text 2"/>
    <w:basedOn w:val="1"/>
    <w:next w:val="15"/>
    <w:link w:val="55"/>
    <w:qFormat/>
    <w:uiPriority w:val="99"/>
    <w:pPr>
      <w:spacing w:line="480" w:lineRule="auto"/>
    </w:pPr>
    <w:rPr>
      <w:kern w:val="0"/>
      <w:sz w:val="20"/>
    </w:rPr>
  </w:style>
  <w:style w:type="paragraph" w:styleId="28">
    <w:name w:val="Normal (Web)"/>
    <w:basedOn w:val="1"/>
    <w:qFormat/>
    <w:uiPriority w:val="99"/>
    <w:rPr>
      <w:rFonts w:ascii="Calibri" w:hAnsi="Calibri"/>
      <w:kern w:val="0"/>
      <w:sz w:val="24"/>
    </w:rPr>
  </w:style>
  <w:style w:type="paragraph" w:styleId="29">
    <w:name w:val="Title"/>
    <w:basedOn w:val="1"/>
    <w:next w:val="1"/>
    <w:link w:val="56"/>
    <w:qFormat/>
    <w:uiPriority w:val="99"/>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7"/>
    <w:qFormat/>
    <w:uiPriority w:val="99"/>
    <w:rPr>
      <w:b/>
      <w:bCs/>
    </w:rPr>
  </w:style>
  <w:style w:type="paragraph" w:styleId="31">
    <w:name w:val="Body Text First Indent 2"/>
    <w:basedOn w:val="18"/>
    <w:link w:val="58"/>
    <w:qFormat/>
    <w:uiPriority w:val="99"/>
    <w:pPr>
      <w:spacing w:line="360" w:lineRule="auto"/>
      <w:ind w:firstLine="0"/>
    </w:pPr>
    <w:rPr>
      <w:sz w:val="24"/>
    </w:r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qFormat/>
    <w:uiPriority w:val="99"/>
    <w:rPr>
      <w:rFonts w:cs="Times New Roman"/>
      <w:vertAlign w:val="superscript"/>
    </w:rPr>
  </w:style>
  <w:style w:type="character" w:styleId="36">
    <w:name w:val="Hyperlink"/>
    <w:basedOn w:val="34"/>
    <w:qFormat/>
    <w:uiPriority w:val="99"/>
    <w:rPr>
      <w:rFonts w:cs="Times New Roman"/>
      <w:color w:val="0000FF"/>
      <w:u w:val="single"/>
    </w:rPr>
  </w:style>
  <w:style w:type="character" w:styleId="37">
    <w:name w:val="annotation reference"/>
    <w:basedOn w:val="34"/>
    <w:qFormat/>
    <w:uiPriority w:val="99"/>
    <w:rPr>
      <w:rFonts w:cs="Times New Roman"/>
      <w:sz w:val="21"/>
    </w:rPr>
  </w:style>
  <w:style w:type="character" w:customStyle="1" w:styleId="38">
    <w:name w:val="标题 1 Char"/>
    <w:basedOn w:val="34"/>
    <w:link w:val="2"/>
    <w:qFormat/>
    <w:locked/>
    <w:uiPriority w:val="99"/>
    <w:rPr>
      <w:rFonts w:ascii="Times New Roman" w:hAnsi="Times New Roman" w:eastAsia="宋体"/>
      <w:b/>
      <w:kern w:val="44"/>
      <w:sz w:val="44"/>
    </w:rPr>
  </w:style>
  <w:style w:type="character" w:customStyle="1" w:styleId="39">
    <w:name w:val="标题 2 Char1"/>
    <w:basedOn w:val="34"/>
    <w:link w:val="3"/>
    <w:qFormat/>
    <w:locked/>
    <w:uiPriority w:val="99"/>
    <w:rPr>
      <w:rFonts w:ascii="Cambria" w:hAnsi="Cambria" w:eastAsia="宋体"/>
      <w:b/>
      <w:kern w:val="2"/>
      <w:sz w:val="32"/>
    </w:rPr>
  </w:style>
  <w:style w:type="character" w:customStyle="1" w:styleId="40">
    <w:name w:val="标题 3 Char"/>
    <w:basedOn w:val="34"/>
    <w:link w:val="4"/>
    <w:semiHidden/>
    <w:qFormat/>
    <w:uiPriority w:val="9"/>
    <w:rPr>
      <w:b/>
      <w:bCs/>
      <w:sz w:val="32"/>
      <w:szCs w:val="32"/>
    </w:rPr>
  </w:style>
  <w:style w:type="character" w:customStyle="1" w:styleId="41">
    <w:name w:val="标题 4 Char"/>
    <w:basedOn w:val="34"/>
    <w:link w:val="5"/>
    <w:semiHidden/>
    <w:qFormat/>
    <w:uiPriority w:val="9"/>
    <w:rPr>
      <w:rFonts w:asciiTheme="majorHAnsi" w:hAnsiTheme="majorHAnsi" w:eastAsiaTheme="majorEastAsia" w:cstheme="majorBidi"/>
      <w:b/>
      <w:bCs/>
      <w:sz w:val="28"/>
      <w:szCs w:val="28"/>
    </w:rPr>
  </w:style>
  <w:style w:type="character" w:customStyle="1" w:styleId="42">
    <w:name w:val="标题 5 Char"/>
    <w:basedOn w:val="34"/>
    <w:link w:val="6"/>
    <w:semiHidden/>
    <w:qFormat/>
    <w:locked/>
    <w:uiPriority w:val="99"/>
    <w:rPr>
      <w:rFonts w:ascii="Times New Roman" w:hAnsi="Times New Roman"/>
      <w:b/>
      <w:kern w:val="2"/>
      <w:sz w:val="28"/>
    </w:rPr>
  </w:style>
  <w:style w:type="character" w:customStyle="1" w:styleId="43">
    <w:name w:val="标题 7 Char"/>
    <w:basedOn w:val="34"/>
    <w:link w:val="8"/>
    <w:qFormat/>
    <w:locked/>
    <w:uiPriority w:val="99"/>
    <w:rPr>
      <w:b/>
      <w:kern w:val="2"/>
      <w:sz w:val="24"/>
    </w:rPr>
  </w:style>
  <w:style w:type="character" w:customStyle="1" w:styleId="44">
    <w:name w:val="标题 8 Char1"/>
    <w:basedOn w:val="34"/>
    <w:link w:val="9"/>
    <w:semiHidden/>
    <w:qFormat/>
    <w:locked/>
    <w:uiPriority w:val="99"/>
    <w:rPr>
      <w:rFonts w:ascii="等线 Light" w:hAnsi="等线 Light" w:eastAsia="等线 Light"/>
      <w:kern w:val="2"/>
      <w:sz w:val="24"/>
    </w:rPr>
  </w:style>
  <w:style w:type="character" w:customStyle="1" w:styleId="45">
    <w:name w:val="批注文字 Char1"/>
    <w:basedOn w:val="34"/>
    <w:link w:val="13"/>
    <w:qFormat/>
    <w:locked/>
    <w:uiPriority w:val="99"/>
    <w:rPr>
      <w:rFonts w:ascii="Times New Roman" w:hAnsi="Times New Roman"/>
      <w:kern w:val="2"/>
      <w:sz w:val="24"/>
    </w:rPr>
  </w:style>
  <w:style w:type="character" w:customStyle="1" w:styleId="46">
    <w:name w:val="正文文本 3 Char"/>
    <w:basedOn w:val="34"/>
    <w:link w:val="14"/>
    <w:semiHidden/>
    <w:qFormat/>
    <w:locked/>
    <w:uiPriority w:val="99"/>
    <w:rPr>
      <w:kern w:val="2"/>
      <w:sz w:val="16"/>
    </w:rPr>
  </w:style>
  <w:style w:type="character" w:customStyle="1" w:styleId="47">
    <w:name w:val="正文文本 Char1"/>
    <w:basedOn w:val="34"/>
    <w:link w:val="15"/>
    <w:qFormat/>
    <w:locked/>
    <w:uiPriority w:val="99"/>
    <w:rPr>
      <w:rFonts w:ascii="Times New Roman" w:hAnsi="Times New Roman"/>
      <w:kern w:val="2"/>
      <w:sz w:val="24"/>
    </w:rPr>
  </w:style>
  <w:style w:type="character" w:customStyle="1" w:styleId="48">
    <w:name w:val="正文首行缩进 Char"/>
    <w:basedOn w:val="47"/>
    <w:link w:val="16"/>
    <w:semiHidden/>
    <w:qFormat/>
    <w:uiPriority w:val="99"/>
    <w:rPr>
      <w:szCs w:val="24"/>
    </w:rPr>
  </w:style>
  <w:style w:type="character" w:customStyle="1" w:styleId="49">
    <w:name w:val="正文文本缩进 Char"/>
    <w:basedOn w:val="34"/>
    <w:link w:val="18"/>
    <w:qFormat/>
    <w:locked/>
    <w:uiPriority w:val="99"/>
    <w:rPr>
      <w:rFonts w:ascii="仿宋_GB2312" w:hAnsi="Times New Roman" w:eastAsia="仿宋_GB2312"/>
      <w:sz w:val="20"/>
    </w:rPr>
  </w:style>
  <w:style w:type="character" w:customStyle="1" w:styleId="50">
    <w:name w:val="纯文本 Char1"/>
    <w:basedOn w:val="34"/>
    <w:link w:val="20"/>
    <w:qFormat/>
    <w:locked/>
    <w:uiPriority w:val="99"/>
    <w:rPr>
      <w:rFonts w:ascii="宋体" w:hAnsi="Courier New" w:eastAsia="宋体"/>
      <w:sz w:val="21"/>
    </w:rPr>
  </w:style>
  <w:style w:type="character" w:customStyle="1" w:styleId="51">
    <w:name w:val="日期 Char"/>
    <w:basedOn w:val="34"/>
    <w:link w:val="21"/>
    <w:semiHidden/>
    <w:qFormat/>
    <w:locked/>
    <w:uiPriority w:val="99"/>
    <w:rPr>
      <w:rFonts w:ascii="Times New Roman" w:hAnsi="Times New Roman"/>
      <w:kern w:val="2"/>
      <w:sz w:val="24"/>
    </w:rPr>
  </w:style>
  <w:style w:type="character" w:customStyle="1" w:styleId="52">
    <w:name w:val="批注框文本 Char"/>
    <w:basedOn w:val="34"/>
    <w:link w:val="22"/>
    <w:semiHidden/>
    <w:qFormat/>
    <w:uiPriority w:val="99"/>
    <w:rPr>
      <w:sz w:val="0"/>
      <w:szCs w:val="0"/>
    </w:rPr>
  </w:style>
  <w:style w:type="character" w:customStyle="1" w:styleId="53">
    <w:name w:val="页脚 Char"/>
    <w:basedOn w:val="34"/>
    <w:link w:val="23"/>
    <w:qFormat/>
    <w:locked/>
    <w:uiPriority w:val="99"/>
    <w:rPr>
      <w:sz w:val="18"/>
    </w:rPr>
  </w:style>
  <w:style w:type="character" w:customStyle="1" w:styleId="54">
    <w:name w:val="页眉 Char"/>
    <w:basedOn w:val="34"/>
    <w:link w:val="24"/>
    <w:qFormat/>
    <w:locked/>
    <w:uiPriority w:val="99"/>
    <w:rPr>
      <w:sz w:val="18"/>
    </w:rPr>
  </w:style>
  <w:style w:type="character" w:customStyle="1" w:styleId="55">
    <w:name w:val="正文文本 2 Char"/>
    <w:basedOn w:val="34"/>
    <w:link w:val="27"/>
    <w:semiHidden/>
    <w:qFormat/>
    <w:uiPriority w:val="99"/>
    <w:rPr>
      <w:szCs w:val="24"/>
    </w:rPr>
  </w:style>
  <w:style w:type="character" w:customStyle="1" w:styleId="56">
    <w:name w:val="标题 Char"/>
    <w:basedOn w:val="34"/>
    <w:link w:val="29"/>
    <w:qFormat/>
    <w:uiPriority w:val="10"/>
    <w:rPr>
      <w:rFonts w:asciiTheme="majorHAnsi" w:hAnsiTheme="majorHAnsi" w:cstheme="majorBidi"/>
      <w:b/>
      <w:bCs/>
      <w:sz w:val="32"/>
      <w:szCs w:val="32"/>
    </w:rPr>
  </w:style>
  <w:style w:type="character" w:customStyle="1" w:styleId="57">
    <w:name w:val="批注主题 Char"/>
    <w:basedOn w:val="45"/>
    <w:link w:val="30"/>
    <w:qFormat/>
    <w:locked/>
    <w:uiPriority w:val="99"/>
    <w:rPr>
      <w:b/>
    </w:rPr>
  </w:style>
  <w:style w:type="character" w:customStyle="1" w:styleId="58">
    <w:name w:val="正文首行缩进 2 Char"/>
    <w:basedOn w:val="49"/>
    <w:link w:val="31"/>
    <w:semiHidden/>
    <w:qFormat/>
    <w:uiPriority w:val="99"/>
    <w:rPr>
      <w:szCs w:val="24"/>
    </w:rPr>
  </w:style>
  <w:style w:type="paragraph" w:customStyle="1" w:styleId="59">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6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1">
    <w:name w:val="表格文字"/>
    <w:basedOn w:val="1"/>
    <w:qFormat/>
    <w:uiPriority w:val="99"/>
    <w:pPr>
      <w:spacing w:before="25" w:after="25"/>
      <w:jc w:val="left"/>
    </w:pPr>
    <w:rPr>
      <w:bCs/>
      <w:spacing w:val="10"/>
      <w:kern w:val="0"/>
      <w:sz w:val="24"/>
    </w:rPr>
  </w:style>
  <w:style w:type="character" w:customStyle="1" w:styleId="62">
    <w:name w:val="标题 1 字符1"/>
    <w:qFormat/>
    <w:uiPriority w:val="99"/>
    <w:rPr>
      <w:b/>
      <w:kern w:val="44"/>
      <w:sz w:val="44"/>
    </w:rPr>
  </w:style>
  <w:style w:type="character" w:customStyle="1" w:styleId="63">
    <w:name w:val="textcontents"/>
    <w:qFormat/>
    <w:uiPriority w:val="99"/>
  </w:style>
  <w:style w:type="character" w:customStyle="1" w:styleId="64">
    <w:name w:val="批注文字 Char"/>
    <w:qFormat/>
    <w:uiPriority w:val="99"/>
    <w:rPr>
      <w:rFonts w:ascii="Times New Roman" w:hAnsi="Times New Roman"/>
      <w:kern w:val="2"/>
      <w:sz w:val="24"/>
    </w:rPr>
  </w:style>
  <w:style w:type="character" w:customStyle="1" w:styleId="65">
    <w:name w:val="纯文本 字符"/>
    <w:qFormat/>
    <w:uiPriority w:val="99"/>
    <w:rPr>
      <w:rFonts w:ascii="宋体" w:hAnsi="Courier New" w:eastAsia="宋体"/>
      <w:sz w:val="21"/>
    </w:rPr>
  </w:style>
  <w:style w:type="character" w:customStyle="1" w:styleId="66">
    <w:name w:val="纯文本 Char"/>
    <w:qFormat/>
    <w:uiPriority w:val="99"/>
    <w:rPr>
      <w:rFonts w:ascii="宋体" w:hAnsi="Courier New" w:eastAsia="宋体"/>
      <w:sz w:val="21"/>
    </w:rPr>
  </w:style>
  <w:style w:type="character" w:customStyle="1" w:styleId="67">
    <w:name w:val="纯文本 字符2"/>
    <w:qFormat/>
    <w:uiPriority w:val="99"/>
    <w:rPr>
      <w:rFonts w:ascii="宋体" w:hAnsi="Courier New" w:eastAsia="宋体"/>
      <w:sz w:val="21"/>
    </w:rPr>
  </w:style>
  <w:style w:type="character" w:customStyle="1" w:styleId="68">
    <w:name w:val="批注文字 字符1"/>
    <w:qFormat/>
    <w:uiPriority w:val="99"/>
    <w:rPr>
      <w:rFonts w:ascii="Times New Roman" w:hAnsi="Times New Roman"/>
      <w:kern w:val="2"/>
      <w:sz w:val="24"/>
    </w:rPr>
  </w:style>
  <w:style w:type="character" w:customStyle="1" w:styleId="69">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0">
    <w:name w:val="纯文本 字符1"/>
    <w:qFormat/>
    <w:uiPriority w:val="99"/>
    <w:rPr>
      <w:rFonts w:ascii="宋体" w:hAnsi="Courier New"/>
    </w:rPr>
  </w:style>
  <w:style w:type="character" w:customStyle="1" w:styleId="71">
    <w:name w:val="正文文本 Char"/>
    <w:qFormat/>
    <w:uiPriority w:val="99"/>
    <w:rPr>
      <w:rFonts w:ascii="Times New Roman" w:hAnsi="Times New Roman"/>
      <w:kern w:val="2"/>
      <w:sz w:val="24"/>
    </w:rPr>
  </w:style>
  <w:style w:type="character" w:customStyle="1" w:styleId="72">
    <w:name w:val="批注文字 字符"/>
    <w:qFormat/>
    <w:uiPriority w:val="99"/>
    <w:rPr>
      <w:rFonts w:ascii="Times New Roman" w:hAnsi="Times New Roman"/>
      <w:kern w:val="2"/>
      <w:sz w:val="24"/>
    </w:rPr>
  </w:style>
  <w:style w:type="character" w:customStyle="1" w:styleId="73">
    <w:name w:val="标题 2 Char"/>
    <w:qFormat/>
    <w:uiPriority w:val="99"/>
    <w:rPr>
      <w:rFonts w:ascii="Cambria" w:hAnsi="Cambria" w:eastAsia="宋体"/>
      <w:b/>
      <w:kern w:val="2"/>
      <w:sz w:val="32"/>
    </w:rPr>
  </w:style>
  <w:style w:type="character" w:customStyle="1" w:styleId="74">
    <w:name w:val="标题 8 Char"/>
    <w:qFormat/>
    <w:uiPriority w:val="99"/>
    <w:rPr>
      <w:rFonts w:ascii="Arial" w:hAnsi="Arial" w:eastAsia="黑体"/>
      <w:kern w:val="2"/>
      <w:sz w:val="24"/>
    </w:rPr>
  </w:style>
  <w:style w:type="character" w:customStyle="1" w:styleId="75">
    <w:name w:val="apple-style-span"/>
    <w:qFormat/>
    <w:uiPriority w:val="99"/>
  </w:style>
  <w:style w:type="paragraph" w:customStyle="1" w:styleId="76">
    <w:name w:val="默认段落字体 Para Char Char Char Char Char Char Char Char Char1 Char Char Char Char"/>
    <w:basedOn w:val="1"/>
    <w:qFormat/>
    <w:uiPriority w:val="99"/>
    <w:rPr>
      <w:rFonts w:ascii="Tahoma" w:hAnsi="Tahoma"/>
      <w:sz w:val="24"/>
      <w:szCs w:val="20"/>
    </w:rPr>
  </w:style>
  <w:style w:type="paragraph" w:customStyle="1" w:styleId="7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78">
    <w:name w:val="List Paragraph"/>
    <w:basedOn w:val="1"/>
    <w:qFormat/>
    <w:uiPriority w:val="99"/>
    <w:pPr>
      <w:ind w:firstLine="420" w:firstLineChars="200"/>
    </w:pPr>
  </w:style>
  <w:style w:type="paragraph" w:customStyle="1" w:styleId="79">
    <w:name w:val="Table Paragraph"/>
    <w:basedOn w:val="1"/>
    <w:qFormat/>
    <w:uiPriority w:val="99"/>
    <w:pPr>
      <w:jc w:val="left"/>
    </w:pPr>
    <w:rPr>
      <w:rFonts w:ascii="Calibri" w:hAnsi="Calibri"/>
      <w:kern w:val="0"/>
      <w:sz w:val="22"/>
      <w:szCs w:val="22"/>
      <w:lang w:eastAsia="en-US"/>
    </w:rPr>
  </w:style>
  <w:style w:type="character" w:customStyle="1" w:styleId="80">
    <w:name w:val="正文文本 字符"/>
    <w:qFormat/>
    <w:uiPriority w:val="99"/>
    <w:rPr>
      <w:rFonts w:ascii="Times New Roman" w:hAnsi="Times New Roman"/>
      <w:kern w:val="2"/>
      <w:sz w:val="24"/>
    </w:rPr>
  </w:style>
  <w:style w:type="character" w:customStyle="1" w:styleId="81">
    <w:name w:val="批注文字 Char2"/>
    <w:qFormat/>
    <w:uiPriority w:val="99"/>
    <w:rPr>
      <w:rFonts w:ascii="Times New Roman" w:hAnsi="Times New Roman"/>
      <w:kern w:val="2"/>
      <w:sz w:val="24"/>
    </w:rPr>
  </w:style>
  <w:style w:type="paragraph" w:customStyle="1" w:styleId="82">
    <w:name w:val="样式 正文缩进正文（首行缩进两字）首行缩进两字 + 首行缩进:  2 字符1"/>
    <w:basedOn w:val="7"/>
    <w:qFormat/>
    <w:uiPriority w:val="99"/>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83">
    <w:name w:val="列出段落3"/>
    <w:basedOn w:val="1"/>
    <w:qFormat/>
    <w:uiPriority w:val="99"/>
    <w:pPr>
      <w:widowControl/>
      <w:spacing w:line="400" w:lineRule="exact"/>
      <w:ind w:firstLine="420" w:firstLineChars="200"/>
      <w:jc w:val="left"/>
    </w:pPr>
  </w:style>
  <w:style w:type="paragraph" w:customStyle="1" w:styleId="84">
    <w:name w:val="正文文本2"/>
    <w:basedOn w:val="1"/>
    <w:qFormat/>
    <w:uiPriority w:val="99"/>
    <w:pPr>
      <w:shd w:val="clear" w:color="auto" w:fill="FFFFFF"/>
      <w:spacing w:after="300" w:line="240" w:lineRule="atLeast"/>
    </w:pPr>
    <w:rPr>
      <w:rFonts w:ascii="MingLiUfalt" w:hAnsi="MingLiUfalt" w:eastAsia="MingLiUfalt"/>
      <w:color w:val="000000"/>
      <w:kern w:val="0"/>
      <w:sz w:val="22"/>
      <w:szCs w:val="22"/>
      <w:shd w:val="clear" w:color="auto" w:fill="FFFFFF"/>
      <w:lang w:val="zh-TW"/>
    </w:rPr>
  </w:style>
  <w:style w:type="paragraph" w:customStyle="1" w:styleId="85">
    <w:name w:val="列出段落1"/>
    <w:qFormat/>
    <w:uiPriority w:val="99"/>
    <w:pPr>
      <w:ind w:firstLine="200" w:firstLineChars="200"/>
    </w:pPr>
    <w:rPr>
      <w:rFonts w:ascii="Calibri" w:hAnsi="Calibri" w:eastAsia="宋体" w:cs="Times New Roman"/>
      <w:kern w:val="2"/>
      <w:sz w:val="21"/>
      <w:szCs w:val="22"/>
      <w:lang w:val="en-US" w:eastAsia="zh-CN" w:bidi="ar-SA"/>
    </w:rPr>
  </w:style>
  <w:style w:type="table" w:customStyle="1" w:styleId="86">
    <w:name w:val="Table Normal1"/>
    <w:qFormat/>
    <w:uiPriority w:val="99"/>
    <w:tblPr>
      <w:tblCellMar>
        <w:top w:w="0" w:type="dxa"/>
        <w:left w:w="0" w:type="dxa"/>
        <w:bottom w:w="0" w:type="dxa"/>
        <w:right w:w="0" w:type="dxa"/>
      </w:tblCellMar>
    </w:tblPr>
  </w:style>
  <w:style w:type="paragraph" w:customStyle="1" w:styleId="87">
    <w:name w:val="正文文本首行缩进1"/>
    <w:basedOn w:val="15"/>
    <w:qFormat/>
    <w:uiPriority w:val="99"/>
    <w:pPr>
      <w:ind w:firstLine="100" w:firstLineChars="100"/>
    </w:pPr>
  </w:style>
  <w:style w:type="paragraph" w:customStyle="1" w:styleId="88">
    <w:name w:val="Table Text"/>
    <w:basedOn w:val="1"/>
    <w:semiHidden/>
    <w:qFormat/>
    <w:uiPriority w:val="99"/>
    <w:rPr>
      <w:rFonts w:ascii="宋体" w:hAnsi="宋体" w:cs="宋体"/>
      <w:sz w:val="24"/>
      <w:lang w:eastAsia="en-US"/>
    </w:rPr>
  </w:style>
  <w:style w:type="table" w:customStyle="1" w:styleId="89">
    <w:name w:val="网格型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
    <w:name w:val="正文缩进2"/>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91">
    <w:name w:val="正文@中勤招标"/>
    <w:basedOn w:val="1"/>
    <w:qFormat/>
    <w:uiPriority w:val="99"/>
    <w:pPr>
      <w:adjustRightInd w:val="0"/>
      <w:spacing w:line="360" w:lineRule="auto"/>
      <w:ind w:firstLine="200" w:firstLineChars="200"/>
    </w:pPr>
    <w:rPr>
      <w:rFonts w:ascii="宋体" w:hAnsi="宋体"/>
      <w:sz w:val="24"/>
      <w:szCs w:val="21"/>
    </w:rPr>
  </w:style>
  <w:style w:type="paragraph" w:customStyle="1" w:styleId="92">
    <w:name w:val="小标题"/>
    <w:basedOn w:val="1"/>
    <w:qFormat/>
    <w:uiPriority w:val="99"/>
    <w:pPr>
      <w:numPr>
        <w:ilvl w:val="0"/>
        <w:numId w:val="1"/>
      </w:numPr>
      <w:spacing w:line="360" w:lineRule="auto"/>
    </w:pPr>
    <w:rPr>
      <w:sz w:val="24"/>
    </w:rPr>
  </w:style>
  <w:style w:type="paragraph" w:customStyle="1" w:styleId="93">
    <w:name w:val="BodyText"/>
    <w:basedOn w:val="1"/>
    <w:qFormat/>
    <w:uiPriority w:val="99"/>
    <w:pPr>
      <w:spacing w:line="380" w:lineRule="exact"/>
      <w:textAlignment w:val="baseline"/>
    </w:pPr>
    <w:rPr>
      <w:kern w:val="0"/>
      <w:sz w:val="24"/>
    </w:rPr>
  </w:style>
  <w:style w:type="character" w:customStyle="1" w:styleId="94">
    <w:name w:val="font11"/>
    <w:basedOn w:val="34"/>
    <w:qFormat/>
    <w:uiPriority w:val="99"/>
    <w:rPr>
      <w:rFonts w:ascii="宋体" w:hAnsi="宋体" w:eastAsia="宋体" w:cs="宋体"/>
      <w:b/>
      <w:bCs/>
      <w:color w:val="000000"/>
      <w:sz w:val="20"/>
      <w:szCs w:val="20"/>
      <w:u w:val="none"/>
    </w:rPr>
  </w:style>
  <w:style w:type="character" w:customStyle="1" w:styleId="95">
    <w:name w:val="font21"/>
    <w:basedOn w:val="34"/>
    <w:qFormat/>
    <w:uiPriority w:val="99"/>
    <w:rPr>
      <w:rFonts w:ascii="宋体" w:hAnsi="宋体" w:eastAsia="宋体" w:cs="宋体"/>
      <w:color w:val="000000"/>
      <w:sz w:val="20"/>
      <w:szCs w:val="20"/>
      <w:u w:val="none"/>
    </w:rPr>
  </w:style>
  <w:style w:type="character" w:customStyle="1" w:styleId="96">
    <w:name w:val="font51"/>
    <w:basedOn w:val="34"/>
    <w:qFormat/>
    <w:uiPriority w:val="99"/>
    <w:rPr>
      <w:rFonts w:ascii="Times New Roman" w:hAnsi="Times New Roman" w:cs="Times New Roman"/>
      <w:color w:val="000000"/>
      <w:sz w:val="20"/>
      <w:szCs w:val="20"/>
      <w:u w:val="none"/>
    </w:rPr>
  </w:style>
  <w:style w:type="character" w:customStyle="1" w:styleId="97">
    <w:name w:val="font41"/>
    <w:basedOn w:val="34"/>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85</Pages>
  <Words>16648</Words>
  <Characters>17975</Characters>
  <Lines>337</Lines>
  <Paragraphs>95</Paragraphs>
  <TotalTime>58</TotalTime>
  <ScaleCrop>false</ScaleCrop>
  <LinksUpToDate>false</LinksUpToDate>
  <CharactersWithSpaces>18317</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六楼</cp:lastModifiedBy>
  <cp:lastPrinted>2025-07-07T12:16:47Z</cp:lastPrinted>
  <dcterms:modified xsi:type="dcterms:W3CDTF">2025-07-07T14:14:30Z</dcterms:modified>
  <dc:title>竞争性谈判文件规范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09BC406E974346C2806F39AD1DCC787D_13</vt:lpwstr>
  </property>
  <property fmtid="{D5CDD505-2E9C-101B-9397-08002B2CF9AE}" pid="4" name="KSOTemplateDocerSaveRecord">
    <vt:lpwstr>eyJoZGlkIjoiMjhkMThkOGYwZGZlODY3MzVhNDkyMTVhYzJkNDQxMWMiLCJ1c2VySWQiOiI2MDk4OTI4OTgifQ==</vt:lpwstr>
  </property>
</Properties>
</file>