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73EA">
      <w:pPr>
        <w:pStyle w:val="18"/>
        <w:jc w:val="center"/>
        <w:rPr>
          <w:rFonts w:hAnsi="宋体" w:cs="宋体"/>
          <w:color w:val="auto"/>
          <w:spacing w:val="30"/>
          <w:kern w:val="52"/>
          <w:sz w:val="64"/>
          <w:szCs w:val="64"/>
          <w:highlight w:val="none"/>
        </w:rPr>
      </w:pPr>
      <w:r>
        <w:rPr>
          <w:rFonts w:hAnsi="宋体" w:cs="宋体"/>
          <w:color w:val="auto"/>
          <w:highlight w:val="none"/>
        </w:rPr>
        <w:drawing>
          <wp:inline distT="0" distB="0" distL="114300" distR="114300">
            <wp:extent cx="1028700" cy="962025"/>
            <wp:effectExtent l="0" t="0" r="0" b="952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a:stretch>
                      <a:fillRect/>
                    </a:stretch>
                  </pic:blipFill>
                  <pic:spPr>
                    <a:xfrm>
                      <a:off x="0" y="0"/>
                      <a:ext cx="1028700" cy="962025"/>
                    </a:xfrm>
                    <a:prstGeom prst="rect">
                      <a:avLst/>
                    </a:prstGeom>
                    <a:noFill/>
                    <a:ln>
                      <a:noFill/>
                    </a:ln>
                  </pic:spPr>
                </pic:pic>
              </a:graphicData>
            </a:graphic>
          </wp:inline>
        </w:drawing>
      </w:r>
    </w:p>
    <w:p w14:paraId="1E14EFC4">
      <w:pPr>
        <w:pStyle w:val="18"/>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6B6854A2">
      <w:pPr>
        <w:pStyle w:val="18"/>
        <w:jc w:val="center"/>
        <w:rPr>
          <w:rFonts w:hAnsi="宋体" w:cs="宋体"/>
          <w:b/>
          <w:color w:val="auto"/>
          <w:sz w:val="44"/>
          <w:szCs w:val="44"/>
          <w:highlight w:val="none"/>
        </w:rPr>
      </w:pPr>
      <w:r>
        <w:rPr>
          <w:color w:val="auto"/>
          <w:highlight w:val="none"/>
        </w:rPr>
        <w:pict>
          <v:line id="_x0000_s1026" o:spid="_x0000_s1026" o:spt="20" style="position:absolute;left:0pt;margin-left:9pt;margin-top:7.8pt;height:0pt;width:432pt;z-index:251663360;mso-width-relative:page;mso-height-relative:page;"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path arrowok="t"/>
            <v:fill focussize="0,0"/>
            <v:stroke weight="1pt"/>
            <v:imagedata o:title=""/>
            <o:lock v:ext="edit"/>
          </v:line>
        </w:pict>
      </w:r>
    </w:p>
    <w:p w14:paraId="2FF3D840">
      <w:pPr>
        <w:snapToGrid w:val="0"/>
        <w:spacing w:beforeLines="50" w:line="360" w:lineRule="auto"/>
        <w:jc w:val="center"/>
        <w:rPr>
          <w:rFonts w:ascii="宋体" w:cs="宋体"/>
          <w:color w:val="auto"/>
          <w:sz w:val="120"/>
          <w:szCs w:val="120"/>
          <w:highlight w:val="none"/>
        </w:rPr>
      </w:pPr>
      <w:r>
        <w:rPr>
          <w:rFonts w:hint="eastAsia" w:ascii="宋体" w:hAnsi="宋体" w:cs="宋体"/>
          <w:color w:val="auto"/>
          <w:sz w:val="120"/>
          <w:szCs w:val="120"/>
          <w:highlight w:val="none"/>
        </w:rPr>
        <w:t>竞争性磋商文件</w:t>
      </w:r>
    </w:p>
    <w:p w14:paraId="18BE9B91">
      <w:pPr>
        <w:snapToGrid w:val="0"/>
        <w:spacing w:line="360" w:lineRule="auto"/>
        <w:rPr>
          <w:rFonts w:ascii="宋体" w:cs="宋体"/>
          <w:b/>
          <w:color w:val="auto"/>
          <w:sz w:val="48"/>
          <w:szCs w:val="48"/>
          <w:highlight w:val="none"/>
        </w:rPr>
      </w:pPr>
    </w:p>
    <w:p w14:paraId="1FB40409">
      <w:pPr>
        <w:pStyle w:val="18"/>
        <w:snapToGrid w:val="0"/>
        <w:spacing w:line="360" w:lineRule="auto"/>
        <w:ind w:firstLine="1205" w:firstLineChars="400"/>
        <w:rPr>
          <w:rFonts w:hAnsi="宋体" w:cs="宋体"/>
          <w:b/>
          <w:bCs/>
          <w:color w:val="auto"/>
          <w:sz w:val="30"/>
          <w:szCs w:val="30"/>
          <w:highlight w:val="none"/>
        </w:rPr>
      </w:pPr>
    </w:p>
    <w:p w14:paraId="318324D2">
      <w:pPr>
        <w:pStyle w:val="18"/>
        <w:snapToGrid w:val="0"/>
        <w:spacing w:line="360" w:lineRule="auto"/>
        <w:ind w:left="2699" w:leftChars="568"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大数据平台、三农影音图片库、农业馆、智慧农田平台、内控平台运维，农业宣传、项目监理、项目验收咨询及审计、部署服务前期咨询、运维服务前期咨询服务项目</w:t>
      </w:r>
    </w:p>
    <w:p w14:paraId="1352B312">
      <w:pPr>
        <w:pStyle w:val="18"/>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GXZC2025-C3-002059-GTZB</w:t>
      </w:r>
    </w:p>
    <w:p w14:paraId="7A3C3A9C">
      <w:pPr>
        <w:snapToGrid w:val="0"/>
        <w:spacing w:line="360" w:lineRule="auto"/>
        <w:rPr>
          <w:rFonts w:ascii="宋体" w:cs="宋体"/>
          <w:color w:val="auto"/>
          <w:sz w:val="30"/>
          <w:szCs w:val="72"/>
          <w:highlight w:val="none"/>
        </w:rPr>
      </w:pPr>
    </w:p>
    <w:p w14:paraId="7BA61F93">
      <w:pPr>
        <w:pStyle w:val="18"/>
        <w:snapToGrid w:val="0"/>
        <w:spacing w:line="360" w:lineRule="auto"/>
        <w:ind w:firstLine="1431" w:firstLineChars="500"/>
        <w:rPr>
          <w:rFonts w:hAnsi="宋体" w:cs="宋体"/>
          <w:b/>
          <w:bCs/>
          <w:color w:val="auto"/>
          <w:w w:val="95"/>
          <w:sz w:val="30"/>
          <w:szCs w:val="30"/>
          <w:highlight w:val="none"/>
        </w:rPr>
      </w:pPr>
    </w:p>
    <w:p w14:paraId="0F6D4F52">
      <w:pPr>
        <w:pStyle w:val="18"/>
        <w:snapToGrid w:val="0"/>
        <w:spacing w:line="360" w:lineRule="auto"/>
        <w:ind w:firstLine="1431" w:firstLineChars="500"/>
        <w:rPr>
          <w:rFonts w:hAnsi="宋体" w:cs="宋体"/>
          <w:b/>
          <w:bCs/>
          <w:color w:val="auto"/>
          <w:w w:val="95"/>
          <w:sz w:val="30"/>
          <w:szCs w:val="30"/>
          <w:highlight w:val="none"/>
        </w:rPr>
      </w:pPr>
    </w:p>
    <w:p w14:paraId="33B91EF7">
      <w:pPr>
        <w:pStyle w:val="18"/>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rPr>
        <w:t>广西壮族自治区农业信息中心</w:t>
      </w:r>
    </w:p>
    <w:p w14:paraId="012EB180">
      <w:pPr>
        <w:pStyle w:val="18"/>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218E17E8">
      <w:pPr>
        <w:pStyle w:val="18"/>
        <w:snapToGrid w:val="0"/>
        <w:spacing w:line="360" w:lineRule="auto"/>
        <w:ind w:left="420" w:firstLine="841" w:firstLineChars="294"/>
        <w:rPr>
          <w:rFonts w:hAnsi="宋体" w:cs="宋体"/>
          <w:b/>
          <w:bCs/>
          <w:color w:val="auto"/>
          <w:w w:val="95"/>
          <w:sz w:val="30"/>
          <w:szCs w:val="30"/>
          <w:highlight w:val="none"/>
        </w:rPr>
      </w:pPr>
      <w:r>
        <w:rPr>
          <w:rFonts w:hAnsi="宋体" w:cs="宋体"/>
          <w:b/>
          <w:bCs/>
          <w:color w:val="auto"/>
          <w:w w:val="95"/>
          <w:sz w:val="30"/>
          <w:szCs w:val="30"/>
          <w:highlight w:val="none"/>
        </w:rPr>
        <w:t xml:space="preserve">                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p>
    <w:p w14:paraId="44D0145B">
      <w:pPr>
        <w:tabs>
          <w:tab w:val="left" w:pos="1080"/>
        </w:tabs>
        <w:spacing w:line="360" w:lineRule="auto"/>
        <w:ind w:firstLine="883" w:firstLineChars="200"/>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2B5E5236">
      <w:pPr>
        <w:pStyle w:val="61"/>
        <w:rPr>
          <w:color w:val="auto"/>
          <w:highlight w:val="none"/>
        </w:rPr>
      </w:pPr>
    </w:p>
    <w:p w14:paraId="0B25DB93">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2BADACE3">
      <w:pPr>
        <w:spacing w:line="400" w:lineRule="exact"/>
        <w:jc w:val="center"/>
        <w:rPr>
          <w:rFonts w:ascii="宋体" w:cs="宋体"/>
          <w:b/>
          <w:color w:val="auto"/>
          <w:sz w:val="44"/>
          <w:szCs w:val="44"/>
          <w:highlight w:val="none"/>
        </w:rPr>
      </w:pPr>
    </w:p>
    <w:p w14:paraId="40A23261">
      <w:pPr>
        <w:pStyle w:val="23"/>
        <w:tabs>
          <w:tab w:val="right" w:leader="dot" w:pos="8879"/>
        </w:tabs>
        <w:rPr>
          <w:rFonts w:asci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竞争性磋商公告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_Toc24302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673001FA">
      <w:pPr>
        <w:pStyle w:val="23"/>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_Toc23903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7</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245281EA">
      <w:pPr>
        <w:pStyle w:val="23"/>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_Toc8379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24</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0180F8">
      <w:pPr>
        <w:pStyle w:val="23"/>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评审程序、评审方法和评审标准</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_Toc9102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58</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374F967">
      <w:pPr>
        <w:pStyle w:val="23"/>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_Toc22926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95</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0469717">
      <w:pPr>
        <w:pStyle w:val="23"/>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合同文本</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_Toc19603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120</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8517579">
      <w:pPr>
        <w:pStyle w:val="25"/>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14:paraId="02B5F08F">
      <w:pPr>
        <w:spacing w:line="400" w:lineRule="exact"/>
        <w:jc w:val="left"/>
        <w:rPr>
          <w:rFonts w:ascii="宋体" w:cs="宋体"/>
          <w:b/>
          <w:color w:val="auto"/>
          <w:sz w:val="32"/>
          <w:szCs w:val="32"/>
          <w:highlight w:val="none"/>
        </w:rPr>
      </w:pPr>
    </w:p>
    <w:p w14:paraId="79F6B99C">
      <w:pPr>
        <w:spacing w:line="400" w:lineRule="exact"/>
        <w:jc w:val="center"/>
        <w:rPr>
          <w:rFonts w:ascii="宋体" w:cs="宋体"/>
          <w:b/>
          <w:color w:val="auto"/>
          <w:sz w:val="32"/>
          <w:szCs w:val="32"/>
          <w:highlight w:val="none"/>
        </w:rPr>
      </w:pPr>
    </w:p>
    <w:p w14:paraId="53ECBD73">
      <w:pPr>
        <w:spacing w:line="400" w:lineRule="exact"/>
        <w:jc w:val="center"/>
        <w:rPr>
          <w:rFonts w:ascii="宋体" w:cs="宋体"/>
          <w:b/>
          <w:color w:val="auto"/>
          <w:sz w:val="32"/>
          <w:szCs w:val="32"/>
          <w:highlight w:val="none"/>
        </w:rPr>
      </w:pPr>
    </w:p>
    <w:p w14:paraId="17D9A644">
      <w:pPr>
        <w:spacing w:line="400" w:lineRule="exact"/>
        <w:jc w:val="center"/>
        <w:rPr>
          <w:rFonts w:ascii="宋体" w:cs="宋体"/>
          <w:b/>
          <w:color w:val="auto"/>
          <w:sz w:val="32"/>
          <w:szCs w:val="32"/>
          <w:highlight w:val="none"/>
        </w:rPr>
      </w:pPr>
    </w:p>
    <w:p w14:paraId="43D47C4C">
      <w:pPr>
        <w:spacing w:line="400" w:lineRule="exact"/>
        <w:rPr>
          <w:rFonts w:ascii="宋体" w:cs="宋体"/>
          <w:b/>
          <w:color w:val="auto"/>
          <w:sz w:val="32"/>
          <w:szCs w:val="32"/>
          <w:highlight w:val="none"/>
        </w:rPr>
      </w:pPr>
    </w:p>
    <w:p w14:paraId="43FB7931">
      <w:pPr>
        <w:rPr>
          <w:color w:val="auto"/>
          <w:highlight w:val="none"/>
        </w:rPr>
      </w:pPr>
    </w:p>
    <w:p w14:paraId="018BC4B9">
      <w:pPr>
        <w:rPr>
          <w:color w:val="auto"/>
          <w:highlight w:val="none"/>
        </w:rPr>
      </w:pPr>
    </w:p>
    <w:p w14:paraId="3D3D8750">
      <w:pPr>
        <w:rPr>
          <w:color w:val="auto"/>
          <w:highlight w:val="none"/>
        </w:rPr>
      </w:pPr>
    </w:p>
    <w:p w14:paraId="73717CA6">
      <w:pPr>
        <w:rPr>
          <w:color w:val="auto"/>
          <w:highlight w:val="none"/>
        </w:rPr>
      </w:pPr>
    </w:p>
    <w:p w14:paraId="200F86AC">
      <w:pPr>
        <w:rPr>
          <w:color w:val="auto"/>
          <w:highlight w:val="none"/>
        </w:rPr>
      </w:pPr>
    </w:p>
    <w:p w14:paraId="2055BBD6">
      <w:pPr>
        <w:rPr>
          <w:color w:val="auto"/>
          <w:highlight w:val="none"/>
        </w:rPr>
      </w:pPr>
    </w:p>
    <w:p w14:paraId="5DDCBFE5">
      <w:pPr>
        <w:rPr>
          <w:color w:val="auto"/>
          <w:highlight w:val="none"/>
        </w:rPr>
      </w:pPr>
    </w:p>
    <w:p w14:paraId="04A2FC09">
      <w:pPr>
        <w:rPr>
          <w:color w:val="auto"/>
          <w:highlight w:val="none"/>
        </w:rPr>
      </w:pPr>
    </w:p>
    <w:p w14:paraId="7E518CCF">
      <w:pPr>
        <w:rPr>
          <w:color w:val="auto"/>
          <w:highlight w:val="none"/>
        </w:rPr>
      </w:pPr>
    </w:p>
    <w:p w14:paraId="5A7EEA7B">
      <w:pPr>
        <w:rPr>
          <w:color w:val="auto"/>
          <w:highlight w:val="none"/>
        </w:rPr>
      </w:pPr>
    </w:p>
    <w:p w14:paraId="6B3573DC">
      <w:pPr>
        <w:rPr>
          <w:color w:val="auto"/>
          <w:highlight w:val="none"/>
        </w:rPr>
      </w:pPr>
    </w:p>
    <w:p w14:paraId="198527BD">
      <w:pPr>
        <w:rPr>
          <w:color w:val="auto"/>
          <w:highlight w:val="none"/>
        </w:rPr>
      </w:pPr>
    </w:p>
    <w:p w14:paraId="11A140DB">
      <w:pPr>
        <w:rPr>
          <w:color w:val="auto"/>
          <w:highlight w:val="none"/>
        </w:rPr>
      </w:pPr>
    </w:p>
    <w:p w14:paraId="6966DAAE">
      <w:pPr>
        <w:rPr>
          <w:color w:val="auto"/>
          <w:highlight w:val="none"/>
        </w:rPr>
      </w:pPr>
    </w:p>
    <w:p w14:paraId="32099251">
      <w:pPr>
        <w:rPr>
          <w:color w:val="auto"/>
          <w:highlight w:val="none"/>
        </w:rPr>
      </w:pPr>
    </w:p>
    <w:p w14:paraId="2C4B292F">
      <w:pPr>
        <w:rPr>
          <w:color w:val="auto"/>
          <w:highlight w:val="none"/>
        </w:rPr>
      </w:pPr>
    </w:p>
    <w:p w14:paraId="088ED858">
      <w:pPr>
        <w:rPr>
          <w:color w:val="auto"/>
          <w:highlight w:val="none"/>
        </w:rPr>
      </w:pPr>
    </w:p>
    <w:p w14:paraId="62D4DCD0">
      <w:pPr>
        <w:rPr>
          <w:color w:val="auto"/>
          <w:highlight w:val="none"/>
        </w:rPr>
      </w:pPr>
    </w:p>
    <w:p w14:paraId="23EE3B78">
      <w:pPr>
        <w:rPr>
          <w:color w:val="auto"/>
          <w:highlight w:val="none"/>
        </w:rPr>
      </w:pPr>
    </w:p>
    <w:p w14:paraId="638DF4E1">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color w:val="auto"/>
          <w:highlight w:val="none"/>
        </w:rPr>
        <w:tab/>
      </w:r>
    </w:p>
    <w:p w14:paraId="0F4C6546">
      <w:pPr>
        <w:pStyle w:val="2"/>
        <w:bidi w:val="0"/>
        <w:rPr>
          <w:color w:val="auto"/>
          <w:highlight w:val="none"/>
        </w:rPr>
      </w:pPr>
      <w:bookmarkStart w:id="0" w:name="_Toc24302"/>
      <w:bookmarkStart w:id="1" w:name="_Toc24200"/>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End w:id="1"/>
    </w:p>
    <w:p w14:paraId="31740CA6">
      <w:pPr>
        <w:pStyle w:val="18"/>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广西国泰招标咨询有限公司关于</w:t>
      </w:r>
    </w:p>
    <w:p w14:paraId="7236E3AA">
      <w:pPr>
        <w:pStyle w:val="18"/>
        <w:jc w:val="center"/>
        <w:rPr>
          <w:rFonts w:hint="eastAsia" w:ascii="宋体" w:hAnsi="宋体" w:eastAsia="宋体" w:cs="宋体"/>
          <w:b/>
          <w:color w:val="auto"/>
          <w:sz w:val="28"/>
          <w:szCs w:val="28"/>
          <w:highlight w:val="none"/>
        </w:rPr>
      </w:pPr>
      <w:r>
        <w:rPr>
          <w:rFonts w:hint="eastAsia" w:hAnsi="宋体" w:cs="宋体"/>
          <w:b/>
          <w:color w:val="auto"/>
          <w:sz w:val="28"/>
          <w:szCs w:val="28"/>
          <w:highlight w:val="none"/>
          <w:lang w:eastAsia="zh-CN"/>
        </w:rPr>
        <w:t>大数据平台、三农影音图片库、农业馆、智慧农田平台、内控平台运维，农业宣传、项目监理、项目验收咨询及审计、部署服务前期咨询、运维服务前期咨询服务项目</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GXZC2025-C3-002059-GTZB</w:t>
      </w:r>
      <w:r>
        <w:rPr>
          <w:rFonts w:hint="eastAsia" w:ascii="宋体" w:hAnsi="宋体" w:eastAsia="宋体" w:cs="宋体"/>
          <w:b/>
          <w:color w:val="auto"/>
          <w:sz w:val="28"/>
          <w:szCs w:val="28"/>
          <w:highlight w:val="none"/>
        </w:rPr>
        <w:t>）</w:t>
      </w:r>
    </w:p>
    <w:p w14:paraId="57601588">
      <w:pPr>
        <w:pStyle w:val="18"/>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52ECB37F">
      <w:pPr>
        <w:spacing w:line="360" w:lineRule="auto"/>
        <w:jc w:val="center"/>
        <w:rPr>
          <w:rFonts w:ascii="宋体" w:cs="宋体"/>
          <w:color w:val="auto"/>
          <w:szCs w:val="21"/>
          <w:highlight w:val="none"/>
        </w:rPr>
      </w:pPr>
    </w:p>
    <w:p w14:paraId="10393E4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bookmarkStart w:id="2" w:name="_Hlk37430271"/>
      <w:r>
        <w:rPr>
          <w:rFonts w:hint="eastAsia" w:ascii="宋体" w:hAnsi="宋体" w:cs="宋体"/>
          <w:color w:val="auto"/>
          <w:szCs w:val="21"/>
          <w:highlight w:val="none"/>
        </w:rPr>
        <w:t>项目概况</w:t>
      </w:r>
    </w:p>
    <w:p w14:paraId="46872D9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eastAsia="zh-CN"/>
        </w:rPr>
        <w:t>大数据平台、三农影音图片库、农业馆、智慧农田平台、内控平台运维，农业宣传、项目监理、项目验收咨询及审计、部署服务前期咨询、运维服务前期咨询服务项目</w:t>
      </w:r>
      <w:r>
        <w:rPr>
          <w:rFonts w:hint="eastAsia" w:ascii="宋体" w:hAnsi="宋体" w:cs="宋体"/>
          <w:color w:val="auto"/>
          <w:szCs w:val="21"/>
          <w:highlight w:val="none"/>
        </w:rPr>
        <w:t>采购项目的潜在供应商应在广西政府采购云平台（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2025年7月29日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49A9EE17">
      <w:pPr>
        <w:spacing w:line="360" w:lineRule="auto"/>
        <w:ind w:firstLine="354" w:firstLineChars="147"/>
        <w:rPr>
          <w:rFonts w:ascii="宋体" w:cs="宋体"/>
          <w:b/>
          <w:color w:val="auto"/>
          <w:sz w:val="24"/>
          <w:highlight w:val="none"/>
        </w:rPr>
      </w:pPr>
      <w:bookmarkStart w:id="3" w:name="_Toc28359012"/>
      <w:bookmarkStart w:id="4" w:name="_Toc28359089"/>
      <w:bookmarkStart w:id="5" w:name="_Toc35393629"/>
      <w:bookmarkStart w:id="6" w:name="_Toc35393798"/>
      <w:bookmarkStart w:id="7" w:name="_Toc44229878"/>
      <w:bookmarkStart w:id="8" w:name="_Toc71365905"/>
    </w:p>
    <w:bookmarkEnd w:id="3"/>
    <w:bookmarkEnd w:id="4"/>
    <w:bookmarkEnd w:id="5"/>
    <w:bookmarkEnd w:id="6"/>
    <w:bookmarkEnd w:id="7"/>
    <w:bookmarkEnd w:id="8"/>
    <w:p w14:paraId="1DD70ABE">
      <w:pPr>
        <w:spacing w:line="360" w:lineRule="auto"/>
        <w:ind w:firstLine="354" w:firstLineChars="147"/>
        <w:rPr>
          <w:rFonts w:ascii="宋体" w:cs="宋体"/>
          <w:b/>
          <w:color w:val="auto"/>
          <w:sz w:val="24"/>
          <w:highlight w:val="none"/>
        </w:rPr>
      </w:pPr>
      <w:bookmarkStart w:id="9" w:name="_Hlk37429674"/>
      <w:bookmarkStart w:id="10" w:name="_Toc28359018"/>
      <w:bookmarkStart w:id="11" w:name="_Toc44229885"/>
      <w:bookmarkStart w:id="12" w:name="_Toc28359095"/>
      <w:bookmarkStart w:id="13" w:name="_Toc35393636"/>
      <w:bookmarkStart w:id="14" w:name="_Toc35393805"/>
      <w:r>
        <w:rPr>
          <w:rFonts w:hint="eastAsia" w:ascii="宋体" w:hAnsi="宋体" w:cs="宋体"/>
          <w:b/>
          <w:color w:val="auto"/>
          <w:sz w:val="24"/>
          <w:highlight w:val="none"/>
        </w:rPr>
        <w:t>一、项目基本情况</w:t>
      </w:r>
    </w:p>
    <w:p w14:paraId="03DAC24C">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GXZC2025-C3-002059-GTZB</w:t>
      </w:r>
    </w:p>
    <w:p w14:paraId="50D6DA3F">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大数据平台、三农影音图片库、农业馆、智慧农田平台、内控平台运维，农业宣传、项目监理、项目验收咨询及审计、部署服务前期咨询、运维服务前期咨询服务项目</w:t>
      </w:r>
    </w:p>
    <w:p w14:paraId="624C4DF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采购方式：竞争性磋商</w:t>
      </w:r>
    </w:p>
    <w:p w14:paraId="711A8373">
      <w:pPr>
        <w:spacing w:line="360" w:lineRule="auto"/>
        <w:ind w:firstLine="420" w:firstLineChars="200"/>
        <w:rPr>
          <w:rFonts w:hint="eastAsia" w:asci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hint="eastAsia" w:ascii="宋体" w:hAnsi="宋体" w:cs="宋体"/>
          <w:iCs/>
          <w:color w:val="auto"/>
          <w:szCs w:val="21"/>
          <w:highlight w:val="none"/>
          <w:lang w:val="en-US" w:eastAsia="zh-CN"/>
        </w:rPr>
        <w:t>155.00</w:t>
      </w:r>
      <w:r>
        <w:rPr>
          <w:rFonts w:hint="eastAsia" w:ascii="宋体" w:hAnsi="宋体" w:cs="宋体"/>
          <w:iCs/>
          <w:color w:val="auto"/>
          <w:szCs w:val="21"/>
          <w:highlight w:val="none"/>
        </w:rPr>
        <w:t>万元</w:t>
      </w:r>
      <w:r>
        <w:rPr>
          <w:rFonts w:hint="eastAsia" w:ascii="宋体" w:hAnsi="宋体"/>
          <w:color w:val="auto"/>
          <w:highlight w:val="none"/>
        </w:rPr>
        <w:t>，其中：</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hint="eastAsia" w:ascii="宋体" w:hAnsi="宋体"/>
          <w:color w:val="auto"/>
          <w:szCs w:val="21"/>
          <w:highlight w:val="none"/>
          <w:lang w:val="en-US" w:eastAsia="zh-CN"/>
        </w:rPr>
        <w:t>55.00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hint="eastAsia" w:ascii="宋体" w:hAnsi="宋体"/>
          <w:color w:val="auto"/>
          <w:szCs w:val="21"/>
          <w:highlight w:val="none"/>
          <w:lang w:val="en-US" w:eastAsia="zh-CN"/>
        </w:rPr>
        <w:t>18.56</w:t>
      </w:r>
      <w:r>
        <w:rPr>
          <w:rFonts w:hint="eastAsia" w:ascii="宋体" w:hAnsi="宋体"/>
          <w:color w:val="auto"/>
          <w:szCs w:val="21"/>
          <w:highlight w:val="none"/>
        </w:rPr>
        <w:t>万元；分标</w:t>
      </w:r>
      <w:r>
        <w:rPr>
          <w:rFonts w:hint="eastAsia" w:ascii="宋体" w:hAnsi="宋体"/>
          <w:color w:val="auto"/>
          <w:szCs w:val="21"/>
          <w:highlight w:val="none"/>
          <w:lang w:val="en-US" w:eastAsia="zh-CN"/>
        </w:rPr>
        <w:t>3</w:t>
      </w:r>
      <w:r>
        <w:rPr>
          <w:rFonts w:hint="eastAsia" w:ascii="宋体" w:hAnsi="宋体"/>
          <w:color w:val="auto"/>
          <w:szCs w:val="21"/>
          <w:highlight w:val="none"/>
        </w:rPr>
        <w:t>为</w:t>
      </w:r>
      <w:r>
        <w:rPr>
          <w:rFonts w:hint="eastAsia" w:ascii="宋体" w:hAnsi="宋体"/>
          <w:color w:val="auto"/>
          <w:szCs w:val="21"/>
          <w:highlight w:val="none"/>
          <w:lang w:val="en-US" w:eastAsia="zh-CN"/>
        </w:rPr>
        <w:t>9.96</w:t>
      </w:r>
      <w:r>
        <w:rPr>
          <w:rFonts w:hint="eastAsia" w:ascii="宋体" w:hAnsi="宋体"/>
          <w:color w:val="auto"/>
          <w:szCs w:val="21"/>
          <w:highlight w:val="none"/>
        </w:rPr>
        <w:t>万元；分标</w:t>
      </w:r>
      <w:r>
        <w:rPr>
          <w:rFonts w:hint="eastAsia" w:ascii="宋体" w:hAnsi="宋体"/>
          <w:color w:val="auto"/>
          <w:szCs w:val="21"/>
          <w:highlight w:val="none"/>
          <w:lang w:val="en-US" w:eastAsia="zh-CN"/>
        </w:rPr>
        <w:t>4</w:t>
      </w:r>
      <w:r>
        <w:rPr>
          <w:rFonts w:hint="eastAsia" w:ascii="宋体" w:hAnsi="宋体"/>
          <w:color w:val="auto"/>
          <w:szCs w:val="21"/>
          <w:highlight w:val="none"/>
        </w:rPr>
        <w:t>为</w:t>
      </w:r>
      <w:r>
        <w:rPr>
          <w:rFonts w:hint="eastAsia" w:ascii="宋体" w:hAnsi="宋体"/>
          <w:color w:val="auto"/>
          <w:szCs w:val="21"/>
          <w:highlight w:val="none"/>
          <w:lang w:val="en-US" w:eastAsia="zh-CN"/>
        </w:rPr>
        <w:t>8.39</w:t>
      </w:r>
      <w:r>
        <w:rPr>
          <w:rFonts w:hint="eastAsia" w:ascii="宋体" w:hAnsi="宋体"/>
          <w:color w:val="auto"/>
          <w:szCs w:val="21"/>
          <w:highlight w:val="none"/>
        </w:rPr>
        <w:t>万元；分标</w:t>
      </w:r>
      <w:r>
        <w:rPr>
          <w:rFonts w:hint="eastAsia" w:ascii="宋体" w:hAnsi="宋体"/>
          <w:color w:val="auto"/>
          <w:szCs w:val="21"/>
          <w:highlight w:val="none"/>
          <w:lang w:val="en-US" w:eastAsia="zh-CN"/>
        </w:rPr>
        <w:t>5</w:t>
      </w:r>
      <w:r>
        <w:rPr>
          <w:rFonts w:hint="eastAsia" w:ascii="宋体" w:hAnsi="宋体"/>
          <w:color w:val="auto"/>
          <w:szCs w:val="21"/>
          <w:highlight w:val="none"/>
        </w:rPr>
        <w:t>为</w:t>
      </w:r>
      <w:r>
        <w:rPr>
          <w:rFonts w:hint="eastAsia" w:ascii="宋体" w:hAnsi="宋体"/>
          <w:color w:val="auto"/>
          <w:szCs w:val="21"/>
          <w:highlight w:val="none"/>
          <w:lang w:val="en-US" w:eastAsia="zh-CN"/>
        </w:rPr>
        <w:t>9.95</w:t>
      </w:r>
      <w:r>
        <w:rPr>
          <w:rFonts w:hint="eastAsia" w:ascii="宋体" w:hAnsi="宋体"/>
          <w:color w:val="auto"/>
          <w:szCs w:val="21"/>
          <w:highlight w:val="none"/>
        </w:rPr>
        <w:t>万元</w:t>
      </w:r>
      <w:r>
        <w:rPr>
          <w:rFonts w:hint="eastAsia" w:ascii="宋体" w:hAnsi="宋体"/>
          <w:color w:val="auto"/>
          <w:szCs w:val="21"/>
          <w:highlight w:val="none"/>
          <w:lang w:eastAsia="zh-CN"/>
        </w:rPr>
        <w:t>；</w:t>
      </w:r>
      <w:r>
        <w:rPr>
          <w:rFonts w:hint="eastAsia" w:ascii="宋体" w:hAnsi="宋体"/>
          <w:color w:val="auto"/>
          <w:szCs w:val="21"/>
          <w:highlight w:val="none"/>
        </w:rPr>
        <w:t>分标</w:t>
      </w:r>
      <w:r>
        <w:rPr>
          <w:rFonts w:hint="eastAsia" w:ascii="宋体" w:hAnsi="宋体"/>
          <w:color w:val="auto"/>
          <w:szCs w:val="21"/>
          <w:highlight w:val="none"/>
          <w:lang w:val="en-US" w:eastAsia="zh-CN"/>
        </w:rPr>
        <w:t>6</w:t>
      </w:r>
      <w:r>
        <w:rPr>
          <w:rFonts w:hint="eastAsia" w:ascii="宋体" w:hAnsi="宋体"/>
          <w:color w:val="auto"/>
          <w:szCs w:val="21"/>
          <w:highlight w:val="none"/>
        </w:rPr>
        <w:t>为</w:t>
      </w:r>
      <w:r>
        <w:rPr>
          <w:rFonts w:hint="eastAsia" w:ascii="宋体" w:hAnsi="宋体"/>
          <w:color w:val="auto"/>
          <w:szCs w:val="21"/>
          <w:highlight w:val="none"/>
          <w:lang w:val="en-US" w:eastAsia="zh-CN"/>
        </w:rPr>
        <w:t>22.64</w:t>
      </w:r>
      <w:r>
        <w:rPr>
          <w:rFonts w:hint="eastAsia" w:ascii="宋体" w:hAnsi="宋体"/>
          <w:color w:val="auto"/>
          <w:szCs w:val="21"/>
          <w:highlight w:val="none"/>
        </w:rPr>
        <w:t>万元；分标</w:t>
      </w:r>
      <w:r>
        <w:rPr>
          <w:rFonts w:hint="eastAsia" w:ascii="宋体" w:hAnsi="宋体"/>
          <w:color w:val="auto"/>
          <w:szCs w:val="21"/>
          <w:highlight w:val="none"/>
          <w:lang w:val="en-US" w:eastAsia="zh-CN"/>
        </w:rPr>
        <w:t>7</w:t>
      </w:r>
      <w:r>
        <w:rPr>
          <w:rFonts w:hint="eastAsia" w:ascii="宋体" w:hAnsi="宋体"/>
          <w:color w:val="auto"/>
          <w:szCs w:val="21"/>
          <w:highlight w:val="none"/>
        </w:rPr>
        <w:t>为</w:t>
      </w:r>
      <w:r>
        <w:rPr>
          <w:rFonts w:hint="eastAsia" w:ascii="宋体" w:hAnsi="宋体"/>
          <w:color w:val="auto"/>
          <w:szCs w:val="21"/>
          <w:highlight w:val="none"/>
          <w:lang w:val="en-US" w:eastAsia="zh-CN"/>
        </w:rPr>
        <w:t>8.5</w:t>
      </w:r>
      <w:r>
        <w:rPr>
          <w:rFonts w:hint="eastAsia" w:ascii="宋体" w:hAnsi="宋体"/>
          <w:color w:val="auto"/>
          <w:szCs w:val="21"/>
          <w:highlight w:val="none"/>
        </w:rPr>
        <w:t>万元；分标</w:t>
      </w:r>
      <w:r>
        <w:rPr>
          <w:rFonts w:hint="eastAsia" w:ascii="宋体" w:hAnsi="宋体"/>
          <w:color w:val="auto"/>
          <w:szCs w:val="21"/>
          <w:highlight w:val="none"/>
          <w:lang w:val="en-US" w:eastAsia="zh-CN"/>
        </w:rPr>
        <w:t>8</w:t>
      </w:r>
      <w:r>
        <w:rPr>
          <w:rFonts w:hint="eastAsia" w:ascii="宋体" w:hAnsi="宋体"/>
          <w:color w:val="auto"/>
          <w:szCs w:val="21"/>
          <w:highlight w:val="none"/>
        </w:rPr>
        <w:t>为</w:t>
      </w:r>
      <w:r>
        <w:rPr>
          <w:rFonts w:hint="eastAsia" w:ascii="宋体" w:hAnsi="宋体"/>
          <w:color w:val="auto"/>
          <w:szCs w:val="21"/>
          <w:highlight w:val="none"/>
          <w:lang w:val="en-US" w:eastAsia="zh-CN"/>
        </w:rPr>
        <w:t>12.00</w:t>
      </w:r>
      <w:r>
        <w:rPr>
          <w:rFonts w:hint="eastAsia" w:ascii="宋体" w:hAnsi="宋体"/>
          <w:color w:val="auto"/>
          <w:szCs w:val="21"/>
          <w:highlight w:val="none"/>
        </w:rPr>
        <w:t>万元；分标</w:t>
      </w:r>
      <w:r>
        <w:rPr>
          <w:rFonts w:hint="eastAsia" w:ascii="宋体" w:hAnsi="宋体"/>
          <w:color w:val="auto"/>
          <w:szCs w:val="21"/>
          <w:highlight w:val="none"/>
          <w:lang w:val="en-US" w:eastAsia="zh-CN"/>
        </w:rPr>
        <w:t>9</w:t>
      </w:r>
      <w:r>
        <w:rPr>
          <w:rFonts w:hint="eastAsia" w:ascii="宋体" w:hAnsi="宋体"/>
          <w:color w:val="auto"/>
          <w:szCs w:val="21"/>
          <w:highlight w:val="none"/>
        </w:rPr>
        <w:t>为</w:t>
      </w:r>
      <w:r>
        <w:rPr>
          <w:rFonts w:hint="eastAsia" w:ascii="宋体" w:hAnsi="宋体"/>
          <w:color w:val="auto"/>
          <w:szCs w:val="21"/>
          <w:highlight w:val="none"/>
          <w:lang w:val="en-US" w:eastAsia="zh-CN"/>
        </w:rPr>
        <w:t>3.56</w:t>
      </w:r>
      <w:r>
        <w:rPr>
          <w:rFonts w:hint="eastAsia" w:ascii="宋体" w:hAnsi="宋体"/>
          <w:color w:val="auto"/>
          <w:szCs w:val="21"/>
          <w:highlight w:val="none"/>
        </w:rPr>
        <w:t>万元；分标</w:t>
      </w:r>
      <w:r>
        <w:rPr>
          <w:rFonts w:hint="eastAsia" w:ascii="宋体" w:hAnsi="宋体"/>
          <w:color w:val="auto"/>
          <w:szCs w:val="21"/>
          <w:highlight w:val="none"/>
          <w:lang w:val="en-US" w:eastAsia="zh-CN"/>
        </w:rPr>
        <w:t>10</w:t>
      </w:r>
      <w:r>
        <w:rPr>
          <w:rFonts w:hint="eastAsia" w:ascii="宋体" w:hAnsi="宋体"/>
          <w:color w:val="auto"/>
          <w:szCs w:val="21"/>
          <w:highlight w:val="none"/>
        </w:rPr>
        <w:t>为</w:t>
      </w:r>
      <w:r>
        <w:rPr>
          <w:rFonts w:hint="eastAsia" w:ascii="宋体" w:hAnsi="宋体"/>
          <w:color w:val="auto"/>
          <w:szCs w:val="21"/>
          <w:highlight w:val="none"/>
          <w:lang w:val="en-US" w:eastAsia="zh-CN"/>
        </w:rPr>
        <w:t>6.44</w:t>
      </w:r>
      <w:r>
        <w:rPr>
          <w:rFonts w:hint="eastAsia" w:ascii="宋体" w:hAnsi="宋体"/>
          <w:color w:val="auto"/>
          <w:szCs w:val="21"/>
          <w:highlight w:val="none"/>
        </w:rPr>
        <w:t>万元</w:t>
      </w:r>
      <w:r>
        <w:rPr>
          <w:rFonts w:hint="eastAsia" w:ascii="宋体" w:hAnsi="宋体"/>
          <w:color w:val="auto"/>
          <w:szCs w:val="21"/>
          <w:highlight w:val="none"/>
          <w:lang w:val="en-US" w:eastAsia="zh-CN"/>
        </w:rPr>
        <w:t>。</w:t>
      </w:r>
    </w:p>
    <w:p w14:paraId="7349E80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w:t>
      </w:r>
      <w:r>
        <w:rPr>
          <w:rFonts w:hint="eastAsia" w:ascii="宋体" w:hAnsi="宋体"/>
          <w:color w:val="auto"/>
          <w:szCs w:val="21"/>
          <w:highlight w:val="none"/>
          <w:lang w:val="en-US" w:eastAsia="zh-CN"/>
        </w:rPr>
        <w:t>55.00</w:t>
      </w:r>
      <w:r>
        <w:rPr>
          <w:rFonts w:hint="eastAsia" w:ascii="宋体" w:hAnsi="宋体"/>
          <w:color w:val="auto"/>
          <w:szCs w:val="21"/>
          <w:highlight w:val="none"/>
        </w:rPr>
        <w:t>万元；分标</w:t>
      </w:r>
      <w:r>
        <w:rPr>
          <w:rFonts w:ascii="宋体" w:hAnsi="宋体"/>
          <w:color w:val="auto"/>
          <w:szCs w:val="21"/>
          <w:highlight w:val="none"/>
        </w:rPr>
        <w:t>2</w:t>
      </w:r>
      <w:r>
        <w:rPr>
          <w:rFonts w:hint="eastAsia" w:ascii="宋体" w:hAnsi="宋体"/>
          <w:color w:val="auto"/>
          <w:szCs w:val="21"/>
          <w:highlight w:val="none"/>
        </w:rPr>
        <w:t>为</w:t>
      </w:r>
      <w:r>
        <w:rPr>
          <w:rFonts w:hint="eastAsia" w:ascii="宋体" w:hAnsi="宋体"/>
          <w:color w:val="auto"/>
          <w:szCs w:val="21"/>
          <w:highlight w:val="none"/>
          <w:lang w:val="en-US" w:eastAsia="zh-CN"/>
        </w:rPr>
        <w:t>18.56</w:t>
      </w:r>
      <w:r>
        <w:rPr>
          <w:rFonts w:hint="eastAsia" w:ascii="宋体" w:hAnsi="宋体"/>
          <w:color w:val="auto"/>
          <w:szCs w:val="21"/>
          <w:highlight w:val="none"/>
        </w:rPr>
        <w:t>万元；分标</w:t>
      </w:r>
      <w:r>
        <w:rPr>
          <w:rFonts w:hint="eastAsia" w:ascii="宋体" w:hAnsi="宋体"/>
          <w:color w:val="auto"/>
          <w:szCs w:val="21"/>
          <w:highlight w:val="none"/>
          <w:lang w:val="en-US" w:eastAsia="zh-CN"/>
        </w:rPr>
        <w:t>3</w:t>
      </w:r>
      <w:r>
        <w:rPr>
          <w:rFonts w:hint="eastAsia" w:ascii="宋体" w:hAnsi="宋体"/>
          <w:color w:val="auto"/>
          <w:szCs w:val="21"/>
          <w:highlight w:val="none"/>
        </w:rPr>
        <w:t>为</w:t>
      </w:r>
      <w:r>
        <w:rPr>
          <w:rFonts w:hint="eastAsia" w:ascii="宋体" w:hAnsi="宋体"/>
          <w:color w:val="auto"/>
          <w:szCs w:val="21"/>
          <w:highlight w:val="none"/>
          <w:lang w:val="en-US" w:eastAsia="zh-CN"/>
        </w:rPr>
        <w:t>9.96</w:t>
      </w:r>
      <w:r>
        <w:rPr>
          <w:rFonts w:hint="eastAsia" w:ascii="宋体" w:hAnsi="宋体"/>
          <w:color w:val="auto"/>
          <w:szCs w:val="21"/>
          <w:highlight w:val="none"/>
        </w:rPr>
        <w:t>万元；分标</w:t>
      </w:r>
      <w:r>
        <w:rPr>
          <w:rFonts w:hint="eastAsia" w:ascii="宋体" w:hAnsi="宋体"/>
          <w:color w:val="auto"/>
          <w:szCs w:val="21"/>
          <w:highlight w:val="none"/>
          <w:lang w:val="en-US" w:eastAsia="zh-CN"/>
        </w:rPr>
        <w:t>4</w:t>
      </w:r>
      <w:r>
        <w:rPr>
          <w:rFonts w:hint="eastAsia" w:ascii="宋体" w:hAnsi="宋体"/>
          <w:color w:val="auto"/>
          <w:szCs w:val="21"/>
          <w:highlight w:val="none"/>
        </w:rPr>
        <w:t>为</w:t>
      </w:r>
      <w:r>
        <w:rPr>
          <w:rFonts w:hint="eastAsia" w:ascii="宋体" w:hAnsi="宋体"/>
          <w:color w:val="auto"/>
          <w:szCs w:val="21"/>
          <w:highlight w:val="none"/>
          <w:lang w:val="en-US" w:eastAsia="zh-CN"/>
        </w:rPr>
        <w:t>8.39</w:t>
      </w:r>
      <w:r>
        <w:rPr>
          <w:rFonts w:hint="eastAsia" w:ascii="宋体" w:hAnsi="宋体"/>
          <w:color w:val="auto"/>
          <w:szCs w:val="21"/>
          <w:highlight w:val="none"/>
        </w:rPr>
        <w:t>万元；分标</w:t>
      </w:r>
      <w:r>
        <w:rPr>
          <w:rFonts w:hint="eastAsia" w:ascii="宋体" w:hAnsi="宋体"/>
          <w:color w:val="auto"/>
          <w:szCs w:val="21"/>
          <w:highlight w:val="none"/>
          <w:lang w:val="en-US" w:eastAsia="zh-CN"/>
        </w:rPr>
        <w:t>5</w:t>
      </w:r>
      <w:r>
        <w:rPr>
          <w:rFonts w:hint="eastAsia" w:ascii="宋体" w:hAnsi="宋体"/>
          <w:color w:val="auto"/>
          <w:szCs w:val="21"/>
          <w:highlight w:val="none"/>
        </w:rPr>
        <w:t>为</w:t>
      </w:r>
      <w:r>
        <w:rPr>
          <w:rFonts w:hint="eastAsia" w:ascii="宋体" w:hAnsi="宋体"/>
          <w:color w:val="auto"/>
          <w:szCs w:val="21"/>
          <w:highlight w:val="none"/>
          <w:lang w:val="en-US" w:eastAsia="zh-CN"/>
        </w:rPr>
        <w:t>9.95</w:t>
      </w:r>
      <w:r>
        <w:rPr>
          <w:rFonts w:hint="eastAsia" w:ascii="宋体" w:hAnsi="宋体"/>
          <w:color w:val="auto"/>
          <w:szCs w:val="21"/>
          <w:highlight w:val="none"/>
        </w:rPr>
        <w:t>万元</w:t>
      </w:r>
      <w:r>
        <w:rPr>
          <w:rFonts w:hint="eastAsia" w:ascii="宋体" w:hAnsi="宋体"/>
          <w:color w:val="auto"/>
          <w:szCs w:val="21"/>
          <w:highlight w:val="none"/>
          <w:lang w:eastAsia="zh-CN"/>
        </w:rPr>
        <w:t>；</w:t>
      </w:r>
      <w:r>
        <w:rPr>
          <w:rFonts w:hint="eastAsia" w:ascii="宋体" w:hAnsi="宋体"/>
          <w:color w:val="auto"/>
          <w:szCs w:val="21"/>
          <w:highlight w:val="none"/>
        </w:rPr>
        <w:t>分标</w:t>
      </w:r>
      <w:r>
        <w:rPr>
          <w:rFonts w:hint="eastAsia" w:ascii="宋体" w:hAnsi="宋体"/>
          <w:color w:val="auto"/>
          <w:szCs w:val="21"/>
          <w:highlight w:val="none"/>
          <w:lang w:val="en-US" w:eastAsia="zh-CN"/>
        </w:rPr>
        <w:t>6</w:t>
      </w:r>
      <w:r>
        <w:rPr>
          <w:rFonts w:hint="eastAsia" w:ascii="宋体" w:hAnsi="宋体"/>
          <w:color w:val="auto"/>
          <w:szCs w:val="21"/>
          <w:highlight w:val="none"/>
        </w:rPr>
        <w:t>为</w:t>
      </w:r>
      <w:r>
        <w:rPr>
          <w:rFonts w:hint="eastAsia" w:ascii="宋体" w:hAnsi="宋体"/>
          <w:color w:val="auto"/>
          <w:szCs w:val="21"/>
          <w:highlight w:val="none"/>
          <w:lang w:val="en-US" w:eastAsia="zh-CN"/>
        </w:rPr>
        <w:t>22.64</w:t>
      </w:r>
      <w:r>
        <w:rPr>
          <w:rFonts w:hint="eastAsia" w:ascii="宋体" w:hAnsi="宋体"/>
          <w:color w:val="auto"/>
          <w:szCs w:val="21"/>
          <w:highlight w:val="none"/>
        </w:rPr>
        <w:t>万元；分标</w:t>
      </w:r>
      <w:r>
        <w:rPr>
          <w:rFonts w:hint="eastAsia" w:ascii="宋体" w:hAnsi="宋体"/>
          <w:color w:val="auto"/>
          <w:szCs w:val="21"/>
          <w:highlight w:val="none"/>
          <w:lang w:val="en-US" w:eastAsia="zh-CN"/>
        </w:rPr>
        <w:t>7</w:t>
      </w:r>
      <w:r>
        <w:rPr>
          <w:rFonts w:hint="eastAsia" w:ascii="宋体" w:hAnsi="宋体"/>
          <w:color w:val="auto"/>
          <w:szCs w:val="21"/>
          <w:highlight w:val="none"/>
        </w:rPr>
        <w:t>为</w:t>
      </w:r>
      <w:r>
        <w:rPr>
          <w:rFonts w:hint="eastAsia" w:ascii="宋体" w:hAnsi="宋体"/>
          <w:color w:val="auto"/>
          <w:szCs w:val="21"/>
          <w:highlight w:val="none"/>
          <w:lang w:val="en-US" w:eastAsia="zh-CN"/>
        </w:rPr>
        <w:t>8.5</w:t>
      </w:r>
      <w:r>
        <w:rPr>
          <w:rFonts w:hint="eastAsia" w:ascii="宋体" w:hAnsi="宋体"/>
          <w:color w:val="auto"/>
          <w:szCs w:val="21"/>
          <w:highlight w:val="none"/>
        </w:rPr>
        <w:t>万元；分标</w:t>
      </w:r>
      <w:r>
        <w:rPr>
          <w:rFonts w:hint="eastAsia" w:ascii="宋体" w:hAnsi="宋体"/>
          <w:color w:val="auto"/>
          <w:szCs w:val="21"/>
          <w:highlight w:val="none"/>
          <w:lang w:val="en-US" w:eastAsia="zh-CN"/>
        </w:rPr>
        <w:t>8</w:t>
      </w:r>
      <w:r>
        <w:rPr>
          <w:rFonts w:hint="eastAsia" w:ascii="宋体" w:hAnsi="宋体"/>
          <w:color w:val="auto"/>
          <w:szCs w:val="21"/>
          <w:highlight w:val="none"/>
        </w:rPr>
        <w:t>为</w:t>
      </w:r>
      <w:r>
        <w:rPr>
          <w:rFonts w:hint="eastAsia" w:ascii="宋体" w:hAnsi="宋体"/>
          <w:color w:val="auto"/>
          <w:szCs w:val="21"/>
          <w:highlight w:val="none"/>
          <w:lang w:val="en-US" w:eastAsia="zh-CN"/>
        </w:rPr>
        <w:t>12.00</w:t>
      </w:r>
      <w:r>
        <w:rPr>
          <w:rFonts w:hint="eastAsia" w:ascii="宋体" w:hAnsi="宋体"/>
          <w:color w:val="auto"/>
          <w:szCs w:val="21"/>
          <w:highlight w:val="none"/>
        </w:rPr>
        <w:t>万元；分标</w:t>
      </w:r>
      <w:r>
        <w:rPr>
          <w:rFonts w:hint="eastAsia" w:ascii="宋体" w:hAnsi="宋体"/>
          <w:color w:val="auto"/>
          <w:szCs w:val="21"/>
          <w:highlight w:val="none"/>
          <w:lang w:val="en-US" w:eastAsia="zh-CN"/>
        </w:rPr>
        <w:t>9</w:t>
      </w:r>
      <w:r>
        <w:rPr>
          <w:rFonts w:hint="eastAsia" w:ascii="宋体" w:hAnsi="宋体"/>
          <w:color w:val="auto"/>
          <w:szCs w:val="21"/>
          <w:highlight w:val="none"/>
        </w:rPr>
        <w:t>为</w:t>
      </w:r>
      <w:r>
        <w:rPr>
          <w:rFonts w:hint="eastAsia" w:ascii="宋体" w:hAnsi="宋体"/>
          <w:color w:val="auto"/>
          <w:szCs w:val="21"/>
          <w:highlight w:val="none"/>
          <w:lang w:val="en-US" w:eastAsia="zh-CN"/>
        </w:rPr>
        <w:t>3.56</w:t>
      </w:r>
      <w:r>
        <w:rPr>
          <w:rFonts w:hint="eastAsia" w:ascii="宋体" w:hAnsi="宋体"/>
          <w:color w:val="auto"/>
          <w:szCs w:val="21"/>
          <w:highlight w:val="none"/>
        </w:rPr>
        <w:t>万元；分标</w:t>
      </w:r>
      <w:r>
        <w:rPr>
          <w:rFonts w:hint="eastAsia" w:ascii="宋体" w:hAnsi="宋体"/>
          <w:color w:val="auto"/>
          <w:szCs w:val="21"/>
          <w:highlight w:val="none"/>
          <w:lang w:val="en-US" w:eastAsia="zh-CN"/>
        </w:rPr>
        <w:t>10</w:t>
      </w:r>
      <w:r>
        <w:rPr>
          <w:rFonts w:hint="eastAsia" w:ascii="宋体" w:hAnsi="宋体"/>
          <w:color w:val="auto"/>
          <w:szCs w:val="21"/>
          <w:highlight w:val="none"/>
        </w:rPr>
        <w:t>为</w:t>
      </w:r>
      <w:r>
        <w:rPr>
          <w:rFonts w:hint="eastAsia" w:ascii="宋体" w:hAnsi="宋体"/>
          <w:color w:val="auto"/>
          <w:szCs w:val="21"/>
          <w:highlight w:val="none"/>
          <w:lang w:val="en-US" w:eastAsia="zh-CN"/>
        </w:rPr>
        <w:t>6.44</w:t>
      </w:r>
      <w:r>
        <w:rPr>
          <w:rFonts w:hint="eastAsia" w:ascii="宋体" w:hAnsi="宋体"/>
          <w:color w:val="auto"/>
          <w:szCs w:val="21"/>
          <w:highlight w:val="none"/>
        </w:rPr>
        <w:t>万元</w:t>
      </w:r>
      <w:r>
        <w:rPr>
          <w:rFonts w:hint="eastAsia" w:ascii="宋体" w:hAnsi="宋体"/>
          <w:color w:val="auto"/>
          <w:szCs w:val="21"/>
          <w:highlight w:val="none"/>
          <w:lang w:val="en-US" w:eastAsia="zh-CN"/>
        </w:rPr>
        <w:t>。</w:t>
      </w:r>
    </w:p>
    <w:p w14:paraId="5FE555AE">
      <w:pPr>
        <w:spacing w:line="360" w:lineRule="auto"/>
        <w:ind w:firstLine="422" w:firstLineChars="200"/>
        <w:rPr>
          <w:rFonts w:ascii="宋体"/>
          <w:color w:val="auto"/>
          <w:szCs w:val="21"/>
          <w:highlight w:val="none"/>
        </w:rPr>
      </w:pPr>
      <w:r>
        <w:rPr>
          <w:rFonts w:hint="eastAsia" w:ascii="宋体" w:hAnsi="宋体"/>
          <w:b/>
          <w:bCs/>
          <w:color w:val="auto"/>
          <w:szCs w:val="21"/>
          <w:highlight w:val="none"/>
        </w:rPr>
        <w:t>采购需求：</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3424"/>
        <w:gridCol w:w="5799"/>
      </w:tblGrid>
      <w:tr w14:paraId="1E0F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bottom w:val="single" w:color="auto" w:sz="4" w:space="0"/>
            </w:tcBorders>
            <w:vAlign w:val="center"/>
          </w:tcPr>
          <w:p w14:paraId="055EC0ED">
            <w:pPr>
              <w:snapToGrid w:val="0"/>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1</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55.00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254C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26" w:type="pct"/>
            <w:tcBorders>
              <w:top w:val="single" w:color="auto" w:sz="4" w:space="0"/>
              <w:bottom w:val="single" w:color="auto" w:sz="4" w:space="0"/>
              <w:right w:val="single" w:color="auto" w:sz="4" w:space="0"/>
            </w:tcBorders>
            <w:vAlign w:val="center"/>
          </w:tcPr>
          <w:p w14:paraId="533C034A">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56B1EBD1">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1D5B6F2E">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7AD4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right w:val="single" w:color="auto" w:sz="4" w:space="0"/>
            </w:tcBorders>
            <w:vAlign w:val="center"/>
          </w:tcPr>
          <w:p w14:paraId="314E930E">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1CD80879">
            <w:pPr>
              <w:autoSpaceDE w:val="0"/>
              <w:autoSpaceDN w:val="0"/>
              <w:adjustRightInd w:val="0"/>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 xml:space="preserve">农业宣传  </w:t>
            </w:r>
          </w:p>
        </w:tc>
        <w:tc>
          <w:tcPr>
            <w:tcW w:w="2875" w:type="pct"/>
            <w:tcBorders>
              <w:top w:val="single" w:color="auto" w:sz="4" w:space="0"/>
              <w:left w:val="single" w:color="auto" w:sz="4" w:space="0"/>
            </w:tcBorders>
            <w:vAlign w:val="center"/>
          </w:tcPr>
          <w:p w14:paraId="7DA08236">
            <w:pPr>
              <w:tabs>
                <w:tab w:val="left" w:pos="180"/>
                <w:tab w:val="left" w:pos="1620"/>
              </w:tabs>
              <w:spacing w:line="360" w:lineRule="auto"/>
              <w:rPr>
                <w:rFonts w:ascii="宋体"/>
                <w:color w:val="auto"/>
                <w:szCs w:val="21"/>
                <w:highlight w:val="none"/>
              </w:rPr>
            </w:pPr>
            <w:r>
              <w:rPr>
                <w:rFonts w:hint="eastAsia" w:ascii="宋体" w:hAnsi="宋体" w:cs="宋体"/>
                <w:color w:val="auto"/>
                <w:szCs w:val="21"/>
                <w:highlight w:val="none"/>
                <w:lang w:val="en-US" w:eastAsia="zh-CN"/>
              </w:rPr>
              <w:t xml:space="preserve">多媒体内容制作编辑服务 </w:t>
            </w:r>
            <w:r>
              <w:rPr>
                <w:rFonts w:hint="eastAsia" w:ascii="宋体" w:hAnsi="宋体" w:cs="宋体"/>
                <w:color w:val="auto"/>
                <w:szCs w:val="21"/>
                <w:highlight w:val="none"/>
              </w:rPr>
              <w:t>1项</w:t>
            </w:r>
            <w:r>
              <w:rPr>
                <w:rFonts w:hint="eastAsia" w:ascii="宋体" w:hAnsi="宋体" w:cs="宋体"/>
                <w:color w:val="auto"/>
                <w:szCs w:val="21"/>
                <w:highlight w:val="none"/>
                <w:lang w:eastAsia="zh-CN"/>
              </w:rPr>
              <w:t>、广西“三农”网络影音平台内容建设和视频新闻采编</w:t>
            </w:r>
            <w:r>
              <w:rPr>
                <w:rFonts w:hint="eastAsia" w:ascii="宋体" w:hAnsi="宋体" w:cs="宋体"/>
                <w:color w:val="auto"/>
                <w:szCs w:val="21"/>
                <w:highlight w:val="none"/>
                <w:lang w:val="en-US" w:eastAsia="zh-CN"/>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308D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bottom w:val="single" w:color="auto" w:sz="4" w:space="0"/>
            </w:tcBorders>
            <w:vAlign w:val="center"/>
          </w:tcPr>
          <w:p w14:paraId="5A2FAA19">
            <w:pPr>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2</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18.56</w:t>
            </w:r>
            <w:r>
              <w:rPr>
                <w:rFonts w:hint="eastAsia" w:ascii="宋体" w:hAnsi="宋体" w:cs="宋体"/>
                <w:b/>
                <w:bCs/>
                <w:color w:val="auto"/>
                <w:szCs w:val="21"/>
                <w:highlight w:val="none"/>
              </w:rPr>
              <w:t>万元</w:t>
            </w:r>
          </w:p>
        </w:tc>
      </w:tr>
      <w:tr w14:paraId="509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bottom w:val="single" w:color="auto" w:sz="4" w:space="0"/>
              <w:right w:val="single" w:color="auto" w:sz="4" w:space="0"/>
            </w:tcBorders>
            <w:vAlign w:val="center"/>
          </w:tcPr>
          <w:p w14:paraId="4E9032B2">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B081826">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76850F31">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216B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426" w:type="pct"/>
            <w:tcBorders>
              <w:top w:val="single" w:color="auto" w:sz="4" w:space="0"/>
              <w:bottom w:val="single" w:color="auto" w:sz="4" w:space="0"/>
              <w:right w:val="single" w:color="auto" w:sz="4" w:space="0"/>
            </w:tcBorders>
            <w:vAlign w:val="center"/>
          </w:tcPr>
          <w:p w14:paraId="1A3AA386">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5082176D">
            <w:pPr>
              <w:autoSpaceDE w:val="0"/>
              <w:autoSpaceDN w:val="0"/>
              <w:adjustRightInd w:val="0"/>
              <w:spacing w:before="50" w:after="50" w:line="360" w:lineRule="auto"/>
              <w:jc w:val="center"/>
              <w:rPr>
                <w:rFonts w:hint="eastAsia" w:ascii="宋体" w:eastAsia="宋体"/>
                <w:color w:val="auto"/>
                <w:szCs w:val="21"/>
                <w:highlight w:val="none"/>
                <w:lang w:eastAsia="zh-CN"/>
              </w:rPr>
            </w:pPr>
            <w:r>
              <w:rPr>
                <w:rFonts w:hint="eastAsia" w:ascii="宋体"/>
                <w:color w:val="auto"/>
                <w:szCs w:val="21"/>
                <w:highlight w:val="none"/>
                <w:lang w:val="en-US" w:eastAsia="zh-CN"/>
              </w:rPr>
              <w:t xml:space="preserve">广西现代特色农业馆运维  </w:t>
            </w:r>
          </w:p>
        </w:tc>
        <w:tc>
          <w:tcPr>
            <w:tcW w:w="2875" w:type="pct"/>
            <w:tcBorders>
              <w:top w:val="single" w:color="auto" w:sz="4" w:space="0"/>
              <w:left w:val="single" w:color="auto" w:sz="4" w:space="0"/>
              <w:bottom w:val="single" w:color="auto" w:sz="4" w:space="0"/>
            </w:tcBorders>
            <w:vAlign w:val="center"/>
          </w:tcPr>
          <w:p w14:paraId="115F59FB">
            <w:pPr>
              <w:snapToGrid w:val="0"/>
              <w:spacing w:line="360" w:lineRule="auto"/>
              <w:jc w:val="left"/>
              <w:rPr>
                <w:rFonts w:ascii="宋体"/>
                <w:color w:val="auto"/>
                <w:szCs w:val="21"/>
                <w:highlight w:val="none"/>
              </w:rPr>
            </w:pPr>
            <w:r>
              <w:rPr>
                <w:rFonts w:hint="eastAsia" w:ascii="宋体" w:hAnsi="宋体" w:cs="宋体"/>
                <w:color w:val="auto"/>
                <w:szCs w:val="21"/>
                <w:highlight w:val="none"/>
                <w:lang w:val="en-US" w:eastAsia="zh-CN"/>
              </w:rPr>
              <w:t>广西现代特色农业馆更新维护1项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5BBB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4FB63E97">
            <w:pPr>
              <w:snapToGrid w:val="0"/>
              <w:spacing w:line="360" w:lineRule="auto"/>
              <w:jc w:val="left"/>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9.96 </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770B0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195FE13">
            <w:pPr>
              <w:snapToGrid w:val="0"/>
              <w:spacing w:line="360" w:lineRule="auto"/>
              <w:jc w:val="center"/>
              <w:rPr>
                <w:rFonts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0372DA2">
            <w:pPr>
              <w:snapToGrid w:val="0"/>
              <w:spacing w:line="360" w:lineRule="auto"/>
              <w:jc w:val="center"/>
              <w:rPr>
                <w:rFonts w:hint="eastAsia"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64BAFB41">
            <w:pPr>
              <w:snapToGrid w:val="0"/>
              <w:spacing w:line="360" w:lineRule="auto"/>
              <w:jc w:val="center"/>
              <w:rPr>
                <w:rFonts w:hint="eastAsia" w:ascii="宋体" w:hAnsi="Times New Roman"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简要规格描述或项目基本概况介绍、用途</w:t>
            </w:r>
          </w:p>
        </w:tc>
      </w:tr>
      <w:tr w14:paraId="3E14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AD2E23A">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67735D6A">
            <w:pPr>
              <w:autoSpaceDE w:val="0"/>
              <w:autoSpaceDN w:val="0"/>
              <w:adjustRightInd w:val="0"/>
              <w:jc w:val="center"/>
              <w:rPr>
                <w:rFonts w:hint="eastAsia"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 xml:space="preserve">“三农”图片库平台和“三农”网络影音系统应用与运维 </w:t>
            </w:r>
          </w:p>
        </w:tc>
        <w:tc>
          <w:tcPr>
            <w:tcW w:w="2875" w:type="pct"/>
            <w:tcBorders>
              <w:top w:val="single" w:color="auto" w:sz="4" w:space="0"/>
              <w:left w:val="single" w:color="auto" w:sz="4" w:space="0"/>
              <w:bottom w:val="single" w:color="auto" w:sz="4" w:space="0"/>
            </w:tcBorders>
            <w:shd w:val="clear" w:color="auto" w:fill="auto"/>
            <w:vAlign w:val="center"/>
          </w:tcPr>
          <w:p w14:paraId="2DAEA883">
            <w:pPr>
              <w:tabs>
                <w:tab w:val="left" w:pos="180"/>
                <w:tab w:val="left" w:pos="1620"/>
              </w:tabs>
              <w:spacing w:line="360" w:lineRule="auto"/>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 xml:space="preserve">“三农”图片库及“三农”网络影音系统运维 </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2D03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0D935ECC">
            <w:pPr>
              <w:snapToGrid w:val="0"/>
              <w:spacing w:line="360" w:lineRule="auto"/>
              <w:jc w:val="left"/>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8.39 </w:t>
            </w:r>
            <w:r>
              <w:rPr>
                <w:rFonts w:hint="eastAsia" w:ascii="宋体" w:hAnsi="宋体" w:cs="宋体"/>
                <w:b/>
                <w:bCs/>
                <w:color w:val="auto"/>
                <w:szCs w:val="21"/>
                <w:highlight w:val="none"/>
              </w:rPr>
              <w:t>万元</w:t>
            </w:r>
          </w:p>
        </w:tc>
      </w:tr>
      <w:tr w14:paraId="2CDF5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1B565A9A">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49D6C74C">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C629AC2">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简要规格描述或项目基本概况介绍、用途</w:t>
            </w:r>
          </w:p>
        </w:tc>
      </w:tr>
      <w:tr w14:paraId="7291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4E0717C9">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25FBAA75">
            <w:pPr>
              <w:autoSpaceDE w:val="0"/>
              <w:autoSpaceDN w:val="0"/>
              <w:adjustRightInd w:val="0"/>
              <w:spacing w:before="50" w:after="50"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color w:val="auto"/>
                <w:szCs w:val="21"/>
                <w:highlight w:val="none"/>
                <w:lang w:val="en-US" w:eastAsia="zh-CN"/>
              </w:rPr>
              <w:t xml:space="preserve">广西智慧农田综合管理信息化平台系统运维 </w:t>
            </w:r>
          </w:p>
        </w:tc>
        <w:tc>
          <w:tcPr>
            <w:tcW w:w="2875" w:type="pct"/>
            <w:tcBorders>
              <w:top w:val="single" w:color="auto" w:sz="4" w:space="0"/>
              <w:left w:val="single" w:color="auto" w:sz="4" w:space="0"/>
              <w:bottom w:val="single" w:color="auto" w:sz="4" w:space="0"/>
            </w:tcBorders>
            <w:shd w:val="clear" w:color="auto" w:fill="auto"/>
            <w:vAlign w:val="center"/>
          </w:tcPr>
          <w:p w14:paraId="1F9F1209">
            <w:pPr>
              <w:snapToGrid w:val="0"/>
              <w:spacing w:line="360" w:lineRule="auto"/>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广西智慧农田综合管理信息化平台系统运维1项</w:t>
            </w:r>
            <w:r>
              <w:rPr>
                <w:rFonts w:hint="eastAsia" w:ascii="宋体" w:hAnsi="宋体" w:cs="宋体"/>
                <w:color w:val="auto"/>
                <w:szCs w:val="21"/>
                <w:highlight w:val="none"/>
                <w:lang w:val="en-US" w:eastAsia="zh-CN"/>
              </w:rPr>
              <w:t xml:space="preserve"> </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67929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2DEE0ED4">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9.95 </w:t>
            </w:r>
            <w:r>
              <w:rPr>
                <w:rFonts w:hint="eastAsia" w:ascii="宋体" w:hAnsi="宋体" w:cs="宋体"/>
                <w:b/>
                <w:bCs/>
                <w:color w:val="auto"/>
                <w:szCs w:val="21"/>
                <w:highlight w:val="none"/>
              </w:rPr>
              <w:t>万元</w:t>
            </w:r>
          </w:p>
        </w:tc>
      </w:tr>
      <w:tr w14:paraId="2946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750AF8F">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3CACE2D0">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789F2B0">
            <w:pPr>
              <w:snapToGrid w:val="0"/>
              <w:spacing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简要规格描述或项目基本概况介绍、用途</w:t>
            </w:r>
          </w:p>
        </w:tc>
      </w:tr>
      <w:tr w14:paraId="32E7A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50DDF35E">
            <w:pPr>
              <w:snapToGrid w:val="0"/>
              <w:spacing w:line="360" w:lineRule="auto"/>
              <w:jc w:val="center"/>
              <w:rPr>
                <w:rFonts w:ascii="宋体" w:hAnsi="Times New Roman" w:eastAsia="宋体" w:cs="Times New Roman"/>
                <w:color w:val="auto"/>
                <w:kern w:val="2"/>
                <w:sz w:val="21"/>
                <w:szCs w:val="21"/>
                <w:highlight w:val="none"/>
                <w:lang w:val="en-US" w:eastAsia="zh-CN" w:bidi="ar-SA"/>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54351ADA">
            <w:pPr>
              <w:autoSpaceDE w:val="0"/>
              <w:autoSpaceDN w:val="0"/>
              <w:adjustRightInd w:val="0"/>
              <w:spacing w:before="50" w:after="50" w:line="36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color w:val="auto"/>
                <w:szCs w:val="21"/>
                <w:highlight w:val="none"/>
                <w:lang w:val="en-US" w:eastAsia="zh-CN"/>
              </w:rPr>
              <w:t xml:space="preserve">广西农业信息中心内控综合管理平台运维 </w:t>
            </w:r>
          </w:p>
        </w:tc>
        <w:tc>
          <w:tcPr>
            <w:tcW w:w="2875" w:type="pct"/>
            <w:tcBorders>
              <w:top w:val="single" w:color="auto" w:sz="4" w:space="0"/>
              <w:left w:val="single" w:color="auto" w:sz="4" w:space="0"/>
              <w:bottom w:val="single" w:color="auto" w:sz="4" w:space="0"/>
            </w:tcBorders>
            <w:shd w:val="clear" w:color="auto" w:fill="auto"/>
            <w:vAlign w:val="center"/>
          </w:tcPr>
          <w:p w14:paraId="6CB17C81">
            <w:pPr>
              <w:snapToGrid w:val="0"/>
              <w:spacing w:line="360" w:lineRule="auto"/>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广西农业信息中心内控综合管理平台运维1项</w:t>
            </w:r>
            <w:r>
              <w:rPr>
                <w:rFonts w:hint="eastAsia" w:ascii="宋体" w:hAnsi="宋体" w:cs="宋体"/>
                <w:color w:val="auto"/>
                <w:kern w:val="0"/>
                <w:sz w:val="21"/>
                <w:szCs w:val="21"/>
                <w:highlight w:val="none"/>
              </w:rPr>
              <w:t>；</w:t>
            </w:r>
            <w:r>
              <w:rPr>
                <w:rFonts w:hint="eastAsia" w:ascii="宋体" w:hAnsi="宋体"/>
                <w:color w:val="auto"/>
                <w:sz w:val="21"/>
                <w:szCs w:val="21"/>
                <w:highlight w:val="none"/>
              </w:rPr>
              <w:t>详细内容详见磋商文件。</w:t>
            </w:r>
          </w:p>
        </w:tc>
      </w:tr>
      <w:tr w14:paraId="6D4F8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10DB5262">
            <w:pPr>
              <w:snapToGrid w:val="0"/>
              <w:spacing w:line="360" w:lineRule="auto"/>
              <w:rPr>
                <w:rFonts w:hint="eastAsia" w:ascii="宋体" w:hAnsi="宋体" w:cs="宋体"/>
                <w:color w:val="auto"/>
                <w:kern w:val="0"/>
                <w:sz w:val="22"/>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22.64</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6FA68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59D6BA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54154522">
            <w:pPr>
              <w:snapToGrid w:val="0"/>
              <w:spacing w:line="360" w:lineRule="auto"/>
              <w:jc w:val="center"/>
              <w:rPr>
                <w:rFonts w:hint="eastAsia" w:ascii="宋体"/>
                <w:color w:val="auto"/>
                <w:szCs w:val="21"/>
                <w:highlight w:val="none"/>
                <w:lang w:val="en-US" w:eastAsia="zh-CN"/>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4FFC9393">
            <w:pPr>
              <w:snapToGrid w:val="0"/>
              <w:spacing w:line="360" w:lineRule="auto"/>
              <w:jc w:val="center"/>
              <w:rPr>
                <w:rFonts w:hint="eastAsia" w:ascii="宋体" w:hAnsi="宋体" w:cs="宋体"/>
                <w:color w:val="auto"/>
                <w:kern w:val="0"/>
                <w:sz w:val="22"/>
                <w:szCs w:val="21"/>
                <w:highlight w:val="none"/>
                <w:lang w:val="en-US" w:eastAsia="zh-CN"/>
              </w:rPr>
            </w:pPr>
            <w:r>
              <w:rPr>
                <w:rFonts w:hint="eastAsia" w:ascii="宋体" w:hAnsi="宋体"/>
                <w:color w:val="auto"/>
                <w:szCs w:val="21"/>
                <w:highlight w:val="none"/>
              </w:rPr>
              <w:t>简要规格描述或项目基本概况介绍、用途</w:t>
            </w:r>
          </w:p>
        </w:tc>
      </w:tr>
      <w:tr w14:paraId="46AA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BA797A7">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47862E07">
            <w:pPr>
              <w:autoSpaceDE w:val="0"/>
              <w:autoSpaceDN w:val="0"/>
              <w:adjustRightInd w:val="0"/>
              <w:jc w:val="center"/>
              <w:rPr>
                <w:rFonts w:hint="eastAsia" w:ascii="宋体"/>
                <w:color w:val="auto"/>
                <w:szCs w:val="21"/>
                <w:highlight w:val="none"/>
                <w:lang w:val="en-US" w:eastAsia="zh-CN"/>
              </w:rPr>
            </w:pPr>
            <w:r>
              <w:rPr>
                <w:rFonts w:hint="eastAsia" w:ascii="宋体"/>
                <w:color w:val="auto"/>
                <w:szCs w:val="21"/>
                <w:highlight w:val="none"/>
                <w:lang w:val="en-US" w:eastAsia="zh-CN"/>
              </w:rPr>
              <w:t xml:space="preserve">广西农业信息化项目监理服务  </w:t>
            </w:r>
          </w:p>
        </w:tc>
        <w:tc>
          <w:tcPr>
            <w:tcW w:w="2875" w:type="pct"/>
            <w:tcBorders>
              <w:top w:val="single" w:color="auto" w:sz="4" w:space="0"/>
              <w:left w:val="single" w:color="auto" w:sz="4" w:space="0"/>
              <w:bottom w:val="single" w:color="auto" w:sz="4" w:space="0"/>
            </w:tcBorders>
            <w:shd w:val="clear" w:color="auto" w:fill="auto"/>
            <w:vAlign w:val="center"/>
          </w:tcPr>
          <w:p w14:paraId="66EACCDA">
            <w:pPr>
              <w:tabs>
                <w:tab w:val="left" w:pos="180"/>
                <w:tab w:val="left" w:pos="1620"/>
              </w:tabs>
              <w:spacing w:line="360" w:lineRule="auto"/>
              <w:rPr>
                <w:rFonts w:hint="eastAsia" w:ascii="宋体" w:hAnsi="宋体" w:cs="宋体"/>
                <w:color w:val="auto"/>
                <w:kern w:val="0"/>
                <w:sz w:val="22"/>
                <w:szCs w:val="21"/>
                <w:highlight w:val="none"/>
                <w:lang w:val="en-US" w:eastAsia="zh-CN"/>
              </w:rPr>
            </w:pPr>
            <w:r>
              <w:rPr>
                <w:rFonts w:hint="eastAsia" w:ascii="宋体" w:hAnsi="宋体" w:cs="宋体"/>
                <w:color w:val="auto"/>
                <w:szCs w:val="21"/>
                <w:highlight w:val="none"/>
              </w:rPr>
              <w:t>广西农业信息化项目监理服务1项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1F405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2464DEF8">
            <w:pPr>
              <w:spacing w:line="360" w:lineRule="auto"/>
              <w:rPr>
                <w:rFonts w:hint="eastAsia" w:ascii="宋体" w:hAnsi="宋体" w:cs="宋体"/>
                <w:color w:val="auto"/>
                <w:kern w:val="0"/>
                <w:sz w:val="22"/>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7</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8.5 </w:t>
            </w:r>
            <w:r>
              <w:rPr>
                <w:rFonts w:hint="eastAsia" w:ascii="宋体" w:hAnsi="宋体" w:cs="宋体"/>
                <w:b/>
                <w:bCs/>
                <w:color w:val="auto"/>
                <w:szCs w:val="21"/>
                <w:highlight w:val="none"/>
              </w:rPr>
              <w:t>万元</w:t>
            </w:r>
          </w:p>
        </w:tc>
      </w:tr>
      <w:tr w14:paraId="0AFE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2392C49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E0E3594">
            <w:pPr>
              <w:snapToGrid w:val="0"/>
              <w:spacing w:line="360" w:lineRule="auto"/>
              <w:jc w:val="center"/>
              <w:rPr>
                <w:rFonts w:hint="eastAsia" w:ascii="宋体"/>
                <w:color w:val="auto"/>
                <w:szCs w:val="21"/>
                <w:highlight w:val="none"/>
                <w:lang w:val="en-US" w:eastAsia="zh-CN"/>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39DD7EBF">
            <w:pPr>
              <w:snapToGrid w:val="0"/>
              <w:spacing w:line="360" w:lineRule="auto"/>
              <w:jc w:val="center"/>
              <w:rPr>
                <w:rFonts w:hint="eastAsia" w:ascii="宋体" w:hAnsi="宋体" w:cs="宋体"/>
                <w:color w:val="auto"/>
                <w:kern w:val="0"/>
                <w:sz w:val="22"/>
                <w:szCs w:val="21"/>
                <w:highlight w:val="none"/>
                <w:lang w:val="en-US" w:eastAsia="zh-CN"/>
              </w:rPr>
            </w:pPr>
            <w:r>
              <w:rPr>
                <w:rFonts w:hint="eastAsia" w:ascii="宋体" w:hAnsi="宋体"/>
                <w:color w:val="auto"/>
                <w:szCs w:val="21"/>
                <w:highlight w:val="none"/>
              </w:rPr>
              <w:t>简要规格描述或项目基本概况介绍、用途</w:t>
            </w:r>
          </w:p>
        </w:tc>
      </w:tr>
      <w:tr w14:paraId="5BC53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7ADBBB80">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6EB54607">
            <w:pPr>
              <w:autoSpaceDE w:val="0"/>
              <w:autoSpaceDN w:val="0"/>
              <w:adjustRightInd w:val="0"/>
              <w:spacing w:before="50" w:after="50" w:line="360" w:lineRule="auto"/>
              <w:jc w:val="center"/>
              <w:rPr>
                <w:rFonts w:hint="eastAsia" w:ascii="宋体"/>
                <w:color w:val="auto"/>
                <w:szCs w:val="21"/>
                <w:highlight w:val="none"/>
                <w:lang w:val="en-US" w:eastAsia="zh-CN"/>
              </w:rPr>
            </w:pPr>
            <w:r>
              <w:rPr>
                <w:rFonts w:hint="eastAsia" w:ascii="宋体"/>
                <w:color w:val="auto"/>
                <w:szCs w:val="21"/>
                <w:highlight w:val="none"/>
                <w:lang w:val="en-US" w:eastAsia="zh-CN"/>
              </w:rPr>
              <w:t xml:space="preserve">广西农业信息化项目验收咨询及审计服务  </w:t>
            </w:r>
          </w:p>
        </w:tc>
        <w:tc>
          <w:tcPr>
            <w:tcW w:w="2875" w:type="pct"/>
            <w:tcBorders>
              <w:top w:val="single" w:color="auto" w:sz="4" w:space="0"/>
              <w:left w:val="single" w:color="auto" w:sz="4" w:space="0"/>
              <w:bottom w:val="single" w:color="auto" w:sz="4" w:space="0"/>
            </w:tcBorders>
            <w:shd w:val="clear" w:color="auto" w:fill="auto"/>
            <w:vAlign w:val="center"/>
          </w:tcPr>
          <w:p w14:paraId="78F86944">
            <w:pPr>
              <w:snapToGrid w:val="0"/>
              <w:spacing w:line="360" w:lineRule="auto"/>
              <w:jc w:val="left"/>
              <w:rPr>
                <w:rFonts w:hint="eastAsia" w:ascii="宋体" w:hAnsi="宋体" w:cs="宋体"/>
                <w:color w:val="auto"/>
                <w:kern w:val="0"/>
                <w:sz w:val="22"/>
                <w:szCs w:val="21"/>
                <w:highlight w:val="none"/>
                <w:lang w:val="en-US" w:eastAsia="zh-CN"/>
              </w:rPr>
            </w:pPr>
            <w:r>
              <w:rPr>
                <w:rFonts w:hint="eastAsia" w:ascii="宋体" w:hAnsi="宋体" w:cs="宋体"/>
                <w:color w:val="auto"/>
                <w:szCs w:val="21"/>
                <w:highlight w:val="none"/>
                <w:lang w:val="en-US" w:eastAsia="zh-CN"/>
              </w:rPr>
              <w:t>广西农业信息化项目验收咨询及审计服务1项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740E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7FDFA5A5">
            <w:pPr>
              <w:snapToGrid w:val="0"/>
              <w:spacing w:line="360" w:lineRule="auto"/>
              <w:jc w:val="left"/>
              <w:rPr>
                <w:rFonts w:hint="eastAsia" w:ascii="宋体" w:hAnsi="宋体" w:cs="宋体"/>
                <w:color w:val="auto"/>
                <w:kern w:val="0"/>
                <w:sz w:val="22"/>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8</w:t>
            </w:r>
            <w:r>
              <w:rPr>
                <w:rFonts w:hint="eastAsia" w:ascii="宋体" w:hAnsi="宋体"/>
                <w:b/>
                <w:bCs/>
                <w:color w:val="auto"/>
                <w:szCs w:val="21"/>
                <w:highlight w:val="none"/>
              </w:rPr>
              <w:t>；预算金额：</w:t>
            </w:r>
            <w:r>
              <w:rPr>
                <w:rFonts w:hint="eastAsia" w:ascii="宋体" w:hAnsi="宋体"/>
                <w:b/>
                <w:bCs/>
                <w:color w:val="auto"/>
                <w:szCs w:val="21"/>
                <w:highlight w:val="none"/>
                <w:u w:val="single"/>
                <w:lang w:val="en-US" w:eastAsia="zh-CN"/>
              </w:rPr>
              <w:t xml:space="preserve"> 12.00 </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p>
        </w:tc>
      </w:tr>
      <w:tr w14:paraId="08CB9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7E3E0EA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70262BB2">
            <w:pPr>
              <w:snapToGrid w:val="0"/>
              <w:spacing w:line="360" w:lineRule="auto"/>
              <w:jc w:val="center"/>
              <w:rPr>
                <w:rFonts w:hint="eastAsia" w:ascii="宋体"/>
                <w:color w:val="auto"/>
                <w:szCs w:val="21"/>
                <w:highlight w:val="none"/>
                <w:lang w:val="en-US" w:eastAsia="zh-CN"/>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1D32C98C">
            <w:pPr>
              <w:snapToGrid w:val="0"/>
              <w:spacing w:line="360" w:lineRule="auto"/>
              <w:jc w:val="center"/>
              <w:rPr>
                <w:rFonts w:hint="eastAsia" w:ascii="宋体" w:hAnsi="宋体" w:cs="宋体"/>
                <w:color w:val="auto"/>
                <w:kern w:val="0"/>
                <w:sz w:val="22"/>
                <w:szCs w:val="21"/>
                <w:highlight w:val="none"/>
                <w:lang w:val="en-US" w:eastAsia="zh-CN"/>
              </w:rPr>
            </w:pPr>
            <w:r>
              <w:rPr>
                <w:rFonts w:hint="eastAsia" w:ascii="宋体" w:hAnsi="宋体"/>
                <w:color w:val="auto"/>
                <w:szCs w:val="21"/>
                <w:highlight w:val="none"/>
              </w:rPr>
              <w:t>简要规格描述或项目基本概况介绍、用途</w:t>
            </w:r>
          </w:p>
        </w:tc>
      </w:tr>
      <w:tr w14:paraId="0D316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450201C7">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5AB60D62">
            <w:pPr>
              <w:autoSpaceDE w:val="0"/>
              <w:autoSpaceDN w:val="0"/>
              <w:adjustRightInd w:val="0"/>
              <w:jc w:val="center"/>
              <w:rPr>
                <w:rFonts w:hint="eastAsia" w:ascii="宋体"/>
                <w:color w:val="auto"/>
                <w:szCs w:val="21"/>
                <w:highlight w:val="none"/>
                <w:lang w:val="en-US" w:eastAsia="zh-CN"/>
              </w:rPr>
            </w:pPr>
            <w:r>
              <w:rPr>
                <w:rFonts w:hint="eastAsia" w:ascii="宋体" w:cs="Times New Roman"/>
                <w:color w:val="auto"/>
                <w:kern w:val="2"/>
                <w:sz w:val="21"/>
                <w:szCs w:val="21"/>
                <w:highlight w:val="none"/>
                <w:lang w:val="en-US" w:eastAsia="zh-CN" w:bidi="ar-SA"/>
              </w:rPr>
              <w:t xml:space="preserve">广西农业农村大数据平台运维服务 </w:t>
            </w:r>
          </w:p>
        </w:tc>
        <w:tc>
          <w:tcPr>
            <w:tcW w:w="2875" w:type="pct"/>
            <w:tcBorders>
              <w:top w:val="single" w:color="auto" w:sz="4" w:space="0"/>
              <w:left w:val="single" w:color="auto" w:sz="4" w:space="0"/>
              <w:bottom w:val="single" w:color="auto" w:sz="4" w:space="0"/>
            </w:tcBorders>
            <w:shd w:val="clear" w:color="auto" w:fill="auto"/>
            <w:vAlign w:val="center"/>
          </w:tcPr>
          <w:p w14:paraId="1A0D9357">
            <w:pPr>
              <w:tabs>
                <w:tab w:val="left" w:pos="180"/>
                <w:tab w:val="left" w:pos="1620"/>
              </w:tabs>
              <w:spacing w:line="360" w:lineRule="auto"/>
              <w:rPr>
                <w:rFonts w:hint="eastAsia" w:ascii="宋体" w:hAnsi="宋体" w:cs="宋体"/>
                <w:color w:val="auto"/>
                <w:kern w:val="0"/>
                <w:sz w:val="22"/>
                <w:szCs w:val="21"/>
                <w:highlight w:val="none"/>
                <w:lang w:val="en-US" w:eastAsia="zh-CN"/>
              </w:rPr>
            </w:pPr>
            <w:r>
              <w:rPr>
                <w:rFonts w:hint="eastAsia" w:ascii="宋体" w:hAnsi="宋体" w:cs="宋体"/>
                <w:color w:val="auto"/>
                <w:szCs w:val="21"/>
                <w:highlight w:val="none"/>
                <w:lang w:val="en-US" w:eastAsia="zh-CN"/>
              </w:rPr>
              <w:t xml:space="preserve">广西农业农村大数据平台运维服务 </w:t>
            </w:r>
            <w:r>
              <w:rPr>
                <w:rFonts w:hint="eastAsia" w:ascii="宋体" w:hAnsi="宋体" w:cs="宋体"/>
                <w:color w:val="auto"/>
                <w:szCs w:val="21"/>
                <w:highlight w:val="none"/>
              </w:rPr>
              <w:t>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13218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5A9029D2">
            <w:pPr>
              <w:snapToGrid w:val="0"/>
              <w:spacing w:line="360" w:lineRule="auto"/>
              <w:jc w:val="left"/>
              <w:rPr>
                <w:rFonts w:hint="eastAsia" w:ascii="宋体" w:hAnsi="宋体" w:cs="宋体"/>
                <w:color w:val="auto"/>
                <w:kern w:val="0"/>
                <w:sz w:val="22"/>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9</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3.56 </w:t>
            </w:r>
            <w:r>
              <w:rPr>
                <w:rFonts w:hint="eastAsia" w:ascii="宋体" w:hAnsi="宋体" w:cs="宋体"/>
                <w:b/>
                <w:bCs/>
                <w:color w:val="auto"/>
                <w:szCs w:val="21"/>
                <w:highlight w:val="none"/>
              </w:rPr>
              <w:t>万元</w:t>
            </w:r>
          </w:p>
        </w:tc>
      </w:tr>
      <w:tr w14:paraId="57652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5F84F59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8DDF902">
            <w:pPr>
              <w:snapToGrid w:val="0"/>
              <w:spacing w:line="360" w:lineRule="auto"/>
              <w:jc w:val="center"/>
              <w:rPr>
                <w:rFonts w:hint="eastAsia" w:ascii="宋体"/>
                <w:color w:val="auto"/>
                <w:szCs w:val="21"/>
                <w:highlight w:val="none"/>
                <w:lang w:val="en-US" w:eastAsia="zh-CN"/>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3F0D55A7">
            <w:pPr>
              <w:snapToGrid w:val="0"/>
              <w:spacing w:line="360" w:lineRule="auto"/>
              <w:jc w:val="center"/>
              <w:rPr>
                <w:rFonts w:hint="eastAsia" w:ascii="宋体" w:hAnsi="宋体" w:cs="宋体"/>
                <w:color w:val="auto"/>
                <w:kern w:val="0"/>
                <w:sz w:val="22"/>
                <w:szCs w:val="21"/>
                <w:highlight w:val="none"/>
                <w:lang w:val="en-US" w:eastAsia="zh-CN"/>
              </w:rPr>
            </w:pPr>
            <w:r>
              <w:rPr>
                <w:rFonts w:hint="eastAsia" w:ascii="宋体" w:hAnsi="宋体"/>
                <w:color w:val="auto"/>
                <w:szCs w:val="21"/>
                <w:highlight w:val="none"/>
              </w:rPr>
              <w:t>简要规格描述或项目基本概况介绍、用途</w:t>
            </w:r>
          </w:p>
        </w:tc>
      </w:tr>
      <w:tr w14:paraId="5D50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73A71B2C">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CFE557B">
            <w:pPr>
              <w:autoSpaceDE w:val="0"/>
              <w:autoSpaceDN w:val="0"/>
              <w:adjustRightInd w:val="0"/>
              <w:spacing w:before="50" w:after="50" w:line="360" w:lineRule="auto"/>
              <w:jc w:val="center"/>
              <w:rPr>
                <w:rFonts w:hint="eastAsia" w:ascii="宋体"/>
                <w:color w:val="auto"/>
                <w:szCs w:val="21"/>
                <w:highlight w:val="none"/>
                <w:lang w:val="en-US" w:eastAsia="zh-CN"/>
              </w:rPr>
            </w:pPr>
            <w:r>
              <w:rPr>
                <w:rFonts w:hint="eastAsia" w:ascii="宋体"/>
                <w:color w:val="auto"/>
                <w:szCs w:val="21"/>
                <w:highlight w:val="none"/>
                <w:lang w:val="en-US" w:eastAsia="zh-CN"/>
              </w:rPr>
              <w:t xml:space="preserve">广西农业农村大数据平台部署服务前期委托咨询服务 </w:t>
            </w:r>
          </w:p>
        </w:tc>
        <w:tc>
          <w:tcPr>
            <w:tcW w:w="2875" w:type="pct"/>
            <w:tcBorders>
              <w:top w:val="single" w:color="auto" w:sz="4" w:space="0"/>
              <w:left w:val="single" w:color="auto" w:sz="4" w:space="0"/>
              <w:bottom w:val="single" w:color="auto" w:sz="4" w:space="0"/>
            </w:tcBorders>
            <w:shd w:val="clear" w:color="auto" w:fill="auto"/>
            <w:vAlign w:val="center"/>
          </w:tcPr>
          <w:p w14:paraId="7E552CBE">
            <w:pPr>
              <w:snapToGrid w:val="0"/>
              <w:spacing w:line="360" w:lineRule="auto"/>
              <w:jc w:val="left"/>
              <w:rPr>
                <w:rFonts w:hint="eastAsia" w:ascii="宋体" w:hAnsi="宋体" w:cs="宋体"/>
                <w:color w:val="auto"/>
                <w:kern w:val="0"/>
                <w:sz w:val="22"/>
                <w:szCs w:val="21"/>
                <w:highlight w:val="none"/>
                <w:lang w:val="en-US" w:eastAsia="zh-CN"/>
              </w:rPr>
            </w:pPr>
            <w:r>
              <w:rPr>
                <w:rFonts w:hint="eastAsia" w:ascii="宋体" w:hAnsi="宋体" w:cs="宋体"/>
                <w:color w:val="auto"/>
                <w:szCs w:val="21"/>
                <w:highlight w:val="none"/>
              </w:rPr>
              <w:t>广西农业农村大数据平台部署服务前期委托咨询服务1项</w:t>
            </w:r>
            <w:r>
              <w:rPr>
                <w:rFonts w:hint="eastAsia" w:ascii="宋体" w:hAnsi="宋体" w:cs="宋体"/>
                <w:color w:val="auto"/>
                <w:szCs w:val="21"/>
                <w:highlight w:val="none"/>
                <w:lang w:val="en-US" w:eastAsia="zh-CN"/>
              </w:rPr>
              <w:t xml:space="preserve"> </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49834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5F8E2CE6">
            <w:pPr>
              <w:snapToGrid w:val="0"/>
              <w:spacing w:line="360" w:lineRule="auto"/>
              <w:jc w:val="left"/>
              <w:rPr>
                <w:rFonts w:hint="eastAsia" w:ascii="宋体" w:hAnsi="宋体" w:cs="宋体"/>
                <w:color w:val="auto"/>
                <w:szCs w:val="21"/>
                <w:highlight w:val="none"/>
                <w:lang w:val="en-US" w:eastAsia="zh-CN"/>
              </w:rPr>
            </w:pPr>
            <w:r>
              <w:rPr>
                <w:rFonts w:hint="eastAsia" w:ascii="宋体" w:hAnsi="宋体"/>
                <w:b/>
                <w:bCs/>
                <w:color w:val="auto"/>
                <w:szCs w:val="21"/>
                <w:highlight w:val="none"/>
              </w:rPr>
              <w:t>分标</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6.44  </w:t>
            </w:r>
            <w:r>
              <w:rPr>
                <w:rFonts w:hint="eastAsia" w:ascii="宋体" w:hAnsi="宋体" w:cs="宋体"/>
                <w:b/>
                <w:bCs/>
                <w:color w:val="auto"/>
                <w:szCs w:val="21"/>
                <w:highlight w:val="none"/>
              </w:rPr>
              <w:t>万元</w:t>
            </w:r>
          </w:p>
        </w:tc>
      </w:tr>
      <w:tr w14:paraId="3940C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859" w:type="dxa"/>
            <w:tcBorders>
              <w:top w:val="single" w:color="auto" w:sz="4" w:space="0"/>
              <w:bottom w:val="single" w:color="auto" w:sz="4" w:space="0"/>
              <w:right w:val="single" w:color="auto" w:sz="4" w:space="0"/>
            </w:tcBorders>
            <w:shd w:val="clear" w:color="auto" w:fill="auto"/>
            <w:vAlign w:val="center"/>
          </w:tcPr>
          <w:p w14:paraId="4A0FE25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14:paraId="0237BB71">
            <w:pPr>
              <w:snapToGrid w:val="0"/>
              <w:spacing w:line="360" w:lineRule="auto"/>
              <w:jc w:val="center"/>
              <w:rPr>
                <w:rFonts w:hint="eastAsia" w:ascii="宋体"/>
                <w:color w:val="auto"/>
                <w:szCs w:val="21"/>
                <w:highlight w:val="none"/>
                <w:lang w:val="en-US" w:eastAsia="zh-CN"/>
              </w:rPr>
            </w:pPr>
            <w:r>
              <w:rPr>
                <w:rFonts w:hint="eastAsia" w:ascii="宋体" w:hAnsi="宋体"/>
                <w:color w:val="auto"/>
                <w:szCs w:val="21"/>
                <w:highlight w:val="none"/>
              </w:rPr>
              <w:t>标项名称</w:t>
            </w:r>
          </w:p>
        </w:tc>
        <w:tc>
          <w:tcPr>
            <w:tcW w:w="5799" w:type="dxa"/>
            <w:tcBorders>
              <w:top w:val="single" w:color="auto" w:sz="4" w:space="0"/>
              <w:left w:val="single" w:color="auto" w:sz="4" w:space="0"/>
              <w:bottom w:val="single" w:color="auto" w:sz="4" w:space="0"/>
            </w:tcBorders>
            <w:shd w:val="clear" w:color="auto" w:fill="auto"/>
            <w:vAlign w:val="center"/>
          </w:tcPr>
          <w:p w14:paraId="392E5827">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olor w:val="auto"/>
                <w:szCs w:val="21"/>
                <w:highlight w:val="none"/>
              </w:rPr>
              <w:t>简要规格描述或项目基本概况介绍、用途</w:t>
            </w:r>
          </w:p>
        </w:tc>
      </w:tr>
      <w:tr w14:paraId="264EA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59E3E4BE">
            <w:pPr>
              <w:snapToGrid w:val="0"/>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4570901C">
            <w:pPr>
              <w:autoSpaceDE w:val="0"/>
              <w:autoSpaceDN w:val="0"/>
              <w:adjustRightInd w:val="0"/>
              <w:spacing w:before="50" w:after="50" w:line="360" w:lineRule="auto"/>
              <w:jc w:val="center"/>
              <w:rPr>
                <w:rFonts w:hint="eastAsia" w:ascii="宋体"/>
                <w:color w:val="auto"/>
                <w:szCs w:val="21"/>
                <w:highlight w:val="none"/>
                <w:lang w:val="en-US" w:eastAsia="zh-CN"/>
              </w:rPr>
            </w:pPr>
            <w:r>
              <w:rPr>
                <w:rFonts w:hint="eastAsia" w:ascii="宋体"/>
                <w:color w:val="auto"/>
                <w:szCs w:val="21"/>
                <w:highlight w:val="none"/>
                <w:lang w:val="en-US" w:eastAsia="zh-CN"/>
              </w:rPr>
              <w:t>广西农业信息中心2026年度信息化运维服务前期委托咨询服务</w:t>
            </w:r>
          </w:p>
        </w:tc>
        <w:tc>
          <w:tcPr>
            <w:tcW w:w="2875" w:type="pct"/>
            <w:tcBorders>
              <w:top w:val="single" w:color="auto" w:sz="4" w:space="0"/>
              <w:left w:val="single" w:color="auto" w:sz="4" w:space="0"/>
              <w:bottom w:val="single" w:color="auto" w:sz="4" w:space="0"/>
            </w:tcBorders>
            <w:shd w:val="clear" w:color="auto" w:fill="auto"/>
            <w:vAlign w:val="center"/>
          </w:tcPr>
          <w:p w14:paraId="298A8CA8">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广西农业信息中心2026年度信息化运维服务前期委托咨询服务</w:t>
            </w:r>
            <w:r>
              <w:rPr>
                <w:rFonts w:hint="eastAsia" w:ascii="宋体" w:hAnsi="宋体" w:cs="宋体"/>
                <w:color w:val="auto"/>
                <w:szCs w:val="21"/>
                <w:highlight w:val="none"/>
              </w:rPr>
              <w:t>1项</w:t>
            </w:r>
            <w:r>
              <w:rPr>
                <w:rFonts w:hint="eastAsia" w:ascii="宋体" w:hAnsi="宋体" w:cs="宋体"/>
                <w:color w:val="auto"/>
                <w:szCs w:val="21"/>
                <w:highlight w:val="none"/>
                <w:lang w:val="en-US" w:eastAsia="zh-CN"/>
              </w:rPr>
              <w:t xml:space="preserve"> </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bl>
    <w:p w14:paraId="6ABA6AA7">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665063B5">
      <w:pPr>
        <w:spacing w:line="360" w:lineRule="auto"/>
        <w:ind w:firstLine="422" w:firstLineChars="200"/>
        <w:rPr>
          <w:rFonts w:ascii="宋体" w:cs="宋体"/>
          <w:b/>
          <w:bCs/>
          <w:color w:val="auto"/>
          <w:szCs w:val="21"/>
          <w:highlight w:val="none"/>
        </w:rPr>
      </w:pPr>
      <w:r>
        <w:rPr>
          <w:rFonts w:hint="eastAsia" w:ascii="宋体" w:hAnsi="宋体"/>
          <w:b/>
          <w:bCs/>
          <w:color w:val="auto"/>
          <w:szCs w:val="21"/>
          <w:highlight w:val="none"/>
        </w:rPr>
        <w:t>本项目</w:t>
      </w:r>
      <w:r>
        <w:rPr>
          <w:rFonts w:hint="eastAsia" w:ascii="宋体" w:hAnsi="宋体"/>
          <w:b/>
          <w:bCs/>
          <w:color w:val="auto"/>
          <w:szCs w:val="21"/>
          <w:highlight w:val="none"/>
          <w:lang w:val="en-US" w:eastAsia="zh-CN"/>
        </w:rPr>
        <w:t>分标1、2、3、4、5、6、8、9、10分标</w:t>
      </w:r>
      <w:r>
        <w:rPr>
          <w:rFonts w:hint="eastAsia" w:ascii="宋体" w:hAnsi="宋体"/>
          <w:b/>
          <w:bCs/>
          <w:color w:val="auto"/>
          <w:szCs w:val="21"/>
          <w:highlight w:val="none"/>
        </w:rPr>
        <w:t>不接受联合体</w:t>
      </w:r>
      <w:r>
        <w:rPr>
          <w:rFonts w:hint="eastAsia" w:ascii="宋体" w:hAnsi="宋体"/>
          <w:b/>
          <w:bCs/>
          <w:color w:val="auto"/>
          <w:szCs w:val="21"/>
          <w:highlight w:val="none"/>
          <w:lang w:val="en-US" w:eastAsia="zh-CN"/>
        </w:rPr>
        <w:t>竞标</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分标7接受联合体竞标</w:t>
      </w:r>
      <w:r>
        <w:rPr>
          <w:rFonts w:hint="eastAsia" w:ascii="宋体" w:hAnsi="宋体"/>
          <w:b/>
          <w:bCs/>
          <w:color w:val="auto"/>
          <w:szCs w:val="21"/>
          <w:highlight w:val="none"/>
        </w:rPr>
        <w:t>。</w:t>
      </w:r>
    </w:p>
    <w:p w14:paraId="5813558D">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二、申请人的资格条件：</w:t>
      </w:r>
    </w:p>
    <w:p w14:paraId="03C6BA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14:paraId="1BD437EA">
      <w:pPr>
        <w:spacing w:line="360" w:lineRule="auto"/>
        <w:ind w:firstLine="420" w:firstLineChars="200"/>
        <w:rPr>
          <w:rFonts w:hint="default" w:ascii="宋体" w:cs="宋体"/>
          <w:color w:val="auto"/>
          <w:szCs w:val="21"/>
          <w:highlight w:val="none"/>
          <w:lang w:val="en-US"/>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6、7、9、10</w:t>
      </w:r>
      <w:r>
        <w:rPr>
          <w:rFonts w:hint="eastAsia" w:ascii="宋体" w:hAnsi="宋体" w:cs="宋体"/>
          <w:color w:val="auto"/>
          <w:szCs w:val="21"/>
          <w:highlight w:val="none"/>
        </w:rPr>
        <w:t>专门面向小微企业采购，供应商应为小微企业或监狱企业或残疾人福利性单位。</w:t>
      </w:r>
    </w:p>
    <w:p w14:paraId="037933AB">
      <w:pPr>
        <w:spacing w:line="360" w:lineRule="auto"/>
        <w:ind w:firstLine="560"/>
        <w:rPr>
          <w:rFonts w:hint="eastAsia" w:ascii="宋体" w:eastAsia="宋体" w:cs="宋体"/>
          <w:color w:val="auto"/>
          <w:szCs w:val="21"/>
          <w:highlight w:val="none"/>
          <w:lang w:val="en-US" w:eastAsia="zh-CN"/>
        </w:rPr>
      </w:pPr>
      <w:r>
        <w:rPr>
          <w:rFonts w:ascii="宋体" w:hAnsi="宋体" w:cs="宋体"/>
          <w:color w:val="auto"/>
          <w:szCs w:val="21"/>
          <w:highlight w:val="none"/>
        </w:rPr>
        <w:t>3</w:t>
      </w:r>
      <w:r>
        <w:rPr>
          <w:rFonts w:hint="eastAsia" w:ascii="宋体" w:hAnsi="宋体" w:cs="宋体"/>
          <w:color w:val="auto"/>
          <w:szCs w:val="21"/>
          <w:highlight w:val="none"/>
        </w:rPr>
        <w:t>、本项目的特定资格要求：</w:t>
      </w:r>
      <w:r>
        <w:rPr>
          <w:rFonts w:hint="eastAsia" w:ascii="宋体" w:hAnsi="宋体" w:cs="宋体"/>
          <w:color w:val="auto"/>
          <w:szCs w:val="21"/>
          <w:highlight w:val="none"/>
          <w:lang w:val="en-US" w:eastAsia="zh-CN"/>
        </w:rPr>
        <w:t>分标7</w:t>
      </w:r>
      <w:r>
        <w:rPr>
          <w:rFonts w:hint="eastAsia" w:ascii="宋体" w:hAnsi="宋体"/>
          <w:color w:val="auto"/>
          <w:szCs w:val="21"/>
          <w:highlight w:val="none"/>
        </w:rPr>
        <w:t>供应商须具备有效的财政主管部门颁发的会计师事务所执业证书</w:t>
      </w:r>
      <w:r>
        <w:rPr>
          <w:rFonts w:hint="eastAsia" w:ascii="宋体" w:hAnsi="宋体"/>
          <w:color w:val="auto"/>
          <w:szCs w:val="21"/>
          <w:highlight w:val="none"/>
          <w:lang w:eastAsia="zh-CN"/>
        </w:rPr>
        <w:t>；</w:t>
      </w:r>
      <w:r>
        <w:rPr>
          <w:rFonts w:hint="eastAsia" w:ascii="宋体" w:hAnsi="宋体" w:cs="宋体"/>
          <w:color w:val="auto"/>
          <w:szCs w:val="21"/>
          <w:highlight w:val="none"/>
          <w:lang w:val="en-US" w:eastAsia="zh-CN"/>
        </w:rPr>
        <w:t>分标9、10</w:t>
      </w:r>
      <w:r>
        <w:rPr>
          <w:rFonts w:hint="eastAsia" w:ascii="宋体" w:hAnsi="宋体" w:cs="仿宋_GB2312"/>
          <w:color w:val="auto"/>
          <w:szCs w:val="21"/>
          <w:highlight w:val="none"/>
        </w:rPr>
        <w:t>供应商</w:t>
      </w:r>
      <w:r>
        <w:rPr>
          <w:rFonts w:hint="eastAsia" w:ascii="宋体" w:hAnsi="宋体" w:cs="仿宋_GB2312"/>
          <w:color w:val="auto"/>
          <w:szCs w:val="21"/>
          <w:highlight w:val="none"/>
          <w:lang w:val="en-US" w:eastAsia="zh-CN"/>
        </w:rPr>
        <w:t>须</w:t>
      </w:r>
      <w:r>
        <w:rPr>
          <w:rFonts w:hint="eastAsia" w:ascii="宋体" w:hAnsi="宋体" w:cs="仿宋_GB2312"/>
          <w:color w:val="auto"/>
          <w:szCs w:val="21"/>
          <w:highlight w:val="none"/>
        </w:rPr>
        <w:t>具有国家住房和城乡建设部颁发的《工程设计资质证书》电子通信广电行业（电子系统工程或通信工程类）专业乙级（含乙级）以上资质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且已通过</w:t>
      </w:r>
      <w:r>
        <w:rPr>
          <w:rFonts w:hint="eastAsia" w:ascii="宋体" w:hAnsi="宋体" w:cs="仿宋_GB2312"/>
          <w:color w:val="auto"/>
          <w:szCs w:val="21"/>
          <w:highlight w:val="none"/>
        </w:rPr>
        <w:t>全国投资项目在线审批监管平台备案</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备案专业：电子、信息工程（含通信、广电、信息化）</w:t>
      </w:r>
      <w:r>
        <w:rPr>
          <w:rFonts w:hint="eastAsia" w:ascii="宋体" w:hAnsi="宋体" w:cs="仿宋_GB2312"/>
          <w:color w:val="auto"/>
          <w:szCs w:val="21"/>
          <w:highlight w:val="none"/>
          <w:lang w:eastAsia="zh-CN"/>
        </w:rPr>
        <w:t>。</w:t>
      </w:r>
    </w:p>
    <w:p w14:paraId="244A0AE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三、获取竞争性磋商文件</w:t>
      </w:r>
    </w:p>
    <w:p w14:paraId="6AD0CE78">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18</w:t>
      </w:r>
      <w:r>
        <w:rPr>
          <w:rFonts w:hint="eastAsia" w:ascii="宋体" w:hAnsi="宋体" w:cs="宋体"/>
          <w:color w:val="auto"/>
          <w:highlight w:val="none"/>
        </w:rPr>
        <w:t>日</w:t>
      </w:r>
      <w:r>
        <w:rPr>
          <w:rFonts w:hint="eastAsia" w:ascii="宋体" w:hAnsi="宋体" w:cs="宋体"/>
          <w:color w:val="auto"/>
          <w:szCs w:val="21"/>
          <w:highlight w:val="none"/>
        </w:rPr>
        <w:t>至</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25</w:t>
      </w:r>
      <w:r>
        <w:rPr>
          <w:rFonts w:hint="eastAsia" w:ascii="宋体" w:hAnsi="宋体" w:cs="宋体"/>
          <w:color w:val="auto"/>
          <w:highlight w:val="none"/>
        </w:rPr>
        <w:t>日</w:t>
      </w:r>
      <w:r>
        <w:rPr>
          <w:rFonts w:hint="eastAsia" w:ascii="宋体" w:hAnsi="宋体" w:cs="宋体"/>
          <w:color w:val="auto"/>
          <w:szCs w:val="21"/>
          <w:highlight w:val="none"/>
        </w:rPr>
        <w:t>，每天上午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w:t>
      </w:r>
      <w:r>
        <w:rPr>
          <w:rFonts w:ascii="宋体" w:hAnsi="宋体" w:cs="宋体"/>
          <w:color w:val="auto"/>
          <w:highlight w:val="none"/>
        </w:rPr>
        <w:t>2</w:t>
      </w:r>
      <w:r>
        <w:rPr>
          <w:rFonts w:ascii="宋体" w:hAnsi="宋体" w:cs="宋体"/>
          <w:color w:val="auto"/>
          <w:szCs w:val="21"/>
          <w:highlight w:val="none"/>
        </w:rPr>
        <w:t>:</w:t>
      </w:r>
      <w:r>
        <w:rPr>
          <w:rFonts w:ascii="宋体" w:cs="宋体"/>
          <w:color w:val="auto"/>
          <w:highlight w:val="none"/>
        </w:rPr>
        <w:t>00</w:t>
      </w:r>
      <w:r>
        <w:rPr>
          <w:rFonts w:ascii="宋体" w:hAnsi="宋体" w:cs="宋体"/>
          <w:color w:val="auto"/>
          <w:szCs w:val="21"/>
          <w:highlight w:val="none"/>
        </w:rPr>
        <w:t>-23:</w:t>
      </w:r>
      <w:r>
        <w:rPr>
          <w:rFonts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79541869">
      <w:pPr>
        <w:spacing w:line="360" w:lineRule="auto"/>
        <w:ind w:firstLine="420" w:firstLineChars="200"/>
        <w:rPr>
          <w:rFonts w:asci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w:t>
      </w:r>
      <w:r>
        <w:rPr>
          <w:rFonts w:ascii="宋体" w:hAnsi="宋体" w:cs="宋体"/>
          <w:color w:val="auto"/>
          <w:highlight w:val="none"/>
        </w:rPr>
        <w:t>https://www.gcy.zfcg.gxzf.gov.cn/</w:t>
      </w:r>
      <w:r>
        <w:rPr>
          <w:rFonts w:hint="eastAsia" w:ascii="宋体" w:hAnsi="宋体" w:cs="宋体"/>
          <w:color w:val="auto"/>
          <w:highlight w:val="none"/>
        </w:rPr>
        <w:t>）。</w:t>
      </w:r>
    </w:p>
    <w:p w14:paraId="65D731AD">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285968F8">
      <w:pPr>
        <w:spacing w:line="360" w:lineRule="auto"/>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3A05CBF6">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四、响应文件提交</w:t>
      </w:r>
    </w:p>
    <w:p w14:paraId="479E9C2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kern w:val="0"/>
          <w:szCs w:val="21"/>
          <w:highlight w:val="none"/>
          <w:lang w:eastAsia="zh-CN"/>
        </w:rPr>
        <w:t>2025年7月29日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4C4C00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）在线提交。</w:t>
      </w:r>
    </w:p>
    <w:p w14:paraId="4A0A9FE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五、开启</w:t>
      </w:r>
    </w:p>
    <w:p w14:paraId="02ADDB14">
      <w:pP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hint="eastAsia" w:ascii="宋体" w:hAnsi="宋体" w:cs="宋体"/>
          <w:bCs/>
          <w:color w:val="auto"/>
          <w:kern w:val="0"/>
          <w:szCs w:val="21"/>
          <w:highlight w:val="none"/>
          <w:lang w:eastAsia="zh-CN"/>
        </w:rPr>
        <w:t>2025年7月29日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2BF87F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、地点：本项目将在广西政府采购云平台电子开标大厅解密、开启。</w:t>
      </w:r>
    </w:p>
    <w:p w14:paraId="2C247DA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六、公告期限</w:t>
      </w:r>
    </w:p>
    <w:p w14:paraId="7E90063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38DF125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七、其他补充事宜</w:t>
      </w:r>
    </w:p>
    <w:p w14:paraId="1077D90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、磋商保证金（人民币）：分标</w:t>
      </w:r>
      <w:r>
        <w:rPr>
          <w:rFonts w:ascii="宋体" w:hAnsi="宋体" w:cs="宋体"/>
          <w:color w:val="auto"/>
          <w:szCs w:val="21"/>
          <w:highlight w:val="none"/>
        </w:rPr>
        <w:t>1</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5500.00</w:t>
      </w:r>
      <w:r>
        <w:rPr>
          <w:rFonts w:hint="eastAsia" w:ascii="宋体" w:hAnsi="宋体" w:cs="宋体"/>
          <w:color w:val="auto"/>
          <w:szCs w:val="21"/>
          <w:highlight w:val="none"/>
        </w:rPr>
        <w:t>元；分标</w:t>
      </w:r>
      <w:r>
        <w:rPr>
          <w:rFonts w:ascii="宋体" w:hAnsi="宋体" w:cs="宋体"/>
          <w:color w:val="auto"/>
          <w:szCs w:val="21"/>
          <w:highlight w:val="none"/>
        </w:rPr>
        <w:t>2</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1800.00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990.00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830.00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900.00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2200.00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850.00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1200.00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300.00</w:t>
      </w:r>
      <w:r>
        <w:rPr>
          <w:rFonts w:hint="eastAsia" w:ascii="宋体" w:hAnsi="宋体" w:cs="宋体"/>
          <w:color w:val="auto"/>
          <w:szCs w:val="21"/>
          <w:highlight w:val="none"/>
        </w:rPr>
        <w:t>元；分标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600.00</w:t>
      </w:r>
      <w:r>
        <w:rPr>
          <w:rFonts w:hint="eastAsia" w:ascii="宋体" w:hAnsi="宋体" w:cs="宋体"/>
          <w:color w:val="auto"/>
          <w:szCs w:val="21"/>
          <w:highlight w:val="none"/>
        </w:rPr>
        <w:t>元。</w:t>
      </w:r>
    </w:p>
    <w:p w14:paraId="08C02DC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51C06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294A8ED">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w:t>
      </w:r>
      <w:r>
        <w:rPr>
          <w:rFonts w:ascii="宋体" w:hAnsi="宋体" w:cs="宋体"/>
          <w:color w:val="auto"/>
          <w:szCs w:val="21"/>
          <w:highlight w:val="none"/>
        </w:rPr>
        <w:t>www.ccgp.gov.cn</w:t>
      </w:r>
      <w:r>
        <w:rPr>
          <w:rFonts w:hint="eastAsia" w:ascii="宋体" w:hAnsi="宋体" w:cs="宋体"/>
          <w:color w:val="auto"/>
          <w:szCs w:val="21"/>
          <w:highlight w:val="none"/>
        </w:rPr>
        <w:t>）、广西政府采购网（</w:t>
      </w:r>
      <w:r>
        <w:rPr>
          <w:rFonts w:ascii="宋体" w:hAnsi="宋体" w:cs="宋体"/>
          <w:color w:val="auto"/>
          <w:szCs w:val="21"/>
          <w:highlight w:val="none"/>
        </w:rPr>
        <w:t>zfcg.gxzf.gov.cn</w:t>
      </w:r>
      <w:r>
        <w:rPr>
          <w:rFonts w:hint="eastAsia" w:ascii="宋体" w:hAnsi="宋体" w:cs="宋体"/>
          <w:color w:val="auto"/>
          <w:szCs w:val="21"/>
          <w:highlight w:val="none"/>
        </w:rPr>
        <w:t>）。</w:t>
      </w:r>
    </w:p>
    <w:p w14:paraId="5900FFDB">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14:paraId="6E824A32">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14:paraId="12470BEB">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14:paraId="405B1BE5">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14:paraId="468CA5B9">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14:paraId="65706B21">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14:paraId="1C1BD64F">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14:paraId="5956874C">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、磋商注意事项：</w:t>
      </w:r>
    </w:p>
    <w:bookmarkEnd w:id="9"/>
    <w:p w14:paraId="1826925F">
      <w:pPr>
        <w:spacing w:line="360" w:lineRule="auto"/>
        <w:ind w:firstLine="630" w:firstLineChars="3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）实行在线电子竞标，供应商应先安装“广西政府采购云平台新版客户端”（新版客户端下载路径：请自行前往广西政府采购网（访问地址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777F62D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认证）的供应商将无法参与本项目政府采购活动，供应商应当在竞标截止时间前，完成电子交易平台上的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数字证书办理及响应文件的提交（供应商可登录“广西政府采购网”，依次进入“办事服务</w:t>
      </w:r>
      <w:r>
        <w:rPr>
          <w:rFonts w:ascii="宋体" w:cs="宋体"/>
          <w:color w:val="auto"/>
          <w:szCs w:val="21"/>
          <w:highlight w:val="none"/>
        </w:rPr>
        <w:t>-</w:t>
      </w:r>
      <w:r>
        <w:rPr>
          <w:rFonts w:hint="eastAsia" w:ascii="宋体" w:hAnsi="宋体" w:cs="宋体"/>
          <w:color w:val="auto"/>
          <w:szCs w:val="21"/>
          <w:highlight w:val="none"/>
        </w:rPr>
        <w:t>下载专区”或者登陆“广西政府采购云平台”，依次进入“服务中心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入驻与配置”中查看</w:t>
      </w:r>
      <w:r>
        <w:rPr>
          <w:rFonts w:ascii="宋体" w:hAnsi="宋体" w:cs="宋体"/>
          <w:color w:val="auto"/>
          <w:szCs w:val="21"/>
          <w:highlight w:val="none"/>
        </w:rPr>
        <w:t>CA</w:t>
      </w:r>
      <w:r>
        <w:rPr>
          <w:rFonts w:hint="eastAsia" w:ascii="宋体" w:hAnsi="宋体" w:cs="宋体"/>
          <w:color w:val="auto"/>
          <w:szCs w:val="21"/>
          <w:highlight w:val="none"/>
        </w:rPr>
        <w:t>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w:t>
      </w:r>
      <w:r>
        <w:rPr>
          <w:rFonts w:ascii="宋体" w:hAnsi="宋体" w:cs="宋体"/>
          <w:color w:val="auto"/>
          <w:szCs w:val="21"/>
          <w:highlight w:val="none"/>
        </w:rPr>
        <w:t>95763</w:t>
      </w:r>
      <w:r>
        <w:rPr>
          <w:rFonts w:hint="eastAsia" w:ascii="宋体" w:hAnsi="宋体" w:cs="宋体"/>
          <w:color w:val="auto"/>
          <w:szCs w:val="21"/>
          <w:highlight w:val="none"/>
        </w:rPr>
        <w:t>）。</w:t>
      </w:r>
    </w:p>
    <w:p w14:paraId="4B87170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证书在线解密：供应商竞标时，需凭制作响应文件时用来加密的有效数字证书（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认证）登录“广西政府采购云平台”电子开标大厅现场按规定时间对加密的响应文件进行解密，否则后果自负。</w:t>
      </w:r>
    </w:p>
    <w:p w14:paraId="4AA3BE6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）为确保网上操作合法、有效和安全，请供应商确保在电子投标过程中能够对相关数据电文进行加密和使用电子签章，妥善保管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r>
        <w:rPr>
          <w:rFonts w:ascii="宋体" w:hAnsi="宋体" w:cs="宋体"/>
          <w:color w:val="auto"/>
          <w:szCs w:val="21"/>
          <w:highlight w:val="none"/>
        </w:rPr>
        <w:t>2</w:t>
      </w:r>
      <w:r>
        <w:rPr>
          <w:rFonts w:hint="eastAsia" w:ascii="宋体" w:hAnsi="宋体" w:cs="宋体"/>
          <w:color w:val="auto"/>
          <w:szCs w:val="21"/>
          <w:highlight w:val="none"/>
        </w:rPr>
        <w:t>）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0B4CBD4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）供应商需要在具备有摄像头及语音功能且互联网网络状况良好的电脑登录“广西政府采购云平台”远程开标大厅参与本次磋商，否则后果自负。</w:t>
      </w:r>
    </w:p>
    <w:p w14:paraId="280A4FA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）若对项目采购电子交易系统操作有疑问，可登录“广西政府采购云平台”（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），点击右侧咨询小采，获取采小蜜智能服务管家帮助，或拨打广西政府采购云平台服务热线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14:paraId="51DA9D97">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71EDD17C">
      <w:pPr>
        <w:spacing w:line="360" w:lineRule="auto"/>
        <w:ind w:firstLine="567" w:firstLineChars="270"/>
        <w:rPr>
          <w:rFonts w:ascii="宋体" w:cs="宋体"/>
          <w:color w:val="auto"/>
          <w:szCs w:val="21"/>
          <w:highlight w:val="none"/>
        </w:rPr>
      </w:pPr>
      <w:bookmarkStart w:id="15" w:name="_Toc28359096"/>
      <w:bookmarkStart w:id="16" w:name="_Toc28359019"/>
      <w:bookmarkStart w:id="17" w:name="_Toc35393806"/>
      <w:bookmarkStart w:id="18" w:name="_Toc35393637"/>
      <w:r>
        <w:rPr>
          <w:rFonts w:ascii="宋体" w:hAnsi="宋体" w:cs="宋体"/>
          <w:color w:val="auto"/>
          <w:szCs w:val="21"/>
          <w:highlight w:val="none"/>
        </w:rPr>
        <w:t>1.</w:t>
      </w:r>
      <w:r>
        <w:rPr>
          <w:rFonts w:hint="eastAsia" w:ascii="宋体" w:hAnsi="宋体" w:cs="宋体"/>
          <w:color w:val="auto"/>
          <w:szCs w:val="21"/>
          <w:highlight w:val="none"/>
        </w:rPr>
        <w:t>采购人信息</w:t>
      </w:r>
    </w:p>
    <w:p w14:paraId="1EBB691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称：广西壮族自治区农业信息中心</w:t>
      </w:r>
    </w:p>
    <w:p w14:paraId="540C61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地址：广西南宁市七星路</w:t>
      </w:r>
      <w:r>
        <w:rPr>
          <w:rFonts w:ascii="宋体" w:hAnsi="宋体" w:cs="宋体"/>
          <w:color w:val="auto"/>
          <w:szCs w:val="21"/>
          <w:highlight w:val="none"/>
        </w:rPr>
        <w:t>135</w:t>
      </w:r>
      <w:r>
        <w:rPr>
          <w:rFonts w:hint="eastAsia" w:ascii="宋体" w:hAnsi="宋体" w:cs="宋体"/>
          <w:color w:val="auto"/>
          <w:szCs w:val="21"/>
          <w:highlight w:val="none"/>
        </w:rPr>
        <w:t>号　</w:t>
      </w:r>
    </w:p>
    <w:p w14:paraId="5B056AE5">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曾</w:t>
      </w:r>
      <w:r>
        <w:rPr>
          <w:rFonts w:hint="eastAsia" w:ascii="宋体" w:hAnsi="宋体" w:cs="宋体"/>
          <w:color w:val="auto"/>
          <w:szCs w:val="21"/>
          <w:highlight w:val="none"/>
          <w:lang w:eastAsia="zh-CN"/>
        </w:rPr>
        <w:t>工</w:t>
      </w:r>
      <w:r>
        <w:rPr>
          <w:rFonts w:hint="eastAsia" w:ascii="宋体" w:hAnsi="宋体" w:cs="宋体"/>
          <w:color w:val="auto"/>
          <w:szCs w:val="21"/>
          <w:highlight w:val="none"/>
        </w:rPr>
        <w:t>　</w:t>
      </w:r>
      <w:bookmarkStart w:id="19" w:name="_Toc28359086"/>
      <w:bookmarkStart w:id="20" w:name="_Toc28359009"/>
      <w:r>
        <w:rPr>
          <w:rFonts w:ascii="宋体" w:hAnsi="宋体" w:cs="宋体"/>
          <w:color w:val="auto"/>
          <w:szCs w:val="21"/>
          <w:highlight w:val="none"/>
        </w:rPr>
        <w:t xml:space="preserve"> </w:t>
      </w:r>
      <w:r>
        <w:rPr>
          <w:rFonts w:hint="eastAsia" w:ascii="宋体" w:hAnsi="宋体" w:cs="宋体"/>
          <w:color w:val="auto"/>
          <w:szCs w:val="21"/>
          <w:highlight w:val="none"/>
        </w:rPr>
        <w:t>0771-2182775</w:t>
      </w:r>
      <w:r>
        <w:rPr>
          <w:rFonts w:ascii="宋体" w:hAnsi="宋体" w:cs="宋体"/>
          <w:color w:val="auto"/>
          <w:szCs w:val="21"/>
          <w:highlight w:val="none"/>
        </w:rPr>
        <w:t xml:space="preserve"> </w:t>
      </w:r>
    </w:p>
    <w:p w14:paraId="6981093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19"/>
      <w:bookmarkEnd w:id="20"/>
    </w:p>
    <w:p w14:paraId="54C79D6D">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称：广西国泰招标咨询有限公司</w:t>
      </w:r>
    </w:p>
    <w:p w14:paraId="3A25C67F">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　址：广西南宁市民族大道</w:t>
      </w:r>
      <w:r>
        <w:rPr>
          <w:rFonts w:ascii="宋体" w:hAnsi="宋体" w:cs="宋体"/>
          <w:color w:val="auto"/>
          <w:szCs w:val="21"/>
          <w:highlight w:val="none"/>
        </w:rPr>
        <w:t>141</w:t>
      </w:r>
      <w:r>
        <w:rPr>
          <w:rFonts w:hint="eastAsia" w:ascii="宋体" w:hAnsi="宋体" w:cs="宋体"/>
          <w:color w:val="auto"/>
          <w:szCs w:val="21"/>
          <w:highlight w:val="none"/>
        </w:rPr>
        <w:t>号中鼎万象东方大厦</w:t>
      </w:r>
      <w:r>
        <w:rPr>
          <w:rFonts w:ascii="宋体" w:hAnsi="宋体" w:cs="宋体"/>
          <w:color w:val="auto"/>
          <w:szCs w:val="21"/>
          <w:highlight w:val="none"/>
        </w:rPr>
        <w:t>D</w:t>
      </w:r>
      <w:r>
        <w:rPr>
          <w:rFonts w:hint="eastAsia" w:ascii="宋体" w:hAnsi="宋体" w:cs="宋体"/>
          <w:color w:val="auto"/>
          <w:szCs w:val="21"/>
          <w:highlight w:val="none"/>
        </w:rPr>
        <w:t>区六层</w:t>
      </w:r>
      <w:r>
        <w:rPr>
          <w:rFonts w:ascii="宋体" w:hAnsi="宋体" w:cs="宋体"/>
          <w:color w:val="auto"/>
          <w:szCs w:val="21"/>
          <w:highlight w:val="none"/>
        </w:rPr>
        <w:t>D607</w:t>
      </w:r>
    </w:p>
    <w:p w14:paraId="6B4CDAA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联系方式：</w:t>
      </w:r>
      <w:bookmarkStart w:id="21" w:name="_Toc28359010"/>
      <w:bookmarkStart w:id="22" w:name="_Toc28359087"/>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ascii="宋体" w:hAnsi="宋体" w:cs="宋体"/>
          <w:color w:val="auto"/>
          <w:szCs w:val="21"/>
          <w:highlight w:val="none"/>
        </w:rPr>
        <w:t xml:space="preserve">   0771-2023496</w:t>
      </w:r>
      <w:r>
        <w:rPr>
          <w:rFonts w:hint="eastAsia" w:ascii="宋体" w:hAnsi="宋体" w:cs="宋体"/>
          <w:color w:val="auto"/>
          <w:szCs w:val="21"/>
          <w:highlight w:val="none"/>
        </w:rPr>
        <w:t>　</w:t>
      </w:r>
    </w:p>
    <w:p w14:paraId="4851A06E">
      <w:pPr>
        <w:spacing w:line="360" w:lineRule="auto"/>
        <w:ind w:firstLine="567" w:firstLineChars="27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项目联系方式</w:t>
      </w:r>
      <w:bookmarkEnd w:id="21"/>
      <w:bookmarkEnd w:id="22"/>
    </w:p>
    <w:p w14:paraId="0714C824">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项目联系人：</w:t>
      </w:r>
      <w:r>
        <w:rPr>
          <w:rFonts w:ascii="宋体" w:hAnsi="宋体" w:cs="宋体"/>
          <w:color w:val="auto"/>
          <w:szCs w:val="21"/>
          <w:highlight w:val="none"/>
        </w:rPr>
        <w:t xml:space="preserve">  </w:t>
      </w:r>
      <w:r>
        <w:rPr>
          <w:rFonts w:hint="eastAsia" w:ascii="宋体" w:hAnsi="宋体" w:cs="宋体"/>
          <w:color w:val="auto"/>
          <w:szCs w:val="21"/>
          <w:highlight w:val="none"/>
        </w:rPr>
        <w:t>黄</w:t>
      </w:r>
      <w:r>
        <w:rPr>
          <w:rFonts w:hint="eastAsia" w:ascii="宋体" w:hAnsi="宋体" w:cs="宋体"/>
          <w:color w:val="auto"/>
          <w:szCs w:val="21"/>
          <w:highlight w:val="none"/>
          <w:lang w:eastAsia="zh-CN"/>
        </w:rPr>
        <w:t>柳娜</w:t>
      </w:r>
      <w:r>
        <w:rPr>
          <w:rFonts w:ascii="宋体" w:hAnsi="宋体" w:cs="宋体"/>
          <w:color w:val="auto"/>
          <w:szCs w:val="21"/>
          <w:highlight w:val="none"/>
        </w:rPr>
        <w:t xml:space="preserve">      </w:t>
      </w:r>
    </w:p>
    <w:p w14:paraId="6B9C0238">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电　话：　</w:t>
      </w:r>
      <w:r>
        <w:rPr>
          <w:rFonts w:ascii="宋体" w:hAnsi="宋体" w:cs="宋体"/>
          <w:color w:val="auto"/>
          <w:szCs w:val="21"/>
          <w:highlight w:val="none"/>
        </w:rPr>
        <w:t>0771-2023496</w:t>
      </w:r>
      <w:r>
        <w:rPr>
          <w:rFonts w:hint="eastAsia" w:ascii="宋体" w:hAnsi="宋体" w:cs="宋体"/>
          <w:color w:val="auto"/>
          <w:szCs w:val="21"/>
          <w:highlight w:val="none"/>
        </w:rPr>
        <w:t>　　</w:t>
      </w:r>
    </w:p>
    <w:p w14:paraId="15057FD9">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7C6BC436">
      <w:pPr>
        <w:spacing w:line="360" w:lineRule="auto"/>
        <w:ind w:firstLine="6862" w:firstLineChars="3268"/>
        <w:rPr>
          <w:rFonts w:ascii="宋体" w:cs="宋体"/>
          <w:color w:val="auto"/>
          <w:szCs w:val="21"/>
          <w:highlight w:val="none"/>
        </w:rPr>
      </w:pPr>
      <w:r>
        <w:rPr>
          <w:rFonts w:hint="eastAsia" w:ascii="宋体" w:hAnsi="宋体" w:cs="宋体"/>
          <w:color w:val="auto"/>
          <w:szCs w:val="21"/>
          <w:highlight w:val="none"/>
        </w:rPr>
        <w:t>广西国泰招标咨询有限公司</w:t>
      </w:r>
    </w:p>
    <w:p w14:paraId="24E5FD1B">
      <w:pPr>
        <w:spacing w:line="360" w:lineRule="auto"/>
        <w:ind w:firstLine="6652" w:firstLineChars="3168"/>
        <w:jc w:val="center"/>
        <w:rPr>
          <w:rFonts w:ascii="宋体" w:cs="宋体"/>
          <w:color w:val="auto"/>
          <w:sz w:val="32"/>
          <w:szCs w:val="32"/>
          <w:highlight w:val="none"/>
        </w:rPr>
      </w:pPr>
      <w:r>
        <w:rPr>
          <w:rFonts w:ascii="宋体" w:hAnsi="宋体" w:cs="宋体"/>
          <w:color w:val="auto"/>
          <w:szCs w:val="21"/>
          <w:highlight w:val="none"/>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ascii="宋体" w:hAnsi="宋体" w:cs="宋体"/>
          <w:b w:val="0"/>
          <w:bCs w:val="0"/>
          <w:color w:val="auto"/>
          <w:kern w:val="2"/>
          <w:sz w:val="21"/>
          <w:szCs w:val="21"/>
          <w:highlight w:val="none"/>
        </w:rPr>
        <w:t xml:space="preserve">                                           </w:t>
      </w:r>
      <w:bookmarkEnd w:id="2"/>
      <w:bookmarkEnd w:id="15"/>
      <w:bookmarkEnd w:id="16"/>
      <w:bookmarkEnd w:id="17"/>
      <w:bookmarkEnd w:id="18"/>
      <w:r>
        <w:rPr>
          <w:rFonts w:ascii="宋体" w:hAnsi="宋体" w:cs="宋体"/>
          <w:b w:val="0"/>
          <w:bCs w:val="0"/>
          <w:color w:val="auto"/>
          <w:kern w:val="2"/>
          <w:sz w:val="21"/>
          <w:szCs w:val="21"/>
          <w:highlight w:val="none"/>
        </w:rPr>
        <w:br w:type="page"/>
      </w:r>
      <w:bookmarkStart w:id="23" w:name="_Toc23903"/>
      <w:r>
        <w:rPr>
          <w:rStyle w:val="38"/>
          <w:rFonts w:hint="eastAsia"/>
          <w:color w:val="auto"/>
          <w:highlight w:val="none"/>
        </w:rPr>
        <w:t>第二章</w:t>
      </w:r>
      <w:r>
        <w:rPr>
          <w:rStyle w:val="38"/>
          <w:color w:val="auto"/>
          <w:highlight w:val="none"/>
        </w:rPr>
        <w:t xml:space="preserve"> </w:t>
      </w:r>
      <w:r>
        <w:rPr>
          <w:rStyle w:val="38"/>
          <w:rFonts w:hint="eastAsia"/>
          <w:color w:val="auto"/>
          <w:highlight w:val="none"/>
        </w:rPr>
        <w:t>供应商须知</w:t>
      </w:r>
      <w:bookmarkEnd w:id="23"/>
    </w:p>
    <w:p w14:paraId="53A84799">
      <w:pPr>
        <w:jc w:val="center"/>
        <w:rPr>
          <w:b/>
          <w:bCs/>
          <w:color w:val="auto"/>
          <w:sz w:val="32"/>
          <w:szCs w:val="32"/>
          <w:highlight w:val="none"/>
        </w:rPr>
      </w:pPr>
      <w:r>
        <w:rPr>
          <w:rFonts w:hint="eastAsia"/>
          <w:b/>
          <w:bCs/>
          <w:color w:val="auto"/>
          <w:sz w:val="32"/>
          <w:szCs w:val="32"/>
          <w:highlight w:val="none"/>
        </w:rPr>
        <w:t>供应商须知前附表</w:t>
      </w:r>
    </w:p>
    <w:p w14:paraId="0C58E392">
      <w:pPr>
        <w:rPr>
          <w:color w:val="auto"/>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774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68A4790">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27" w:type="dxa"/>
          </w:tcPr>
          <w:p w14:paraId="0D8AC6C4">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14:paraId="6C4B9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F3ABA">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27" w:type="dxa"/>
            <w:vAlign w:val="center"/>
          </w:tcPr>
          <w:p w14:paraId="1104225A">
            <w:pPr>
              <w:spacing w:line="360" w:lineRule="auto"/>
              <w:rPr>
                <w:rFonts w:asci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37FD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5D151B">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27" w:type="dxa"/>
            <w:vAlign w:val="center"/>
          </w:tcPr>
          <w:p w14:paraId="7DAACCBC">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17E4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524A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8627" w:type="dxa"/>
            <w:vAlign w:val="center"/>
          </w:tcPr>
          <w:p w14:paraId="6289CB9F">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1FE36B89">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 公司与 XXX 公司的联合体”的规则填写。</w:t>
            </w:r>
            <w:r>
              <w:rPr>
                <w:rFonts w:hint="eastAsia" w:ascii="宋体" w:hAnsi="宋体"/>
                <w:color w:val="auto"/>
                <w:szCs w:val="21"/>
                <w:highlight w:val="none"/>
              </w:rPr>
              <w:tab/>
            </w:r>
          </w:p>
          <w:p w14:paraId="6298FE5A">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6E6DD026">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olor w:val="auto"/>
                <w:szCs w:val="21"/>
                <w:highlight w:val="none"/>
              </w:rPr>
              <w:tab/>
            </w:r>
          </w:p>
          <w:p w14:paraId="127FDD76">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olor w:val="auto"/>
                <w:szCs w:val="21"/>
                <w:highlight w:val="none"/>
              </w:rPr>
              <w:tab/>
            </w:r>
            <w:r>
              <w:rPr>
                <w:rFonts w:hint="eastAsia" w:ascii="宋体" w:hAnsi="宋体"/>
                <w:color w:val="auto"/>
                <w:szCs w:val="21"/>
                <w:highlight w:val="none"/>
              </w:rPr>
              <w:tab/>
            </w:r>
          </w:p>
          <w:p w14:paraId="6A9397AB">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r>
              <w:rPr>
                <w:rFonts w:hint="eastAsia" w:ascii="宋体" w:hAnsi="宋体"/>
                <w:color w:val="auto"/>
                <w:szCs w:val="21"/>
                <w:highlight w:val="none"/>
              </w:rPr>
              <w:tab/>
            </w:r>
            <w:r>
              <w:rPr>
                <w:rFonts w:hint="eastAsia" w:ascii="宋体" w:hAnsi="宋体"/>
                <w:color w:val="auto"/>
                <w:szCs w:val="21"/>
                <w:highlight w:val="none"/>
              </w:rPr>
              <w:tab/>
            </w:r>
          </w:p>
          <w:p w14:paraId="59AD8E0D">
            <w:pPr>
              <w:spacing w:line="360" w:lineRule="auto"/>
              <w:rPr>
                <w:rFonts w:hint="eastAsia" w:ascii="宋体" w:hAnsi="宋体" w:cs="宋体"/>
                <w:color w:val="auto"/>
                <w:szCs w:val="21"/>
                <w:highlight w:val="none"/>
              </w:rPr>
            </w:pPr>
            <w:r>
              <w:rPr>
                <w:rFonts w:hint="eastAsia" w:ascii="宋体" w:hAnsi="宋体"/>
                <w:color w:val="auto"/>
                <w:szCs w:val="21"/>
                <w:highlight w:val="none"/>
              </w:rPr>
              <w:t>6、联合体各方均应按照竞争性磋商文件的规定提交资格证明文件。</w:t>
            </w:r>
          </w:p>
        </w:tc>
      </w:tr>
      <w:tr w14:paraId="0EDB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EF17E7">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27" w:type="dxa"/>
            <w:vAlign w:val="center"/>
          </w:tcPr>
          <w:p w14:paraId="2A83D339">
            <w:pPr>
              <w:pStyle w:val="13"/>
              <w:spacing w:line="400" w:lineRule="exact"/>
              <w:rPr>
                <w:rFonts w:ascii="宋体" w:cs="宋体"/>
                <w:color w:val="auto"/>
                <w:szCs w:val="21"/>
                <w:highlight w:val="none"/>
              </w:rPr>
            </w:pPr>
            <w:r>
              <w:rPr>
                <w:rFonts w:hint="eastAsia" w:ascii="宋体" w:hAnsi="宋体" w:cs="宋体"/>
                <w:color w:val="auto"/>
                <w:szCs w:val="21"/>
                <w:highlight w:val="none"/>
              </w:rPr>
              <w:t>本项目不允许分包。</w:t>
            </w:r>
          </w:p>
        </w:tc>
      </w:tr>
      <w:tr w14:paraId="2FA2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DF3B34">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27" w:type="dxa"/>
            <w:vAlign w:val="center"/>
          </w:tcPr>
          <w:p w14:paraId="22657D79">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74A0A9F3">
            <w:pPr>
              <w:pStyle w:val="13"/>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886C82">
            <w:pPr>
              <w:spacing w:line="360" w:lineRule="auto"/>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0D54E7">
            <w:pPr>
              <w:spacing w:line="360" w:lineRule="auto"/>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月连续</w:t>
            </w:r>
            <w:r>
              <w:rPr>
                <w:rFonts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1C9048">
            <w:pPr>
              <w:spacing w:line="360" w:lineRule="auto"/>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w:t>
            </w:r>
            <w:r>
              <w:rPr>
                <w:rFonts w:ascii="宋体" w:hAnsi="宋体" w:cs="宋体"/>
                <w:color w:val="auto"/>
                <w:szCs w:val="21"/>
                <w:highlight w:val="none"/>
              </w:rPr>
              <w:t>2023</w:t>
            </w:r>
            <w:r>
              <w:rPr>
                <w:rFonts w:hint="eastAsia" w:ascii="宋体" w:hAnsi="宋体" w:cs="宋体"/>
                <w:color w:val="auto"/>
                <w:szCs w:val="21"/>
                <w:highlight w:val="none"/>
              </w:rPr>
              <w:t>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22E302FD">
            <w:pPr>
              <w:snapToGrid w:val="0"/>
              <w:spacing w:line="360" w:lineRule="auto"/>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D6E7B5">
            <w:pPr>
              <w:snapToGrid w:val="0"/>
              <w:spacing w:line="360" w:lineRule="auto"/>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55E118">
            <w:pPr>
              <w:snapToGrid w:val="0"/>
              <w:spacing w:line="360" w:lineRule="auto"/>
              <w:jc w:val="left"/>
              <w:rPr>
                <w:rFonts w:ascii="宋体" w:cs="宋体"/>
                <w:b/>
                <w:bCs/>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lang w:val="en-US" w:eastAsia="zh-CN"/>
              </w:rPr>
              <w:t>分标1、2、3、6、7、9、10</w:t>
            </w:r>
            <w:r>
              <w:rPr>
                <w:rFonts w:hint="eastAsia" w:ascii="宋体" w:hAnsi="宋体" w:cs="宋体"/>
                <w:b/>
                <w:color w:val="auto"/>
                <w:szCs w:val="21"/>
                <w:highlight w:val="none"/>
              </w:rPr>
              <w:t>必须提供，否则响应文件按无效响应处理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分标4、5、8如有，请提供</w:t>
            </w:r>
            <w:r>
              <w:rPr>
                <w:rFonts w:hint="eastAsia" w:ascii="宋体" w:hAnsi="宋体" w:cs="宋体"/>
                <w:color w:val="auto"/>
                <w:szCs w:val="21"/>
                <w:highlight w:val="none"/>
              </w:rPr>
              <w:t>）</w:t>
            </w:r>
          </w:p>
          <w:p w14:paraId="59B5B45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5D0FD0A9">
            <w:pPr>
              <w:snapToGrid w:val="0"/>
              <w:spacing w:line="360" w:lineRule="auto"/>
              <w:jc w:val="left"/>
              <w:rPr>
                <w:rFonts w:hint="eastAsia" w:ascii="宋体" w:hAnsi="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olor w:val="auto"/>
                <w:szCs w:val="21"/>
                <w:highlight w:val="none"/>
              </w:rPr>
              <w:t>供应商须具备有效的财政主管部门颁发的会计师事务所执业证书</w:t>
            </w:r>
            <w:r>
              <w:rPr>
                <w:rFonts w:hint="eastAsia" w:ascii="宋体" w:hAnsi="宋体"/>
                <w:color w:val="auto"/>
                <w:szCs w:val="21"/>
                <w:highlight w:val="none"/>
                <w:lang w:eastAsia="zh-CN"/>
              </w:rPr>
              <w:t>；（</w:t>
            </w:r>
            <w:r>
              <w:rPr>
                <w:rFonts w:hint="eastAsia" w:ascii="宋体" w:hAnsi="宋体" w:cs="宋体"/>
                <w:b/>
                <w:bCs/>
                <w:color w:val="auto"/>
                <w:szCs w:val="21"/>
                <w:highlight w:val="none"/>
                <w:lang w:val="en-US" w:eastAsia="zh-CN"/>
              </w:rPr>
              <w:t>分标7</w:t>
            </w:r>
            <w:r>
              <w:rPr>
                <w:rFonts w:hint="eastAsia" w:ascii="宋体" w:hAnsi="宋体" w:cs="宋体"/>
                <w:b/>
                <w:bCs/>
                <w:color w:val="auto"/>
                <w:szCs w:val="21"/>
                <w:highlight w:val="none"/>
              </w:rPr>
              <w:t>必</w:t>
            </w:r>
            <w:r>
              <w:rPr>
                <w:rFonts w:hint="eastAsia" w:ascii="宋体" w:hAnsi="宋体" w:cs="宋体"/>
                <w:b/>
                <w:color w:val="auto"/>
                <w:szCs w:val="21"/>
                <w:highlight w:val="none"/>
              </w:rPr>
              <w:t>须提供，否则响应文件按无效响应处理</w:t>
            </w:r>
            <w:r>
              <w:rPr>
                <w:rFonts w:hint="eastAsia" w:ascii="宋体" w:hAnsi="宋体"/>
                <w:color w:val="auto"/>
                <w:szCs w:val="21"/>
                <w:highlight w:val="none"/>
                <w:lang w:eastAsia="zh-CN"/>
              </w:rPr>
              <w:t>）</w:t>
            </w:r>
          </w:p>
          <w:p w14:paraId="70E0B5B2">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s="仿宋_GB2312"/>
                <w:color w:val="auto"/>
                <w:szCs w:val="21"/>
                <w:highlight w:val="none"/>
              </w:rPr>
              <w:t>供应商</w:t>
            </w:r>
            <w:r>
              <w:rPr>
                <w:rFonts w:hint="eastAsia" w:ascii="宋体" w:hAnsi="宋体" w:cs="仿宋_GB2312"/>
                <w:color w:val="auto"/>
                <w:szCs w:val="21"/>
                <w:highlight w:val="none"/>
                <w:lang w:val="en-US" w:eastAsia="zh-CN"/>
              </w:rPr>
              <w:t>须</w:t>
            </w:r>
            <w:r>
              <w:rPr>
                <w:rFonts w:hint="eastAsia" w:ascii="宋体" w:hAnsi="宋体" w:cs="仿宋_GB2312"/>
                <w:color w:val="auto"/>
                <w:szCs w:val="21"/>
                <w:highlight w:val="none"/>
              </w:rPr>
              <w:t>具有国家住房和城乡建设部颁发的《工程设计资质证书》电子通信广电行业（电子系统工程或通信工程类）专业乙级（含乙级）以上资质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且已通过</w:t>
            </w:r>
            <w:r>
              <w:rPr>
                <w:rFonts w:hint="eastAsia" w:ascii="宋体" w:hAnsi="宋体" w:cs="仿宋_GB2312"/>
                <w:color w:val="auto"/>
                <w:szCs w:val="21"/>
                <w:highlight w:val="none"/>
              </w:rPr>
              <w:t>全国投资项目在线审批监管平台备案</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备案专业：电子、信息工程（含通信、广电、信息化）</w:t>
            </w:r>
            <w:r>
              <w:rPr>
                <w:rFonts w:hint="eastAsia" w:ascii="宋体" w:hAnsi="宋体" w:cs="仿宋_GB2312"/>
                <w:color w:val="auto"/>
                <w:szCs w:val="21"/>
                <w:highlight w:val="none"/>
                <w:lang w:eastAsia="zh-CN"/>
              </w:rPr>
              <w:t>；（</w:t>
            </w:r>
            <w:r>
              <w:rPr>
                <w:rFonts w:hint="eastAsia" w:ascii="宋体" w:hAnsi="宋体" w:cs="宋体"/>
                <w:b/>
                <w:color w:val="auto"/>
                <w:szCs w:val="21"/>
                <w:highlight w:val="none"/>
                <w:lang w:val="en-US" w:eastAsia="zh-CN"/>
              </w:rPr>
              <w:t>分标9、10</w:t>
            </w:r>
            <w:r>
              <w:rPr>
                <w:rFonts w:hint="eastAsia" w:ascii="宋体" w:hAnsi="宋体" w:cs="宋体"/>
                <w:b/>
                <w:color w:val="auto"/>
                <w:szCs w:val="21"/>
                <w:highlight w:val="none"/>
              </w:rPr>
              <w:t>必须提供，否则响应文件按无效响应处理</w:t>
            </w:r>
            <w:r>
              <w:rPr>
                <w:rFonts w:hint="eastAsia" w:ascii="宋体" w:hAnsi="宋体" w:cs="仿宋_GB2312"/>
                <w:color w:val="auto"/>
                <w:szCs w:val="21"/>
                <w:highlight w:val="none"/>
                <w:lang w:eastAsia="zh-CN"/>
              </w:rPr>
              <w:t>）</w:t>
            </w:r>
          </w:p>
          <w:p w14:paraId="5F1AA2C6">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、除磋商文件规定必须提供以外，供应商认为需要提供的其他证明材料；</w:t>
            </w:r>
          </w:p>
          <w:p w14:paraId="0516242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14:paraId="6D2A44FC">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14:paraId="5167793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、竞标声明必须由法定代表人在规定签章处签字并加盖供应商公章，否则响应文件按无效响应处理。</w:t>
            </w:r>
          </w:p>
          <w:p w14:paraId="7EA562E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p w14:paraId="2B2FBD72">
            <w:pPr>
              <w:pStyle w:val="13"/>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4、联合体竞标时，第1-</w:t>
            </w:r>
            <w:r>
              <w:rPr>
                <w:rFonts w:ascii="宋体" w:hAnsi="宋体" w:cs="宋体"/>
                <w:b/>
                <w:color w:val="auto"/>
                <w:szCs w:val="21"/>
                <w:highlight w:val="none"/>
              </w:rPr>
              <w:t>5</w:t>
            </w:r>
            <w:r>
              <w:rPr>
                <w:rFonts w:hint="eastAsia" w:ascii="宋体" w:hAnsi="宋体" w:cs="宋体"/>
                <w:b/>
                <w:color w:val="auto"/>
                <w:szCs w:val="21"/>
                <w:highlight w:val="none"/>
              </w:rPr>
              <w:t>项资格证明文件联合体各方均必须分别提供，联合体各方分别盖章和签字，否则响应文件按无效响应处理。</w:t>
            </w:r>
          </w:p>
          <w:p w14:paraId="3829856D">
            <w:pPr>
              <w:pStyle w:val="13"/>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bCs/>
                <w:color w:val="auto"/>
                <w:szCs w:val="21"/>
                <w:highlight w:val="none"/>
              </w:rPr>
              <w:t>分公司参加竞标的，应当取得总公司授权，否则响应文件按无效响应处理。</w:t>
            </w:r>
          </w:p>
        </w:tc>
      </w:tr>
      <w:tr w14:paraId="62FA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9F94BF">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27" w:type="dxa"/>
            <w:vAlign w:val="center"/>
          </w:tcPr>
          <w:p w14:paraId="30F829E4">
            <w:pPr>
              <w:spacing w:line="360" w:lineRule="auto"/>
              <w:rPr>
                <w:rFonts w:ascii="宋体" w:cs="宋体"/>
                <w:b/>
                <w:bCs/>
                <w:color w:val="auto"/>
                <w:szCs w:val="21"/>
                <w:highlight w:val="none"/>
              </w:rPr>
            </w:pPr>
            <w:r>
              <w:rPr>
                <w:rFonts w:hint="eastAsia" w:ascii="宋体" w:hAnsi="宋体" w:cs="宋体"/>
                <w:b/>
                <w:bCs/>
                <w:color w:val="auto"/>
                <w:szCs w:val="21"/>
                <w:highlight w:val="none"/>
              </w:rPr>
              <w:t>报价商务技术文件</w:t>
            </w:r>
          </w:p>
          <w:p w14:paraId="78ADCFD3">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753DC9">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0438CA">
            <w:pPr>
              <w:snapToGrid w:val="0"/>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F7F9F1">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C4F711D">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5A57558">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8BCB58">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6B7FDEFC">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1B00CE">
            <w:pPr>
              <w:spacing w:line="360" w:lineRule="auto"/>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C71936">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9682DB1">
            <w:pPr>
              <w:spacing w:line="360" w:lineRule="auto"/>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、对应采购需求的技术要求、商务要求提供的其他文件资料（格式自拟）；</w:t>
            </w:r>
          </w:p>
          <w:p w14:paraId="32AB672C">
            <w:pPr>
              <w:spacing w:line="360" w:lineRule="auto"/>
              <w:rPr>
                <w:rFonts w:ascii="宋体" w:cs="宋体"/>
                <w:b/>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、供应商认为需要提供的其他有关资料。</w:t>
            </w:r>
          </w:p>
          <w:p w14:paraId="2581926B">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0B03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07AEC6">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27" w:type="dxa"/>
            <w:vAlign w:val="center"/>
          </w:tcPr>
          <w:p w14:paraId="4DF0ED7D">
            <w:pPr>
              <w:snapToGrid w:val="0"/>
              <w:spacing w:line="360" w:lineRule="auto"/>
              <w:jc w:val="left"/>
              <w:rPr>
                <w:rFonts w:asci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4F1D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C65ADF">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27" w:type="dxa"/>
            <w:vAlign w:val="center"/>
          </w:tcPr>
          <w:p w14:paraId="258FF057">
            <w:pPr>
              <w:spacing w:line="360" w:lineRule="auto"/>
              <w:rPr>
                <w:rFonts w:ascii="宋体" w:cs="宋体"/>
                <w:color w:val="auto"/>
                <w:szCs w:val="21"/>
                <w:highlight w:val="none"/>
              </w:rPr>
            </w:pPr>
            <w:r>
              <w:rPr>
                <w:rFonts w:hint="eastAsia" w:ascii="宋体" w:hAnsi="宋体" w:cs="宋体"/>
                <w:color w:val="auto"/>
                <w:szCs w:val="21"/>
                <w:highlight w:val="none"/>
              </w:rPr>
              <w:t>竞标有效期：首次响应文件提交截止之日起</w:t>
            </w:r>
            <w:r>
              <w:rPr>
                <w:rFonts w:ascii="宋体" w:hAnsi="宋体" w:cs="宋体"/>
                <w:color w:val="auto"/>
                <w:szCs w:val="21"/>
                <w:highlight w:val="none"/>
              </w:rPr>
              <w:t>60</w:t>
            </w:r>
            <w:r>
              <w:rPr>
                <w:rFonts w:hint="eastAsia" w:ascii="宋体" w:hAnsi="宋体" w:cs="宋体"/>
                <w:color w:val="auto"/>
                <w:szCs w:val="21"/>
                <w:highlight w:val="none"/>
              </w:rPr>
              <w:t>天内。</w:t>
            </w:r>
          </w:p>
        </w:tc>
      </w:tr>
      <w:tr w14:paraId="737A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578236">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27" w:type="dxa"/>
            <w:vAlign w:val="center"/>
          </w:tcPr>
          <w:p w14:paraId="2A927CD1">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本项目收取磋商保证金，具体规定如下：</w:t>
            </w:r>
          </w:p>
          <w:p w14:paraId="64FFCD48">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 xml:space="preserve">  5500.00</w:t>
            </w:r>
            <w:r>
              <w:rPr>
                <w:rFonts w:hint="eastAsia" w:ascii="宋体" w:hAnsi="宋体" w:cs="宋体"/>
                <w:color w:val="auto"/>
                <w:szCs w:val="21"/>
                <w:highlight w:val="none"/>
              </w:rPr>
              <w:t>元；</w:t>
            </w:r>
          </w:p>
          <w:p w14:paraId="46714BEB">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2</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1800.00 </w:t>
            </w:r>
            <w:r>
              <w:rPr>
                <w:rFonts w:hint="eastAsia" w:ascii="宋体" w:hAnsi="宋体" w:cs="宋体"/>
                <w:color w:val="auto"/>
                <w:szCs w:val="21"/>
                <w:highlight w:val="none"/>
              </w:rPr>
              <w:t>元；</w:t>
            </w:r>
          </w:p>
          <w:p w14:paraId="1D7D2DA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3</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990.00 </w:t>
            </w:r>
            <w:r>
              <w:rPr>
                <w:rFonts w:hint="eastAsia" w:ascii="宋体" w:hAnsi="宋体" w:cs="宋体"/>
                <w:color w:val="auto"/>
                <w:szCs w:val="21"/>
                <w:highlight w:val="none"/>
              </w:rPr>
              <w:t>元；</w:t>
            </w:r>
          </w:p>
          <w:p w14:paraId="058ADB0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4</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830.00 </w:t>
            </w:r>
            <w:r>
              <w:rPr>
                <w:rFonts w:hint="eastAsia" w:ascii="宋体" w:hAnsi="宋体" w:cs="宋体"/>
                <w:color w:val="auto"/>
                <w:szCs w:val="21"/>
                <w:highlight w:val="none"/>
              </w:rPr>
              <w:t>元；</w:t>
            </w:r>
          </w:p>
          <w:p w14:paraId="0DFB4A13">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5</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900.00 </w:t>
            </w:r>
            <w:r>
              <w:rPr>
                <w:rFonts w:hint="eastAsia" w:ascii="宋体" w:hAnsi="宋体" w:cs="宋体"/>
                <w:color w:val="auto"/>
                <w:szCs w:val="21"/>
                <w:highlight w:val="none"/>
              </w:rPr>
              <w:t>元；</w:t>
            </w:r>
          </w:p>
          <w:p w14:paraId="27CB82B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6</w:t>
            </w: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u w:val="single"/>
                <w:lang w:val="en-US" w:eastAsia="zh-CN"/>
              </w:rPr>
              <w:t xml:space="preserve">2200.00 </w:t>
            </w:r>
            <w:r>
              <w:rPr>
                <w:rFonts w:hint="eastAsia" w:ascii="宋体" w:hAnsi="宋体" w:cs="宋体"/>
                <w:color w:val="auto"/>
                <w:szCs w:val="21"/>
                <w:highlight w:val="none"/>
              </w:rPr>
              <w:t>元；</w:t>
            </w:r>
          </w:p>
          <w:p w14:paraId="370B8FB4">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7</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850.00 </w:t>
            </w:r>
            <w:r>
              <w:rPr>
                <w:rFonts w:hint="eastAsia" w:ascii="宋体" w:hAnsi="宋体" w:cs="宋体"/>
                <w:color w:val="auto"/>
                <w:szCs w:val="21"/>
                <w:highlight w:val="none"/>
              </w:rPr>
              <w:t>元；</w:t>
            </w:r>
          </w:p>
          <w:p w14:paraId="306612A3">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1200.00  </w:t>
            </w:r>
            <w:r>
              <w:rPr>
                <w:rFonts w:hint="eastAsia" w:ascii="宋体" w:hAnsi="宋体" w:cs="宋体"/>
                <w:color w:val="auto"/>
                <w:szCs w:val="21"/>
                <w:highlight w:val="none"/>
              </w:rPr>
              <w:t>元；</w:t>
            </w:r>
          </w:p>
          <w:p w14:paraId="0E79507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9</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300.00  </w:t>
            </w:r>
            <w:r>
              <w:rPr>
                <w:rFonts w:hint="eastAsia" w:ascii="宋体" w:hAnsi="宋体" w:cs="宋体"/>
                <w:color w:val="auto"/>
                <w:szCs w:val="21"/>
                <w:highlight w:val="none"/>
              </w:rPr>
              <w:t>元；</w:t>
            </w:r>
          </w:p>
          <w:p w14:paraId="50A393CB">
            <w:pPr>
              <w:widowControl/>
              <w:spacing w:line="360" w:lineRule="auto"/>
              <w:rPr>
                <w:rFonts w:hint="eastAsia"/>
                <w:color w:val="auto"/>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10</w:t>
            </w:r>
            <w:r>
              <w:rPr>
                <w:rFonts w:hint="eastAsia" w:ascii="宋体" w:hAnsi="宋体" w:cs="宋体"/>
                <w:color w:val="auto"/>
                <w:kern w:val="0"/>
                <w:szCs w:val="21"/>
                <w:highlight w:val="none"/>
              </w:rPr>
              <w:t>磋商保证金人民币</w:t>
            </w:r>
            <w:r>
              <w:rPr>
                <w:rFonts w:hint="eastAsia" w:ascii="宋体" w:hAnsi="宋体" w:cs="宋体"/>
                <w:color w:val="auto"/>
                <w:szCs w:val="21"/>
                <w:highlight w:val="none"/>
                <w:u w:val="single"/>
                <w:lang w:val="en-US" w:eastAsia="zh-CN"/>
              </w:rPr>
              <w:t xml:space="preserve"> 600.00 </w:t>
            </w:r>
            <w:r>
              <w:rPr>
                <w:rFonts w:hint="eastAsia" w:ascii="宋体" w:hAnsi="宋体" w:cs="宋体"/>
                <w:color w:val="auto"/>
                <w:szCs w:val="21"/>
                <w:highlight w:val="none"/>
              </w:rPr>
              <w:t>元；</w:t>
            </w:r>
          </w:p>
          <w:p w14:paraId="782920C5">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）；采用支票、汇票、本票或者保函等方式的，在响应文件提交截止时间前，供应商必须提交支票、汇票、本票或者保函原件（电子保函的打印保函并加盖供应商公章）。否则视为无效磋商保证金。</w:t>
            </w:r>
          </w:p>
          <w:p w14:paraId="0205D2ED">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0325AD61">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22ACAF1">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w:t>
            </w:r>
          </w:p>
          <w:p w14:paraId="4C31356A">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0F09177C">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14:paraId="161BFC59">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16BB1BFA">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、供应商采用现钞方式或者从个人账户（自然人竞标除外）转出的磋商保证金，视为无效磋商保证金。</w:t>
            </w:r>
          </w:p>
          <w:p w14:paraId="7BC03175">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3310BEE6">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373B5A31">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、采用金融、担保机构出具保函的，必须为无条件保函，否则视为无效磋商保证金。</w:t>
            </w:r>
          </w:p>
          <w:p w14:paraId="18EA66A4">
            <w:pPr>
              <w:snapToGrid w:val="0"/>
              <w:spacing w:line="360" w:lineRule="auto"/>
              <w:rPr>
                <w:rFonts w:ascii="宋体" w:cs="宋体"/>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、保证金凭证应注明正确的项目编号、分标号（如有）等信息，否则，信息不明确或有误的将可能被视为无效磋商保证金，并有可能影响保证金的及时退付。</w:t>
            </w:r>
          </w:p>
        </w:tc>
      </w:tr>
      <w:tr w14:paraId="0839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083E4153">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27" w:type="dxa"/>
            <w:vAlign w:val="center"/>
          </w:tcPr>
          <w:p w14:paraId="4BF748FF">
            <w:pPr>
              <w:spacing w:line="360" w:lineRule="auto"/>
              <w:rPr>
                <w:rFonts w:asci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07F1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FE69A5">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27" w:type="dxa"/>
            <w:vAlign w:val="center"/>
          </w:tcPr>
          <w:p w14:paraId="6345AD0C">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C4CBC7E">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3EDA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F42989">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27" w:type="dxa"/>
            <w:vAlign w:val="center"/>
          </w:tcPr>
          <w:p w14:paraId="3A85544C">
            <w:pPr>
              <w:snapToGrid w:val="0"/>
              <w:spacing w:line="360" w:lineRule="auto"/>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0606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E4006F">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27" w:type="dxa"/>
            <w:vAlign w:val="center"/>
          </w:tcPr>
          <w:p w14:paraId="729D77CD">
            <w:pPr>
              <w:snapToGrid w:val="0"/>
              <w:spacing w:line="360" w:lineRule="auto"/>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096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6889870">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27" w:type="dxa"/>
            <w:vAlign w:val="center"/>
          </w:tcPr>
          <w:p w14:paraId="24DE59B2">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B1A0FFB">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项。</w:t>
            </w:r>
          </w:p>
        </w:tc>
      </w:tr>
      <w:tr w14:paraId="6273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1EC3DB86">
            <w:pPr>
              <w:spacing w:line="360" w:lineRule="auto"/>
              <w:jc w:val="center"/>
              <w:rPr>
                <w:rFonts w:ascii="宋体" w:cs="宋体"/>
                <w:color w:val="auto"/>
                <w:szCs w:val="21"/>
                <w:highlight w:val="none"/>
              </w:rPr>
            </w:pPr>
          </w:p>
        </w:tc>
        <w:tc>
          <w:tcPr>
            <w:tcW w:w="8627" w:type="dxa"/>
            <w:vAlign w:val="center"/>
          </w:tcPr>
          <w:p w14:paraId="55CAFB63">
            <w:pPr>
              <w:pStyle w:val="13"/>
              <w:spacing w:line="320" w:lineRule="exact"/>
              <w:jc w:val="both"/>
              <w:rPr>
                <w:rFonts w:asci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46DD4826">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5CF38D90">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14:paraId="56FA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8D49BA">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8627" w:type="dxa"/>
            <w:vAlign w:val="center"/>
          </w:tcPr>
          <w:p w14:paraId="057E3195">
            <w:pPr>
              <w:autoSpaceDE w:val="0"/>
              <w:autoSpaceDN w:val="0"/>
              <w:snapToGrid w:val="0"/>
              <w:spacing w:line="400" w:lineRule="exact"/>
              <w:textAlignment w:val="bottom"/>
              <w:rPr>
                <w:rFonts w:ascii="宋体" w:cs="宋体"/>
                <w:color w:val="auto"/>
                <w:szCs w:val="21"/>
                <w:highlight w:val="none"/>
              </w:rPr>
            </w:pPr>
            <w:r>
              <w:rPr>
                <w:rFonts w:hint="eastAsia" w:ascii="宋体" w:hAnsi="宋体" w:cs="宋体"/>
                <w:color w:val="auto"/>
                <w:szCs w:val="21"/>
                <w:highlight w:val="none"/>
              </w:rPr>
              <w:t>本项目不收取履约保证金。</w:t>
            </w:r>
          </w:p>
        </w:tc>
      </w:tr>
      <w:tr w14:paraId="31BB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B7E1E3">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27" w:type="dxa"/>
            <w:vAlign w:val="center"/>
          </w:tcPr>
          <w:p w14:paraId="09677007">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14:paraId="6B448996">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14:paraId="6A88D44B">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14:paraId="4421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443306">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27" w:type="dxa"/>
            <w:vAlign w:val="center"/>
          </w:tcPr>
          <w:p w14:paraId="5FC7F95D">
            <w:pPr>
              <w:pStyle w:val="18"/>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4228845A">
            <w:pPr>
              <w:pStyle w:val="18"/>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0771-2023496</w:t>
            </w:r>
            <w:r>
              <w:rPr>
                <w:rFonts w:hint="eastAsia" w:hAnsi="宋体" w:cs="宋体"/>
                <w:color w:val="auto"/>
                <w:sz w:val="21"/>
                <w:highlight w:val="none"/>
              </w:rPr>
              <w:t>，通讯地址：广西南宁市民族大道</w:t>
            </w:r>
            <w:r>
              <w:rPr>
                <w:rFonts w:hAnsi="宋体" w:cs="宋体"/>
                <w:color w:val="auto"/>
                <w:sz w:val="21"/>
                <w:highlight w:val="none"/>
              </w:rPr>
              <w:t>141</w:t>
            </w:r>
            <w:r>
              <w:rPr>
                <w:rFonts w:hint="eastAsia" w:hAnsi="宋体" w:cs="宋体"/>
                <w:color w:val="auto"/>
                <w:sz w:val="21"/>
                <w:highlight w:val="none"/>
              </w:rPr>
              <w:t>号中鼎万象东方大厦</w:t>
            </w:r>
            <w:r>
              <w:rPr>
                <w:rFonts w:hAnsi="宋体" w:cs="宋体"/>
                <w:color w:val="auto"/>
                <w:sz w:val="21"/>
                <w:highlight w:val="none"/>
              </w:rPr>
              <w:t>C</w:t>
            </w:r>
            <w:r>
              <w:rPr>
                <w:rFonts w:hint="eastAsia" w:hAnsi="宋体" w:cs="宋体"/>
                <w:color w:val="auto"/>
                <w:sz w:val="21"/>
                <w:highlight w:val="none"/>
              </w:rPr>
              <w:t>区六层</w:t>
            </w:r>
          </w:p>
          <w:p w14:paraId="76CE5AFB">
            <w:pPr>
              <w:pStyle w:val="18"/>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14:paraId="5B8E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75CEFC2">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27" w:type="dxa"/>
            <w:vAlign w:val="center"/>
          </w:tcPr>
          <w:p w14:paraId="482AC159">
            <w:pPr>
              <w:pStyle w:val="18"/>
              <w:snapToGrid w:val="0"/>
              <w:spacing w:line="400" w:lineRule="exact"/>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2BD51455">
            <w:pPr>
              <w:pStyle w:val="18"/>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、采购代理服务费收取标准：以各分标成交金额为计费额，按本须知正文第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3B1AB5E9">
            <w:pPr>
              <w:pStyle w:val="18"/>
              <w:snapToGrid w:val="0"/>
              <w:spacing w:line="400"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、代理服务费缴费账户信息：</w:t>
            </w:r>
          </w:p>
          <w:p w14:paraId="662CC4BD">
            <w:pPr>
              <w:pStyle w:val="18"/>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6FD26D06">
            <w:pPr>
              <w:pStyle w:val="18"/>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648D178A">
            <w:pPr>
              <w:pStyle w:val="18"/>
              <w:snapToGrid w:val="0"/>
              <w:spacing w:line="400" w:lineRule="exact"/>
              <w:rPr>
                <w:rFonts w:hAnsi="宋体" w:cs="宋体"/>
                <w:color w:val="auto"/>
                <w:sz w:val="21"/>
                <w:highlight w:val="none"/>
              </w:rPr>
            </w:pPr>
            <w:r>
              <w:rPr>
                <w:rFonts w:hint="eastAsia" w:hAnsi="宋体" w:cs="宋体"/>
                <w:color w:val="auto"/>
                <w:sz w:val="21"/>
                <w:highlight w:val="none"/>
              </w:rPr>
              <w:t>银行账号：</w:t>
            </w:r>
            <w:r>
              <w:rPr>
                <w:rFonts w:hAnsi="宋体" w:cs="宋体"/>
                <w:color w:val="auto"/>
                <w:sz w:val="21"/>
                <w:highlight w:val="none"/>
              </w:rPr>
              <w:t>805022302700001</w:t>
            </w:r>
          </w:p>
        </w:tc>
      </w:tr>
      <w:tr w14:paraId="5495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1D0FBF">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27" w:type="dxa"/>
            <w:vAlign w:val="center"/>
          </w:tcPr>
          <w:p w14:paraId="4F16803D">
            <w:pPr>
              <w:pStyle w:val="18"/>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4E6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EDD059B">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27" w:type="dxa"/>
            <w:vAlign w:val="center"/>
          </w:tcPr>
          <w:p w14:paraId="568AAE67">
            <w:pPr>
              <w:pStyle w:val="18"/>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3F6F0D2C">
            <w:pPr>
              <w:pStyle w:val="18"/>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5897DAF7">
            <w:pPr>
              <w:pStyle w:val="13"/>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磋商文件中描述供应商的“签字”是指供应商的法定代表人或者委托代理人在文件规定签署处签名（含电子签名）的行为，法定代表人的私章、印鉴（含电子私章、电子印鉴）法律效力与法定代表人签字等同。</w:t>
            </w:r>
          </w:p>
          <w:p w14:paraId="67BAA808">
            <w:pPr>
              <w:pStyle w:val="18"/>
              <w:snapToGrid w:val="0"/>
              <w:spacing w:line="360" w:lineRule="auto"/>
              <w:rPr>
                <w:rFonts w:hAnsi="宋体" w:cs="宋体"/>
                <w:color w:val="auto"/>
                <w:sz w:val="21"/>
                <w:highlight w:val="none"/>
              </w:rPr>
            </w:pPr>
            <w:r>
              <w:rPr>
                <w:rFonts w:hint="eastAsia" w:ascii="宋体" w:hAnsi="宋体" w:eastAsia="宋体" w:cs="宋体"/>
                <w:color w:val="auto"/>
                <w:kern w:val="0"/>
                <w:sz w:val="21"/>
                <w:szCs w:val="21"/>
                <w:highlight w:val="none"/>
                <w:lang w:val="en-US" w:eastAsia="zh-CN" w:bidi="ar-SA"/>
              </w:rPr>
              <w:t>4、自然人竞标的，磋商文件规定盖</w:t>
            </w:r>
            <w:r>
              <w:rPr>
                <w:rFonts w:hint="eastAsia" w:hAnsi="宋体" w:cs="宋体"/>
                <w:color w:val="auto"/>
                <w:sz w:val="21"/>
                <w:highlight w:val="none"/>
              </w:rPr>
              <w:t>公章处由自然人摁手指指印。</w:t>
            </w:r>
          </w:p>
          <w:p w14:paraId="4B36B543">
            <w:pPr>
              <w:pStyle w:val="18"/>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5DC5FD17">
            <w:pPr>
              <w:pStyle w:val="18"/>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08FF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32B4DE1">
            <w:pPr>
              <w:spacing w:line="360" w:lineRule="auto"/>
              <w:jc w:val="center"/>
              <w:rPr>
                <w:rFonts w:ascii="宋体" w:cs="宋体"/>
                <w:color w:val="auto"/>
                <w:szCs w:val="21"/>
                <w:highlight w:val="none"/>
              </w:rPr>
            </w:pPr>
          </w:p>
        </w:tc>
        <w:tc>
          <w:tcPr>
            <w:tcW w:w="8627" w:type="dxa"/>
            <w:vAlign w:val="center"/>
          </w:tcPr>
          <w:p w14:paraId="4F00A042">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w:t>
            </w:r>
            <w:r>
              <w:rPr>
                <w:rFonts w:ascii="宋体" w:cs="宋体"/>
                <w:b/>
                <w:bCs/>
                <w:color w:val="auto"/>
                <w:szCs w:val="21"/>
                <w:highlight w:val="none"/>
              </w:rPr>
              <w:t>,</w:t>
            </w:r>
            <w:r>
              <w:rPr>
                <w:rFonts w:hint="eastAsia" w:ascii="宋体" w:hAnsi="宋体" w:cs="宋体"/>
                <w:b/>
                <w:bCs/>
                <w:color w:val="auto"/>
                <w:szCs w:val="21"/>
                <w:highlight w:val="none"/>
              </w:rPr>
              <w:t>依法承担赔偿责任；构成犯罪的，依法追究刑事责任。</w:t>
            </w:r>
          </w:p>
        </w:tc>
      </w:tr>
    </w:tbl>
    <w:p w14:paraId="68E77A14">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D5DFCB7">
      <w:pPr>
        <w:spacing w:line="400" w:lineRule="exact"/>
        <w:jc w:val="center"/>
        <w:rPr>
          <w:rFonts w:ascii="宋体" w:cs="宋体"/>
          <w:b/>
          <w:color w:val="auto"/>
          <w:sz w:val="32"/>
          <w:szCs w:val="32"/>
          <w:highlight w:val="none"/>
        </w:rPr>
      </w:pPr>
    </w:p>
    <w:p w14:paraId="196182F2">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一、总则</w:t>
      </w:r>
    </w:p>
    <w:p w14:paraId="1EA38630">
      <w:pPr>
        <w:spacing w:line="400" w:lineRule="exact"/>
        <w:rPr>
          <w:rFonts w:ascii="宋体" w:cs="宋体"/>
          <w:color w:val="auto"/>
          <w:szCs w:val="21"/>
          <w:highlight w:val="none"/>
        </w:rPr>
      </w:pPr>
    </w:p>
    <w:p w14:paraId="7408708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7FF633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75E8A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B85C2B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7BF714D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07772644">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5ED751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2F1F9F9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50AD65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C4AF54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48B7C13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E8B21AC">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6FD95B94">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19CAEF52">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4C3A67B">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5A3E5649">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4645C04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5EEFEB3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3725D79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竞标费用</w:t>
      </w:r>
    </w:p>
    <w:p w14:paraId="3F9BD58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75EB9B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556FD5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C0E3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2E12A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24" w:name="_Hlk66782192"/>
      <w:r>
        <w:rPr>
          <w:rFonts w:hint="eastAsia" w:ascii="宋体" w:hAnsi="宋体"/>
          <w:color w:val="auto"/>
          <w:szCs w:val="21"/>
          <w:highlight w:val="none"/>
        </w:rPr>
        <w:t>根据《政府采购促进中小企业发展管理办法》（财库〔2020〕46号）和《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%的扣除，用扣除后的价格参加评审。</w:t>
      </w:r>
      <w:bookmarkEnd w:id="24"/>
    </w:p>
    <w:p w14:paraId="58B82FB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0032BCE0">
      <w:pPr>
        <w:pStyle w:val="6"/>
        <w:keepNext w:val="0"/>
        <w:keepLines w:val="0"/>
        <w:spacing w:before="0" w:after="0" w:line="360" w:lineRule="auto"/>
        <w:ind w:left="420" w:leftChars="200"/>
        <w:rPr>
          <w:rFonts w:ascii="宋体" w:cs="宋体"/>
          <w:b w:val="0"/>
          <w:color w:val="auto"/>
          <w:sz w:val="21"/>
          <w:szCs w:val="21"/>
          <w:highlight w:val="none"/>
        </w:rPr>
      </w:pPr>
      <w:bookmarkStart w:id="25" w:name="_Toc254970532"/>
      <w:bookmarkStart w:id="26" w:name="_Toc254970673"/>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14:paraId="5DB1B422">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32939CD">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42B0178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25"/>
      <w:bookmarkEnd w:id="26"/>
    </w:p>
    <w:p w14:paraId="05EC4130">
      <w:pPr>
        <w:spacing w:line="360" w:lineRule="auto"/>
        <w:ind w:firstLine="420" w:firstLineChars="200"/>
        <w:rPr>
          <w:rFonts w:ascii="宋体" w:cs="宋体"/>
          <w:color w:val="auto"/>
          <w:szCs w:val="21"/>
          <w:highlight w:val="none"/>
        </w:rPr>
      </w:pPr>
      <w:bookmarkStart w:id="27" w:name="_8.1提供相同品牌产品且通过资格审查、符合性审查的不同投标人参加同一合"/>
      <w:bookmarkEnd w:id="27"/>
      <w:r>
        <w:rPr>
          <w:rFonts w:ascii="宋体" w:hAnsi="宋体" w:cs="宋体"/>
          <w:color w:val="auto"/>
          <w:szCs w:val="21"/>
          <w:highlight w:val="none"/>
        </w:rPr>
        <w:t>7.1</w:t>
      </w:r>
      <w:bookmarkStart w:id="2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28"/>
    <w:p w14:paraId="4AA9917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2442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F64119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4D65335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1237E51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6789FD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7886FBA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42D0887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02D8FF0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B242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087663B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r>
        <w:rPr>
          <w:rFonts w:ascii="宋体" w:hAnsi="宋体" w:cs="宋体"/>
          <w:color w:val="auto"/>
          <w:szCs w:val="21"/>
          <w:highlight w:val="none"/>
        </w:rPr>
        <w:t xml:space="preserve"> </w:t>
      </w:r>
    </w:p>
    <w:p w14:paraId="72A9659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2172CF4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6209DCC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2FF8CE2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）不同供应商报名的IP地址一致；</w:t>
      </w:r>
    </w:p>
    <w:p w14:paraId="55AA3D77">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7A895C4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29D179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65D9BCC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684DAD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6815416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3D28A5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1E0C9BF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4EB542D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3027A65B">
      <w:pPr>
        <w:spacing w:line="360" w:lineRule="auto"/>
        <w:ind w:firstLine="420" w:firstLineChars="200"/>
        <w:rPr>
          <w:rFonts w:ascii="宋体" w:cs="宋体"/>
          <w:color w:val="auto"/>
          <w:szCs w:val="21"/>
          <w:highlight w:val="none"/>
        </w:rPr>
      </w:pPr>
    </w:p>
    <w:p w14:paraId="28A3F7FF">
      <w:pPr>
        <w:spacing w:line="360" w:lineRule="auto"/>
        <w:ind w:left="1" w:firstLine="417" w:firstLineChars="199"/>
        <w:jc w:val="center"/>
        <w:rPr>
          <w:rFonts w:ascii="宋体" w:cs="宋体"/>
          <w:color w:val="auto"/>
          <w:highlight w:val="none"/>
        </w:rPr>
      </w:pPr>
      <w:bookmarkStart w:id="29" w:name="_Toc254970534"/>
      <w:bookmarkStart w:id="30" w:name="_Toc254970675"/>
    </w:p>
    <w:p w14:paraId="41148888">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二、磋商文件</w:t>
      </w:r>
      <w:bookmarkEnd w:id="29"/>
      <w:bookmarkEnd w:id="30"/>
    </w:p>
    <w:p w14:paraId="57906B79">
      <w:pPr>
        <w:spacing w:line="360" w:lineRule="auto"/>
        <w:ind w:firstLine="482" w:firstLineChars="200"/>
        <w:rPr>
          <w:rFonts w:ascii="宋体" w:cs="宋体"/>
          <w:b/>
          <w:bCs/>
          <w:color w:val="auto"/>
          <w:sz w:val="24"/>
          <w:highlight w:val="none"/>
        </w:rPr>
      </w:pPr>
    </w:p>
    <w:p w14:paraId="02FD98E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磋商文件的构成</w:t>
      </w:r>
    </w:p>
    <w:p w14:paraId="04A6FB43">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）竞争性磋商公告；</w:t>
      </w:r>
    </w:p>
    <w:p w14:paraId="3A1CC78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3BE7D19C">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14:paraId="2B118F78">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）评审程序、评审方法和评审标准；</w:t>
      </w:r>
    </w:p>
    <w:p w14:paraId="33038509">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）响应文件格式；</w:t>
      </w:r>
    </w:p>
    <w:p w14:paraId="76C00B84">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）合同文本。</w:t>
      </w:r>
    </w:p>
    <w:p w14:paraId="670E645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29CB2F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52B0CF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7312E5BE">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4938941D">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68DB66C">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0FDAD279">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652AA92E">
      <w:pPr>
        <w:spacing w:line="400" w:lineRule="exact"/>
        <w:ind w:firstLine="422" w:firstLineChars="200"/>
        <w:rPr>
          <w:rFonts w:ascii="宋体" w:cs="宋体"/>
          <w:b/>
          <w:color w:val="auto"/>
          <w:szCs w:val="21"/>
          <w:highlight w:val="none"/>
        </w:rPr>
      </w:pPr>
    </w:p>
    <w:p w14:paraId="269AC58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17CDB98F">
      <w:pPr>
        <w:spacing w:line="360" w:lineRule="auto"/>
        <w:ind w:firstLine="482" w:firstLineChars="200"/>
        <w:rPr>
          <w:rFonts w:ascii="宋体" w:cs="宋体"/>
          <w:b/>
          <w:bCs/>
          <w:color w:val="auto"/>
          <w:sz w:val="24"/>
          <w:highlight w:val="none"/>
        </w:rPr>
      </w:pPr>
    </w:p>
    <w:p w14:paraId="64EA573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5072CB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3A2B51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7668D6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14:paraId="30B4D45B">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7EF75786">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报价商务技术文件：详见须知前附表</w:t>
      </w:r>
    </w:p>
    <w:p w14:paraId="608BB8C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14A2B75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9F3120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1DAA96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910B0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14:paraId="763136A9">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竞标报价应按磋商文件中“竞标报价表”格式填写。</w:t>
      </w:r>
    </w:p>
    <w:p w14:paraId="647551B1">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3B349CED">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0B762F59">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15.3.1</w:t>
      </w:r>
      <w:r>
        <w:rPr>
          <w:rFonts w:hint="eastAsia" w:ascii="宋体" w:hAnsi="宋体" w:cs="宋体"/>
          <w:b/>
          <w:color w:val="auto"/>
          <w:szCs w:val="21"/>
          <w:highlight w:val="none"/>
        </w:rPr>
        <w:t>供应商的竞标报价应符合以下要求，否则响应文件按无效响应处理：</w:t>
      </w:r>
    </w:p>
    <w:p w14:paraId="22E81CF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38FCB0F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2D0D2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最后报价超过所竞标规定的采购预算金额或者最高限价的，其响应文件将按无效响应处理。</w:t>
      </w:r>
      <w:bookmarkStart w:id="31" w:name="_Hlk42592874"/>
    </w:p>
    <w:bookmarkEnd w:id="31"/>
    <w:p w14:paraId="49BE39C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1F6A6B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470899B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6C4ABBF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585EA70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1A6D224F">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120CA19E">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26D55CBC">
      <w:pPr>
        <w:spacing w:line="360" w:lineRule="auto"/>
        <w:ind w:firstLine="420" w:firstLineChars="200"/>
        <w:rPr>
          <w:rFonts w:ascii="宋体" w:cs="宋体"/>
          <w:color w:val="auto"/>
          <w:szCs w:val="21"/>
          <w:highlight w:val="none"/>
        </w:rPr>
      </w:pPr>
      <w:bookmarkStart w:id="3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32"/>
      <w:r>
        <w:rPr>
          <w:rFonts w:ascii="宋体" w:hAnsi="宋体" w:cs="宋体"/>
          <w:color w:val="auto"/>
          <w:szCs w:val="21"/>
          <w:highlight w:val="none"/>
        </w:rPr>
        <w:t xml:space="preserve"> </w:t>
      </w:r>
    </w:p>
    <w:p w14:paraId="0997300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10E25290">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r>
        <w:rPr>
          <w:rFonts w:ascii="宋体" w:hAnsi="宋体" w:cs="宋体"/>
          <w:color w:val="auto"/>
          <w:szCs w:val="21"/>
          <w:highlight w:val="none"/>
        </w:rPr>
        <w:t xml:space="preserve"> </w:t>
      </w:r>
    </w:p>
    <w:p w14:paraId="5208DE4B">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14:paraId="053DD929">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14:paraId="44397132">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6AE1514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6E535B10">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2ED78ECC">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58A108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2555B543">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1FB05B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响应文件应按资格证明文件、报价商务技术文件分别编制电子文件，并按“广西政府采购云平台”的要求编制、加密、上传。</w:t>
      </w:r>
    </w:p>
    <w:p w14:paraId="3033A90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33"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34" w:name="_Hlk65832569"/>
      <w:r>
        <w:rPr>
          <w:rFonts w:hint="eastAsia" w:ascii="宋体" w:hAnsi="宋体" w:cs="宋体"/>
          <w:color w:val="auto"/>
          <w:szCs w:val="21"/>
          <w:highlight w:val="none"/>
        </w:rPr>
        <w:t>（具体以供应商须知前附表或响应文件格式规定为准）</w:t>
      </w:r>
      <w:bookmarkEnd w:id="33"/>
      <w:bookmarkEnd w:id="34"/>
      <w:r>
        <w:rPr>
          <w:rFonts w:hint="eastAsia" w:ascii="宋体" w:hAnsi="宋体" w:cs="宋体"/>
          <w:color w:val="auto"/>
          <w:szCs w:val="21"/>
          <w:highlight w:val="none"/>
        </w:rPr>
        <w:t>，否则其响应文件按无效响应处理。</w:t>
      </w:r>
    </w:p>
    <w:p w14:paraId="61B548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14:paraId="09420CC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F53DBA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14:paraId="6A5A70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电子响应文件编制完成后，供应商应按“广西政府采购云平台”的要求进行加密，并在规定时间内解密，否则，由此产生的后果由供应商自行负责。</w:t>
      </w:r>
    </w:p>
    <w:p w14:paraId="636A1B2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4F84D7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5C622EC0">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）实行在线电子竞标，供应商应先安装“广西政府采购云平台新版客户端”（新版客户端下载路径：请自行前往“广西政府采购云平台”（访问地址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4F77067C">
      <w:pPr>
        <w:pStyle w:val="6"/>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未在规定时间内上传或者未按“广西政府采购云平台”的要求编制、加密的电子响应文件，“广西政府采购云平台”将拒收。</w:t>
      </w:r>
    </w:p>
    <w:p w14:paraId="7CC3B48E">
      <w:pPr>
        <w:pStyle w:val="7"/>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5B9DBBC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22B59933">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40FAB55">
      <w:pPr>
        <w:spacing w:line="360" w:lineRule="auto"/>
        <w:ind w:firstLine="482" w:firstLineChars="200"/>
        <w:rPr>
          <w:rFonts w:ascii="宋体" w:cs="宋体"/>
          <w:b/>
          <w:bCs/>
          <w:color w:val="auto"/>
          <w:sz w:val="24"/>
          <w:highlight w:val="none"/>
        </w:rPr>
      </w:pPr>
      <w:bookmarkStart w:id="35"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2971E7B7">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家时，采购代理机构将根据“广西政府采购云平台”的操作将电子版响应文件退回，除此之外采购人和采购代理机构对已提交的电子响应文件概不退回。</w:t>
      </w:r>
    </w:p>
    <w:p w14:paraId="10DE83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48EBA4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的规定不予退还其磋商保证金。</w:t>
      </w:r>
    </w:p>
    <w:bookmarkEnd w:id="35"/>
    <w:p w14:paraId="1C00A9FF">
      <w:pPr>
        <w:spacing w:line="360" w:lineRule="auto"/>
        <w:rPr>
          <w:rFonts w:ascii="宋体" w:cs="宋体"/>
          <w:color w:val="auto"/>
          <w:szCs w:val="21"/>
          <w:highlight w:val="none"/>
        </w:rPr>
      </w:pPr>
    </w:p>
    <w:p w14:paraId="4ADC698A">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四、评审及磋商</w:t>
      </w:r>
    </w:p>
    <w:p w14:paraId="1C278102">
      <w:pPr>
        <w:spacing w:line="360" w:lineRule="auto"/>
        <w:ind w:firstLine="482" w:firstLineChars="200"/>
        <w:rPr>
          <w:rFonts w:ascii="宋体" w:cs="宋体"/>
          <w:b/>
          <w:bCs/>
          <w:color w:val="auto"/>
          <w:sz w:val="24"/>
          <w:highlight w:val="none"/>
        </w:rPr>
      </w:pPr>
    </w:p>
    <w:p w14:paraId="5E8E55D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7A5498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060D27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7A59201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6EA2DB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5AE168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14:paraId="1CAF9AB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家的，不得磋商。</w:t>
      </w:r>
    </w:p>
    <w:p w14:paraId="3916D3C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84C866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0D1970CA">
      <w:pPr>
        <w:spacing w:line="400" w:lineRule="exact"/>
        <w:ind w:firstLine="420" w:firstLineChars="200"/>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58E9A24B">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52392B85">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64F8278E">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3D98630D">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71A9F0D9">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14FB7C65">
      <w:pPr>
        <w:spacing w:line="400" w:lineRule="exact"/>
        <w:ind w:firstLine="420" w:firstLineChars="200"/>
        <w:rPr>
          <w:rFonts w:ascii="宋体" w:cs="宋体"/>
          <w:color w:val="auto"/>
          <w:szCs w:val="21"/>
          <w:highlight w:val="none"/>
        </w:rPr>
      </w:pPr>
      <w:r>
        <w:rPr>
          <w:rFonts w:ascii="宋体" w:hAnsi="宋体" w:cs="宋体"/>
          <w:color w:val="auto"/>
          <w:highlight w:val="none"/>
        </w:rPr>
        <w:t>26.3</w:t>
      </w: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2C99773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5E62B1E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BE496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6" w:name="_Hlk66782294"/>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bookmarkEnd w:id="36"/>
    </w:p>
    <w:p w14:paraId="3F7D11D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DAB857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35DB277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28.1 </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618179E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3116A22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610220A7">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成交供应商在收到成交通知书（书面或电子）后，应当在签订合同时向采购人出示相关证明材料，具体内容详见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“供应商须知前附表”，经采购人核验合格后方可签订合同（书面或电子）。</w:t>
      </w:r>
      <w:r>
        <w:rPr>
          <w:rFonts w:hint="eastAsia" w:ascii="宋体" w:hAnsi="宋体"/>
          <w:color w:val="auto"/>
          <w:szCs w:val="21"/>
          <w:highlight w:val="none"/>
        </w:rPr>
        <w:t>如成交供应商为联合体的，</w:t>
      </w:r>
      <w:r>
        <w:rPr>
          <w:rFonts w:ascii="宋体" w:hAnsi="宋体"/>
          <w:color w:val="auto"/>
          <w:szCs w:val="21"/>
          <w:highlight w:val="none"/>
        </w:rPr>
        <w:t>联合体各方应当共同与采购人签订采购合同，就采购合同约定的事项对采购人承担连带责任。</w:t>
      </w:r>
    </w:p>
    <w:p w14:paraId="3C42A0D3">
      <w:pPr>
        <w:spacing w:line="360" w:lineRule="auto"/>
        <w:ind w:firstLine="424" w:firstLineChars="202"/>
        <w:rPr>
          <w:rFonts w:ascii="宋体" w:cs="宋体"/>
          <w:color w:val="auto"/>
          <w:szCs w:val="21"/>
          <w:highlight w:val="none"/>
        </w:rPr>
      </w:pPr>
    </w:p>
    <w:p w14:paraId="1D577ED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签订合同时间：按成交通知书规定的时间与采购人签订政府采购合同（最长不能超过</w:t>
      </w:r>
      <w:r>
        <w:rPr>
          <w:rFonts w:ascii="宋体" w:hAnsi="宋体" w:cs="宋体"/>
          <w:color w:val="auto"/>
          <w:szCs w:val="21"/>
          <w:highlight w:val="none"/>
        </w:rPr>
        <w:t>25</w:t>
      </w:r>
      <w:r>
        <w:rPr>
          <w:rFonts w:hint="eastAsia" w:ascii="宋体" w:hAnsi="宋体" w:cs="宋体"/>
          <w:color w:val="auto"/>
          <w:szCs w:val="21"/>
          <w:highlight w:val="none"/>
        </w:rPr>
        <w:t>日）。</w:t>
      </w:r>
    </w:p>
    <w:p w14:paraId="71905FA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27.3</w:t>
      </w:r>
      <w:r>
        <w:rPr>
          <w:rFonts w:hint="eastAsia" w:ascii="宋体" w:hAnsi="宋体" w:cs="宋体"/>
          <w:color w:val="auto"/>
          <w:szCs w:val="21"/>
          <w:highlight w:val="none"/>
        </w:rPr>
        <w:t>条的规定执行。</w:t>
      </w:r>
    </w:p>
    <w:p w14:paraId="0B04B7C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29C5BA9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1B1F2FD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170B0E2D">
      <w:pPr>
        <w:pStyle w:val="7"/>
        <w:spacing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56817A2D">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58AA56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）对可以质疑的磋商文件提出质疑的，为收到磋商文件之日或者竞争性磋商公告期限届满之日；</w:t>
      </w:r>
    </w:p>
    <w:p w14:paraId="38DEB7F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5165499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417FD638">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26838FDC">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2040C0A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3BAED78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0FA21D7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5A11262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6A1118D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42998D19">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4083A1D6">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9345712">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BDE21C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14:paraId="5EE69F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182797D4">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7418CDC">
      <w:pPr>
        <w:spacing w:line="360" w:lineRule="auto"/>
        <w:ind w:firstLine="420" w:firstLineChars="200"/>
        <w:rPr>
          <w:rFonts w:ascii="宋体" w:cs="宋体"/>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019E6A1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47FBF05E">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代理服务费：代理服务收取标准及缴费账户详见“供应商须知前附表”，供应商为联合体的，可以由联合体中的一方或者多方共同交纳代理服务费。</w:t>
      </w:r>
    </w:p>
    <w:p w14:paraId="2B63EE0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AC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7A309E0">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服务类型</w:t>
            </w:r>
          </w:p>
          <w:p w14:paraId="2ECB1C05">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85FB8EA">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D044E8A">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11277EC">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667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8F07E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1F8E8B97">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1B88D1C2">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3E9DDB4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129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449255">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69EEE3B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5E92DE1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1704B94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47BD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96BC416">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3DF21865">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4E34D6E1">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4F9DBB2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69F9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7E76D9">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53E9507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0FFA177A">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30C208E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0FC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A3228A">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49575830">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1782DBA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2D6C62A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17BC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EAD0B1E">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349C656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41FB0A37">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2157B092">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4F40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393B86">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55F4AA95">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29B1C3F0">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577E6E12">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7260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A42B18">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527131E1">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1324C284">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64C0BD3D">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6853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EE5AD24">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46C75D4D">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3BF53BB3">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478BB33B">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5CD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CDE2C0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1EB24625">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18C60A86">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5239A8B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15CAB9F9">
      <w:pPr>
        <w:spacing w:line="360" w:lineRule="auto"/>
        <w:ind w:firstLine="420" w:firstLineChars="200"/>
        <w:rPr>
          <w:rFonts w:ascii="宋体" w:cs="宋体"/>
          <w:color w:val="auto"/>
          <w:highlight w:val="none"/>
        </w:rPr>
      </w:pPr>
    </w:p>
    <w:p w14:paraId="4B425448">
      <w:pPr>
        <w:spacing w:line="360" w:lineRule="auto"/>
        <w:ind w:firstLine="420" w:firstLineChars="200"/>
        <w:rPr>
          <w:rFonts w:ascii="宋体" w:cs="宋体"/>
          <w:color w:val="auto"/>
          <w:highlight w:val="none"/>
        </w:rPr>
      </w:pPr>
    </w:p>
    <w:p w14:paraId="556ECC4A">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B9F84B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w:t>
      </w:r>
      <w:r>
        <w:rPr>
          <w:rFonts w:hint="eastAsia" w:ascii="宋体" w:hAnsi="宋体" w:cs="宋体"/>
          <w:color w:val="auto"/>
          <w:szCs w:val="21"/>
          <w:highlight w:val="none"/>
        </w:rPr>
        <w:t>金额</w:t>
      </w:r>
      <w:r>
        <w:rPr>
          <w:rFonts w:hint="eastAsia" w:ascii="宋体" w:hAnsi="宋体" w:cs="宋体"/>
          <w:color w:val="auto"/>
          <w:highlight w:val="none"/>
        </w:rPr>
        <w:t>计算的收费为采购代理的收费基准价格；</w:t>
      </w:r>
    </w:p>
    <w:p w14:paraId="38C506B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5A48CAE6">
      <w:pPr>
        <w:spacing w:line="360" w:lineRule="auto"/>
        <w:ind w:firstLine="420" w:firstLineChars="200"/>
        <w:rPr>
          <w:rFonts w:ascii="宋体" w:cs="宋体"/>
          <w:color w:val="auto"/>
          <w:highlight w:val="none"/>
        </w:rPr>
      </w:pPr>
      <w:r>
        <w:rPr>
          <w:rFonts w:hint="eastAsia" w:ascii="宋体" w:hAnsi="宋体" w:cs="宋体"/>
          <w:color w:val="auto"/>
          <w:highlight w:val="none"/>
        </w:rPr>
        <w:t>例如：某服务采购代理业务成交金额或者暂定价为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3DED4FF2">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14:paraId="33C43B9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0.8%</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万元</w:t>
      </w:r>
    </w:p>
    <w:p w14:paraId="43752C9B">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w:t>
      </w:r>
      <w:r>
        <w:rPr>
          <w:rFonts w:ascii="宋体" w:hAnsi="宋体" w:cs="宋体"/>
          <w:color w:val="auto"/>
          <w:highlight w:val="none"/>
        </w:rPr>
        <w:t xml:space="preserve"> 1.9 </w:t>
      </w:r>
      <w:r>
        <w:rPr>
          <w:rFonts w:hint="eastAsia" w:ascii="宋体" w:hAnsi="宋体" w:cs="宋体"/>
          <w:color w:val="auto"/>
          <w:highlight w:val="none"/>
        </w:rPr>
        <w:t>万元</w:t>
      </w:r>
    </w:p>
    <w:p w14:paraId="7B1829D1">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32.3</w:t>
      </w:r>
      <w:r>
        <w:rPr>
          <w:rFonts w:hint="eastAsia" w:ascii="宋体" w:hAnsi="宋体" w:cs="宋体"/>
          <w:color w:val="auto"/>
          <w:kern w:val="0"/>
          <w:szCs w:val="21"/>
          <w:highlight w:val="none"/>
        </w:rPr>
        <w:t>代理服务费交纳银行帐号信息</w:t>
      </w:r>
    </w:p>
    <w:p w14:paraId="342CD882">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2E9F45A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5453680A">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805022302700001</w:t>
      </w:r>
    </w:p>
    <w:p w14:paraId="76A9E24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需要补充的其他内容</w:t>
      </w:r>
    </w:p>
    <w:p w14:paraId="55180E3E">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33.1</w:t>
      </w:r>
      <w:r>
        <w:rPr>
          <w:rFonts w:hint="eastAsia" w:hAnsi="宋体" w:cs="宋体"/>
          <w:color w:val="auto"/>
          <w:kern w:val="2"/>
          <w:sz w:val="21"/>
          <w:highlight w:val="none"/>
        </w:rPr>
        <w:t>本磋商文件解释规则详见“供应商须知前附表”。</w:t>
      </w:r>
    </w:p>
    <w:p w14:paraId="1DBAA9B2">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33.2 </w:t>
      </w:r>
      <w:r>
        <w:rPr>
          <w:rFonts w:hint="eastAsia" w:hAnsi="宋体" w:cs="宋体"/>
          <w:color w:val="auto"/>
          <w:kern w:val="2"/>
          <w:sz w:val="21"/>
          <w:highlight w:val="none"/>
        </w:rPr>
        <w:t>其他事项详见“供应商须知前附表”。</w:t>
      </w:r>
    </w:p>
    <w:p w14:paraId="50760F8E">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BE9D34A">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14:paraId="32838BCD">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14:paraId="3B8B5DEB">
      <w:pPr>
        <w:pStyle w:val="1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3D0CC3C0">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F9708A1">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F12CE1D">
      <w:pPr>
        <w:pStyle w:val="2"/>
        <w:spacing w:line="360" w:lineRule="auto"/>
        <w:rPr>
          <w:rFonts w:ascii="宋体" w:cs="宋体"/>
          <w:color w:val="auto"/>
          <w:highlight w:val="none"/>
        </w:rPr>
      </w:pPr>
      <w:r>
        <w:rPr>
          <w:rFonts w:ascii="宋体" w:cs="宋体"/>
          <w:color w:val="auto"/>
          <w:highlight w:val="none"/>
        </w:rPr>
        <w:br w:type="page"/>
      </w:r>
      <w:bookmarkStart w:id="37" w:name="_Toc8379"/>
      <w:bookmarkStart w:id="38" w:name="_Toc14902"/>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37"/>
      <w:bookmarkEnd w:id="38"/>
    </w:p>
    <w:p w14:paraId="2CA5C189">
      <w:pPr>
        <w:spacing w:line="440" w:lineRule="exact"/>
        <w:jc w:val="center"/>
        <w:rPr>
          <w:rFonts w:ascii="宋体" w:cs="宋体"/>
          <w:b/>
          <w:color w:val="auto"/>
          <w:sz w:val="32"/>
          <w:szCs w:val="32"/>
          <w:highlight w:val="none"/>
        </w:rPr>
      </w:pPr>
    </w:p>
    <w:p w14:paraId="46C11931">
      <w:pPr>
        <w:spacing w:line="360" w:lineRule="auto"/>
        <w:jc w:val="left"/>
        <w:rPr>
          <w:rFonts w:ascii="宋体" w:cs="宋体"/>
          <w:b/>
          <w:color w:val="auto"/>
          <w:szCs w:val="21"/>
          <w:highlight w:val="none"/>
        </w:rPr>
      </w:pPr>
      <w:r>
        <w:rPr>
          <w:rFonts w:hint="eastAsia" w:ascii="宋体" w:hAnsi="宋体" w:cs="宋体"/>
          <w:b/>
          <w:color w:val="auto"/>
          <w:szCs w:val="21"/>
          <w:highlight w:val="none"/>
        </w:rPr>
        <w:t>说明：</w:t>
      </w:r>
    </w:p>
    <w:p w14:paraId="564360BA">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46A9CF65">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号）的规定，采购需求中如有货物产品，且货物产品属于节能产品政府采购品目清单内标注“★”的，供应商的竞标货物必须使用政府强制采购的节能产品，否则响应文件作无效响应处理。</w:t>
      </w:r>
    </w:p>
    <w:p w14:paraId="5FDF34D6">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14:paraId="7E14E061">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、“实质性要求”是指竞争性磋商文件中已经指明不满足则响应无效的条款，或者不能负偏离的条款，或者采购需求中带“▲”的条款。</w:t>
      </w:r>
    </w:p>
    <w:p w14:paraId="18B18596">
      <w:pPr>
        <w:spacing w:line="360" w:lineRule="auto"/>
        <w:ind w:firstLine="310" w:firstLineChars="147"/>
        <w:jc w:val="left"/>
        <w:rPr>
          <w:rFonts w:ascii="宋体" w:cs="宋体"/>
          <w:b/>
          <w:color w:val="auto"/>
          <w:szCs w:val="21"/>
          <w:highlight w:val="none"/>
        </w:rPr>
      </w:pPr>
    </w:p>
    <w:p w14:paraId="15F5DB74">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（农业宣传）</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55.00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516"/>
        <w:gridCol w:w="620"/>
        <w:gridCol w:w="430"/>
        <w:gridCol w:w="1077"/>
        <w:gridCol w:w="5336"/>
        <w:gridCol w:w="80"/>
      </w:tblGrid>
      <w:tr w14:paraId="3610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55" w:type="dxa"/>
            <w:vAlign w:val="center"/>
          </w:tcPr>
          <w:p w14:paraId="7B700D0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vAlign w:val="center"/>
          </w:tcPr>
          <w:p w14:paraId="3635A6D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gridSpan w:val="2"/>
            <w:vAlign w:val="center"/>
          </w:tcPr>
          <w:p w14:paraId="4D98047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131DFF9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635BECB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gridSpan w:val="2"/>
            <w:vAlign w:val="center"/>
          </w:tcPr>
          <w:p w14:paraId="1979E7D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067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21535E28">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vAlign w:val="center"/>
          </w:tcPr>
          <w:p w14:paraId="33849684">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多媒体内容制作编辑服务</w:t>
            </w:r>
          </w:p>
        </w:tc>
        <w:tc>
          <w:tcPr>
            <w:tcW w:w="1050" w:type="dxa"/>
            <w:gridSpan w:val="2"/>
            <w:vAlign w:val="center"/>
          </w:tcPr>
          <w:p w14:paraId="0C3AD9E1">
            <w:pPr>
              <w:tabs>
                <w:tab w:val="left" w:pos="180"/>
                <w:tab w:val="left" w:pos="1620"/>
              </w:tabs>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37AD915D">
            <w:pPr>
              <w:tabs>
                <w:tab w:val="left" w:pos="180"/>
                <w:tab w:val="left" w:pos="1620"/>
              </w:tabs>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其他未列明行业</w:t>
            </w:r>
          </w:p>
        </w:tc>
        <w:tc>
          <w:tcPr>
            <w:tcW w:w="5416" w:type="dxa"/>
            <w:gridSpan w:val="2"/>
            <w:vAlign w:val="center"/>
          </w:tcPr>
          <w:p w14:paraId="13949B42">
            <w:pPr>
              <w:pStyle w:val="30"/>
              <w:spacing w:after="0" w:line="360" w:lineRule="auto"/>
              <w:ind w:firstLineChars="200"/>
              <w:rPr>
                <w:rFonts w:hint="eastAsia" w:ascii="宋体" w:eastAsia="宋体" w:cs="宋体"/>
                <w:color w:val="auto"/>
                <w:szCs w:val="21"/>
                <w:highlight w:val="none"/>
                <w:lang w:eastAsia="zh-CN"/>
              </w:rPr>
            </w:pPr>
            <w:r>
              <w:rPr>
                <w:rFonts w:hint="eastAsia" w:ascii="宋体" w:cs="宋体"/>
                <w:color w:val="auto"/>
                <w:szCs w:val="21"/>
                <w:highlight w:val="none"/>
              </w:rPr>
              <w:t>根据新媒体平台和短视频传播特点，拍摄剪辑制作10条有广西农业农村特色特点，每个片长2分钟左右，适合广西农业农村厅官方抖音、头条号等新媒体渠道播放的宣传短片</w:t>
            </w:r>
            <w:r>
              <w:rPr>
                <w:rFonts w:hint="eastAsia" w:ascii="宋体" w:cs="宋体"/>
                <w:color w:val="auto"/>
                <w:szCs w:val="21"/>
                <w:highlight w:val="none"/>
                <w:lang w:eastAsia="zh-CN"/>
              </w:rPr>
              <w:t>。</w:t>
            </w:r>
          </w:p>
        </w:tc>
      </w:tr>
      <w:tr w14:paraId="6CF3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27CF8F0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vAlign w:val="center"/>
          </w:tcPr>
          <w:p w14:paraId="537B0139">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广西“三农”网络影音平台内容建设和视频新闻采编</w:t>
            </w:r>
          </w:p>
        </w:tc>
        <w:tc>
          <w:tcPr>
            <w:tcW w:w="1050" w:type="dxa"/>
            <w:gridSpan w:val="2"/>
            <w:vAlign w:val="center"/>
          </w:tcPr>
          <w:p w14:paraId="08F11A13">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183E1FA5">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其他未列明行业</w:t>
            </w:r>
          </w:p>
        </w:tc>
        <w:tc>
          <w:tcPr>
            <w:tcW w:w="5416" w:type="dxa"/>
            <w:gridSpan w:val="2"/>
            <w:vAlign w:val="center"/>
          </w:tcPr>
          <w:p w14:paraId="24711F58">
            <w:pPr>
              <w:pStyle w:val="30"/>
              <w:spacing w:after="0" w:line="360" w:lineRule="auto"/>
              <w:ind w:firstLineChars="200"/>
              <w:rPr>
                <w:rFonts w:ascii="宋体" w:cs="宋体"/>
                <w:color w:val="auto"/>
                <w:szCs w:val="21"/>
                <w:highlight w:val="none"/>
              </w:rPr>
            </w:pPr>
            <w:r>
              <w:rPr>
                <w:rFonts w:hint="eastAsia" w:ascii="宋体" w:cs="宋体"/>
                <w:color w:val="auto"/>
                <w:szCs w:val="21"/>
                <w:highlight w:val="none"/>
              </w:rPr>
              <w:t>1、广西“三农”网络影音平台内容建设，主要通过整合广西各市县融媒体机构、各级涉农专业网站、新媒体平台的图文、视音频信息资源，结合广西“三农”工作实际进行内容融合、再创作视频音频作品，呈现和宣传广西的“三农”工作和成效。</w:t>
            </w:r>
          </w:p>
          <w:p w14:paraId="51CD06EB">
            <w:pPr>
              <w:pStyle w:val="30"/>
              <w:spacing w:after="0" w:line="360" w:lineRule="auto"/>
              <w:ind w:firstLineChars="200"/>
              <w:rPr>
                <w:rFonts w:ascii="宋体" w:cs="宋体"/>
                <w:color w:val="auto"/>
                <w:szCs w:val="21"/>
                <w:highlight w:val="none"/>
              </w:rPr>
            </w:pPr>
            <w:r>
              <w:rPr>
                <w:rFonts w:hint="eastAsia" w:ascii="宋体" w:cs="宋体"/>
                <w:color w:val="auto"/>
                <w:szCs w:val="21"/>
                <w:highlight w:val="none"/>
              </w:rPr>
              <w:t>2、视频新闻采编播。广西农业信息中心是广西农业农村厅官网内容建设的主要部门，负责为广西农业农村厅重点工作、重大会议、重要活动等时政新闻的报道采制和主题宣传策划实施工作。为做好相关视频新闻采编播工作，由广西农业信息中心牵头组织一支5人的专业采编团队提供全年全厅的时政新闻采编采制服务。</w:t>
            </w:r>
          </w:p>
        </w:tc>
      </w:tr>
      <w:tr w14:paraId="04030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7"/>
            <w:tcBorders>
              <w:top w:val="single" w:color="auto" w:sz="4" w:space="0"/>
              <w:bottom w:val="single" w:color="auto" w:sz="4" w:space="0"/>
            </w:tcBorders>
          </w:tcPr>
          <w:p w14:paraId="7524E928">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3385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0" w:type="dxa"/>
          <w:trHeight w:val="698" w:hRule="atLeast"/>
          <w:jc w:val="center"/>
        </w:trPr>
        <w:tc>
          <w:tcPr>
            <w:tcW w:w="2791" w:type="dxa"/>
            <w:gridSpan w:val="3"/>
            <w:vAlign w:val="center"/>
          </w:tcPr>
          <w:p w14:paraId="1EC2B913">
            <w:pPr>
              <w:pStyle w:val="13"/>
              <w:spacing w:line="360" w:lineRule="auto"/>
              <w:ind w:firstLine="3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磋商报价要求</w:t>
            </w:r>
          </w:p>
        </w:tc>
        <w:tc>
          <w:tcPr>
            <w:tcW w:w="6843" w:type="dxa"/>
            <w:gridSpan w:val="3"/>
            <w:vAlign w:val="center"/>
          </w:tcPr>
          <w:p w14:paraId="2F42DF80">
            <w:pPr>
              <w:pStyle w:val="13"/>
              <w:spacing w:line="360" w:lineRule="auto"/>
              <w:ind w:firstLine="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本项目实行总承包报价；包含服务采购、实施、验收等各种费用和售后服务、税金及其它所有成本费用的总和。采购人不另支付任何费用。</w:t>
            </w:r>
          </w:p>
        </w:tc>
      </w:tr>
      <w:tr w14:paraId="65AF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0" w:type="dxa"/>
          <w:trHeight w:val="698" w:hRule="atLeast"/>
          <w:jc w:val="center"/>
        </w:trPr>
        <w:tc>
          <w:tcPr>
            <w:tcW w:w="2791" w:type="dxa"/>
            <w:gridSpan w:val="3"/>
            <w:vAlign w:val="center"/>
          </w:tcPr>
          <w:p w14:paraId="10F44715">
            <w:pPr>
              <w:pStyle w:val="13"/>
              <w:spacing w:line="360" w:lineRule="auto"/>
              <w:ind w:firstLine="3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合同履行期限和地点</w:t>
            </w:r>
          </w:p>
        </w:tc>
        <w:tc>
          <w:tcPr>
            <w:tcW w:w="6843" w:type="dxa"/>
            <w:gridSpan w:val="3"/>
            <w:vAlign w:val="center"/>
          </w:tcPr>
          <w:p w14:paraId="0657BC0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合同履约期限：自签订合同，指定摄制地点后，每部宣传片在确定摄制内容和脚本后，30个日历日内交付。</w:t>
            </w:r>
          </w:p>
          <w:p w14:paraId="6ED46839">
            <w:pPr>
              <w:pStyle w:val="13"/>
              <w:spacing w:line="360" w:lineRule="auto"/>
              <w:ind w:firstLine="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地点：采购人指定地点。</w:t>
            </w:r>
          </w:p>
        </w:tc>
      </w:tr>
      <w:tr w14:paraId="35CA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0" w:type="dxa"/>
          <w:trHeight w:val="698" w:hRule="atLeast"/>
          <w:jc w:val="center"/>
        </w:trPr>
        <w:tc>
          <w:tcPr>
            <w:tcW w:w="2791" w:type="dxa"/>
            <w:gridSpan w:val="3"/>
            <w:vAlign w:val="center"/>
          </w:tcPr>
          <w:p w14:paraId="107178D0">
            <w:pPr>
              <w:pStyle w:val="13"/>
              <w:spacing w:line="360" w:lineRule="auto"/>
              <w:ind w:firstLine="3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付款条件</w:t>
            </w:r>
          </w:p>
        </w:tc>
        <w:tc>
          <w:tcPr>
            <w:tcW w:w="6843" w:type="dxa"/>
            <w:gridSpan w:val="3"/>
            <w:vAlign w:val="center"/>
          </w:tcPr>
          <w:p w14:paraId="6C348473">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自签订合同之日起采购人于5个工作日内支付40%的合同款给成交供应商，合同签订第三个月内，由采购人支付50%合同款给成交供应商，项目验收合格后采购人于5个工作日内支付剩余10%的合同款给成交供应商。成交供应商自收到合同款之日起5个工作日内开具发票给采购人。</w:t>
            </w:r>
          </w:p>
        </w:tc>
      </w:tr>
      <w:tr w14:paraId="26F2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0" w:type="dxa"/>
          <w:trHeight w:val="698" w:hRule="atLeast"/>
          <w:jc w:val="center"/>
        </w:trPr>
        <w:tc>
          <w:tcPr>
            <w:tcW w:w="2791" w:type="dxa"/>
            <w:gridSpan w:val="3"/>
            <w:vAlign w:val="center"/>
          </w:tcPr>
          <w:p w14:paraId="249A703B">
            <w:pPr>
              <w:pStyle w:val="13"/>
              <w:spacing w:line="360" w:lineRule="auto"/>
              <w:ind w:firstLine="3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服务及其他要求</w:t>
            </w:r>
          </w:p>
        </w:tc>
        <w:tc>
          <w:tcPr>
            <w:tcW w:w="6843" w:type="dxa"/>
            <w:gridSpan w:val="3"/>
            <w:vAlign w:val="center"/>
          </w:tcPr>
          <w:p w14:paraId="6CBA85CE">
            <w:pPr>
              <w:spacing w:line="360" w:lineRule="exact"/>
              <w:rPr>
                <w:rFonts w:ascii="宋体" w:hAnsi="宋体" w:cs="宋体"/>
                <w:color w:val="auto"/>
                <w:highlight w:val="none"/>
              </w:rPr>
            </w:pPr>
            <w:r>
              <w:rPr>
                <w:rFonts w:hint="eastAsia" w:ascii="宋体" w:hAnsi="宋体" w:cs="宋体"/>
                <w:color w:val="auto"/>
                <w:highlight w:val="none"/>
              </w:rPr>
              <w:t>1、在</w:t>
            </w:r>
            <w:r>
              <w:rPr>
                <w:rFonts w:hint="eastAsia" w:ascii="宋体" w:hAnsi="宋体" w:cs="宋体"/>
                <w:color w:val="auto"/>
                <w:highlight w:val="none"/>
                <w:lang w:val="en-US" w:eastAsia="zh-CN"/>
              </w:rPr>
              <w:t>服务</w:t>
            </w:r>
            <w:r>
              <w:rPr>
                <w:rFonts w:hint="eastAsia" w:ascii="宋体" w:hAnsi="宋体" w:cs="宋体"/>
                <w:color w:val="auto"/>
                <w:highlight w:val="none"/>
              </w:rPr>
              <w:t>期内，</w:t>
            </w:r>
            <w:r>
              <w:rPr>
                <w:rFonts w:hint="eastAsia" w:ascii="宋体" w:hAnsi="宋体" w:cs="宋体"/>
                <w:color w:val="auto"/>
                <w:sz w:val="21"/>
                <w:szCs w:val="21"/>
                <w:highlight w:val="none"/>
                <w:lang w:val="en-US" w:eastAsia="zh-CN"/>
              </w:rPr>
              <w:t>成交供应商</w:t>
            </w:r>
            <w:r>
              <w:rPr>
                <w:rFonts w:hint="eastAsia" w:ascii="宋体" w:hAnsi="宋体" w:cs="宋体"/>
                <w:color w:val="auto"/>
                <w:highlight w:val="none"/>
              </w:rPr>
              <w:t>需无偿按照采购人的要求，对成品作细微调整完善，包括增减片段内容。</w:t>
            </w:r>
          </w:p>
          <w:p w14:paraId="4AAC2639">
            <w:pPr>
              <w:spacing w:line="360" w:lineRule="exact"/>
              <w:rPr>
                <w:rFonts w:ascii="宋体" w:hAnsi="宋体" w:cs="宋体"/>
                <w:color w:val="auto"/>
                <w:highlight w:val="none"/>
              </w:rPr>
            </w:pPr>
            <w:r>
              <w:rPr>
                <w:rFonts w:hint="eastAsia" w:ascii="宋体" w:hAnsi="宋体" w:cs="宋体"/>
                <w:color w:val="auto"/>
                <w:highlight w:val="none"/>
              </w:rPr>
              <w:t>2、处理问题响应时间：接到采购人处理问题通知后24小时内到达采购人指定现场。</w:t>
            </w:r>
          </w:p>
          <w:p w14:paraId="4943323F">
            <w:pPr>
              <w:spacing w:line="360" w:lineRule="exact"/>
              <w:rPr>
                <w:rFonts w:ascii="宋体" w:hAnsi="宋体" w:cs="宋体"/>
                <w:color w:val="auto"/>
                <w:highlight w:val="none"/>
              </w:rPr>
            </w:pPr>
            <w:r>
              <w:rPr>
                <w:rFonts w:hint="eastAsia" w:ascii="宋体" w:hAnsi="宋体" w:cs="宋体"/>
                <w:color w:val="auto"/>
                <w:highlight w:val="none"/>
              </w:rPr>
              <w:t>3、供应商请在响应文件中提供具体的服务方案和服务机构的详细情况（包括服务机构的地址、服务人员姓名、联系方式等）。</w:t>
            </w:r>
          </w:p>
          <w:p w14:paraId="6566A6D8">
            <w:pPr>
              <w:spacing w:line="360" w:lineRule="exact"/>
              <w:rPr>
                <w:rFonts w:hint="eastAsia" w:ascii="宋体" w:hAnsi="宋体" w:eastAsia="宋体" w:cs="宋体"/>
                <w:color w:val="auto"/>
                <w:sz w:val="21"/>
                <w:szCs w:val="21"/>
                <w:highlight w:val="none"/>
              </w:rPr>
            </w:pPr>
            <w:r>
              <w:rPr>
                <w:rFonts w:hint="eastAsia" w:ascii="宋体" w:hAnsi="宋体" w:cs="宋体"/>
                <w:color w:val="auto"/>
                <w:highlight w:val="none"/>
              </w:rPr>
              <w:t>4、</w:t>
            </w:r>
            <w:r>
              <w:rPr>
                <w:rFonts w:hint="eastAsia" w:ascii="宋体" w:hAnsi="宋体" w:cs="宋体"/>
                <w:color w:val="auto"/>
                <w:sz w:val="21"/>
                <w:szCs w:val="21"/>
                <w:highlight w:val="none"/>
                <w:lang w:val="en-US" w:eastAsia="zh-CN"/>
              </w:rPr>
              <w:t>成交供应商</w:t>
            </w:r>
            <w:r>
              <w:rPr>
                <w:rFonts w:hint="eastAsia" w:ascii="宋体" w:hAnsi="宋体" w:cs="宋体"/>
                <w:color w:val="auto"/>
                <w:highlight w:val="none"/>
              </w:rPr>
              <w:t>在完成合同规定的工作并将成果交付采购人后，有义务参加有关单位组织的评审工作，并根据评审意见负责做必要调整和补充。</w:t>
            </w:r>
          </w:p>
        </w:tc>
      </w:tr>
    </w:tbl>
    <w:p w14:paraId="50A88134">
      <w:pPr>
        <w:rPr>
          <w:rFonts w:ascii="宋体" w:cs="宋体"/>
          <w:color w:val="auto"/>
          <w:highlight w:val="none"/>
        </w:rPr>
      </w:pPr>
    </w:p>
    <w:p w14:paraId="5DBCB8DE">
      <w:pPr>
        <w:rPr>
          <w:rFonts w:ascii="宋体" w:cs="宋体"/>
          <w:color w:val="auto"/>
          <w:highlight w:val="none"/>
        </w:rPr>
      </w:pPr>
    </w:p>
    <w:p w14:paraId="3B0FA22C">
      <w:pPr>
        <w:spacing w:line="240" w:lineRule="auto"/>
        <w:ind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1CE6237">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（广西现代特色农业馆运维）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18.56</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68D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B665EF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3354E9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1F26CE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EB34F6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2A6554D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01C22DF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3DA9E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BB86B94">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4E62A569">
            <w:pPr>
              <w:widowControl/>
              <w:spacing w:line="360" w:lineRule="auto"/>
              <w:jc w:val="center"/>
              <w:rPr>
                <w:rFonts w:ascii="宋体" w:cs="宋体"/>
                <w:color w:val="auto"/>
                <w:szCs w:val="21"/>
                <w:highlight w:val="none"/>
              </w:rPr>
            </w:pPr>
            <w:r>
              <w:rPr>
                <w:rFonts w:hint="eastAsia" w:ascii="宋体" w:cs="宋体"/>
                <w:color w:val="auto"/>
                <w:szCs w:val="21"/>
                <w:highlight w:val="none"/>
              </w:rPr>
              <w:t>广西现代特色农业馆运维</w:t>
            </w:r>
          </w:p>
        </w:tc>
        <w:tc>
          <w:tcPr>
            <w:tcW w:w="1050" w:type="dxa"/>
            <w:vAlign w:val="center"/>
          </w:tcPr>
          <w:p w14:paraId="170F1A51">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08426EF5">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671DB07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一、提供运维方案</w:t>
            </w:r>
          </w:p>
          <w:p w14:paraId="79087B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1、软件技术维护保障计划方案：需提供对展馆现有各软件平台的良好的技术维护保障方案，方案须有可操作性，维护分工明晰，工作流程清楚。</w:t>
            </w:r>
          </w:p>
          <w:p w14:paraId="55856A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2、硬件及软件技术维护保障人员配置：提供至少5人及以上的技术维护人员团队联系表，并明确人员岗位职责。</w:t>
            </w:r>
          </w:p>
          <w:p w14:paraId="7A43B7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3、内容保密制度。需提供内容保密制度和保证书。</w:t>
            </w:r>
          </w:p>
          <w:p w14:paraId="12F18C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4、安全及突发事件处置预案：需提供系统安全保护计划和突发事件处置预案。</w:t>
            </w:r>
          </w:p>
          <w:p w14:paraId="57A318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5、其他技术、服务等要求。</w:t>
            </w:r>
          </w:p>
          <w:p w14:paraId="26F7F6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设备及软件提供维护、故障维修等服务，并根据设备及软件配备情况和运行需要，提供所必须的备品备件。提供7×24小时技术支持和服务，如遇故障立即响应，一般故障1小时内解决，如不能及时解决，2小时内更换备品备件。</w:t>
            </w:r>
          </w:p>
          <w:p w14:paraId="11AB0F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（2）在系统日常使用状态下，保证每两周进行1次设备及软件例行维护和巡检，并形成书面巡检报告（每月向采购人递交巡检报告，装订成册，每月两份）。重大活动前，检修人员应提前到位对各系统进行检查。</w:t>
            </w:r>
          </w:p>
          <w:p w14:paraId="6A80AF2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二、更新服务内容</w:t>
            </w:r>
          </w:p>
          <w:p w14:paraId="65CD1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（1）展厅内容更新服务</w:t>
            </w:r>
          </w:p>
          <w:p w14:paraId="08E23A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一年期的展厅多媒体内容更新服务：包括主要成效、全产业链、产业集群、品牌农业、乡村振兴等5个板块的触控内容更新共5套触控软件，每套触控软件内容更新数量为30P以内；所有多媒体图片及数据更新；中控UI设计及按钮更新。</w:t>
            </w:r>
          </w:p>
          <w:p w14:paraId="69E822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（2）展厅魔镜墙触控体验区互动内容更新</w:t>
            </w:r>
          </w:p>
          <w:p w14:paraId="0971AD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（3）展厅装饰平面上墙服务</w:t>
            </w:r>
          </w:p>
          <w:p w14:paraId="6916B7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序厅、牢记嘱托、主要成效、现代农业、新业态、新技术、智慧农业、数字渔业、乡村振兴、展望未来等10个板块的平面上墙物料更新及安装，其中高清壁纸更新及按照数量在145平方内，水晶字300个内、亚克力不超过15平方、PVC不超过15平方。</w:t>
            </w:r>
          </w:p>
          <w:p w14:paraId="278B0E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3、机房运维服务</w:t>
            </w:r>
          </w:p>
          <w:p w14:paraId="1CA622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机房线路梳理及巡检服务，每月进行两次。为保证更好的信号传输，需要备用HDMI30米光纤成品线10条、HDMI10米成品线10条；其他辅材：五米DP成品线、线管、波纹管、电工胶布、地槽、HDMI转接头、铁皮、美纹纸、玻璃胶、双面胶等若干。</w:t>
            </w:r>
          </w:p>
          <w:p w14:paraId="2C958A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4、重大参观活动保障服务</w:t>
            </w:r>
          </w:p>
          <w:p w14:paraId="7FFAAB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如展厅在维保期内遇到重大参观活动，供应商需要提前达到现场进行展厅的所有设备保障工作。</w:t>
            </w:r>
          </w:p>
          <w:p w14:paraId="4E96C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5、临时外聘解说员1名</w:t>
            </w:r>
          </w:p>
          <w:p w14:paraId="089334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提供展厅外聘解说员解说服务，解说员为播音专业及有两年相关工作经验以上的人。</w:t>
            </w:r>
          </w:p>
          <w:p w14:paraId="1252A96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三、硬件运维服务</w:t>
            </w:r>
          </w:p>
          <w:p w14:paraId="78123A81">
            <w:pPr>
              <w:spacing w:line="360" w:lineRule="auto"/>
              <w:ind w:firstLine="420"/>
              <w:jc w:val="left"/>
              <w:rPr>
                <w:rFonts w:ascii="宋体" w:cs="宋体"/>
                <w:color w:val="auto"/>
                <w:szCs w:val="21"/>
                <w:highlight w:val="none"/>
              </w:rPr>
            </w:pPr>
            <w:r>
              <w:rPr>
                <w:rFonts w:hint="eastAsia" w:ascii="宋体" w:hAnsi="宋体" w:eastAsia="宋体" w:cs="宋体"/>
                <w:color w:val="auto"/>
                <w:sz w:val="21"/>
                <w:szCs w:val="21"/>
                <w:highlight w:val="none"/>
              </w:rPr>
              <w:t>供应商须对广西现代特色农业馆内设备和装置提供运维服务（不含利旧LED大屏）。详见附件1硬件运维服务范围表。</w:t>
            </w:r>
          </w:p>
        </w:tc>
      </w:tr>
      <w:tr w14:paraId="4D947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0C77B848">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2195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3B3AD4C">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2320E5D7">
            <w:pPr>
              <w:pStyle w:val="1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本项目实行总承包报价；包含服务采购、实施、验收等各种费用和售后服务、税金及其它所有成本费用的总和。采购人不另支付任何费用。</w:t>
            </w:r>
          </w:p>
        </w:tc>
      </w:tr>
      <w:tr w14:paraId="662FE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B8CF60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合同履行期限和地点</w:t>
            </w:r>
          </w:p>
        </w:tc>
        <w:tc>
          <w:tcPr>
            <w:tcW w:w="7614" w:type="dxa"/>
            <w:gridSpan w:val="4"/>
            <w:tcBorders>
              <w:top w:val="single" w:color="auto" w:sz="4" w:space="0"/>
              <w:left w:val="single" w:color="auto" w:sz="4" w:space="0"/>
              <w:bottom w:val="single" w:color="auto" w:sz="4" w:space="0"/>
            </w:tcBorders>
            <w:vAlign w:val="center"/>
          </w:tcPr>
          <w:p w14:paraId="2D9230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合同履约期限：自签订合同之日起</w:t>
            </w:r>
            <w:r>
              <w:rPr>
                <w:rFonts w:hint="eastAsia" w:ascii="宋体" w:hAnsi="宋体" w:eastAsia="宋体" w:cs="宋体"/>
                <w:color w:val="auto"/>
                <w:sz w:val="21"/>
                <w:szCs w:val="21"/>
                <w:highlight w:val="none"/>
                <w:lang w:val="zh-CN"/>
              </w:rPr>
              <w:t>1年</w:t>
            </w:r>
            <w:r>
              <w:rPr>
                <w:rFonts w:hint="eastAsia" w:ascii="宋体" w:hAnsi="宋体" w:eastAsia="宋体" w:cs="宋体"/>
                <w:color w:val="auto"/>
                <w:sz w:val="21"/>
                <w:szCs w:val="21"/>
                <w:highlight w:val="none"/>
              </w:rPr>
              <w:t>。</w:t>
            </w:r>
          </w:p>
          <w:p w14:paraId="5987C65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地点：采购人指定地点。</w:t>
            </w:r>
          </w:p>
        </w:tc>
      </w:tr>
      <w:tr w14:paraId="7A34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EAA979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09CBC9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后5个工作日内，由采购人支付40%合同款给成交供应商，合同签订第三个月内，由采购人支付50%合同款给成交供应商，项目初步验收合格后采购人支付剩余10%的合同款。成交供应商自收到合同款之日起5个工作日内开具发票给采购人。</w:t>
            </w:r>
          </w:p>
        </w:tc>
      </w:tr>
      <w:tr w14:paraId="19FFE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463CA1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0C514F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1、提供7×24小时技术支持和服务，如遇故障立即响应，一般故障1小时内解决，如不能及时解决，2小时内更换备品备件。</w:t>
            </w:r>
          </w:p>
          <w:p w14:paraId="568826C5">
            <w:pPr>
              <w:pStyle w:val="30"/>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2、竞标时提供技术方案，包括但不限于运维服务技术方案，</w:t>
            </w:r>
            <w:r>
              <w:rPr>
                <w:rFonts w:hint="eastAsia" w:ascii="宋体" w:hAnsi="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服务方案。</w:t>
            </w:r>
          </w:p>
        </w:tc>
      </w:tr>
    </w:tbl>
    <w:p w14:paraId="490596AA">
      <w:pPr>
        <w:rPr>
          <w:rFonts w:hint="eastAsia" w:ascii="宋体" w:hAnsi="宋体" w:cs="宋体"/>
          <w:b/>
          <w:color w:val="auto"/>
          <w:szCs w:val="21"/>
          <w:highlight w:val="none"/>
        </w:rPr>
      </w:pPr>
    </w:p>
    <w:p w14:paraId="207948CF">
      <w:pPr>
        <w:pStyle w:val="31"/>
        <w:ind w:firstLineChars="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附件1</w:t>
      </w:r>
    </w:p>
    <w:p w14:paraId="67EAE28C">
      <w:pPr>
        <w:pStyle w:val="26"/>
        <w:spacing w:line="420" w:lineRule="exact"/>
        <w:jc w:val="center"/>
        <w:rPr>
          <w:rFonts w:ascii="仿宋_GB2312" w:eastAsia="仿宋_GB2312"/>
          <w:b/>
          <w:bCs/>
          <w:color w:val="auto"/>
          <w:sz w:val="24"/>
          <w:highlight w:val="none"/>
        </w:rPr>
      </w:pPr>
      <w:r>
        <w:rPr>
          <w:rFonts w:hint="eastAsia" w:ascii="宋体" w:hAnsi="宋体" w:eastAsia="宋体" w:cs="宋体"/>
          <w:b/>
          <w:bCs/>
          <w:color w:val="auto"/>
          <w:sz w:val="24"/>
          <w:highlight w:val="none"/>
        </w:rPr>
        <w:t>硬件运维服务范围表</w:t>
      </w:r>
    </w:p>
    <w:tbl>
      <w:tblPr>
        <w:tblStyle w:val="3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708"/>
        <w:gridCol w:w="757"/>
        <w:gridCol w:w="4016"/>
        <w:gridCol w:w="709"/>
        <w:gridCol w:w="722"/>
      </w:tblGrid>
      <w:tr w14:paraId="668B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C1204F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运维设备名称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A559C0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1505F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35F89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运维设备名称</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3374D0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B91E1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14:paraId="1C4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FDAB9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高清激光投影机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4F959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CFC84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E6BC9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嵌入可调节式筒灯</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81EED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59690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1F8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3457F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工程级安装支架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C4001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E840D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B0B17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明装筒灯</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3907C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8FBE1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677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6FEF2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投影机短焦镜头</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DBBE3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C1CCD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7F48F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嵌入式筒灯</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C2DFD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B6D2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CBE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5F0A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投影机短焦镜头</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D946C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2203E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9FC89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轨道射灯</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84222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C43B6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AB4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EB4B0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视频工作站</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4EEE4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BB8B9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8B092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成品图文灯箱</w:t>
            </w:r>
          </w:p>
          <w:p w14:paraId="18E88B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（进口灯箱膜UV印刷）</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C3D9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2B527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A52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2A8F7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主扩声扬声器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71E15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81CEF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90D6B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成品图文版</w:t>
            </w:r>
          </w:p>
          <w:p w14:paraId="02E96E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（高密度板照相纸写真）</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04C47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95FC6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3D2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AB1D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4A10E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1AD03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56258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成品图文版</w:t>
            </w:r>
          </w:p>
          <w:p w14:paraId="38F2FD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（铝塑板照相纸写真）</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CFDF7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5FAD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996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FB1A9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46寸拼接屏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DBDA0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ED188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77D72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成品图文版</w:t>
            </w:r>
          </w:p>
          <w:p w14:paraId="62A4A3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（铝塑板特种艺术纸张/布艺写真）</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11F35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55003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FD5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3F760B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联动轨道</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EB0A1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928E6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11733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成品图文版</w:t>
            </w:r>
          </w:p>
          <w:p w14:paraId="322AD2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（铝塑板UV印刷）</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FCEF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304F2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F84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C74C7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触摸框</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7231D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93D2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B2CE8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LED节能灯带</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4F151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8D431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1836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5D28D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8F5A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B8C45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F5664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物理造景光电装置（w:（4000+6300）x d:1200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054E1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3517D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417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F974C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A59AA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CF9A5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05200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场景布置（4000+6300）x d:1200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4E336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BB4C8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5BEE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1DD4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视频工作站</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14FDB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FB28F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02FFA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物理造景光电装置（w:3400 x d:850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B9E5B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51905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2A77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C290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信号分配器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D820B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0F4C3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90297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场景布置（w:3400 x d:850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37B5F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EFCFC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76E8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4A37D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50寸显示器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F0071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F0B3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CAC05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物理造景光电装置（w:2000 x d:1200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E4F94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E037D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7F98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0140E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C8903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F5539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38ABE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场景布置（w:2000 x d:1200 x h:800mm）</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CC3FB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59CE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572C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20D3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F8C0E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B1688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A89AF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隔断定制木质龙骨结构</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F275B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3E730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51CE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C811A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FCF59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0B6D0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06D2D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隔断定制轻钢龙骨结构</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76D44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5F20C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4207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5D1E7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0985F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0A292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7CFA4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地面抬高</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3E53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CBB21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253A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0FBF0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触摸框</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C523D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A1F33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A01AD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全玻璃幕墙饰面</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D6175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EEE40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14A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D0160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USB延长器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8EAC2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146E7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82675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亚克力图文内容</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677DC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F5A42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04EB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0CE4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43寸触摸屏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480B5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8ADCC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E9CBB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亚克力装饰物</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DCEC3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01C9E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65A8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9A21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B28D9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93E88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F1444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美工字</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79E26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93447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63BE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246EB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5C2C2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BA176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C5E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单体模型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30078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40FF8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0748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BA2E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2CC6A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7278E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395AD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序厅视频融合处理通道</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024D9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0CA2D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通道</w:t>
            </w:r>
          </w:p>
        </w:tc>
      </w:tr>
      <w:tr w14:paraId="6B1E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21339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69B38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BC4A7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26143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序厅视频特效制作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879CD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3CD6E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611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95EC0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32寸触摸屏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30408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CB724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8F02F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序厅视频策划及二次创作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16083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EA6F4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04F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B65D9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D670C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5445C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A9208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序厅视频合成制作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F6235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5B0F2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EA7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AA0A8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07563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27ACC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C0D0E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领导关怀轨道触摸屏程序编写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BE6CC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04B2A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090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A897A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LED显示系统</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71ECC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39F0B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79284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AFB25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FCCD8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7A5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2BAB4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外置控制发送盒</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FADD0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A1C1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2AE18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领导关怀轨道交互软件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BE471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5E685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BC3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21D38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图像视频处理器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17C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99003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4E9C7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领导关怀特效制作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797A0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F041C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B21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F7B16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43寸触摸屏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00E1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73A80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A68BB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领导关怀策划及二次创作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EF1FB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45BA6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73A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55751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32寸显示器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1E8B7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7D487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F606B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领导关怀合成制作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0F711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1564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A12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00E13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70A74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71B0A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3605B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荣誉展示屏幕内容制作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29390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208E3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C3B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9AED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2CA65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9A6A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A0F94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荣誉展示轨道触摸屏程序编写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2BC90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6F4E6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4F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B192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信号分配器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FA594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E4780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8103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荣誉展示触摸屏内容制作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05A21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CB208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F63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1D0F1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7BB60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A6949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42C04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荣誉展示触摸屏交互软件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7BD28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ED368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3B1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965E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69AF3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172F5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25371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优势特色产业触摸屏程序编写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62D9B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EB2FD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300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AFADE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55寸拼接屏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52D5E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89D63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8F3C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优势特色产业触摸屏内容制作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BE833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600AD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405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2FD50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B0107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19451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1F96F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优势特色产业触摸屏交互软件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929F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90C9D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E85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BE1FC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信号分配器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7A39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B0900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3566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海洋文化轨道触摸屏程序编写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5D017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B1778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0D6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3F83E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视频工作站</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594CA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818F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10D5E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海洋文化触摸屏内容制作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8FFD2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94B17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3D9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386EE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雷达互动装置</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A879C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F95A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B7F50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海洋文化触摸屏交互软件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E3BC5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6090A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D78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7773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3LCD投影机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3D12E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AE740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49DDD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海洋产业柱子特效制作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73CA3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C5C56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D4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35B054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短焦镜头</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8A16D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4058C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3FC5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海洋产业柱子策划及二次创作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1A017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5AE5D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47D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D162F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工程级安装支架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73491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6C5A1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6D609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海洋产业柱子合成制作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C30E1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A38EA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D2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4E7D4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视频工作站</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CDB4A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3C54F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38C08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海洋产业柱子轨道触摸屏程序编写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E289D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740D4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635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0F0F9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23.8英寸IPS触控屏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7A7E5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F1E1B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10F10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9ED21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9330A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457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ED87A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1E3B3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76AC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632B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海洋产业柱子触摸屏交互软件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21806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ECF5E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3F8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36A071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437EF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0F914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E8C97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海洋产业魔镜墙雷达交互软件（多人）</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2AA63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DC2C4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87A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6DACD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38英寸条形显示屏</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31D45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4FAF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A8491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海洋产业魔镜墙触摸内容制作（多人）</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ABD72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0E4E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F0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51C48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2017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2F2B3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773D9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海洋产业大数据视频融合处理通道</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25C71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F7322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通道</w:t>
            </w:r>
          </w:p>
        </w:tc>
      </w:tr>
      <w:tr w14:paraId="5A4D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5C9DA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BC9DB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A08CB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E6B4B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海洋产业大数据图像处理软件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5326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A4B6A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DA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B5073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87755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528C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8CEDF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海洋产业大数据轨道触摸屏程序编写</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35B34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D0BED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AA6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360E0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80CE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6758A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65E79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海洋产业大数据触摸屏内容制作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17AAF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ABE1E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08F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2482F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激光反射短焦机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657F5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076C4A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0788A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海洋产业大数据触摸屏交互软件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B6D47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A5316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DE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05AA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工程级安装支架</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0C5A9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A14DD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D9214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海洋产业大数据特效制作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821B3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0015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秒</w:t>
            </w:r>
          </w:p>
        </w:tc>
      </w:tr>
      <w:tr w14:paraId="4769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0AAC3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视频播放器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21B49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BDD27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E33E3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海洋产业大数据策划及二次创作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7B96B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F61D6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83C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7FAAD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6E65D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E9D0D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A099B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海洋产业大数据合成制作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D934B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6C7C0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D8F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EAD0F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02EAF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A0973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7934A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农业园区条形屏内容制作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8A891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5E502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5B1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0FD82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控制服务器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8719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8D32D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87D71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未来展望特效制作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F758B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B6F3E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0B7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BE4C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控制服务器（备份）</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3F755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2981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ECA5C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未来展望策划及二次创作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43CF9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23EDD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E69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E009A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调光控制模块(继电器）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82A2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49F9D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A62F8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未来展望合成制作</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1D20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1AE15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DC3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1D1F0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数字音频处理器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DF509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C8347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35C55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机房设备中控系统软件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84F6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9416B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654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365484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强指向吸顶扬声器（导览扩声）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3630A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98978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9D22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机房设备控制系统</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DBE5B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AD271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0FE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71BEB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功率放大器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5267A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03CE4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B26A2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机房设备远程监控管理软件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4470C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4BBB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451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FA677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手持无线话筒</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046C6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641C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57351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机房设备控制界面服务</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3F83F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5A70A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C7B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FA616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领带话筒</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1BD07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BD799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92D23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新风系统</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3C094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E1FFE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A49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CCB18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串口服务器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671B3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2FD0C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0DD20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E30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8EF2A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8CA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20F7A1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42U机柜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705D4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5BA60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2A245D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千兆多模光模块</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03334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577399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r>
      <w:tr w14:paraId="590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013FE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A1119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6D1CC6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0405A2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多模光纤</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72541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1B3B9D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2AC2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A37F4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机柜调试显示器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FB79D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21EBA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1FF06B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系统集成</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6554A1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AD725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2BFA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87F2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控制平板电脑</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16C05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7810C3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62ED2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地面PVC地板</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D3F3A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DA632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7518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130B6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HDMI视频传输线</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4CBC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89990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564CA5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防静电活动地板</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565E1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07F77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27EF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5A6D14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5C320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49CF85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9530E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环氧树脂漆地面</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26020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CBAD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4FC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1B51FF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视频延长器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3D56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DF1F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5ECF2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墙面镜面玻璃</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4E180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0BAEE6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2CDE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0D2150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超六类网络线</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22049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BA5E3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6201B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乳胶漆墙面（含基层）</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8CB6E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2F500B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1E9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6FE0BB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音频传输线</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B8D34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1333D7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46CF5E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墙面铝板</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C60AA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36F44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181B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CA88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音箱线</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99A1C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84169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608590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墙面纯天然进口硅藻泥(含基层）</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F0672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356FAB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68F9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73D60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强电线路</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54013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3645EE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33EAFE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拉丝不锈钢扶手带栏杆、栏板</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9451F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4BD297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r w14:paraId="390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04" w:type="dxa"/>
            <w:tcBorders>
              <w:top w:val="single" w:color="auto" w:sz="4" w:space="0"/>
              <w:left w:val="single" w:color="auto" w:sz="4" w:space="0"/>
              <w:bottom w:val="single" w:color="auto" w:sz="4" w:space="0"/>
              <w:right w:val="single" w:color="auto" w:sz="4" w:space="0"/>
            </w:tcBorders>
            <w:shd w:val="clear" w:color="auto" w:fill="FFFFFF"/>
            <w:vAlign w:val="center"/>
          </w:tcPr>
          <w:p w14:paraId="468AF6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C30A6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14:paraId="516083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4016" w:type="dxa"/>
            <w:tcBorders>
              <w:top w:val="single" w:color="auto" w:sz="4" w:space="0"/>
              <w:left w:val="single" w:color="auto" w:sz="4" w:space="0"/>
              <w:bottom w:val="single" w:color="auto" w:sz="4" w:space="0"/>
              <w:right w:val="single" w:color="auto" w:sz="4" w:space="0"/>
            </w:tcBorders>
            <w:shd w:val="clear" w:color="auto" w:fill="FFFFFF"/>
            <w:vAlign w:val="center"/>
          </w:tcPr>
          <w:p w14:paraId="7EA9E8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玻纤板吊顶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74E70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338</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774F51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r>
    </w:tbl>
    <w:p w14:paraId="0ADDAF2C">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613DE48C">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（“三农”图片库平台和“三农”网络影音系统应用与运维）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9.96</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3F26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FBAF58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614FAC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1B96BE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70C9444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08B665E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344FDC1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2CF46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825BAA4">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C81B91C">
            <w:pPr>
              <w:widowControl/>
              <w:spacing w:line="360" w:lineRule="auto"/>
              <w:jc w:val="center"/>
              <w:rPr>
                <w:rFonts w:ascii="宋体" w:cs="宋体"/>
                <w:color w:val="auto"/>
                <w:szCs w:val="21"/>
                <w:highlight w:val="none"/>
              </w:rPr>
            </w:pPr>
            <w:r>
              <w:rPr>
                <w:rFonts w:hint="eastAsia" w:ascii="宋体" w:cs="宋体"/>
                <w:color w:val="auto"/>
                <w:szCs w:val="21"/>
                <w:highlight w:val="none"/>
              </w:rPr>
              <w:t>“三农”图片库及“三农”网络影音系统运维</w:t>
            </w:r>
          </w:p>
        </w:tc>
        <w:tc>
          <w:tcPr>
            <w:tcW w:w="1050" w:type="dxa"/>
            <w:vAlign w:val="center"/>
          </w:tcPr>
          <w:p w14:paraId="4A18044E">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266CDB39">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6A910F48">
            <w:pPr>
              <w:ind w:firstLine="420"/>
              <w:jc w:val="left"/>
              <w:rPr>
                <w:rFonts w:hint="eastAsia" w:ascii="宋体" w:eastAsia="宋体" w:cs="宋体"/>
                <w:b/>
                <w:bCs/>
                <w:color w:val="auto"/>
                <w:szCs w:val="21"/>
                <w:highlight w:val="none"/>
                <w:lang w:val="en-US" w:eastAsia="zh-CN"/>
              </w:rPr>
            </w:pPr>
            <w:r>
              <w:rPr>
                <w:rFonts w:hint="eastAsia" w:ascii="宋体" w:cs="宋体"/>
                <w:b/>
                <w:bCs/>
                <w:color w:val="auto"/>
                <w:szCs w:val="21"/>
                <w:highlight w:val="none"/>
              </w:rPr>
              <w:t>一、“三农”图片库</w:t>
            </w:r>
            <w:r>
              <w:rPr>
                <w:rFonts w:hint="eastAsia" w:ascii="宋体" w:cs="宋体"/>
                <w:b/>
                <w:bCs/>
                <w:color w:val="auto"/>
                <w:szCs w:val="21"/>
                <w:highlight w:val="none"/>
                <w:lang w:val="en-US" w:eastAsia="zh-CN"/>
              </w:rPr>
              <w:t>平台和</w:t>
            </w:r>
            <w:r>
              <w:rPr>
                <w:rFonts w:hint="eastAsia" w:ascii="宋体" w:cs="宋体"/>
                <w:b/>
                <w:bCs/>
                <w:color w:val="auto"/>
                <w:szCs w:val="21"/>
                <w:highlight w:val="none"/>
              </w:rPr>
              <w:t>“三农”网络影音系统日常运维</w:t>
            </w:r>
            <w:r>
              <w:rPr>
                <w:rFonts w:hint="eastAsia" w:ascii="宋体" w:cs="宋体"/>
                <w:b/>
                <w:bCs/>
                <w:color w:val="auto"/>
                <w:szCs w:val="21"/>
                <w:highlight w:val="none"/>
                <w:lang w:val="en-US" w:eastAsia="zh-CN"/>
              </w:rPr>
              <w:t>及</w:t>
            </w:r>
            <w:r>
              <w:rPr>
                <w:rFonts w:hint="eastAsia" w:ascii="宋体" w:cs="宋体"/>
                <w:b/>
                <w:bCs/>
                <w:color w:val="auto"/>
                <w:szCs w:val="21"/>
                <w:highlight w:val="none"/>
              </w:rPr>
              <w:t>功能改进</w:t>
            </w:r>
          </w:p>
          <w:p w14:paraId="5B1DAD44">
            <w:pPr>
              <w:ind w:firstLine="420"/>
              <w:jc w:val="left"/>
              <w:rPr>
                <w:rFonts w:hint="default" w:ascii="宋体" w:eastAsia="宋体" w:cs="宋体"/>
                <w:b/>
                <w:bCs/>
                <w:color w:val="auto"/>
                <w:szCs w:val="21"/>
                <w:highlight w:val="none"/>
                <w:lang w:val="en-US" w:eastAsia="zh-CN"/>
              </w:rPr>
            </w:pPr>
            <w:r>
              <w:rPr>
                <w:rFonts w:hint="eastAsia" w:ascii="宋体" w:cs="宋体"/>
                <w:b/>
                <w:bCs/>
                <w:color w:val="auto"/>
                <w:szCs w:val="21"/>
                <w:highlight w:val="none"/>
              </w:rPr>
              <w:t>（一）“三农”图片库</w:t>
            </w:r>
            <w:r>
              <w:rPr>
                <w:rFonts w:hint="eastAsia" w:ascii="宋体" w:cs="宋体"/>
                <w:b/>
                <w:bCs/>
                <w:color w:val="auto"/>
                <w:szCs w:val="21"/>
                <w:highlight w:val="none"/>
                <w:lang w:val="en-US" w:eastAsia="zh-CN"/>
              </w:rPr>
              <w:t>平台和</w:t>
            </w:r>
            <w:r>
              <w:rPr>
                <w:rFonts w:hint="eastAsia" w:ascii="宋体" w:cs="宋体"/>
                <w:b/>
                <w:bCs/>
                <w:color w:val="auto"/>
                <w:szCs w:val="21"/>
                <w:highlight w:val="none"/>
              </w:rPr>
              <w:t>“三农”网络影音系统</w:t>
            </w:r>
            <w:r>
              <w:rPr>
                <w:rFonts w:hint="eastAsia" w:ascii="宋体" w:cs="宋体"/>
                <w:b/>
                <w:bCs/>
                <w:color w:val="auto"/>
                <w:szCs w:val="21"/>
                <w:highlight w:val="none"/>
                <w:lang w:val="en-US" w:eastAsia="zh-CN"/>
              </w:rPr>
              <w:t>平台日常运行维护</w:t>
            </w:r>
          </w:p>
          <w:p w14:paraId="547B4BE8">
            <w:pPr>
              <w:ind w:firstLine="420"/>
              <w:jc w:val="left"/>
              <w:rPr>
                <w:rFonts w:hint="eastAsia" w:ascii="宋体" w:cs="宋体"/>
                <w:color w:val="auto"/>
                <w:szCs w:val="21"/>
                <w:highlight w:val="none"/>
              </w:rPr>
            </w:pPr>
            <w:r>
              <w:rPr>
                <w:rFonts w:hint="eastAsia" w:ascii="宋体" w:cs="宋体"/>
                <w:b/>
                <w:bCs/>
                <w:color w:val="auto"/>
                <w:szCs w:val="21"/>
                <w:highlight w:val="none"/>
              </w:rPr>
              <w:t>1.系统监控与故障处理：</w:t>
            </w:r>
            <w:r>
              <w:rPr>
                <w:rFonts w:hint="eastAsia" w:ascii="宋体" w:cs="宋体"/>
                <w:color w:val="auto"/>
                <w:szCs w:val="21"/>
                <w:highlight w:val="none"/>
              </w:rPr>
              <w:t>运维人员需要实时监控系统的运行状态，包括服务器、网络、应用程序等。一旦发现异常情况，如性能下降、错误日志等，应立即进行故障处理，快速定位问题原因并采取有效措施进行修复，以保障系统的稳定运行。</w:t>
            </w:r>
          </w:p>
          <w:p w14:paraId="0395C3EA">
            <w:pPr>
              <w:ind w:firstLine="420"/>
              <w:jc w:val="left"/>
              <w:rPr>
                <w:rFonts w:hint="eastAsia" w:ascii="宋体" w:cs="宋体"/>
                <w:color w:val="auto"/>
                <w:szCs w:val="21"/>
                <w:highlight w:val="none"/>
              </w:rPr>
            </w:pPr>
            <w:r>
              <w:rPr>
                <w:rFonts w:hint="eastAsia" w:ascii="宋体" w:cs="宋体"/>
                <w:b/>
                <w:bCs/>
                <w:color w:val="auto"/>
                <w:szCs w:val="21"/>
                <w:highlight w:val="none"/>
              </w:rPr>
              <w:t>2.系统备份与恢复：</w:t>
            </w:r>
            <w:r>
              <w:rPr>
                <w:rFonts w:hint="eastAsia" w:ascii="宋体" w:cs="宋体"/>
                <w:color w:val="auto"/>
                <w:szCs w:val="21"/>
                <w:highlight w:val="none"/>
              </w:rPr>
              <w:t>定期对重要数据进行备份，确保在发生硬件故障、人为错误或自然灾害时能够迅速恢复数据。此外，还需要定期测试备份数据的恢复过程，以确保备份的完整性和可用性。</w:t>
            </w:r>
          </w:p>
          <w:p w14:paraId="708CE737">
            <w:pPr>
              <w:ind w:firstLine="420"/>
              <w:jc w:val="left"/>
              <w:rPr>
                <w:rFonts w:hint="eastAsia" w:ascii="宋体" w:cs="宋体"/>
                <w:color w:val="auto"/>
                <w:szCs w:val="21"/>
                <w:highlight w:val="none"/>
              </w:rPr>
            </w:pPr>
            <w:r>
              <w:rPr>
                <w:rFonts w:hint="eastAsia" w:ascii="宋体" w:cs="宋体"/>
                <w:b/>
                <w:bCs/>
                <w:color w:val="auto"/>
                <w:szCs w:val="21"/>
                <w:highlight w:val="none"/>
              </w:rPr>
              <w:t>3.系统安全防护：</w:t>
            </w:r>
            <w:r>
              <w:rPr>
                <w:rFonts w:hint="eastAsia" w:ascii="宋体" w:cs="宋体"/>
                <w:color w:val="auto"/>
                <w:szCs w:val="21"/>
                <w:highlight w:val="none"/>
              </w:rPr>
              <w:t>加强系统的安全防护工作，包括防火墙配置、入侵检测与防御、病毒防护等。定期进行安全漏洞扫描和修复，防止黑客攻击和数据泄露。</w:t>
            </w:r>
          </w:p>
          <w:p w14:paraId="24D49378">
            <w:pPr>
              <w:ind w:firstLine="420"/>
              <w:jc w:val="left"/>
              <w:rPr>
                <w:rFonts w:hint="eastAsia" w:ascii="宋体" w:cs="宋体"/>
                <w:color w:val="auto"/>
                <w:szCs w:val="21"/>
                <w:highlight w:val="none"/>
              </w:rPr>
            </w:pPr>
            <w:r>
              <w:rPr>
                <w:rFonts w:hint="eastAsia" w:ascii="宋体" w:cs="宋体"/>
                <w:b/>
                <w:bCs/>
                <w:color w:val="auto"/>
                <w:szCs w:val="21"/>
                <w:highlight w:val="none"/>
              </w:rPr>
              <w:t>4.性能优化与调优：</w:t>
            </w:r>
            <w:r>
              <w:rPr>
                <w:rFonts w:hint="eastAsia" w:ascii="宋体" w:cs="宋体"/>
                <w:color w:val="auto"/>
                <w:szCs w:val="21"/>
                <w:highlight w:val="none"/>
              </w:rPr>
              <w:t>根据系统运行的实际情况，对系统性能进行调优，包括调整系统参数、优化数据库查询、改进代码性能等。以提高系统的响应速度和吞吐量，提升用户体验。</w:t>
            </w:r>
          </w:p>
          <w:p w14:paraId="730F1C09">
            <w:pPr>
              <w:ind w:firstLine="420"/>
              <w:jc w:val="left"/>
              <w:rPr>
                <w:rFonts w:ascii="宋体" w:cs="宋体"/>
                <w:color w:val="auto"/>
                <w:szCs w:val="21"/>
                <w:highlight w:val="none"/>
              </w:rPr>
            </w:pPr>
            <w:r>
              <w:rPr>
                <w:rFonts w:hint="eastAsia" w:ascii="宋体" w:cs="宋体"/>
                <w:b/>
                <w:bCs/>
                <w:color w:val="auto"/>
                <w:szCs w:val="21"/>
                <w:highlight w:val="none"/>
              </w:rPr>
              <w:t>5.软件更新与补丁管理：</w:t>
            </w:r>
            <w:r>
              <w:rPr>
                <w:rFonts w:hint="eastAsia" w:ascii="宋体" w:cs="宋体"/>
                <w:color w:val="auto"/>
                <w:szCs w:val="21"/>
                <w:highlight w:val="none"/>
              </w:rPr>
              <w:t>及时安装操作系统、数据库、应用程序等软件的安全补丁和功能更新，以修复已知的安全漏洞和性能问题，并增加新的功能特性。</w:t>
            </w:r>
          </w:p>
          <w:p w14:paraId="25549868">
            <w:pPr>
              <w:ind w:firstLine="420"/>
              <w:jc w:val="left"/>
              <w:rPr>
                <w:rFonts w:hint="eastAsia" w:ascii="宋体" w:cs="宋体"/>
                <w:color w:val="auto"/>
                <w:szCs w:val="21"/>
                <w:highlight w:val="none"/>
              </w:rPr>
            </w:pPr>
            <w:r>
              <w:rPr>
                <w:rFonts w:hint="eastAsia" w:ascii="宋体" w:cs="宋体"/>
                <w:b/>
                <w:bCs/>
                <w:color w:val="auto"/>
                <w:szCs w:val="21"/>
                <w:highlight w:val="none"/>
              </w:rPr>
              <w:t>6.数据库数据清理：</w:t>
            </w:r>
            <w:r>
              <w:rPr>
                <w:rFonts w:hint="eastAsia" w:ascii="宋体" w:cs="宋体"/>
                <w:color w:val="auto"/>
                <w:szCs w:val="21"/>
                <w:highlight w:val="none"/>
              </w:rPr>
              <w:t>定期清理运维过程中所生成的生产数据库中的临时表，从应用系统角度来优化数据库，如建立并优化索引、优化存储过程、数据库表拆分等，提高应用系统运行速度。</w:t>
            </w:r>
          </w:p>
          <w:p w14:paraId="3C3996AA">
            <w:pPr>
              <w:ind w:firstLine="420"/>
              <w:jc w:val="left"/>
              <w:rPr>
                <w:rFonts w:hint="eastAsia" w:ascii="宋体" w:cs="宋体"/>
                <w:color w:val="auto"/>
                <w:szCs w:val="21"/>
                <w:highlight w:val="none"/>
              </w:rPr>
            </w:pPr>
            <w:r>
              <w:rPr>
                <w:rFonts w:hint="eastAsia" w:ascii="宋体" w:cs="宋体"/>
                <w:b/>
                <w:bCs/>
                <w:color w:val="auto"/>
                <w:szCs w:val="21"/>
                <w:highlight w:val="none"/>
              </w:rPr>
              <w:t>7.现场技术服务方式：</w:t>
            </w:r>
            <w:r>
              <w:rPr>
                <w:rFonts w:hint="eastAsia" w:ascii="宋体" w:cs="宋体"/>
                <w:color w:val="auto"/>
                <w:szCs w:val="21"/>
                <w:highlight w:val="none"/>
              </w:rPr>
              <w:t xml:space="preserve">系统出现重大故障导致业务中止时，派技术人员运程协助技术、业务人员一起对故障进行分析，提出解决方案，在征得同意后对故障进行处理和排除； </w:t>
            </w:r>
          </w:p>
          <w:p w14:paraId="4638CFBF">
            <w:pPr>
              <w:ind w:firstLine="420"/>
              <w:jc w:val="left"/>
              <w:rPr>
                <w:rFonts w:hint="eastAsia" w:ascii="宋体" w:cs="宋体"/>
                <w:color w:val="auto"/>
                <w:szCs w:val="21"/>
                <w:highlight w:val="none"/>
              </w:rPr>
            </w:pPr>
            <w:r>
              <w:rPr>
                <w:rFonts w:hint="eastAsia" w:ascii="宋体" w:cs="宋体"/>
                <w:b/>
                <w:bCs/>
                <w:color w:val="auto"/>
                <w:szCs w:val="21"/>
                <w:highlight w:val="none"/>
              </w:rPr>
              <w:t>8.远程维护方式：</w:t>
            </w:r>
            <w:r>
              <w:rPr>
                <w:rFonts w:hint="eastAsia" w:ascii="宋体" w:cs="宋体"/>
                <w:color w:val="auto"/>
                <w:szCs w:val="21"/>
                <w:highlight w:val="none"/>
              </w:rPr>
              <w:t>通过电话、电子邮件、QQ、传真或远程访问等方式进行系统故障的处理、技术支持、咨询服务等工作。</w:t>
            </w:r>
          </w:p>
          <w:p w14:paraId="059D602F">
            <w:pPr>
              <w:ind w:firstLine="420"/>
              <w:jc w:val="left"/>
              <w:rPr>
                <w:rFonts w:hint="eastAsia" w:ascii="宋体" w:cs="宋体"/>
                <w:color w:val="auto"/>
                <w:szCs w:val="21"/>
                <w:highlight w:val="none"/>
              </w:rPr>
            </w:pPr>
            <w:r>
              <w:rPr>
                <w:rFonts w:hint="eastAsia" w:ascii="宋体" w:cs="宋体"/>
                <w:b/>
                <w:bCs/>
                <w:color w:val="auto"/>
                <w:szCs w:val="21"/>
                <w:highlight w:val="none"/>
              </w:rPr>
              <w:t>9.咨询服务：</w:t>
            </w:r>
            <w:r>
              <w:rPr>
                <w:rFonts w:hint="eastAsia" w:ascii="宋体" w:cs="宋体"/>
                <w:color w:val="auto"/>
                <w:szCs w:val="21"/>
                <w:highlight w:val="none"/>
              </w:rPr>
              <w:t xml:space="preserve">帮助解答甲方提出的系统相关的各种业务和技术问题，包括技术咨询、指导和信息提供等。 </w:t>
            </w:r>
          </w:p>
          <w:p w14:paraId="799D1145">
            <w:pPr>
              <w:ind w:firstLine="420"/>
              <w:jc w:val="left"/>
              <w:rPr>
                <w:rFonts w:hint="eastAsia" w:ascii="宋体" w:cs="宋体"/>
                <w:color w:val="auto"/>
                <w:szCs w:val="21"/>
                <w:highlight w:val="none"/>
              </w:rPr>
            </w:pPr>
            <w:r>
              <w:rPr>
                <w:rFonts w:hint="eastAsia" w:ascii="宋体" w:cs="宋体"/>
                <w:b/>
                <w:bCs/>
                <w:color w:val="auto"/>
                <w:szCs w:val="21"/>
                <w:highlight w:val="none"/>
              </w:rPr>
              <w:t>1</w:t>
            </w:r>
            <w:r>
              <w:rPr>
                <w:rFonts w:hint="eastAsia" w:ascii="宋体" w:cs="宋体"/>
                <w:b/>
                <w:bCs/>
                <w:color w:val="auto"/>
                <w:szCs w:val="21"/>
                <w:highlight w:val="none"/>
                <w:lang w:val="en-US" w:eastAsia="zh-CN"/>
              </w:rPr>
              <w:t>0</w:t>
            </w:r>
            <w:r>
              <w:rPr>
                <w:rFonts w:hint="eastAsia" w:ascii="宋体" w:cs="宋体"/>
                <w:b/>
                <w:bCs/>
                <w:color w:val="auto"/>
                <w:szCs w:val="21"/>
                <w:highlight w:val="none"/>
              </w:rPr>
              <w:t>.月巡检：</w:t>
            </w:r>
            <w:r>
              <w:rPr>
                <w:rFonts w:hint="eastAsia" w:ascii="宋体" w:cs="宋体"/>
                <w:color w:val="auto"/>
                <w:szCs w:val="21"/>
                <w:highlight w:val="none"/>
              </w:rPr>
              <w:t>按月到现场对系统进行全面检查，优化系统，同时做好各类系统运行情况的记录。对可能出现的故障提出解决预案及系统功能改进等方面的技术咨询工作，并提供必要的现场指导。</w:t>
            </w:r>
          </w:p>
          <w:p w14:paraId="77158B9B">
            <w:pPr>
              <w:ind w:firstLine="420"/>
              <w:jc w:val="left"/>
              <w:rPr>
                <w:rFonts w:hint="eastAsia" w:ascii="宋体" w:cs="宋体"/>
                <w:color w:val="auto"/>
                <w:szCs w:val="21"/>
                <w:highlight w:val="none"/>
              </w:rPr>
            </w:pPr>
            <w:r>
              <w:rPr>
                <w:rFonts w:hint="eastAsia" w:ascii="宋体" w:cs="宋体"/>
                <w:b/>
                <w:bCs/>
                <w:color w:val="auto"/>
                <w:szCs w:val="21"/>
                <w:highlight w:val="none"/>
              </w:rPr>
              <w:t>1</w:t>
            </w:r>
            <w:r>
              <w:rPr>
                <w:rFonts w:hint="eastAsia" w:ascii="宋体" w:cs="宋体"/>
                <w:b/>
                <w:bCs/>
                <w:color w:val="auto"/>
                <w:szCs w:val="21"/>
                <w:highlight w:val="none"/>
                <w:lang w:val="en-US" w:eastAsia="zh-CN"/>
              </w:rPr>
              <w:t>1</w:t>
            </w:r>
            <w:r>
              <w:rPr>
                <w:rFonts w:hint="eastAsia" w:ascii="宋体" w:cs="宋体"/>
                <w:b/>
                <w:bCs/>
                <w:color w:val="auto"/>
                <w:szCs w:val="21"/>
                <w:highlight w:val="none"/>
              </w:rPr>
              <w:t>. 域名管理：</w:t>
            </w:r>
            <w:r>
              <w:rPr>
                <w:rFonts w:hint="eastAsia" w:ascii="宋体" w:cs="宋体"/>
                <w:color w:val="auto"/>
                <w:szCs w:val="21"/>
                <w:highlight w:val="none"/>
              </w:rPr>
              <w:t>网站域名续费、网站备案协助、搜索引擎优化、微信互联和腾讯互联平台实名认证及其他基础系统运行维护等。</w:t>
            </w:r>
          </w:p>
          <w:p w14:paraId="1266172D">
            <w:pPr>
              <w:ind w:firstLine="420"/>
              <w:jc w:val="left"/>
              <w:rPr>
                <w:rFonts w:hint="eastAsia" w:ascii="宋体" w:cs="宋体"/>
                <w:color w:val="auto"/>
                <w:szCs w:val="21"/>
                <w:highlight w:val="none"/>
              </w:rPr>
            </w:pPr>
            <w:r>
              <w:rPr>
                <w:rFonts w:hint="eastAsia" w:ascii="宋体" w:cs="宋体"/>
                <w:b/>
                <w:bCs/>
                <w:color w:val="auto"/>
                <w:szCs w:val="21"/>
                <w:highlight w:val="none"/>
              </w:rPr>
              <w:t>1</w:t>
            </w:r>
            <w:r>
              <w:rPr>
                <w:rFonts w:hint="eastAsia" w:ascii="宋体" w:cs="宋体"/>
                <w:b/>
                <w:bCs/>
                <w:color w:val="auto"/>
                <w:szCs w:val="21"/>
                <w:highlight w:val="none"/>
                <w:lang w:val="en-US" w:eastAsia="zh-CN"/>
              </w:rPr>
              <w:t>2</w:t>
            </w:r>
            <w:r>
              <w:rPr>
                <w:rFonts w:hint="eastAsia" w:ascii="宋体" w:cs="宋体"/>
                <w:b/>
                <w:bCs/>
                <w:color w:val="auto"/>
                <w:szCs w:val="21"/>
                <w:highlight w:val="none"/>
              </w:rPr>
              <w:t>. 其他维护：</w:t>
            </w:r>
            <w:r>
              <w:rPr>
                <w:rFonts w:hint="eastAsia" w:ascii="宋体" w:cs="宋体"/>
                <w:color w:val="auto"/>
                <w:szCs w:val="21"/>
                <w:highlight w:val="none"/>
              </w:rPr>
              <w:t>因业务发展需要或需求变动引发对系统的新增、完善软件功能且工作量小于（含）1人日的开发工作，年累计不能超过30个工作日。</w:t>
            </w:r>
          </w:p>
          <w:p w14:paraId="4C1ECBC0">
            <w:pPr>
              <w:ind w:firstLine="420"/>
              <w:jc w:val="left"/>
              <w:rPr>
                <w:rFonts w:hint="eastAsia" w:ascii="宋体" w:cs="宋体"/>
                <w:b/>
                <w:bCs/>
                <w:color w:val="auto"/>
                <w:szCs w:val="21"/>
                <w:highlight w:val="none"/>
              </w:rPr>
            </w:pPr>
            <w:r>
              <w:rPr>
                <w:rFonts w:hint="eastAsia" w:ascii="宋体" w:cs="宋体"/>
                <w:b/>
                <w:bCs/>
                <w:color w:val="auto"/>
                <w:szCs w:val="21"/>
                <w:highlight w:val="none"/>
              </w:rPr>
              <w:t>（二）“三农”图片库系统运维</w:t>
            </w:r>
          </w:p>
          <w:p w14:paraId="45CAF1C3">
            <w:pPr>
              <w:ind w:firstLine="420"/>
              <w:jc w:val="left"/>
              <w:rPr>
                <w:rFonts w:hint="eastAsia" w:ascii="宋体" w:cs="宋体"/>
                <w:color w:val="auto"/>
                <w:szCs w:val="21"/>
                <w:highlight w:val="none"/>
              </w:rPr>
            </w:pPr>
            <w:r>
              <w:rPr>
                <w:rFonts w:hint="eastAsia" w:ascii="宋体" w:cs="宋体"/>
                <w:color w:val="auto"/>
                <w:szCs w:val="21"/>
                <w:highlight w:val="none"/>
              </w:rPr>
              <w:t>1.为了使用户能够更充分的使用三农图片库中的图片资源，增加以图搜图功能，用户通过上传图片或输入图片的url地址，从而搜索到三农图片库中与这张图片相似的其他图片资源。如果参照图片包含人物的，系统优先进行人脸匹配检索，否则进行图片相似度匹配；</w:t>
            </w:r>
          </w:p>
          <w:p w14:paraId="08E99C2B">
            <w:pPr>
              <w:ind w:firstLine="420"/>
              <w:jc w:val="left"/>
              <w:rPr>
                <w:rFonts w:hint="eastAsia" w:ascii="宋体" w:cs="宋体"/>
                <w:color w:val="auto"/>
                <w:szCs w:val="21"/>
                <w:highlight w:val="none"/>
              </w:rPr>
            </w:pPr>
            <w:r>
              <w:rPr>
                <w:rFonts w:hint="eastAsia" w:ascii="宋体" w:cs="宋体"/>
                <w:color w:val="auto"/>
                <w:szCs w:val="21"/>
                <w:highlight w:val="none"/>
              </w:rPr>
              <w:t>2.三农图片库增加图片资源回收站功能，防止因误操作导致图片数据资源丢失；</w:t>
            </w:r>
          </w:p>
          <w:p w14:paraId="1B6732E2">
            <w:pPr>
              <w:ind w:firstLine="420"/>
              <w:jc w:val="left"/>
              <w:rPr>
                <w:rFonts w:hint="eastAsia" w:ascii="宋体" w:cs="宋体"/>
                <w:color w:val="auto"/>
                <w:szCs w:val="21"/>
                <w:highlight w:val="none"/>
              </w:rPr>
            </w:pPr>
            <w:r>
              <w:rPr>
                <w:rFonts w:hint="eastAsia" w:ascii="宋体" w:cs="宋体"/>
                <w:color w:val="auto"/>
                <w:szCs w:val="21"/>
                <w:highlight w:val="none"/>
              </w:rPr>
              <w:t>3.为使在管理后台中更便捷的对图片资源进行管理，在图片资源管理列表中增加图片列表展现模式，在管理列表中以图片阵列的形式进行图片资源数据展示，以更直观的方式进行图片资源管理；</w:t>
            </w:r>
          </w:p>
          <w:p w14:paraId="181AC9B9">
            <w:pPr>
              <w:ind w:firstLine="420"/>
              <w:jc w:val="left"/>
              <w:rPr>
                <w:rFonts w:hint="eastAsia" w:ascii="宋体" w:cs="宋体"/>
                <w:color w:val="auto"/>
                <w:szCs w:val="21"/>
                <w:highlight w:val="none"/>
              </w:rPr>
            </w:pPr>
            <w:r>
              <w:rPr>
                <w:rFonts w:hint="eastAsia" w:ascii="宋体" w:cs="宋体"/>
                <w:color w:val="auto"/>
                <w:szCs w:val="21"/>
                <w:highlight w:val="none"/>
              </w:rPr>
              <w:t>4.图片下载功能除了按原文件格式下载外，增加多种格式下载，支持JPG、PNG、GIF、BMP、PDF、SVG等格式；</w:t>
            </w:r>
          </w:p>
          <w:p w14:paraId="158F32DD">
            <w:pPr>
              <w:ind w:firstLine="420"/>
              <w:jc w:val="left"/>
              <w:rPr>
                <w:rFonts w:hint="eastAsia" w:ascii="宋体" w:cs="宋体"/>
                <w:color w:val="auto"/>
                <w:szCs w:val="21"/>
                <w:highlight w:val="none"/>
              </w:rPr>
            </w:pPr>
            <w:r>
              <w:rPr>
                <w:rFonts w:hint="eastAsia" w:ascii="宋体" w:cs="宋体"/>
                <w:color w:val="auto"/>
                <w:szCs w:val="21"/>
                <w:highlight w:val="none"/>
              </w:rPr>
              <w:t>5.管理后台以简洁、直观、便捷、易操作为目标进行整体改版优化；</w:t>
            </w:r>
          </w:p>
          <w:p w14:paraId="7F4E80B7">
            <w:pPr>
              <w:ind w:firstLine="420"/>
              <w:jc w:val="left"/>
              <w:rPr>
                <w:rFonts w:hint="eastAsia" w:ascii="宋体" w:cs="宋体"/>
                <w:color w:val="auto"/>
                <w:szCs w:val="21"/>
                <w:highlight w:val="none"/>
              </w:rPr>
            </w:pPr>
            <w:r>
              <w:rPr>
                <w:rFonts w:hint="eastAsia" w:ascii="宋体" w:cs="宋体"/>
                <w:color w:val="auto"/>
                <w:szCs w:val="21"/>
                <w:highlight w:val="none"/>
              </w:rPr>
              <w:t>6.优化后台账户管理功能以提高管理体验；</w:t>
            </w:r>
          </w:p>
          <w:p w14:paraId="65410415">
            <w:pPr>
              <w:ind w:firstLine="420"/>
              <w:jc w:val="left"/>
              <w:rPr>
                <w:rFonts w:hint="eastAsia" w:ascii="宋体" w:cs="宋体"/>
                <w:color w:val="auto"/>
                <w:szCs w:val="21"/>
                <w:highlight w:val="none"/>
              </w:rPr>
            </w:pPr>
            <w:r>
              <w:rPr>
                <w:rFonts w:hint="eastAsia" w:ascii="宋体" w:cs="宋体"/>
                <w:color w:val="auto"/>
                <w:szCs w:val="21"/>
                <w:highlight w:val="none"/>
              </w:rPr>
              <w:t>7.优化后台角色功能以提高管理体验；</w:t>
            </w:r>
          </w:p>
          <w:p w14:paraId="30A27B1C">
            <w:pPr>
              <w:ind w:firstLine="420"/>
              <w:jc w:val="left"/>
              <w:rPr>
                <w:rFonts w:hint="eastAsia" w:ascii="宋体" w:cs="宋体"/>
                <w:color w:val="auto"/>
                <w:szCs w:val="21"/>
                <w:highlight w:val="none"/>
              </w:rPr>
            </w:pPr>
            <w:r>
              <w:rPr>
                <w:rFonts w:hint="eastAsia" w:ascii="宋体" w:cs="宋体"/>
                <w:color w:val="auto"/>
                <w:szCs w:val="21"/>
                <w:highlight w:val="none"/>
              </w:rPr>
              <w:t>8.优化后台组织架构管理以提高管理体验；</w:t>
            </w:r>
          </w:p>
          <w:p w14:paraId="6C9E7212">
            <w:pPr>
              <w:ind w:firstLine="420"/>
              <w:jc w:val="left"/>
              <w:rPr>
                <w:rFonts w:hint="eastAsia" w:ascii="宋体" w:cs="宋体"/>
                <w:color w:val="auto"/>
                <w:szCs w:val="21"/>
                <w:highlight w:val="none"/>
              </w:rPr>
            </w:pPr>
            <w:r>
              <w:rPr>
                <w:rFonts w:hint="eastAsia" w:ascii="宋体" w:cs="宋体"/>
                <w:color w:val="auto"/>
                <w:szCs w:val="21"/>
                <w:highlight w:val="none"/>
              </w:rPr>
              <w:t>9.增加操作日志记录功能，记录对数据进行变更的操作行为，方便后续有必要时对操作事件进行追溯和数据恢复。功能包括对操作日志的查看和条件检索；</w:t>
            </w:r>
          </w:p>
          <w:p w14:paraId="7FBF2E07">
            <w:pPr>
              <w:ind w:firstLine="420"/>
              <w:jc w:val="left"/>
              <w:rPr>
                <w:rFonts w:hint="eastAsia" w:ascii="宋体" w:cs="宋体"/>
                <w:color w:val="auto"/>
                <w:szCs w:val="21"/>
                <w:highlight w:val="none"/>
              </w:rPr>
            </w:pPr>
            <w:r>
              <w:rPr>
                <w:rFonts w:hint="eastAsia" w:ascii="宋体" w:cs="宋体"/>
                <w:color w:val="auto"/>
                <w:szCs w:val="21"/>
                <w:highlight w:val="none"/>
              </w:rPr>
              <w:t>10.图片管理列表增加批量发布和批量删除功能，方便管理员可同时对多条数据进行管理；</w:t>
            </w:r>
          </w:p>
          <w:p w14:paraId="389765AF">
            <w:pPr>
              <w:ind w:firstLine="420"/>
              <w:jc w:val="left"/>
              <w:rPr>
                <w:rFonts w:hint="eastAsia" w:ascii="宋体" w:cs="宋体"/>
                <w:color w:val="auto"/>
                <w:szCs w:val="21"/>
                <w:highlight w:val="none"/>
              </w:rPr>
            </w:pPr>
            <w:r>
              <w:rPr>
                <w:rFonts w:hint="eastAsia" w:ascii="宋体" w:cs="宋体"/>
                <w:color w:val="auto"/>
                <w:szCs w:val="21"/>
                <w:highlight w:val="none"/>
              </w:rPr>
              <w:t>11.管理后台增加数据统计功能，对系统资源信息进行数据统计，包括对总体数据量、分类数据量、地域数据量、周期增长量、存储总量、存储增长量、内容访问总量等进行数据统计展示；</w:t>
            </w:r>
          </w:p>
          <w:p w14:paraId="13830CBB">
            <w:pPr>
              <w:ind w:firstLine="420"/>
              <w:jc w:val="left"/>
              <w:rPr>
                <w:rFonts w:hint="eastAsia" w:ascii="宋体" w:cs="宋体"/>
                <w:color w:val="auto"/>
                <w:szCs w:val="21"/>
                <w:highlight w:val="none"/>
              </w:rPr>
            </w:pPr>
            <w:r>
              <w:rPr>
                <w:rFonts w:hint="eastAsia" w:ascii="宋体" w:cs="宋体"/>
                <w:color w:val="auto"/>
                <w:szCs w:val="21"/>
                <w:highlight w:val="none"/>
              </w:rPr>
              <w:t>12.在管理后台增加系统运行日志功能， 方便管理员在管理后台直接查看和检索系统运行日志，方便系统运维管理。</w:t>
            </w:r>
          </w:p>
          <w:p w14:paraId="4B143B16">
            <w:pPr>
              <w:ind w:firstLine="420"/>
              <w:jc w:val="left"/>
              <w:rPr>
                <w:rFonts w:ascii="宋体" w:cs="宋体"/>
                <w:color w:val="auto"/>
                <w:szCs w:val="21"/>
                <w:highlight w:val="none"/>
              </w:rPr>
            </w:pPr>
            <w:r>
              <w:rPr>
                <w:rFonts w:hint="eastAsia" w:ascii="宋体" w:cs="宋体"/>
                <w:color w:val="auto"/>
                <w:szCs w:val="21"/>
                <w:highlight w:val="none"/>
              </w:rPr>
              <w:t>13.协助上传及维护个人图片集，摄影展等多个专题图片的维护，定期更新图片。</w:t>
            </w:r>
          </w:p>
          <w:p w14:paraId="0833A07A">
            <w:pPr>
              <w:ind w:firstLine="420"/>
              <w:jc w:val="left"/>
              <w:rPr>
                <w:rFonts w:hint="eastAsia" w:ascii="宋体" w:cs="宋体"/>
                <w:b/>
                <w:bCs/>
                <w:color w:val="auto"/>
                <w:szCs w:val="21"/>
                <w:highlight w:val="none"/>
              </w:rPr>
            </w:pPr>
            <w:r>
              <w:rPr>
                <w:rFonts w:hint="eastAsia" w:ascii="宋体" w:cs="宋体"/>
                <w:b/>
                <w:bCs/>
                <w:color w:val="auto"/>
                <w:szCs w:val="21"/>
                <w:highlight w:val="none"/>
              </w:rPr>
              <w:t>（三）“三农”网络影音系统运维</w:t>
            </w:r>
          </w:p>
          <w:p w14:paraId="2BE78EFF">
            <w:pPr>
              <w:ind w:firstLine="420"/>
              <w:jc w:val="left"/>
              <w:rPr>
                <w:rFonts w:ascii="宋体" w:cs="宋体"/>
                <w:color w:val="auto"/>
                <w:szCs w:val="21"/>
                <w:highlight w:val="none"/>
              </w:rPr>
            </w:pPr>
            <w:r>
              <w:rPr>
                <w:rFonts w:hint="eastAsia" w:ascii="宋体" w:cs="宋体"/>
                <w:color w:val="auto"/>
                <w:szCs w:val="21"/>
                <w:highlight w:val="none"/>
              </w:rPr>
              <w:t>1.视频管理列表增加批量发布和批量删除功能，方便管理员可同时对多条数据进行管理；</w:t>
            </w:r>
          </w:p>
          <w:p w14:paraId="143C123A">
            <w:pPr>
              <w:ind w:firstLine="420"/>
              <w:jc w:val="left"/>
              <w:rPr>
                <w:rFonts w:ascii="宋体" w:cs="宋体"/>
                <w:color w:val="auto"/>
                <w:szCs w:val="21"/>
                <w:highlight w:val="none"/>
              </w:rPr>
            </w:pPr>
            <w:r>
              <w:rPr>
                <w:rFonts w:hint="eastAsia" w:ascii="宋体" w:cs="宋体"/>
                <w:color w:val="auto"/>
                <w:szCs w:val="21"/>
                <w:highlight w:val="none"/>
              </w:rPr>
              <w:t>2.管理后台增加数据统计功能，对系统资源信息进行数据统计，包括对总体数据量、分类数据量、地域数据量、周期增长量、存储总量、存储增长量、内容访问总量等进行数据统计展示；</w:t>
            </w:r>
          </w:p>
          <w:p w14:paraId="2B345195">
            <w:pPr>
              <w:ind w:firstLine="420"/>
              <w:jc w:val="left"/>
              <w:rPr>
                <w:rFonts w:ascii="宋体" w:cs="宋体"/>
                <w:color w:val="auto"/>
                <w:szCs w:val="21"/>
                <w:highlight w:val="none"/>
              </w:rPr>
            </w:pPr>
            <w:r>
              <w:rPr>
                <w:rFonts w:hint="eastAsia" w:ascii="宋体" w:cs="宋体"/>
                <w:color w:val="auto"/>
                <w:szCs w:val="21"/>
                <w:highlight w:val="none"/>
              </w:rPr>
              <w:t>3.三农网络影音增加视频资源回收站功能，防止因误操作导致视频数据资源丢失；</w:t>
            </w:r>
          </w:p>
          <w:p w14:paraId="1A7E1259">
            <w:pPr>
              <w:ind w:firstLine="420"/>
              <w:jc w:val="left"/>
              <w:rPr>
                <w:rFonts w:ascii="宋体" w:cs="宋体"/>
                <w:color w:val="auto"/>
                <w:szCs w:val="21"/>
                <w:highlight w:val="none"/>
              </w:rPr>
            </w:pPr>
            <w:r>
              <w:rPr>
                <w:rFonts w:hint="eastAsia" w:ascii="宋体" w:cs="宋体"/>
                <w:color w:val="auto"/>
                <w:szCs w:val="21"/>
                <w:highlight w:val="none"/>
              </w:rPr>
              <w:t>4.在管理后台增加系统运行日志功能， 方便管理员在管理后台直接查看和检索系统运行日志，方便系统运维管理；</w:t>
            </w:r>
          </w:p>
          <w:p w14:paraId="5F657AAB">
            <w:pPr>
              <w:ind w:firstLine="420"/>
              <w:jc w:val="left"/>
              <w:rPr>
                <w:rFonts w:ascii="宋体" w:cs="宋体"/>
                <w:color w:val="auto"/>
                <w:szCs w:val="21"/>
                <w:highlight w:val="none"/>
              </w:rPr>
            </w:pPr>
            <w:r>
              <w:rPr>
                <w:rFonts w:hint="eastAsia" w:ascii="宋体" w:cs="宋体"/>
                <w:color w:val="auto"/>
                <w:szCs w:val="21"/>
                <w:highlight w:val="none"/>
              </w:rPr>
              <w:t>5.增加操作日志记录功能，记录对数据进行变更的操作行为，方便后续有必要时对操作事件进行追溯和数据恢复。功能包括对操作日志的查看和条件检索；</w:t>
            </w:r>
          </w:p>
          <w:p w14:paraId="47BB4F1C">
            <w:pPr>
              <w:ind w:firstLine="420"/>
              <w:jc w:val="left"/>
              <w:rPr>
                <w:rFonts w:ascii="宋体" w:cs="宋体"/>
                <w:color w:val="auto"/>
                <w:szCs w:val="21"/>
                <w:highlight w:val="none"/>
              </w:rPr>
            </w:pPr>
            <w:r>
              <w:rPr>
                <w:rFonts w:hint="eastAsia" w:ascii="宋体" w:cs="宋体"/>
                <w:color w:val="auto"/>
                <w:szCs w:val="21"/>
                <w:highlight w:val="none"/>
              </w:rPr>
              <w:t>6.为使在管理后台中更便捷的对视频资源进行管理，在视频资源管理列表中增加视频列表展现模式，在管理列表中以视频阵列的形式进行视频资源数据展示，以更直观的方式进行视频资源管理；</w:t>
            </w:r>
          </w:p>
          <w:p w14:paraId="2FE7DA46">
            <w:pPr>
              <w:ind w:firstLine="420"/>
              <w:jc w:val="left"/>
              <w:rPr>
                <w:rFonts w:ascii="宋体" w:cs="宋体"/>
                <w:color w:val="auto"/>
                <w:szCs w:val="21"/>
                <w:highlight w:val="none"/>
              </w:rPr>
            </w:pPr>
            <w:r>
              <w:rPr>
                <w:rFonts w:hint="eastAsia" w:ascii="宋体" w:cs="宋体"/>
                <w:color w:val="auto"/>
                <w:szCs w:val="21"/>
                <w:highlight w:val="none"/>
              </w:rPr>
              <w:t>7.协助更新视频内容发布。</w:t>
            </w:r>
          </w:p>
        </w:tc>
      </w:tr>
      <w:tr w14:paraId="61DD6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4A4DBF1A">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5DD5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shd w:val="clear" w:color="auto" w:fill="auto"/>
            <w:vAlign w:val="center"/>
          </w:tcPr>
          <w:p w14:paraId="55F99BA3">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报价要求</w:t>
            </w:r>
          </w:p>
        </w:tc>
        <w:tc>
          <w:tcPr>
            <w:tcW w:w="7614" w:type="dxa"/>
            <w:gridSpan w:val="4"/>
            <w:tcBorders>
              <w:top w:val="single" w:color="auto" w:sz="4" w:space="0"/>
              <w:left w:val="single" w:color="auto" w:sz="4" w:space="0"/>
              <w:bottom w:val="single" w:color="auto" w:sz="4" w:space="0"/>
            </w:tcBorders>
            <w:shd w:val="clear" w:color="auto" w:fill="auto"/>
            <w:vAlign w:val="center"/>
          </w:tcPr>
          <w:p w14:paraId="400426DD">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报价为总额报价，即一次性报出本项目服务所需的所有费用，含技术服务、派出工作人员的交通费、住宿费、伙食补助费、必要的保险费用和各项税金、其他[如培训、技术支持、更新升级等]有关的费用。本项目至验收合格，采购人不另支付任何费用。</w:t>
            </w:r>
          </w:p>
        </w:tc>
      </w:tr>
      <w:tr w14:paraId="339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shd w:val="clear" w:color="auto" w:fill="auto"/>
            <w:vAlign w:val="center"/>
          </w:tcPr>
          <w:p w14:paraId="405DB9EA">
            <w:pPr>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color w:val="auto"/>
                <w:spacing w:val="-6"/>
                <w:sz w:val="21"/>
                <w:szCs w:val="21"/>
                <w:highlight w:val="none"/>
              </w:rPr>
              <w:t>合同履约期限及地点</w:t>
            </w:r>
          </w:p>
        </w:tc>
        <w:tc>
          <w:tcPr>
            <w:tcW w:w="7614" w:type="dxa"/>
            <w:gridSpan w:val="4"/>
            <w:tcBorders>
              <w:top w:val="single" w:color="auto" w:sz="4" w:space="0"/>
              <w:left w:val="single" w:color="auto" w:sz="4" w:space="0"/>
              <w:bottom w:val="single" w:color="auto" w:sz="4" w:space="0"/>
            </w:tcBorders>
            <w:shd w:val="clear" w:color="auto" w:fill="auto"/>
            <w:vAlign w:val="center"/>
          </w:tcPr>
          <w:p w14:paraId="1CDDFDB6">
            <w:pPr>
              <w:tabs>
                <w:tab w:val="left" w:pos="681"/>
              </w:tabs>
              <w:spacing w:line="400" w:lineRule="exact"/>
              <w:ind w:left="-315" w:leftChars="-15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合1、合同履约期限：</w:t>
            </w:r>
            <w:r>
              <w:rPr>
                <w:rFonts w:hint="eastAsia" w:ascii="宋体" w:hAnsi="宋体" w:eastAsia="宋体" w:cs="宋体"/>
                <w:color w:val="auto"/>
                <w:sz w:val="21"/>
                <w:szCs w:val="21"/>
                <w:highlight w:val="none"/>
              </w:rPr>
              <w:t>自签订合同之日起，更新与维护期为</w:t>
            </w:r>
            <w:r>
              <w:rPr>
                <w:rFonts w:hint="eastAsia" w:ascii="宋体" w:hAnsi="宋体" w:eastAsia="宋体" w:cs="宋体"/>
                <w:color w:val="auto"/>
                <w:sz w:val="21"/>
                <w:szCs w:val="21"/>
                <w:highlight w:val="none"/>
                <w:lang w:val="zh-CN"/>
              </w:rPr>
              <w:t>1年</w:t>
            </w:r>
            <w:r>
              <w:rPr>
                <w:rFonts w:hint="eastAsia" w:ascii="宋体" w:hAnsi="宋体" w:eastAsia="宋体" w:cs="宋体"/>
                <w:color w:val="auto"/>
                <w:sz w:val="21"/>
                <w:szCs w:val="21"/>
                <w:highlight w:val="none"/>
              </w:rPr>
              <w:t>。</w:t>
            </w:r>
          </w:p>
          <w:p w14:paraId="533699EB">
            <w:pPr>
              <w:tabs>
                <w:tab w:val="left" w:pos="681"/>
              </w:tabs>
              <w:spacing w:line="400" w:lineRule="exact"/>
              <w:ind w:left="-315" w:leftChars="-1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2、2、地点：采购人指定地点。</w:t>
            </w:r>
          </w:p>
        </w:tc>
      </w:tr>
      <w:tr w14:paraId="7BBE2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shd w:val="clear" w:color="auto" w:fill="auto"/>
            <w:vAlign w:val="center"/>
          </w:tcPr>
          <w:p w14:paraId="1505CFB8">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服务及其他要求</w:t>
            </w:r>
          </w:p>
        </w:tc>
        <w:tc>
          <w:tcPr>
            <w:tcW w:w="7614" w:type="dxa"/>
            <w:gridSpan w:val="4"/>
            <w:tcBorders>
              <w:top w:val="single" w:color="auto" w:sz="4" w:space="0"/>
              <w:left w:val="single" w:color="auto" w:sz="4" w:space="0"/>
              <w:bottom w:val="single" w:color="auto" w:sz="4" w:space="0"/>
            </w:tcBorders>
            <w:shd w:val="clear" w:color="auto" w:fill="auto"/>
            <w:vAlign w:val="center"/>
          </w:tcPr>
          <w:p w14:paraId="05D377FE">
            <w:pPr>
              <w:spacing w:line="420" w:lineRule="exact"/>
              <w:ind w:left="360"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1、维护响应：自接到采购人电话通知后1小时内响应，</w:t>
            </w:r>
            <w:r>
              <w:rPr>
                <w:rFonts w:hint="eastAsia" w:ascii="宋体" w:hAnsi="宋体" w:eastAsia="宋体" w:cs="宋体"/>
                <w:color w:val="auto"/>
                <w:sz w:val="21"/>
                <w:szCs w:val="21"/>
                <w:highlight w:val="none"/>
                <w:lang w:bidi="ar"/>
              </w:rPr>
              <w:t>要求到达现场处理时应在 2小时内要求到达现场处理；执行快速问题响应，小问题3小时内解决，一般问题12小时内解决，大问题1周内解决。</w:t>
            </w:r>
            <w:r>
              <w:rPr>
                <w:rFonts w:hint="eastAsia" w:ascii="宋体" w:hAnsi="宋体" w:eastAsia="宋体" w:cs="宋体"/>
                <w:color w:val="auto"/>
                <w:sz w:val="21"/>
                <w:szCs w:val="21"/>
                <w:highlight w:val="none"/>
              </w:rPr>
              <w:t>，若不能修复则应有合理应对方案。</w:t>
            </w:r>
          </w:p>
          <w:p w14:paraId="3E2BB316">
            <w:pPr>
              <w:pStyle w:val="18"/>
              <w:spacing w:line="360" w:lineRule="auto"/>
              <w:rPr>
                <w:rFonts w:hint="eastAsia" w:ascii="宋体" w:hAnsi="宋体" w:eastAsia="宋体" w:cs="宋体"/>
                <w:b/>
                <w:color w:val="auto"/>
                <w:kern w:val="2"/>
                <w:sz w:val="21"/>
                <w:szCs w:val="21"/>
                <w:highlight w:val="none"/>
                <w:lang w:val="en-US" w:eastAsia="zh-CN" w:bidi="ar-SA"/>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请在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文件中提供“三农”图片库平台和“三农”网络影音系统运维详细组织实施方案。</w:t>
            </w:r>
          </w:p>
        </w:tc>
      </w:tr>
      <w:tr w14:paraId="7C815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shd w:val="clear" w:color="auto" w:fill="auto"/>
            <w:vAlign w:val="center"/>
          </w:tcPr>
          <w:p w14:paraId="3EDB2F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付款方式</w:t>
            </w:r>
          </w:p>
        </w:tc>
        <w:tc>
          <w:tcPr>
            <w:tcW w:w="7614" w:type="dxa"/>
            <w:gridSpan w:val="4"/>
            <w:tcBorders>
              <w:top w:val="single" w:color="auto" w:sz="4" w:space="0"/>
              <w:left w:val="single" w:color="auto" w:sz="4" w:space="0"/>
              <w:bottom w:val="single" w:color="auto" w:sz="4" w:space="0"/>
            </w:tcBorders>
            <w:shd w:val="clear" w:color="auto" w:fill="auto"/>
            <w:vAlign w:val="center"/>
          </w:tcPr>
          <w:p w14:paraId="14DBF9B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签订合同后5个工作日内，由采购人支付40%合同款给</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，项目合同签订第三个月内采购人支付剩余50%的合同款，项目验收合格后，采购人支付剩余10%合同款。</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自收到合同款之日起5个工作日内开具发票给采购人。</w:t>
            </w:r>
          </w:p>
        </w:tc>
      </w:tr>
    </w:tbl>
    <w:p w14:paraId="3FA4CBB0">
      <w:pPr>
        <w:spacing w:line="360" w:lineRule="auto"/>
        <w:ind w:firstLine="310" w:firstLineChars="147"/>
        <w:jc w:val="left"/>
        <w:rPr>
          <w:rFonts w:hint="eastAsia" w:ascii="宋体" w:hAnsi="宋体" w:cs="宋体"/>
          <w:b/>
          <w:color w:val="auto"/>
          <w:szCs w:val="21"/>
          <w:highlight w:val="none"/>
        </w:rPr>
      </w:pPr>
    </w:p>
    <w:p w14:paraId="307BADF1">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2B877D71">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（广西智慧农田综合管理信息化平台系统运维）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8.39</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09026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3B125C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7EB75C99">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50DFC3F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CA2A66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35EFFB2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7E92093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000E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6960F53">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36F6339">
            <w:pPr>
              <w:widowControl/>
              <w:spacing w:line="360" w:lineRule="auto"/>
              <w:jc w:val="center"/>
              <w:rPr>
                <w:rFonts w:ascii="宋体" w:cs="宋体"/>
                <w:color w:val="auto"/>
                <w:szCs w:val="21"/>
                <w:highlight w:val="none"/>
              </w:rPr>
            </w:pPr>
            <w:r>
              <w:rPr>
                <w:rFonts w:hint="eastAsia" w:ascii="宋体" w:cs="宋体"/>
                <w:color w:val="auto"/>
                <w:szCs w:val="21"/>
                <w:highlight w:val="none"/>
              </w:rPr>
              <w:t>广西智慧农田综合管理信息化平台系统运维</w:t>
            </w:r>
          </w:p>
        </w:tc>
        <w:tc>
          <w:tcPr>
            <w:tcW w:w="1050" w:type="dxa"/>
            <w:vAlign w:val="center"/>
          </w:tcPr>
          <w:p w14:paraId="0260511F">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5D488883">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6D3C2276">
            <w:pPr>
              <w:ind w:firstLine="420"/>
              <w:jc w:val="left"/>
              <w:rPr>
                <w:rFonts w:ascii="宋体" w:cs="宋体"/>
                <w:b/>
                <w:bCs/>
                <w:color w:val="auto"/>
                <w:szCs w:val="21"/>
                <w:highlight w:val="none"/>
              </w:rPr>
            </w:pPr>
            <w:r>
              <w:rPr>
                <w:rFonts w:hint="eastAsia" w:ascii="宋体" w:cs="宋体"/>
                <w:b/>
                <w:bCs/>
                <w:color w:val="auto"/>
                <w:szCs w:val="21"/>
                <w:highlight w:val="none"/>
              </w:rPr>
              <w:t>一、项目内容</w:t>
            </w:r>
          </w:p>
          <w:p w14:paraId="4E38209E">
            <w:pPr>
              <w:ind w:firstLine="420"/>
              <w:jc w:val="left"/>
              <w:rPr>
                <w:rFonts w:ascii="宋体" w:cs="宋体"/>
                <w:color w:val="auto"/>
                <w:szCs w:val="21"/>
                <w:highlight w:val="none"/>
              </w:rPr>
            </w:pPr>
            <w:r>
              <w:rPr>
                <w:rFonts w:hint="eastAsia" w:ascii="宋体" w:cs="宋体"/>
                <w:color w:val="auto"/>
                <w:szCs w:val="21"/>
                <w:highlight w:val="none"/>
              </w:rPr>
              <w:t>根据广西智慧农田综合管理信息化平台系统（即高标准农田建设“一张图”平台）运行实际，对系统进行日常维护，保障系统正常、稳定、可靠、安全运行，同时为具体系统使用人员提供相关指导和技术支持。</w:t>
            </w:r>
          </w:p>
          <w:p w14:paraId="7E072DCB">
            <w:pPr>
              <w:ind w:firstLine="420"/>
              <w:jc w:val="left"/>
              <w:rPr>
                <w:rFonts w:ascii="宋体" w:cs="宋体"/>
                <w:b/>
                <w:bCs/>
                <w:color w:val="auto"/>
                <w:szCs w:val="21"/>
                <w:highlight w:val="none"/>
              </w:rPr>
            </w:pPr>
            <w:r>
              <w:rPr>
                <w:rFonts w:hint="eastAsia" w:ascii="宋体" w:cs="宋体"/>
                <w:b/>
                <w:bCs/>
                <w:color w:val="auto"/>
                <w:szCs w:val="21"/>
                <w:highlight w:val="none"/>
              </w:rPr>
              <w:t>二、采购需求</w:t>
            </w:r>
          </w:p>
          <w:p w14:paraId="1C1FA595">
            <w:pPr>
              <w:ind w:firstLine="420"/>
              <w:jc w:val="left"/>
              <w:rPr>
                <w:rFonts w:ascii="宋体" w:cs="宋体"/>
                <w:color w:val="auto"/>
                <w:szCs w:val="21"/>
                <w:highlight w:val="none"/>
              </w:rPr>
            </w:pPr>
            <w:r>
              <w:rPr>
                <w:rFonts w:hint="eastAsia" w:ascii="宋体" w:cs="宋体"/>
                <w:color w:val="auto"/>
                <w:szCs w:val="21"/>
                <w:highlight w:val="none"/>
              </w:rPr>
              <w:t>对我厅广西智慧农田综合管理信息化平台系统（即高标准农田建设“一张图”平台）进行日常运行维护。广西智慧农田综合管理信息化平台系统是在我区已建设的高标准农田的矢量数据的基础上，以土地利用现状图为底图，运用遥感监控等技术，与第二次全国土地调查、第三次全国国土调查、天地图、卫星影像、粮食生产功能区等基础数据叠加，基本实现了全区高标准农田建设“一张图”。</w:t>
            </w:r>
          </w:p>
          <w:p w14:paraId="1386149B">
            <w:pPr>
              <w:ind w:firstLine="420"/>
              <w:jc w:val="left"/>
              <w:rPr>
                <w:rFonts w:ascii="宋体" w:cs="宋体"/>
                <w:b/>
                <w:bCs/>
                <w:color w:val="auto"/>
                <w:szCs w:val="21"/>
                <w:highlight w:val="none"/>
              </w:rPr>
            </w:pPr>
            <w:r>
              <w:rPr>
                <w:rFonts w:hint="eastAsia" w:ascii="宋体" w:cs="宋体"/>
                <w:b/>
                <w:bCs/>
                <w:color w:val="auto"/>
                <w:szCs w:val="21"/>
                <w:highlight w:val="none"/>
              </w:rPr>
              <w:t>（一）系统功能维护</w:t>
            </w:r>
          </w:p>
          <w:p w14:paraId="7FBC7992">
            <w:pPr>
              <w:ind w:firstLine="420"/>
              <w:jc w:val="left"/>
              <w:rPr>
                <w:rFonts w:ascii="宋体" w:cs="宋体"/>
                <w:color w:val="auto"/>
                <w:szCs w:val="21"/>
                <w:highlight w:val="none"/>
              </w:rPr>
            </w:pPr>
            <w:r>
              <w:rPr>
                <w:rFonts w:hint="eastAsia" w:ascii="宋体" w:cs="宋体"/>
                <w:color w:val="auto"/>
                <w:szCs w:val="21"/>
                <w:highlight w:val="none"/>
              </w:rPr>
              <w:t>对广西智慧农田综合管理信息化平台系统功能进行日常维护，保障系统正常、稳定、可靠、安全运行。主要包括以下系统功能模块的运行维护：</w:t>
            </w:r>
          </w:p>
          <w:p w14:paraId="7D99897A">
            <w:pPr>
              <w:ind w:firstLine="420"/>
              <w:jc w:val="left"/>
              <w:rPr>
                <w:rFonts w:ascii="宋体" w:cs="宋体"/>
                <w:color w:val="auto"/>
                <w:szCs w:val="21"/>
                <w:highlight w:val="none"/>
              </w:rPr>
            </w:pPr>
            <w:r>
              <w:rPr>
                <w:rFonts w:hint="eastAsia" w:ascii="宋体" w:cs="宋体"/>
                <w:color w:val="auto"/>
                <w:szCs w:val="21"/>
                <w:highlight w:val="none"/>
              </w:rPr>
              <w:t>（1）国土变更调查数据分析模块；</w:t>
            </w:r>
          </w:p>
          <w:p w14:paraId="5294D982">
            <w:pPr>
              <w:ind w:firstLine="420"/>
              <w:jc w:val="left"/>
              <w:rPr>
                <w:rFonts w:ascii="宋体" w:cs="宋体"/>
                <w:color w:val="auto"/>
                <w:szCs w:val="21"/>
                <w:highlight w:val="none"/>
              </w:rPr>
            </w:pPr>
            <w:r>
              <w:rPr>
                <w:rFonts w:hint="eastAsia" w:ascii="宋体" w:cs="宋体"/>
                <w:color w:val="auto"/>
                <w:szCs w:val="21"/>
                <w:highlight w:val="none"/>
              </w:rPr>
              <w:t>（2）基本农田数据分析模块；</w:t>
            </w:r>
          </w:p>
          <w:p w14:paraId="70A15106">
            <w:pPr>
              <w:ind w:firstLine="420"/>
              <w:jc w:val="left"/>
              <w:rPr>
                <w:rFonts w:ascii="宋体" w:cs="宋体"/>
                <w:color w:val="auto"/>
                <w:szCs w:val="21"/>
                <w:highlight w:val="none"/>
              </w:rPr>
            </w:pPr>
            <w:r>
              <w:rPr>
                <w:rFonts w:hint="eastAsia" w:ascii="宋体" w:cs="宋体"/>
                <w:color w:val="auto"/>
                <w:szCs w:val="21"/>
                <w:highlight w:val="none"/>
              </w:rPr>
              <w:t>（3）基本农田占补数据分析模块；</w:t>
            </w:r>
          </w:p>
          <w:p w14:paraId="3DBF5ABC">
            <w:pPr>
              <w:ind w:firstLine="420"/>
              <w:jc w:val="left"/>
              <w:rPr>
                <w:rFonts w:ascii="宋体" w:cs="宋体"/>
                <w:color w:val="auto"/>
                <w:szCs w:val="21"/>
                <w:highlight w:val="none"/>
              </w:rPr>
            </w:pPr>
            <w:r>
              <w:rPr>
                <w:rFonts w:hint="eastAsia" w:ascii="宋体" w:cs="宋体"/>
                <w:color w:val="auto"/>
                <w:szCs w:val="21"/>
                <w:highlight w:val="none"/>
              </w:rPr>
              <w:t>（4）高标准农田数据分析模块；</w:t>
            </w:r>
          </w:p>
          <w:p w14:paraId="5B31FAF1">
            <w:pPr>
              <w:ind w:firstLine="420"/>
              <w:jc w:val="left"/>
              <w:rPr>
                <w:rFonts w:ascii="宋体" w:cs="宋体"/>
                <w:color w:val="auto"/>
                <w:szCs w:val="21"/>
                <w:highlight w:val="none"/>
              </w:rPr>
            </w:pPr>
            <w:r>
              <w:rPr>
                <w:rFonts w:hint="eastAsia" w:ascii="宋体" w:cs="宋体"/>
                <w:color w:val="auto"/>
                <w:szCs w:val="21"/>
                <w:highlight w:val="none"/>
              </w:rPr>
              <w:t>（5）耕地分等定级数据分析模块</w:t>
            </w:r>
          </w:p>
          <w:p w14:paraId="69561AFB">
            <w:pPr>
              <w:ind w:firstLine="420"/>
              <w:jc w:val="left"/>
              <w:rPr>
                <w:rFonts w:ascii="宋体" w:cs="宋体"/>
                <w:color w:val="auto"/>
                <w:szCs w:val="21"/>
                <w:highlight w:val="none"/>
              </w:rPr>
            </w:pPr>
            <w:r>
              <w:rPr>
                <w:rFonts w:hint="eastAsia" w:ascii="宋体" w:cs="宋体"/>
                <w:color w:val="auto"/>
                <w:szCs w:val="21"/>
                <w:highlight w:val="none"/>
              </w:rPr>
              <w:t>（6）其他的农田业务数据分析模块。</w:t>
            </w:r>
          </w:p>
          <w:p w14:paraId="3DD27CC9">
            <w:pPr>
              <w:ind w:firstLine="420"/>
              <w:jc w:val="left"/>
              <w:rPr>
                <w:rFonts w:ascii="宋体" w:cs="宋体"/>
                <w:b/>
                <w:bCs/>
                <w:color w:val="auto"/>
                <w:szCs w:val="21"/>
                <w:highlight w:val="none"/>
              </w:rPr>
            </w:pPr>
            <w:r>
              <w:rPr>
                <w:rFonts w:hint="eastAsia" w:ascii="宋体" w:cs="宋体"/>
                <w:b/>
                <w:bCs/>
                <w:color w:val="auto"/>
                <w:szCs w:val="21"/>
                <w:highlight w:val="none"/>
              </w:rPr>
              <w:t>（二）系统日常运行维护</w:t>
            </w:r>
          </w:p>
          <w:p w14:paraId="1B819A44">
            <w:pPr>
              <w:ind w:firstLine="420"/>
              <w:jc w:val="left"/>
              <w:rPr>
                <w:rFonts w:ascii="宋体" w:cs="宋体"/>
                <w:color w:val="auto"/>
                <w:szCs w:val="21"/>
                <w:highlight w:val="none"/>
              </w:rPr>
            </w:pPr>
            <w:r>
              <w:rPr>
                <w:rFonts w:hint="eastAsia" w:ascii="宋体" w:cs="宋体"/>
                <w:color w:val="auto"/>
                <w:szCs w:val="21"/>
                <w:highlight w:val="none"/>
              </w:rPr>
              <w:t>为了保障系统的正常、稳定、可靠、安全运行，需对系统运行环境进行运行维护：</w:t>
            </w:r>
          </w:p>
          <w:p w14:paraId="66FDE505">
            <w:pPr>
              <w:ind w:firstLine="420"/>
              <w:jc w:val="left"/>
              <w:rPr>
                <w:rFonts w:ascii="宋体" w:cs="宋体"/>
                <w:color w:val="auto"/>
                <w:szCs w:val="21"/>
                <w:highlight w:val="none"/>
              </w:rPr>
            </w:pPr>
            <w:r>
              <w:rPr>
                <w:rFonts w:hint="eastAsia" w:ascii="宋体" w:cs="宋体"/>
                <w:color w:val="auto"/>
                <w:szCs w:val="21"/>
                <w:highlight w:val="none"/>
              </w:rPr>
              <w:t>（1）服务器运行运维。确保服务器操作系统及运行环境能正常稳定运行；</w:t>
            </w:r>
          </w:p>
          <w:p w14:paraId="29DFCA28">
            <w:pPr>
              <w:ind w:firstLine="420"/>
              <w:jc w:val="left"/>
              <w:rPr>
                <w:rFonts w:ascii="宋体" w:cs="宋体"/>
                <w:color w:val="auto"/>
                <w:szCs w:val="21"/>
                <w:highlight w:val="none"/>
              </w:rPr>
            </w:pPr>
            <w:r>
              <w:rPr>
                <w:rFonts w:hint="eastAsia" w:ascii="宋体" w:cs="宋体"/>
                <w:color w:val="auto"/>
                <w:szCs w:val="21"/>
                <w:highlight w:val="none"/>
              </w:rPr>
              <w:t>（2）系统应用维护。包括纠错行维护、适应性维护、完善性维护及预防性维护，确保在系统业务处理出现问题或发生变化，通过修改应用程序及有关文档等，能让系统正常稳定运行；</w:t>
            </w:r>
          </w:p>
          <w:p w14:paraId="31C2798D">
            <w:pPr>
              <w:ind w:firstLine="420"/>
              <w:jc w:val="left"/>
              <w:rPr>
                <w:rFonts w:ascii="宋体" w:cs="宋体"/>
                <w:color w:val="auto"/>
                <w:szCs w:val="21"/>
                <w:highlight w:val="none"/>
              </w:rPr>
            </w:pPr>
            <w:r>
              <w:rPr>
                <w:rFonts w:hint="eastAsia" w:ascii="宋体" w:cs="宋体"/>
                <w:color w:val="auto"/>
                <w:szCs w:val="21"/>
                <w:highlight w:val="none"/>
              </w:rPr>
              <w:t>（3）数据维护。数据库是支撑业务运作的基础平台，需要定期检查运行状态，并根据业务处理的变化，不断更新数据，增、删数据，调整数据结构，以及对数据进行备份与恢复等。本次维护即包括数据库结构对比和转换、数据整理和建库、数据地图服务更新、数据备份与恢复等；</w:t>
            </w:r>
          </w:p>
          <w:p w14:paraId="70CD6470">
            <w:pPr>
              <w:ind w:firstLine="420"/>
              <w:jc w:val="left"/>
              <w:rPr>
                <w:rFonts w:ascii="宋体" w:cs="宋体"/>
                <w:color w:val="auto"/>
                <w:szCs w:val="21"/>
                <w:highlight w:val="none"/>
              </w:rPr>
            </w:pPr>
            <w:r>
              <w:rPr>
                <w:rFonts w:hint="eastAsia" w:ascii="宋体" w:cs="宋体"/>
                <w:color w:val="auto"/>
                <w:szCs w:val="21"/>
                <w:highlight w:val="none"/>
              </w:rPr>
              <w:t>（4）代码维护。对系统中各种代码进行增加、删除、修改以及设置新的代码，优化代码结构；</w:t>
            </w:r>
          </w:p>
          <w:p w14:paraId="4FED9C49">
            <w:pPr>
              <w:ind w:firstLine="420"/>
              <w:jc w:val="left"/>
              <w:rPr>
                <w:rFonts w:ascii="宋体" w:cs="宋体"/>
                <w:color w:val="auto"/>
                <w:szCs w:val="21"/>
                <w:highlight w:val="none"/>
              </w:rPr>
            </w:pPr>
            <w:r>
              <w:rPr>
                <w:rFonts w:hint="eastAsia" w:ascii="宋体" w:cs="宋体"/>
                <w:color w:val="auto"/>
                <w:szCs w:val="21"/>
                <w:highlight w:val="none"/>
              </w:rPr>
              <w:t>（5）机构和人员的变动。信息系统是人机系统，人工处理也占有重要地位，人的作用占主导地位。为了使信息系统的流程更加合理，有时涉及到机构和人员的变动。这种变化往往也会影响对设备和程序的维护工作。</w:t>
            </w:r>
          </w:p>
          <w:p w14:paraId="0393E21F">
            <w:pPr>
              <w:ind w:firstLine="420"/>
              <w:jc w:val="left"/>
              <w:rPr>
                <w:rFonts w:ascii="宋体" w:cs="宋体"/>
                <w:b/>
                <w:bCs/>
                <w:color w:val="auto"/>
                <w:szCs w:val="21"/>
                <w:highlight w:val="none"/>
              </w:rPr>
            </w:pPr>
            <w:r>
              <w:rPr>
                <w:rFonts w:hint="eastAsia" w:ascii="宋体" w:cs="宋体"/>
                <w:b/>
                <w:bCs/>
                <w:color w:val="auto"/>
                <w:szCs w:val="21"/>
                <w:highlight w:val="none"/>
              </w:rPr>
              <w:t>三、服务质量和成果要求</w:t>
            </w:r>
          </w:p>
          <w:p w14:paraId="2CB18349">
            <w:pPr>
              <w:ind w:firstLine="420"/>
              <w:jc w:val="left"/>
              <w:rPr>
                <w:rFonts w:ascii="宋体" w:cs="宋体"/>
                <w:color w:val="auto"/>
                <w:szCs w:val="21"/>
                <w:highlight w:val="none"/>
              </w:rPr>
            </w:pPr>
            <w:r>
              <w:rPr>
                <w:rFonts w:hint="eastAsia" w:ascii="宋体" w:cs="宋体"/>
                <w:color w:val="auto"/>
                <w:szCs w:val="21"/>
                <w:highlight w:val="none"/>
              </w:rPr>
              <w:t>（一）服务质量要求</w:t>
            </w:r>
          </w:p>
          <w:p w14:paraId="61B0915D">
            <w:pPr>
              <w:ind w:firstLine="420"/>
              <w:jc w:val="left"/>
              <w:rPr>
                <w:rFonts w:ascii="宋体" w:cs="宋体"/>
                <w:color w:val="auto"/>
                <w:szCs w:val="21"/>
                <w:highlight w:val="none"/>
              </w:rPr>
            </w:pPr>
            <w:r>
              <w:rPr>
                <w:rFonts w:hint="eastAsia" w:ascii="宋体" w:cs="宋体"/>
                <w:color w:val="auto"/>
                <w:szCs w:val="21"/>
                <w:highlight w:val="none"/>
              </w:rPr>
              <w:t>1.服务成果标准符合项目采购的要求。</w:t>
            </w:r>
          </w:p>
          <w:p w14:paraId="6FA2399C">
            <w:pPr>
              <w:ind w:firstLine="420"/>
              <w:jc w:val="left"/>
              <w:rPr>
                <w:rFonts w:ascii="宋体" w:cs="宋体"/>
                <w:color w:val="auto"/>
                <w:szCs w:val="21"/>
                <w:highlight w:val="none"/>
              </w:rPr>
            </w:pPr>
            <w:r>
              <w:rPr>
                <w:rFonts w:hint="eastAsia" w:ascii="宋体" w:cs="宋体"/>
                <w:color w:val="auto"/>
                <w:szCs w:val="21"/>
                <w:highlight w:val="none"/>
              </w:rPr>
              <w:t>4.服务质量保证期：服务期内，供应商无偿对项目出现的各类问题进行修正和维护，接到采购人处理问题通知后1小时内到达采购人指定现场，针对数据或报告问题，提供免费技术支持。</w:t>
            </w:r>
          </w:p>
          <w:p w14:paraId="0B649333">
            <w:pPr>
              <w:ind w:firstLine="420"/>
              <w:jc w:val="left"/>
              <w:rPr>
                <w:rFonts w:ascii="宋体" w:cs="宋体"/>
                <w:color w:val="auto"/>
                <w:szCs w:val="21"/>
                <w:highlight w:val="none"/>
              </w:rPr>
            </w:pPr>
            <w:r>
              <w:rPr>
                <w:rFonts w:hint="eastAsia" w:ascii="宋体" w:cs="宋体"/>
                <w:color w:val="auto"/>
                <w:szCs w:val="21"/>
                <w:highlight w:val="none"/>
              </w:rPr>
              <w:t>（二）成果要求</w:t>
            </w:r>
          </w:p>
          <w:p w14:paraId="5BAD6F79">
            <w:pPr>
              <w:ind w:firstLine="420"/>
              <w:jc w:val="left"/>
              <w:rPr>
                <w:rFonts w:ascii="宋体" w:cs="宋体"/>
                <w:color w:val="auto"/>
                <w:szCs w:val="21"/>
                <w:highlight w:val="none"/>
              </w:rPr>
            </w:pPr>
            <w:r>
              <w:rPr>
                <w:rFonts w:hint="eastAsia" w:ascii="宋体" w:cs="宋体"/>
                <w:color w:val="auto"/>
                <w:szCs w:val="21"/>
                <w:highlight w:val="none"/>
              </w:rPr>
              <w:t>本项目成果质量必须严格按照采购文件提出的要求及所签订合同的约定，提交成果材料给采购人进行审核验收。</w:t>
            </w:r>
          </w:p>
        </w:tc>
      </w:tr>
      <w:tr w14:paraId="24DE2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3048BB0A">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7AEC3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F9B0F7F">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17AC2774">
            <w:pPr>
              <w:pStyle w:val="15"/>
              <w:rPr>
                <w:rFonts w:ascii="宋体" w:cs="宋体"/>
                <w:color w:val="auto"/>
                <w:kern w:val="0"/>
                <w:sz w:val="28"/>
                <w:szCs w:val="28"/>
                <w:highlight w:val="none"/>
              </w:rPr>
            </w:pPr>
            <w:r>
              <w:rPr>
                <w:rFonts w:hint="eastAsia" w:ascii="宋体" w:cs="宋体"/>
                <w:color w:val="auto"/>
                <w:kern w:val="0"/>
                <w:sz w:val="21"/>
                <w:szCs w:val="21"/>
                <w:highlight w:val="none"/>
              </w:rPr>
              <w:t>本项目报价为总额报价，即一次性报出本项目服务所需的所有费用，含技术服务、派出工作人员的交通费、住宿费、伙食补助费、必要的保险费用和各项税金、</w:t>
            </w:r>
            <w:r>
              <w:rPr>
                <w:rFonts w:hint="eastAsia" w:ascii="宋体" w:cs="宋体"/>
                <w:color w:val="auto"/>
                <w:kern w:val="0"/>
                <w:sz w:val="21"/>
                <w:szCs w:val="21"/>
                <w:highlight w:val="none"/>
                <w:lang w:val="en-US" w:eastAsia="zh-CN"/>
              </w:rPr>
              <w:t>等</w:t>
            </w:r>
            <w:r>
              <w:rPr>
                <w:rFonts w:hint="eastAsia" w:ascii="宋体" w:cs="宋体"/>
                <w:color w:val="auto"/>
                <w:kern w:val="0"/>
                <w:sz w:val="21"/>
                <w:szCs w:val="21"/>
                <w:highlight w:val="none"/>
              </w:rPr>
              <w:t>有关的费用。本项目至验收合格，采购人不另支付任何费用。</w:t>
            </w:r>
          </w:p>
        </w:tc>
      </w:tr>
      <w:tr w14:paraId="7D789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687A816">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3B664365">
            <w:pPr>
              <w:spacing w:line="300" w:lineRule="exact"/>
              <w:rPr>
                <w:color w:val="auto"/>
                <w:highlight w:val="none"/>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期限：自签订合同之日起，更新与维护期为1年。</w:t>
            </w:r>
          </w:p>
          <w:p w14:paraId="06674753">
            <w:pPr>
              <w:pStyle w:val="15"/>
              <w:spacing w:line="300" w:lineRule="exact"/>
              <w:rPr>
                <w:rFonts w:ascii="宋体" w:cs="宋体"/>
                <w:color w:val="auto"/>
                <w:szCs w:val="21"/>
                <w:highlight w:val="none"/>
              </w:rPr>
            </w:pPr>
            <w:r>
              <w:rPr>
                <w:rFonts w:hint="eastAsia"/>
                <w:color w:val="auto"/>
                <w:highlight w:val="none"/>
              </w:rPr>
              <w:t>2.地点：采购人指定地点。</w:t>
            </w:r>
          </w:p>
        </w:tc>
      </w:tr>
      <w:tr w14:paraId="15198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876F199">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BFD9190">
            <w:pPr>
              <w:spacing w:line="300" w:lineRule="exact"/>
              <w:rPr>
                <w:color w:val="auto"/>
                <w:highlight w:val="none"/>
              </w:rPr>
            </w:pPr>
            <w:r>
              <w:rPr>
                <w:rFonts w:hint="eastAsia"/>
                <w:color w:val="auto"/>
                <w:highlight w:val="none"/>
              </w:rPr>
              <w:t>签订合同后5个工作日内，由采购人支付40%合同款给成交供应商，</w:t>
            </w:r>
            <w:r>
              <w:rPr>
                <w:rFonts w:hint="eastAsia" w:ascii="宋体" w:hAnsi="宋体" w:cs="宋体"/>
                <w:color w:val="auto"/>
                <w:szCs w:val="21"/>
                <w:highlight w:val="none"/>
              </w:rPr>
              <w:t>合同签订第三个月内，由采购人支付50%合同款给成交供应商，项目初步验收合格后采购人支付剩余10%的合同款。</w:t>
            </w:r>
            <w:r>
              <w:rPr>
                <w:rFonts w:hint="eastAsia"/>
                <w:color w:val="auto"/>
                <w:highlight w:val="none"/>
              </w:rPr>
              <w:t>。</w:t>
            </w:r>
            <w:r>
              <w:rPr>
                <w:rFonts w:hint="eastAsia" w:ascii="宋体" w:hAnsi="宋体" w:cs="宋体"/>
                <w:color w:val="auto"/>
                <w:szCs w:val="21"/>
                <w:highlight w:val="none"/>
              </w:rPr>
              <w:t>成交供应商自收到合同款之日起5个工作日内开具发票给采购人。</w:t>
            </w:r>
          </w:p>
        </w:tc>
      </w:tr>
      <w:tr w14:paraId="136C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7E9AFAC3">
            <w:pPr>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5AC35A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1、维护响应：自接到采购人电话通知后1小时内响应，要求到达现场处理时应在 2小时内要求到达现场处理；执行快速问题响应，小问题3小时内解决，一般问题12小时内解决，大问题1周内解决。若不能修复则应有合理应对方案。</w:t>
            </w:r>
          </w:p>
          <w:p w14:paraId="2AB1D407">
            <w:pPr>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、供应商请在响应文件中提供“广西智慧农田综合管理信息化平台系统运维详细的技术开发技术方案及组织实施方案。</w:t>
            </w:r>
          </w:p>
        </w:tc>
      </w:tr>
    </w:tbl>
    <w:p w14:paraId="582E703F">
      <w:pPr>
        <w:spacing w:line="360" w:lineRule="auto"/>
        <w:ind w:firstLine="310" w:firstLineChars="147"/>
        <w:jc w:val="left"/>
        <w:rPr>
          <w:rFonts w:hint="eastAsia" w:ascii="宋体" w:hAnsi="宋体" w:cs="宋体"/>
          <w:b/>
          <w:color w:val="auto"/>
          <w:szCs w:val="21"/>
          <w:highlight w:val="none"/>
        </w:rPr>
      </w:pPr>
    </w:p>
    <w:p w14:paraId="25EE8C19">
      <w:pPr>
        <w:spacing w:line="360" w:lineRule="auto"/>
        <w:ind w:firstLine="310" w:firstLineChars="147"/>
        <w:jc w:val="left"/>
        <w:rPr>
          <w:rFonts w:hint="eastAsia" w:ascii="宋体" w:hAnsi="宋体" w:cs="宋体"/>
          <w:b/>
          <w:color w:val="auto"/>
          <w:szCs w:val="21"/>
          <w:highlight w:val="none"/>
        </w:rPr>
      </w:pPr>
    </w:p>
    <w:p w14:paraId="49C79461">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923676B">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（广西农业信息中心内控综合管理平台运维）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9.95 </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718E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9C13E7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2EF791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592925D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E15C87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5FE381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7BE6DE8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648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5DA1F8E">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7B20E1C3">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广西农业信息中心内控综合管理平台运维</w:t>
            </w:r>
          </w:p>
        </w:tc>
        <w:tc>
          <w:tcPr>
            <w:tcW w:w="1050" w:type="dxa"/>
            <w:vAlign w:val="center"/>
          </w:tcPr>
          <w:p w14:paraId="09952627">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5830E7E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276E8D4B">
            <w:pPr>
              <w:ind w:firstLine="420"/>
              <w:jc w:val="left"/>
              <w:rPr>
                <w:rFonts w:ascii="宋体" w:cs="宋体"/>
                <w:color w:val="auto"/>
                <w:szCs w:val="21"/>
                <w:highlight w:val="none"/>
              </w:rPr>
            </w:pPr>
            <w:r>
              <w:rPr>
                <w:rFonts w:hint="eastAsia" w:ascii="宋体" w:cs="宋体"/>
                <w:color w:val="auto"/>
                <w:szCs w:val="21"/>
                <w:highlight w:val="none"/>
              </w:rPr>
              <w:t>根据广西农业信息中心内控综合管理平台现状，以及实际</w:t>
            </w:r>
            <w:r>
              <w:rPr>
                <w:rFonts w:ascii="宋体" w:cs="宋体"/>
                <w:color w:val="auto"/>
                <w:szCs w:val="21"/>
                <w:highlight w:val="none"/>
              </w:rPr>
              <w:t>使用情况</w:t>
            </w:r>
            <w:r>
              <w:rPr>
                <w:rFonts w:hint="eastAsia" w:ascii="宋体" w:cs="宋体"/>
                <w:color w:val="auto"/>
                <w:szCs w:val="21"/>
                <w:highlight w:val="none"/>
              </w:rPr>
              <w:t>，对系统功能</w:t>
            </w:r>
            <w:r>
              <w:rPr>
                <w:rFonts w:ascii="宋体" w:cs="宋体"/>
                <w:color w:val="auto"/>
                <w:szCs w:val="21"/>
                <w:highlight w:val="none"/>
              </w:rPr>
              <w:t>和</w:t>
            </w:r>
            <w:r>
              <w:rPr>
                <w:rFonts w:hint="eastAsia" w:ascii="宋体" w:cs="宋体"/>
                <w:color w:val="auto"/>
                <w:szCs w:val="21"/>
                <w:highlight w:val="none"/>
              </w:rPr>
              <w:t>运行</w:t>
            </w:r>
            <w:r>
              <w:rPr>
                <w:rFonts w:ascii="宋体" w:cs="宋体"/>
                <w:color w:val="auto"/>
                <w:szCs w:val="21"/>
                <w:highlight w:val="none"/>
              </w:rPr>
              <w:t>质量</w:t>
            </w:r>
            <w:r>
              <w:rPr>
                <w:rFonts w:hint="eastAsia" w:ascii="宋体" w:cs="宋体"/>
                <w:color w:val="auto"/>
                <w:szCs w:val="21"/>
                <w:highlight w:val="none"/>
              </w:rPr>
              <w:t>做进一步的完善，具体包含以下内容：</w:t>
            </w:r>
          </w:p>
          <w:p w14:paraId="13322676">
            <w:pPr>
              <w:ind w:firstLine="420"/>
              <w:jc w:val="left"/>
              <w:rPr>
                <w:rFonts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系统使用过程中</w:t>
            </w:r>
            <w:r>
              <w:rPr>
                <w:rFonts w:ascii="宋体" w:cs="宋体"/>
                <w:color w:val="auto"/>
                <w:szCs w:val="21"/>
                <w:highlight w:val="none"/>
              </w:rPr>
              <w:t>出现</w:t>
            </w:r>
            <w:r>
              <w:rPr>
                <w:rFonts w:hint="eastAsia" w:ascii="宋体" w:cs="宋体"/>
                <w:color w:val="auto"/>
                <w:szCs w:val="21"/>
                <w:highlight w:val="none"/>
              </w:rPr>
              <w:t>的问题，提供修复和避免措施的服务，并</w:t>
            </w:r>
            <w:r>
              <w:rPr>
                <w:rFonts w:ascii="宋体" w:cs="宋体"/>
                <w:color w:val="auto"/>
                <w:szCs w:val="21"/>
                <w:highlight w:val="none"/>
              </w:rPr>
              <w:t>协助业主做好信息</w:t>
            </w:r>
            <w:r>
              <w:rPr>
                <w:rFonts w:hint="eastAsia" w:ascii="宋体" w:cs="宋体"/>
                <w:color w:val="auto"/>
                <w:szCs w:val="21"/>
                <w:highlight w:val="none"/>
              </w:rPr>
              <w:t>安全防护等相关事宜，对于发现的安全隐患要及时进行修复。</w:t>
            </w:r>
          </w:p>
          <w:p w14:paraId="37654F24">
            <w:pPr>
              <w:ind w:firstLine="420"/>
              <w:jc w:val="left"/>
              <w:rPr>
                <w:rFonts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收集用户在使用系统时遇到的各类问题，及时修改系统漏洞与完善系统。针对业务流程、操作体检进行优化升级：包括业务流程新增、调整、发布等</w:t>
            </w:r>
            <w:r>
              <w:rPr>
                <w:rFonts w:ascii="宋体" w:cs="宋体"/>
                <w:color w:val="auto"/>
                <w:szCs w:val="21"/>
                <w:highlight w:val="none"/>
              </w:rPr>
              <w:t>。</w:t>
            </w:r>
            <w:r>
              <w:rPr>
                <w:rFonts w:hint="eastAsia" w:ascii="宋体" w:cs="宋体"/>
                <w:color w:val="auto"/>
                <w:szCs w:val="21"/>
                <w:highlight w:val="none"/>
              </w:rPr>
              <w:t>优化</w:t>
            </w:r>
            <w:r>
              <w:rPr>
                <w:rFonts w:ascii="宋体" w:cs="宋体"/>
                <w:color w:val="auto"/>
                <w:szCs w:val="21"/>
                <w:highlight w:val="none"/>
              </w:rPr>
              <w:t>在线编辑功能。</w:t>
            </w:r>
          </w:p>
          <w:p w14:paraId="28689AD9">
            <w:pPr>
              <w:ind w:firstLine="420"/>
              <w:jc w:val="left"/>
              <w:rPr>
                <w:rFonts w:ascii="宋体" w:cs="宋体"/>
                <w:color w:val="auto"/>
                <w:szCs w:val="21"/>
                <w:highlight w:val="none"/>
              </w:rPr>
            </w:pPr>
            <w:r>
              <w:rPr>
                <w:rFonts w:hint="eastAsia" w:ascii="宋体" w:cs="宋体"/>
                <w:color w:val="auto"/>
                <w:szCs w:val="21"/>
                <w:highlight w:val="none"/>
                <w:lang w:val="en-US" w:eastAsia="zh-CN"/>
              </w:rPr>
              <w:t>3.</w:t>
            </w:r>
            <w:r>
              <w:rPr>
                <w:rFonts w:hint="eastAsia" w:ascii="宋体" w:cs="宋体"/>
                <w:color w:val="auto"/>
                <w:szCs w:val="21"/>
                <w:highlight w:val="none"/>
              </w:rPr>
              <w:t>监控系统日常运行状况，定期</w:t>
            </w:r>
            <w:r>
              <w:rPr>
                <w:rFonts w:ascii="宋体" w:cs="宋体"/>
                <w:color w:val="auto"/>
                <w:szCs w:val="21"/>
                <w:highlight w:val="none"/>
              </w:rPr>
              <w:t>巡检，</w:t>
            </w:r>
            <w:r>
              <w:rPr>
                <w:rFonts w:hint="eastAsia" w:ascii="宋体" w:cs="宋体"/>
                <w:color w:val="auto"/>
                <w:szCs w:val="21"/>
                <w:highlight w:val="none"/>
              </w:rPr>
              <w:t>对于系统运行过程的异常进行原因分析和故障排除，以恢复业务优先，及时对存在的缺陷进行处理。</w:t>
            </w:r>
          </w:p>
          <w:p w14:paraId="3FD92707">
            <w:pPr>
              <w:ind w:firstLine="420"/>
              <w:jc w:val="left"/>
              <w:rPr>
                <w:rFonts w:ascii="宋体" w:cs="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为使用系统用户</w:t>
            </w:r>
            <w:r>
              <w:rPr>
                <w:rFonts w:ascii="宋体" w:cs="宋体"/>
                <w:color w:val="auto"/>
                <w:szCs w:val="21"/>
                <w:highlight w:val="none"/>
              </w:rPr>
              <w:t>提供</w:t>
            </w:r>
            <w:r>
              <w:rPr>
                <w:rFonts w:hint="eastAsia" w:ascii="宋体" w:cs="宋体"/>
                <w:color w:val="auto"/>
                <w:szCs w:val="21"/>
                <w:highlight w:val="none"/>
              </w:rPr>
              <w:t>技术咨询、疑难解答服务，方式包括但不限于：</w:t>
            </w:r>
            <w:r>
              <w:rPr>
                <w:rFonts w:ascii="宋体" w:cs="宋体"/>
                <w:color w:val="auto"/>
                <w:szCs w:val="21"/>
                <w:highlight w:val="none"/>
              </w:rPr>
              <w:t>电话</w:t>
            </w:r>
            <w:r>
              <w:rPr>
                <w:rFonts w:hint="eastAsia" w:ascii="宋体" w:cs="宋体"/>
                <w:color w:val="auto"/>
                <w:szCs w:val="21"/>
                <w:highlight w:val="none"/>
              </w:rPr>
              <w:t>咨询、即时通讯工具咨询、远程技术支持、现场服务等。</w:t>
            </w:r>
          </w:p>
          <w:p w14:paraId="0166EED4">
            <w:pPr>
              <w:ind w:firstLine="420"/>
              <w:jc w:val="left"/>
              <w:rPr>
                <w:rFonts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提供数据运维，包括日常数据管理工作、异常数据处理。</w:t>
            </w:r>
          </w:p>
          <w:p w14:paraId="07E0B315">
            <w:pPr>
              <w:ind w:firstLine="420"/>
              <w:jc w:val="left"/>
              <w:rPr>
                <w:rFonts w:ascii="宋体" w:cs="宋体"/>
                <w:color w:val="auto"/>
                <w:szCs w:val="21"/>
                <w:highlight w:val="none"/>
              </w:rPr>
            </w:pPr>
            <w:r>
              <w:rPr>
                <w:rFonts w:hint="eastAsia" w:ascii="宋体" w:cs="宋体"/>
                <w:color w:val="auto"/>
                <w:szCs w:val="21"/>
                <w:highlight w:val="none"/>
                <w:lang w:val="en-US" w:eastAsia="zh-CN"/>
              </w:rPr>
              <w:t>6.</w:t>
            </w:r>
            <w:r>
              <w:rPr>
                <w:rFonts w:hint="eastAsia" w:ascii="宋体" w:cs="宋体"/>
                <w:color w:val="auto"/>
                <w:szCs w:val="21"/>
                <w:highlight w:val="none"/>
              </w:rPr>
              <w:t>提供系统性能分析，通过对系统的运行状况、性能状况、故障状况等方面进行分析，及时发现系统软件存在的运行问题、性能瓶颈和故障隐患；总结故障处理经验，提高故障的响应时间和处理速度；有针对性的提出优化和调整方案，确保系统软件的健康、高效、稳定运行。</w:t>
            </w:r>
          </w:p>
          <w:p w14:paraId="18E99C1D">
            <w:pPr>
              <w:ind w:firstLine="420"/>
              <w:jc w:val="left"/>
              <w:rPr>
                <w:rFonts w:ascii="宋体" w:cs="宋体"/>
                <w:color w:val="auto"/>
                <w:szCs w:val="21"/>
                <w:highlight w:val="none"/>
              </w:rPr>
            </w:pPr>
            <w:r>
              <w:rPr>
                <w:rFonts w:hint="eastAsia" w:ascii="宋体" w:cs="宋体"/>
                <w:color w:val="auto"/>
                <w:szCs w:val="21"/>
                <w:highlight w:val="none"/>
                <w:lang w:val="en-US" w:eastAsia="zh-CN"/>
              </w:rPr>
              <w:t>7.</w:t>
            </w:r>
            <w:r>
              <w:rPr>
                <w:rFonts w:ascii="宋体" w:cs="宋体"/>
                <w:color w:val="auto"/>
                <w:szCs w:val="21"/>
                <w:highlight w:val="none"/>
              </w:rPr>
              <w:t>维护</w:t>
            </w:r>
            <w:r>
              <w:rPr>
                <w:rFonts w:hint="eastAsia" w:ascii="宋体" w:cs="宋体"/>
                <w:color w:val="auto"/>
                <w:szCs w:val="21"/>
                <w:highlight w:val="none"/>
              </w:rPr>
              <w:t>广西农业信息中心内控综合管理平台</w:t>
            </w:r>
            <w:r>
              <w:rPr>
                <w:rFonts w:ascii="宋体" w:cs="宋体"/>
                <w:color w:val="auto"/>
                <w:szCs w:val="21"/>
                <w:highlight w:val="none"/>
              </w:rPr>
              <w:t>非功能性模块，如安全性、界面美观、易用性、有效性、稳定性、实时性、可扩展性、可操作性、可维护性以及平台兼容性等</w:t>
            </w:r>
            <w:r>
              <w:rPr>
                <w:rFonts w:hint="eastAsia" w:ascii="宋体" w:cs="宋体"/>
                <w:color w:val="auto"/>
                <w:szCs w:val="21"/>
                <w:highlight w:val="none"/>
              </w:rPr>
              <w:t>。</w:t>
            </w:r>
          </w:p>
          <w:p w14:paraId="750732F1">
            <w:pPr>
              <w:ind w:firstLine="420"/>
              <w:jc w:val="left"/>
              <w:rPr>
                <w:rFonts w:ascii="宋体" w:cs="宋体"/>
                <w:color w:val="auto"/>
                <w:szCs w:val="21"/>
                <w:highlight w:val="none"/>
              </w:rPr>
            </w:pPr>
            <w:r>
              <w:rPr>
                <w:rFonts w:hint="eastAsia" w:ascii="宋体" w:cs="宋体"/>
                <w:color w:val="auto"/>
                <w:szCs w:val="21"/>
                <w:highlight w:val="none"/>
                <w:lang w:val="en-US" w:eastAsia="zh-CN"/>
              </w:rPr>
              <w:t>8.</w:t>
            </w:r>
            <w:r>
              <w:rPr>
                <w:rFonts w:hint="eastAsia" w:ascii="宋体" w:cs="宋体"/>
                <w:color w:val="auto"/>
                <w:szCs w:val="21"/>
                <w:highlight w:val="none"/>
              </w:rPr>
              <w:t>完成业主交办的其他支持工作，如数据维护、系统迁移、程序问题确认等情况进行跟踪、处理。</w:t>
            </w:r>
          </w:p>
        </w:tc>
      </w:tr>
      <w:tr w14:paraId="0657F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0EE70913">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2CA4E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6863CF0">
            <w:pPr>
              <w:spacing w:line="360" w:lineRule="auto"/>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1879C56">
            <w:pPr>
              <w:spacing w:line="360" w:lineRule="auto"/>
              <w:rPr>
                <w:rFonts w:hint="eastAsia" w:ascii="宋体" w:hAnsi="宋体" w:cs="宋体"/>
                <w:b/>
                <w:color w:val="auto"/>
                <w:sz w:val="21"/>
                <w:szCs w:val="21"/>
                <w:highlight w:val="none"/>
              </w:rPr>
            </w:pPr>
            <w:r>
              <w:rPr>
                <w:rFonts w:hint="eastAsia" w:ascii="宋体" w:hAnsi="宋体" w:eastAsia="宋体" w:cs="宋体"/>
                <w:color w:val="auto"/>
                <w:sz w:val="21"/>
                <w:szCs w:val="21"/>
                <w:highlight w:val="none"/>
              </w:rPr>
              <w:t>本项目实行总承包报价；包含服务采购、实施、验收等各种费用和售后服务、税金及其它所有成本费用的总和。采购人不另支付任何费用。</w:t>
            </w:r>
          </w:p>
        </w:tc>
      </w:tr>
      <w:tr w14:paraId="3DC0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4018188C">
            <w:pPr>
              <w:spacing w:line="360" w:lineRule="auto"/>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质量保证期</w:t>
            </w:r>
          </w:p>
        </w:tc>
        <w:tc>
          <w:tcPr>
            <w:tcW w:w="7614" w:type="dxa"/>
            <w:gridSpan w:val="4"/>
            <w:tcBorders>
              <w:top w:val="single" w:color="auto" w:sz="4" w:space="0"/>
              <w:left w:val="single" w:color="auto" w:sz="4" w:space="0"/>
              <w:bottom w:val="single" w:color="auto" w:sz="4" w:space="0"/>
            </w:tcBorders>
            <w:vAlign w:val="center"/>
          </w:tcPr>
          <w:p w14:paraId="6BE415BC">
            <w:pPr>
              <w:autoSpaceDE w:val="0"/>
              <w:autoSpaceDN w:val="0"/>
              <w:adjustRightInd w:val="0"/>
              <w:snapToGrid w:val="0"/>
              <w:spacing w:line="360" w:lineRule="auto"/>
              <w:jc w:val="left"/>
              <w:outlineLvl w:val="0"/>
              <w:rPr>
                <w:rFonts w:hint="eastAsia" w:ascii="宋体" w:hAnsi="宋体" w:cs="宋体"/>
                <w:b/>
                <w:color w:val="auto"/>
                <w:sz w:val="21"/>
                <w:szCs w:val="21"/>
                <w:highlight w:val="none"/>
              </w:rPr>
            </w:pPr>
            <w:r>
              <w:rPr>
                <w:rFonts w:hint="eastAsia" w:ascii="宋体" w:hAnsi="宋体" w:cs="宋体"/>
                <w:bCs/>
                <w:color w:val="auto"/>
                <w:kern w:val="0"/>
                <w:sz w:val="21"/>
                <w:szCs w:val="21"/>
                <w:highlight w:val="none"/>
              </w:rPr>
              <w:t>自签订合同之日起，系统维护期为1年。</w:t>
            </w:r>
          </w:p>
        </w:tc>
      </w:tr>
      <w:tr w14:paraId="4A614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4BC15263">
            <w:pPr>
              <w:spacing w:line="360" w:lineRule="auto"/>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▲合同履行期限、地点</w:t>
            </w:r>
          </w:p>
        </w:tc>
        <w:tc>
          <w:tcPr>
            <w:tcW w:w="7614" w:type="dxa"/>
            <w:gridSpan w:val="4"/>
            <w:tcBorders>
              <w:top w:val="single" w:color="auto" w:sz="4" w:space="0"/>
              <w:left w:val="single" w:color="auto" w:sz="4" w:space="0"/>
              <w:bottom w:val="single" w:color="auto" w:sz="4" w:space="0"/>
            </w:tcBorders>
            <w:vAlign w:val="center"/>
          </w:tcPr>
          <w:p w14:paraId="735158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合同履行期限：</w:t>
            </w:r>
            <w:r>
              <w:rPr>
                <w:rFonts w:hint="eastAsia" w:ascii="宋体" w:hAnsi="宋体" w:cs="宋体"/>
                <w:color w:val="auto"/>
                <w:kern w:val="0"/>
                <w:sz w:val="21"/>
                <w:szCs w:val="21"/>
                <w:highlight w:val="none"/>
              </w:rPr>
              <w:t>自合同签订之日起一年。</w:t>
            </w:r>
          </w:p>
          <w:p w14:paraId="47B424DD">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采购人指定地点</w:t>
            </w:r>
          </w:p>
        </w:tc>
      </w:tr>
      <w:tr w14:paraId="50F71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5E37EA7C">
            <w:pPr>
              <w:spacing w:line="360" w:lineRule="auto"/>
              <w:jc w:val="left"/>
              <w:rPr>
                <w:rFonts w:hint="eastAsia" w:ascii="宋体" w:hAnsi="宋体" w:cs="宋体"/>
                <w:b/>
                <w:color w:val="auto"/>
                <w:sz w:val="21"/>
                <w:szCs w:val="21"/>
                <w:highlight w:val="none"/>
              </w:rPr>
            </w:pPr>
            <w:r>
              <w:rPr>
                <w:rFonts w:hint="eastAsia" w:ascii="宋体" w:hAnsi="宋体" w:cs="宋体"/>
                <w:color w:val="auto"/>
                <w:sz w:val="21"/>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14F0289B">
            <w:pPr>
              <w:spacing w:line="360" w:lineRule="auto"/>
              <w:rPr>
                <w:rFonts w:hint="eastAsia" w:ascii="宋体" w:hAnsi="宋体" w:cs="宋体"/>
                <w:b/>
                <w:color w:val="auto"/>
                <w:sz w:val="21"/>
                <w:szCs w:val="21"/>
                <w:highlight w:val="none"/>
              </w:rPr>
            </w:pPr>
            <w:r>
              <w:rPr>
                <w:rFonts w:hint="eastAsia" w:ascii="宋体" w:hAnsi="宋体"/>
                <w:b w:val="0"/>
                <w:bCs w:val="0"/>
                <w:color w:val="auto"/>
                <w:sz w:val="21"/>
                <w:szCs w:val="21"/>
                <w:highlight w:val="none"/>
                <w:u w:val="none"/>
                <w:lang w:val="en-US" w:eastAsia="zh-CN"/>
              </w:rPr>
              <w:t>签订合同后成交供应商按合同要求开展运维服务工作，采购人在10个工作日内支付40%合同款给成交供应商；通过项目验收后，采购人支付剩余60%的合同款。成交供应商自收到合同款之日起5个工作日内开具发票给采购人。</w:t>
            </w:r>
          </w:p>
        </w:tc>
      </w:tr>
      <w:tr w14:paraId="3F181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1E84F82B">
            <w:pPr>
              <w:spacing w:line="360" w:lineRule="auto"/>
              <w:jc w:val="center"/>
              <w:rPr>
                <w:rFonts w:hint="eastAsia" w:ascii="宋体" w:hAnsi="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olor w:val="auto"/>
                <w:sz w:val="21"/>
                <w:szCs w:val="21"/>
                <w:highlight w:val="none"/>
              </w:rPr>
              <w:t>售后服务要求</w:t>
            </w:r>
          </w:p>
        </w:tc>
        <w:tc>
          <w:tcPr>
            <w:tcW w:w="7614" w:type="dxa"/>
            <w:gridSpan w:val="4"/>
            <w:tcBorders>
              <w:top w:val="single" w:color="auto" w:sz="4" w:space="0"/>
              <w:left w:val="single" w:color="auto" w:sz="4" w:space="0"/>
              <w:bottom w:val="single" w:color="auto" w:sz="4" w:space="0"/>
            </w:tcBorders>
            <w:vAlign w:val="center"/>
          </w:tcPr>
          <w:p w14:paraId="0BF622C1">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1、维护响应：自接到采购人电话通知后1小时内响应，要求到达现场处理时应在 2小时内要求到达现场处理；执行快速问题响应，小问题3小时内解决，一般问题12小时内解决，大问题1周内解决。若不能修复则应有合理应对方案。</w:t>
            </w:r>
          </w:p>
          <w:p w14:paraId="303AE28F">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2.在</w:t>
            </w:r>
            <w:r>
              <w:rPr>
                <w:rFonts w:hint="eastAsia" w:ascii="宋体" w:hAnsi="宋体" w:cs="宋体"/>
                <w:color w:val="auto"/>
                <w:kern w:val="0"/>
                <w:sz w:val="21"/>
                <w:szCs w:val="21"/>
                <w:highlight w:val="none"/>
                <w:lang w:val="en-US" w:eastAsia="zh-CN"/>
              </w:rPr>
              <w:t>服务期</w:t>
            </w:r>
            <w:r>
              <w:rPr>
                <w:rFonts w:hint="eastAsia" w:ascii="宋体" w:hAnsi="宋体" w:cs="宋体"/>
                <w:color w:val="auto"/>
                <w:kern w:val="0"/>
                <w:sz w:val="21"/>
                <w:szCs w:val="21"/>
                <w:highlight w:val="none"/>
              </w:rPr>
              <w:t>内，通过热线咨询电话、呼叫中心方式实现电话技术支持，提供日常系统疑问咨询解答，帮助业务人员顺利完成系统日常运作；</w:t>
            </w:r>
          </w:p>
          <w:p w14:paraId="2B621B54">
            <w:pPr>
              <w:autoSpaceDE w:val="0"/>
              <w:autoSpaceDN w:val="0"/>
              <w:adjustRightInd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3.在</w:t>
            </w:r>
            <w:r>
              <w:rPr>
                <w:rFonts w:hint="eastAsia" w:ascii="宋体" w:hAnsi="宋体" w:cs="宋体"/>
                <w:color w:val="auto"/>
                <w:kern w:val="0"/>
                <w:sz w:val="21"/>
                <w:szCs w:val="21"/>
                <w:highlight w:val="none"/>
                <w:lang w:val="en-US" w:eastAsia="zh-CN"/>
              </w:rPr>
              <w:t>服务期</w:t>
            </w:r>
            <w:r>
              <w:rPr>
                <w:rFonts w:hint="eastAsia" w:ascii="宋体" w:hAnsi="宋体" w:cs="宋体"/>
                <w:color w:val="auto"/>
                <w:kern w:val="0"/>
                <w:sz w:val="21"/>
                <w:szCs w:val="21"/>
                <w:highlight w:val="none"/>
              </w:rPr>
              <w:t>内，通过在线帮助中心、电子邮件、QQ网络技术支持，及时在线解答采购单位人员咨询疑问。</w:t>
            </w:r>
          </w:p>
          <w:p w14:paraId="68702624">
            <w:pPr>
              <w:autoSpaceDE w:val="0"/>
              <w:autoSpaceDN w:val="0"/>
              <w:adjustRightInd w:val="0"/>
              <w:spacing w:line="360" w:lineRule="auto"/>
              <w:jc w:val="left"/>
              <w:rPr>
                <w:rFonts w:hint="eastAsia" w:ascii="宋体" w:hAnsi="宋体" w:cs="宋体"/>
                <w:b/>
                <w:color w:val="auto"/>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供应商</w:t>
            </w:r>
            <w:r>
              <w:rPr>
                <w:rFonts w:hint="eastAsia" w:ascii="宋体" w:hAnsi="宋体" w:cs="宋体"/>
                <w:color w:val="auto"/>
                <w:kern w:val="0"/>
                <w:sz w:val="21"/>
                <w:szCs w:val="21"/>
                <w:highlight w:val="none"/>
              </w:rPr>
              <w:t>请在</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rPr>
              <w:t>文件中提供具体的服务方案。</w:t>
            </w:r>
          </w:p>
        </w:tc>
      </w:tr>
    </w:tbl>
    <w:p w14:paraId="6E74A4C0">
      <w:pPr>
        <w:spacing w:line="360" w:lineRule="auto"/>
        <w:ind w:firstLine="310" w:firstLineChars="147"/>
        <w:jc w:val="left"/>
        <w:rPr>
          <w:rFonts w:hint="eastAsia" w:ascii="宋体" w:hAnsi="宋体" w:cs="宋体"/>
          <w:b/>
          <w:color w:val="auto"/>
          <w:szCs w:val="21"/>
          <w:highlight w:val="none"/>
        </w:rPr>
      </w:pPr>
    </w:p>
    <w:p w14:paraId="19C9033B">
      <w:pPr>
        <w:spacing w:line="360" w:lineRule="auto"/>
        <w:ind w:firstLine="310" w:firstLineChars="147"/>
        <w:jc w:val="left"/>
        <w:rPr>
          <w:rFonts w:hint="eastAsia" w:ascii="宋体" w:hAnsi="宋体" w:cs="宋体"/>
          <w:b/>
          <w:color w:val="auto"/>
          <w:szCs w:val="21"/>
          <w:highlight w:val="none"/>
        </w:rPr>
      </w:pPr>
    </w:p>
    <w:p w14:paraId="7F8E93F0">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（广西农业信息化项目监理服务）</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hint="eastAsia" w:ascii="宋体" w:hAnsi="宋体"/>
          <w:b/>
          <w:bCs/>
          <w:color w:val="auto"/>
          <w:szCs w:val="21"/>
          <w:highlight w:val="none"/>
          <w:u w:val="single"/>
          <w:lang w:val="en-US" w:eastAsia="zh-CN"/>
        </w:rPr>
        <w:t>22.64</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31BC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295CC56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FA50BB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C9B2DA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694B444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0B5651C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05F5F22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66EF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231B2FC4">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1E306A65">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广西农业信息化项目监理服务</w:t>
            </w:r>
          </w:p>
        </w:tc>
        <w:tc>
          <w:tcPr>
            <w:tcW w:w="1050" w:type="dxa"/>
            <w:vAlign w:val="center"/>
          </w:tcPr>
          <w:p w14:paraId="17505BF5">
            <w:pPr>
              <w:widowControl/>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4A9E8EF8">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vAlign w:val="center"/>
          </w:tcPr>
          <w:p w14:paraId="2AD907C7">
            <w:pPr>
              <w:pStyle w:val="24"/>
              <w:spacing w:line="360" w:lineRule="auto"/>
              <w:ind w:left="0" w:leftChars="0" w:firstLine="422" w:firstLineChars="200"/>
              <w:rPr>
                <w:rFonts w:hint="eastAsia"/>
                <w:b/>
                <w:bCs/>
                <w:color w:val="auto"/>
                <w:highlight w:val="none"/>
              </w:rPr>
            </w:pPr>
            <w:r>
              <w:rPr>
                <w:rFonts w:hint="eastAsia"/>
                <w:b/>
                <w:bCs/>
                <w:color w:val="auto"/>
                <w:highlight w:val="none"/>
              </w:rPr>
              <w:t>一、服务范围</w:t>
            </w:r>
          </w:p>
          <w:p w14:paraId="0700738E">
            <w:pPr>
              <w:pStyle w:val="24"/>
              <w:spacing w:line="360" w:lineRule="auto"/>
              <w:ind w:left="0" w:leftChars="0" w:firstLine="420" w:firstLineChars="200"/>
              <w:rPr>
                <w:rFonts w:hint="eastAsia"/>
                <w:color w:val="auto"/>
                <w:highlight w:val="none"/>
              </w:rPr>
            </w:pPr>
            <w:r>
              <w:rPr>
                <w:rFonts w:hint="eastAsia"/>
                <w:color w:val="auto"/>
                <w:highlight w:val="none"/>
              </w:rPr>
              <w:t>完成202</w:t>
            </w:r>
            <w:r>
              <w:rPr>
                <w:color w:val="auto"/>
                <w:highlight w:val="none"/>
              </w:rPr>
              <w:t>5</w:t>
            </w:r>
            <w:r>
              <w:rPr>
                <w:rFonts w:hint="eastAsia"/>
                <w:color w:val="auto"/>
                <w:highlight w:val="none"/>
              </w:rPr>
              <w:t>年度广西农业信息化项目各标段全过程监理任务，配合采购人开展项目资产管理及项目支出绩效监控工作等。</w:t>
            </w:r>
          </w:p>
          <w:p w14:paraId="29E3DCE5">
            <w:pPr>
              <w:pStyle w:val="24"/>
              <w:spacing w:line="360" w:lineRule="auto"/>
              <w:ind w:left="0" w:leftChars="0" w:firstLine="422" w:firstLineChars="200"/>
              <w:rPr>
                <w:rFonts w:hint="eastAsia"/>
                <w:b/>
                <w:bCs/>
                <w:color w:val="auto"/>
                <w:highlight w:val="none"/>
              </w:rPr>
            </w:pPr>
            <w:r>
              <w:rPr>
                <w:rFonts w:hint="eastAsia"/>
                <w:b/>
                <w:bCs/>
                <w:color w:val="auto"/>
                <w:highlight w:val="none"/>
              </w:rPr>
              <w:t>二、监理服务要求</w:t>
            </w:r>
          </w:p>
          <w:p w14:paraId="2ED2B116">
            <w:pPr>
              <w:pStyle w:val="24"/>
              <w:spacing w:line="360" w:lineRule="auto"/>
              <w:ind w:left="0" w:leftChars="0" w:firstLine="420" w:firstLineChars="200"/>
              <w:rPr>
                <w:rFonts w:hint="eastAsia"/>
                <w:color w:val="auto"/>
                <w:highlight w:val="none"/>
              </w:rPr>
            </w:pPr>
            <w:r>
              <w:rPr>
                <w:rFonts w:hint="eastAsia"/>
                <w:color w:val="auto"/>
                <w:highlight w:val="none"/>
              </w:rPr>
              <w:t>1．监理服务原则</w:t>
            </w:r>
          </w:p>
          <w:p w14:paraId="2EAB0E16">
            <w:pPr>
              <w:pStyle w:val="24"/>
              <w:spacing w:line="360" w:lineRule="auto"/>
              <w:ind w:left="0" w:leftChars="0" w:firstLine="420" w:firstLineChars="200"/>
              <w:rPr>
                <w:rFonts w:hint="eastAsia"/>
                <w:color w:val="auto"/>
                <w:highlight w:val="none"/>
              </w:rPr>
            </w:pPr>
            <w:r>
              <w:rPr>
                <w:rFonts w:hint="eastAsia"/>
                <w:color w:val="auto"/>
                <w:highlight w:val="none"/>
              </w:rPr>
              <w:t>（1）监理工作应按照质量控制、进度控制、投资控制、变更控制、合同管理、安全管理、文档管理、及协调相关单位关系原则进行。监理单位要制定本监理工程的监理规划报业主批准后实施。总监理监理工程师要组织各专业制定监理实施细则报采购人有关部门备案，各专业按实施细则进行监理。</w:t>
            </w:r>
          </w:p>
          <w:p w14:paraId="1A7FE2C2">
            <w:pPr>
              <w:pStyle w:val="24"/>
              <w:spacing w:line="360" w:lineRule="auto"/>
              <w:ind w:left="0" w:leftChars="0" w:firstLine="420" w:firstLineChars="200"/>
              <w:rPr>
                <w:rFonts w:hint="eastAsia"/>
                <w:color w:val="auto"/>
                <w:highlight w:val="none"/>
              </w:rPr>
            </w:pPr>
            <w:r>
              <w:rPr>
                <w:rFonts w:hint="eastAsia"/>
                <w:color w:val="auto"/>
                <w:highlight w:val="none"/>
              </w:rPr>
              <w:t>（2）成交供应商应根据自身的经验及专业的角度向采购人提供可行性咨询意见，为保证高效优质地完成设计任务，成交供应商应从国家和采购人的角度提出合理化建议等咨询服务。</w:t>
            </w:r>
          </w:p>
          <w:p w14:paraId="015AEFEC">
            <w:pPr>
              <w:pStyle w:val="24"/>
              <w:spacing w:line="360" w:lineRule="auto"/>
              <w:ind w:left="0" w:leftChars="0" w:firstLine="420" w:firstLineChars="200"/>
              <w:rPr>
                <w:rFonts w:hint="eastAsia"/>
                <w:color w:val="auto"/>
                <w:highlight w:val="none"/>
              </w:rPr>
            </w:pPr>
            <w:r>
              <w:rPr>
                <w:rFonts w:hint="eastAsia"/>
                <w:color w:val="auto"/>
                <w:highlight w:val="none"/>
              </w:rPr>
              <w:t>（3）本项目有严格的保密要求。在整个监理服务实施过程中，成交供应商各方应严格遵守有关保密规定或保密协议。</w:t>
            </w:r>
          </w:p>
          <w:p w14:paraId="3A820BBA">
            <w:pPr>
              <w:pStyle w:val="24"/>
              <w:spacing w:line="360" w:lineRule="auto"/>
              <w:ind w:left="0" w:leftChars="0" w:firstLine="420" w:firstLineChars="200"/>
              <w:rPr>
                <w:rFonts w:hint="eastAsia"/>
                <w:color w:val="auto"/>
                <w:highlight w:val="none"/>
              </w:rPr>
            </w:pPr>
            <w:r>
              <w:rPr>
                <w:rFonts w:hint="eastAsia"/>
                <w:color w:val="auto"/>
                <w:highlight w:val="none"/>
              </w:rPr>
              <w:t>2．阶段监理要求</w:t>
            </w:r>
          </w:p>
          <w:p w14:paraId="6E0641E9">
            <w:pPr>
              <w:pStyle w:val="24"/>
              <w:spacing w:line="360" w:lineRule="auto"/>
              <w:ind w:left="0" w:leftChars="0" w:firstLine="420" w:firstLineChars="200"/>
              <w:rPr>
                <w:rFonts w:hint="eastAsia"/>
                <w:color w:val="auto"/>
                <w:highlight w:val="none"/>
              </w:rPr>
            </w:pPr>
            <w:r>
              <w:rPr>
                <w:rFonts w:hint="eastAsia"/>
                <w:color w:val="auto"/>
                <w:highlight w:val="none"/>
              </w:rPr>
              <w:t>项目各标段主要涉及工程设计、开发建设及工程验收三个阶段。成交供应商要按照项目建设目标和“四控制、三管理、一协调”的监理工作要求，依据国家信息系统工程建设监理规范和标准，对项目建设的各个阶段和各个层面进行全方位的管理、控制和协调。对项目建设的设计、开发和实施；项目的验收和交付使用以及对用户的技术培训等方面进行质量、进度和投资等全面的控制，对项目建设合同的执行、项目建设文档资料等进行管理。从而保证本项目“按期、保质、高效、节约”地实现其既定目标。</w:t>
            </w:r>
          </w:p>
          <w:p w14:paraId="78950367">
            <w:pPr>
              <w:pStyle w:val="24"/>
              <w:spacing w:line="360" w:lineRule="auto"/>
              <w:ind w:left="0" w:leftChars="0" w:firstLine="420" w:firstLineChars="200"/>
              <w:rPr>
                <w:rFonts w:hint="eastAsia"/>
                <w:color w:val="auto"/>
                <w:highlight w:val="none"/>
              </w:rPr>
            </w:pPr>
            <w:r>
              <w:rPr>
                <w:rFonts w:hint="eastAsia"/>
                <w:color w:val="auto"/>
                <w:highlight w:val="none"/>
              </w:rPr>
              <w:t>（1）工程设计阶段：</w:t>
            </w:r>
          </w:p>
          <w:p w14:paraId="383CC6C1">
            <w:pPr>
              <w:pStyle w:val="24"/>
              <w:spacing w:line="360" w:lineRule="auto"/>
              <w:ind w:left="0" w:leftChars="0" w:firstLine="420" w:firstLineChars="200"/>
              <w:rPr>
                <w:rFonts w:hint="eastAsia"/>
                <w:color w:val="auto"/>
                <w:highlight w:val="none"/>
              </w:rPr>
            </w:pPr>
            <w:r>
              <w:rPr>
                <w:rFonts w:hint="eastAsia"/>
                <w:color w:val="auto"/>
                <w:highlight w:val="none"/>
              </w:rPr>
              <w:t>要求成交供应商能推动采购人、承建单位对工程需求和设计进行规范化的技术描述，为工程实施提供优化的设计方案；促使工程计划、设计方案满足工程需求、符合相关的法律、法规和标准，并与工程建设合同相符，具有可验证性；组织有关人员对设计文档进行严格的审核，协助采购人、承建单位消除设计文档在进入工程实施前可预见的缺陷。</w:t>
            </w:r>
          </w:p>
          <w:p w14:paraId="51F08BD8">
            <w:pPr>
              <w:pStyle w:val="24"/>
              <w:spacing w:line="360" w:lineRule="auto"/>
              <w:ind w:left="0" w:leftChars="0" w:firstLine="420" w:firstLineChars="200"/>
              <w:rPr>
                <w:rFonts w:hint="eastAsia"/>
                <w:color w:val="auto"/>
                <w:highlight w:val="none"/>
              </w:rPr>
            </w:pPr>
            <w:r>
              <w:rPr>
                <w:rFonts w:hint="eastAsia"/>
                <w:color w:val="auto"/>
                <w:highlight w:val="none"/>
              </w:rPr>
              <w:t>（2）开发建设阶段：</w:t>
            </w:r>
          </w:p>
          <w:p w14:paraId="27643C39">
            <w:pPr>
              <w:pStyle w:val="24"/>
              <w:spacing w:line="360" w:lineRule="auto"/>
              <w:ind w:left="0" w:leftChars="0" w:firstLine="420" w:firstLineChars="200"/>
              <w:rPr>
                <w:rFonts w:hint="eastAsia"/>
                <w:color w:val="auto"/>
                <w:highlight w:val="none"/>
              </w:rPr>
            </w:pPr>
            <w:r>
              <w:rPr>
                <w:rFonts w:hint="eastAsia"/>
                <w:color w:val="auto"/>
                <w:highlight w:val="none"/>
              </w:rPr>
              <w:t>成交供应商要采取适当的方法和措施，保障工程实施方案具有较强的合法性、合理性以及与设计方案的符合性；促使工程中所用的产品、材料和提供的有关服务符合承建合同及国家相关法律、法规和标准的要求。严格审查承建单位提供的实施计划，明确计划的有关细节，并通过适当的监理方法和监理工作制度，定期检查计划执行情况，促使计划与实际执行的一致性，并使计划的调整能受到严格的程序控制。在工程建设实施过程中，要求成交供应商能随时监管承建单位，促使工程实施过程能满足承建合同的要求，并且与工程设计方案、工程计划相符合。</w:t>
            </w:r>
          </w:p>
          <w:p w14:paraId="4D1E571D">
            <w:pPr>
              <w:pStyle w:val="24"/>
              <w:spacing w:line="360" w:lineRule="auto"/>
              <w:ind w:left="0" w:leftChars="0" w:firstLine="420" w:firstLineChars="200"/>
              <w:rPr>
                <w:rFonts w:hint="eastAsia"/>
                <w:color w:val="auto"/>
                <w:highlight w:val="none"/>
              </w:rPr>
            </w:pPr>
            <w:r>
              <w:rPr>
                <w:rFonts w:hint="eastAsia"/>
                <w:color w:val="auto"/>
                <w:highlight w:val="none"/>
              </w:rPr>
              <w:t>（3）工程验收阶段：</w:t>
            </w:r>
          </w:p>
          <w:p w14:paraId="4E5AD0EC">
            <w:pPr>
              <w:pStyle w:val="24"/>
              <w:spacing w:line="360" w:lineRule="auto"/>
              <w:ind w:left="0" w:leftChars="0" w:firstLine="420" w:firstLineChars="200"/>
              <w:rPr>
                <w:rFonts w:hint="eastAsia"/>
                <w:color w:val="auto"/>
                <w:highlight w:val="none"/>
              </w:rPr>
            </w:pPr>
            <w:r>
              <w:rPr>
                <w:rFonts w:hint="eastAsia"/>
                <w:color w:val="auto"/>
                <w:highlight w:val="none"/>
              </w:rPr>
              <w:t>要求成交供应商要及时处理承建单位的初验及终验申请，针对验收目标、责任双方、验收提交清单、验收标准、验收方法、验收环境等方面，明确工程测试验收方案的符合性和可行性；协助采购人组织验收机构并实施验收过程，促使工程的最终功能和性能符合承建合同、法律、法规和标准的要求；成交供应商要协助采购人推动承建单位所提供的工程各阶段形成的技术、管理文档的内容和种类符合承建合同及相关标准的要求。</w:t>
            </w:r>
          </w:p>
          <w:p w14:paraId="40BF3127">
            <w:pPr>
              <w:pStyle w:val="24"/>
              <w:spacing w:line="360" w:lineRule="auto"/>
              <w:ind w:left="0" w:leftChars="0" w:firstLine="420" w:firstLineChars="200"/>
              <w:rPr>
                <w:rFonts w:hint="eastAsia"/>
                <w:color w:val="auto"/>
                <w:highlight w:val="none"/>
              </w:rPr>
            </w:pPr>
            <w:r>
              <w:rPr>
                <w:rFonts w:hint="eastAsia"/>
                <w:color w:val="auto"/>
                <w:highlight w:val="none"/>
              </w:rPr>
              <w:t>3．监理服务任务</w:t>
            </w:r>
          </w:p>
          <w:p w14:paraId="319DCECB">
            <w:pPr>
              <w:pStyle w:val="24"/>
              <w:spacing w:line="360" w:lineRule="auto"/>
              <w:ind w:left="0" w:leftChars="0" w:firstLine="420" w:firstLineChars="200"/>
              <w:rPr>
                <w:rFonts w:hint="eastAsia"/>
                <w:color w:val="auto"/>
                <w:highlight w:val="none"/>
              </w:rPr>
            </w:pPr>
            <w:r>
              <w:rPr>
                <w:rFonts w:hint="eastAsia"/>
                <w:color w:val="auto"/>
                <w:highlight w:val="none"/>
              </w:rPr>
              <w:t>（1）方案把关和质量控制：</w:t>
            </w:r>
          </w:p>
          <w:p w14:paraId="63965FA4">
            <w:pPr>
              <w:pStyle w:val="24"/>
              <w:spacing w:line="360" w:lineRule="auto"/>
              <w:ind w:left="0" w:leftChars="0" w:firstLine="420" w:firstLineChars="200"/>
              <w:rPr>
                <w:rFonts w:hint="eastAsia"/>
                <w:color w:val="auto"/>
                <w:highlight w:val="none"/>
              </w:rPr>
            </w:pPr>
            <w:r>
              <w:rPr>
                <w:rFonts w:hint="eastAsia"/>
                <w:color w:val="auto"/>
                <w:highlight w:val="none"/>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原代码管理方案；审核和确认承建单位的测试方案和计划；审核并确定承建单位的项目进度计划和进度控制节点。</w:t>
            </w:r>
          </w:p>
          <w:p w14:paraId="28E5DC76">
            <w:pPr>
              <w:pStyle w:val="24"/>
              <w:spacing w:line="360" w:lineRule="auto"/>
              <w:ind w:left="0" w:leftChars="0" w:firstLine="420" w:firstLineChars="200"/>
              <w:rPr>
                <w:rFonts w:hint="eastAsia"/>
                <w:color w:val="auto"/>
                <w:highlight w:val="none"/>
              </w:rPr>
            </w:pPr>
            <w:r>
              <w:rPr>
                <w:rFonts w:hint="eastAsia"/>
                <w:color w:val="auto"/>
                <w:highlight w:val="none"/>
              </w:rPr>
              <w:t>系统集成监理：负责系统集成实施方案和进度计划的审核确认；系统集成过程监督、质量审核和进度控制；硬件设备、系统软件到货检验、测试和验收；网络和系统安装高度的检验和确认；系统集成其他内容质量控制。</w:t>
            </w:r>
          </w:p>
          <w:p w14:paraId="5F1E20AE">
            <w:pPr>
              <w:pStyle w:val="24"/>
              <w:spacing w:line="360" w:lineRule="auto"/>
              <w:ind w:left="0" w:leftChars="0" w:firstLine="420" w:firstLineChars="200"/>
              <w:rPr>
                <w:rFonts w:hint="eastAsia"/>
                <w:color w:val="auto"/>
                <w:highlight w:val="none"/>
              </w:rPr>
            </w:pPr>
            <w:r>
              <w:rPr>
                <w:rFonts w:hint="eastAsia"/>
                <w:color w:val="auto"/>
                <w:highlight w:val="none"/>
              </w:rPr>
              <w:t>软件开发监理：负责软件开发需求、设计方案和进度计划的审核确认；详细设计、编码测试、系统试运行过程的质量把关；软件功能与性能测试结果确认；对源代码、开发文档的移交验收；软件开发其他内容的质量控制。</w:t>
            </w:r>
          </w:p>
          <w:p w14:paraId="0FD72C97">
            <w:pPr>
              <w:pStyle w:val="24"/>
              <w:spacing w:line="360" w:lineRule="auto"/>
              <w:ind w:left="0" w:leftChars="0" w:firstLine="420" w:firstLineChars="200"/>
              <w:rPr>
                <w:rFonts w:hint="eastAsia"/>
                <w:color w:val="auto"/>
                <w:highlight w:val="none"/>
              </w:rPr>
            </w:pPr>
            <w:r>
              <w:rPr>
                <w:rFonts w:hint="eastAsia"/>
                <w:color w:val="auto"/>
                <w:highlight w:val="none"/>
              </w:rPr>
              <w:t>其他建设内容监理：负责各类运营和服务提供商的服务方案确认、价格审核和质量把关；用户单位直接采购设备和产品的调研询价、货物验收和质量把关；用户单位直接采购的技术服务的服务方案审核、技术和进度把关；用户单位直接负责的其他工作内容的质量把关；其他相关项目内容建设的咨询等。</w:t>
            </w:r>
          </w:p>
          <w:p w14:paraId="272E4CF8">
            <w:pPr>
              <w:pStyle w:val="24"/>
              <w:spacing w:line="360" w:lineRule="auto"/>
              <w:ind w:left="0" w:leftChars="0" w:firstLine="420" w:firstLineChars="200"/>
              <w:rPr>
                <w:rFonts w:hint="eastAsia"/>
                <w:color w:val="auto"/>
                <w:highlight w:val="none"/>
              </w:rPr>
            </w:pPr>
            <w:r>
              <w:rPr>
                <w:rFonts w:hint="eastAsia"/>
                <w:color w:val="auto"/>
                <w:highlight w:val="none"/>
              </w:rPr>
              <w:t>（2）进度控制：</w:t>
            </w:r>
          </w:p>
          <w:p w14:paraId="6E07FF4E">
            <w:pPr>
              <w:pStyle w:val="24"/>
              <w:spacing w:line="360" w:lineRule="auto"/>
              <w:ind w:left="0" w:leftChars="0" w:firstLine="420" w:firstLineChars="200"/>
              <w:rPr>
                <w:rFonts w:hint="eastAsia"/>
                <w:color w:val="auto"/>
                <w:highlight w:val="none"/>
              </w:rPr>
            </w:pPr>
            <w:r>
              <w:rPr>
                <w:rFonts w:hint="eastAsia"/>
                <w:color w:val="auto"/>
                <w:highlight w:val="none"/>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14:paraId="6306ECF4">
            <w:pPr>
              <w:pStyle w:val="24"/>
              <w:spacing w:line="360" w:lineRule="auto"/>
              <w:ind w:left="0" w:leftChars="0" w:firstLine="420" w:firstLineChars="200"/>
              <w:rPr>
                <w:rFonts w:hint="eastAsia"/>
                <w:color w:val="auto"/>
                <w:highlight w:val="none"/>
              </w:rPr>
            </w:pPr>
            <w:r>
              <w:rPr>
                <w:rFonts w:hint="eastAsia"/>
                <w:color w:val="auto"/>
                <w:highlight w:val="none"/>
              </w:rPr>
              <w:t>（3）投资控制：</w:t>
            </w:r>
          </w:p>
          <w:p w14:paraId="07570EF9">
            <w:pPr>
              <w:pStyle w:val="24"/>
              <w:spacing w:line="360" w:lineRule="auto"/>
              <w:ind w:left="0" w:leftChars="0" w:firstLine="420" w:firstLineChars="200"/>
              <w:rPr>
                <w:rFonts w:hint="eastAsia"/>
                <w:color w:val="auto"/>
                <w:highlight w:val="none"/>
              </w:rPr>
            </w:pPr>
            <w:r>
              <w:rPr>
                <w:rFonts w:hint="eastAsia"/>
                <w:color w:val="auto"/>
                <w:highlight w:val="none"/>
              </w:rPr>
              <w:t>通过对项目实施中的系统软件、硬件方案及设计的优化，确保投资合理，控制在合理、性价比高的范围之内；协助建设单位做好项目支付预算的现金流量表，将付款进度与工程质量与形象进度结合起来。</w:t>
            </w:r>
          </w:p>
          <w:p w14:paraId="75B095C4">
            <w:pPr>
              <w:pStyle w:val="24"/>
              <w:spacing w:line="360" w:lineRule="auto"/>
              <w:ind w:left="0" w:leftChars="0" w:firstLine="420" w:firstLineChars="200"/>
              <w:rPr>
                <w:rFonts w:hint="eastAsia"/>
                <w:color w:val="auto"/>
                <w:highlight w:val="none"/>
              </w:rPr>
            </w:pPr>
            <w:r>
              <w:rPr>
                <w:rFonts w:hint="eastAsia"/>
                <w:color w:val="auto"/>
                <w:highlight w:val="none"/>
              </w:rPr>
              <w:t>（4）合同管理：</w:t>
            </w:r>
          </w:p>
          <w:p w14:paraId="092A0AAB">
            <w:pPr>
              <w:pStyle w:val="24"/>
              <w:spacing w:line="360" w:lineRule="auto"/>
              <w:ind w:left="0" w:leftChars="0" w:firstLine="420" w:firstLineChars="200"/>
              <w:rPr>
                <w:rFonts w:hint="eastAsia"/>
                <w:color w:val="auto"/>
                <w:highlight w:val="none"/>
              </w:rPr>
            </w:pPr>
            <w:r>
              <w:rPr>
                <w:rFonts w:hint="eastAsia"/>
                <w:color w:val="auto"/>
                <w:highlight w:val="none"/>
              </w:rPr>
              <w:t>跟踪检查合同的执行情况，确保承建单位按合同履约；对合同工期的延误和延期进行审查；对合同变更、索赔等事宜进行审查；根据合同约定，审核承建单位提交的支付申请，签发付款凭证。</w:t>
            </w:r>
          </w:p>
          <w:p w14:paraId="0CFBE232">
            <w:pPr>
              <w:pStyle w:val="24"/>
              <w:spacing w:line="360" w:lineRule="auto"/>
              <w:ind w:left="0" w:leftChars="0" w:firstLine="420" w:firstLineChars="200"/>
              <w:rPr>
                <w:rFonts w:hint="eastAsia"/>
                <w:color w:val="auto"/>
                <w:highlight w:val="none"/>
              </w:rPr>
            </w:pPr>
            <w:r>
              <w:rPr>
                <w:rFonts w:hint="eastAsia"/>
                <w:color w:val="auto"/>
                <w:highlight w:val="none"/>
              </w:rPr>
              <w:t>（5）信息与文档管理：</w:t>
            </w:r>
          </w:p>
          <w:p w14:paraId="2D428F9D">
            <w:pPr>
              <w:pStyle w:val="24"/>
              <w:spacing w:line="360" w:lineRule="auto"/>
              <w:ind w:left="0" w:leftChars="0" w:firstLine="420" w:firstLineChars="200"/>
              <w:rPr>
                <w:rFonts w:hint="eastAsia"/>
                <w:color w:val="auto"/>
                <w:highlight w:val="none"/>
              </w:rPr>
            </w:pPr>
            <w:r>
              <w:rPr>
                <w:rFonts w:hint="eastAsia"/>
                <w:color w:val="auto"/>
                <w:highlight w:val="none"/>
              </w:rPr>
              <w:t>做好监理日记及工程大事记；做好合同批复等各类往来文件的批复与存档；做好项目协调会、技术专题会的会议纪要；做好项目周报、监理建议书、监理通知、各种会议纪要、各阶段的项目总结报告等；管理好实施期间的各类技术文档，并按相关要求将本项目的过程文档和存档文档装订成册。</w:t>
            </w:r>
          </w:p>
          <w:p w14:paraId="290991E9">
            <w:pPr>
              <w:pStyle w:val="24"/>
              <w:spacing w:line="360" w:lineRule="auto"/>
              <w:ind w:left="0" w:leftChars="0" w:firstLine="420" w:firstLineChars="200"/>
              <w:rPr>
                <w:rFonts w:hint="eastAsia"/>
                <w:color w:val="auto"/>
                <w:highlight w:val="none"/>
              </w:rPr>
            </w:pPr>
            <w:r>
              <w:rPr>
                <w:rFonts w:hint="eastAsia"/>
                <w:color w:val="auto"/>
                <w:highlight w:val="none"/>
              </w:rPr>
              <w:t>（6）项目安全管理：</w:t>
            </w:r>
          </w:p>
          <w:p w14:paraId="6AB76871">
            <w:pPr>
              <w:pStyle w:val="24"/>
              <w:spacing w:line="360" w:lineRule="auto"/>
              <w:ind w:left="0" w:leftChars="0" w:firstLine="420" w:firstLineChars="200"/>
              <w:rPr>
                <w:rFonts w:hint="eastAsia"/>
                <w:color w:val="auto"/>
                <w:highlight w:val="none"/>
              </w:rPr>
            </w:pPr>
            <w:r>
              <w:rPr>
                <w:rFonts w:hint="eastAsia"/>
                <w:color w:val="auto"/>
                <w:highlight w:val="none"/>
              </w:rPr>
              <w:t>负责项目建设过程中所涉及的政府机密数据和资料的保护，保证不被非授权使用；负责项目建设施工过程中安全控制，确保不出现安全事故。</w:t>
            </w:r>
          </w:p>
          <w:p w14:paraId="7441CE38">
            <w:pPr>
              <w:pStyle w:val="24"/>
              <w:spacing w:line="360" w:lineRule="auto"/>
              <w:ind w:left="0" w:leftChars="0" w:firstLine="420" w:firstLineChars="200"/>
              <w:rPr>
                <w:rFonts w:hint="eastAsia"/>
                <w:color w:val="auto"/>
                <w:highlight w:val="none"/>
              </w:rPr>
            </w:pPr>
            <w:r>
              <w:rPr>
                <w:rFonts w:hint="eastAsia"/>
                <w:color w:val="auto"/>
                <w:highlight w:val="none"/>
              </w:rPr>
              <w:t>（7）纠纷协调：</w:t>
            </w:r>
          </w:p>
          <w:p w14:paraId="4466823F">
            <w:pPr>
              <w:pStyle w:val="24"/>
              <w:spacing w:line="360" w:lineRule="auto"/>
              <w:ind w:left="0" w:leftChars="0" w:firstLine="420" w:firstLineChars="200"/>
              <w:rPr>
                <w:rFonts w:hint="eastAsia"/>
                <w:color w:val="auto"/>
                <w:highlight w:val="none"/>
              </w:rPr>
            </w:pPr>
            <w:r>
              <w:rPr>
                <w:rFonts w:hint="eastAsia"/>
                <w:color w:val="auto"/>
                <w:highlight w:val="none"/>
              </w:rPr>
              <w:t>协助协调项目各相关单位、机构、部门之间的工作关系；协助协调项目各集成单位、网络运营商、原厂商之间的工作关系；协助协调项目各建设方在项目实施过程中产生的各类纠纷和矛盾。</w:t>
            </w:r>
          </w:p>
          <w:p w14:paraId="7E4B0E6C">
            <w:pPr>
              <w:pStyle w:val="24"/>
              <w:spacing w:line="360" w:lineRule="auto"/>
              <w:ind w:left="0" w:leftChars="0" w:firstLine="420" w:firstLineChars="200"/>
              <w:rPr>
                <w:rFonts w:hint="eastAsia"/>
                <w:color w:val="auto"/>
                <w:highlight w:val="none"/>
              </w:rPr>
            </w:pPr>
            <w:r>
              <w:rPr>
                <w:rFonts w:hint="eastAsia"/>
                <w:color w:val="auto"/>
                <w:highlight w:val="none"/>
              </w:rPr>
              <w:t>（8）例会制度：</w:t>
            </w:r>
          </w:p>
          <w:p w14:paraId="5722631F">
            <w:pPr>
              <w:pStyle w:val="24"/>
              <w:spacing w:line="360" w:lineRule="auto"/>
              <w:ind w:left="0" w:leftChars="0" w:firstLine="420" w:firstLineChars="200"/>
              <w:rPr>
                <w:rFonts w:hint="eastAsia"/>
                <w:color w:val="auto"/>
                <w:highlight w:val="none"/>
              </w:rPr>
            </w:pPr>
            <w:r>
              <w:rPr>
                <w:rFonts w:hint="eastAsia"/>
                <w:color w:val="auto"/>
                <w:highlight w:val="none"/>
              </w:rPr>
              <w:t>成交供应商应该通过必要的会议制度来实施协调工作，主要包括：第一次现场会、监理交底会、周例会、监理协调会、专题讨论会、专家论证会、阶段工作总结会、问题通报会、阶段及最终验收会等。</w:t>
            </w:r>
          </w:p>
          <w:p w14:paraId="1056F63F">
            <w:pPr>
              <w:pStyle w:val="24"/>
              <w:spacing w:line="360" w:lineRule="auto"/>
              <w:ind w:left="0" w:leftChars="0" w:firstLine="420" w:firstLineChars="200"/>
              <w:rPr>
                <w:rFonts w:hint="eastAsia"/>
                <w:color w:val="auto"/>
                <w:highlight w:val="none"/>
              </w:rPr>
            </w:pPr>
            <w:r>
              <w:rPr>
                <w:rFonts w:hint="eastAsia"/>
                <w:color w:val="auto"/>
                <w:highlight w:val="none"/>
              </w:rPr>
              <w:t>4.监理工程质量和进度要求</w:t>
            </w:r>
          </w:p>
          <w:p w14:paraId="1B7530CB">
            <w:pPr>
              <w:pStyle w:val="24"/>
              <w:spacing w:line="360" w:lineRule="auto"/>
              <w:ind w:left="0" w:leftChars="0" w:firstLine="420" w:firstLineChars="200"/>
              <w:rPr>
                <w:rFonts w:hint="eastAsia"/>
                <w:color w:val="auto"/>
                <w:highlight w:val="none"/>
              </w:rPr>
            </w:pPr>
            <w:r>
              <w:rPr>
                <w:rFonts w:hint="eastAsia"/>
                <w:color w:val="auto"/>
                <w:highlight w:val="none"/>
              </w:rPr>
              <w:t>（1）监理工程质量要求：要保证在预定的监理工程进度和投资下，完成合同中所规定的监理工程项目，且满足承建合同中所规定的技术指标要求。</w:t>
            </w:r>
          </w:p>
          <w:p w14:paraId="2DDC901C">
            <w:pPr>
              <w:pStyle w:val="24"/>
              <w:spacing w:line="360" w:lineRule="auto"/>
              <w:ind w:left="0" w:leftChars="0" w:firstLine="420" w:firstLineChars="200"/>
              <w:rPr>
                <w:rFonts w:hint="eastAsia"/>
                <w:color w:val="auto"/>
                <w:highlight w:val="none"/>
              </w:rPr>
            </w:pPr>
            <w:r>
              <w:rPr>
                <w:rFonts w:hint="eastAsia"/>
                <w:color w:val="auto"/>
                <w:highlight w:val="none"/>
              </w:rPr>
              <w:t>（2）监理工程进度要求：要保证监理工程在合同规定的时间内完成，且监理工程的各个分项、各个阶段建设按照预定的计划有序地进行。</w:t>
            </w:r>
          </w:p>
          <w:p w14:paraId="23F5BB35">
            <w:pPr>
              <w:pStyle w:val="24"/>
              <w:spacing w:line="360" w:lineRule="auto"/>
              <w:ind w:left="0" w:leftChars="0" w:firstLine="420" w:firstLineChars="200"/>
              <w:rPr>
                <w:rFonts w:hint="eastAsia"/>
                <w:color w:val="auto"/>
                <w:highlight w:val="none"/>
              </w:rPr>
            </w:pPr>
            <w:r>
              <w:rPr>
                <w:rFonts w:hint="eastAsia"/>
                <w:color w:val="auto"/>
                <w:highlight w:val="none"/>
              </w:rPr>
              <w:t>（3）本监理工程的监理服务时间与建设项目标段建设周期和项目其他建设内容的建设完成时间同步。以项目全部建设内容建设完成，通过正式验收为标志。</w:t>
            </w:r>
          </w:p>
          <w:p w14:paraId="7700F6F2">
            <w:pPr>
              <w:pStyle w:val="24"/>
              <w:spacing w:line="360" w:lineRule="auto"/>
              <w:ind w:left="0" w:leftChars="0" w:firstLine="422" w:firstLineChars="200"/>
              <w:rPr>
                <w:rFonts w:hint="eastAsia"/>
                <w:b/>
                <w:bCs/>
                <w:color w:val="auto"/>
                <w:highlight w:val="none"/>
              </w:rPr>
            </w:pPr>
            <w:r>
              <w:rPr>
                <w:rFonts w:hint="eastAsia"/>
                <w:b/>
                <w:bCs/>
                <w:color w:val="auto"/>
                <w:highlight w:val="none"/>
              </w:rPr>
              <w:t>三、资产管理及项目绩效目标跟踪监控服务</w:t>
            </w:r>
          </w:p>
          <w:p w14:paraId="4DE17859">
            <w:pPr>
              <w:pStyle w:val="24"/>
              <w:spacing w:line="360" w:lineRule="auto"/>
              <w:ind w:left="0" w:leftChars="0" w:firstLine="420" w:firstLineChars="200"/>
              <w:rPr>
                <w:rFonts w:hint="eastAsia"/>
                <w:color w:val="auto"/>
                <w:highlight w:val="none"/>
              </w:rPr>
            </w:pPr>
            <w:r>
              <w:rPr>
                <w:rFonts w:hint="eastAsia"/>
                <w:color w:val="auto"/>
                <w:highlight w:val="none"/>
              </w:rPr>
              <w:t>1．配合开展项目资产管理工作，包括资产登记、录入、折旧、报废等工作。</w:t>
            </w:r>
          </w:p>
          <w:p w14:paraId="3493A62F">
            <w:pPr>
              <w:pStyle w:val="24"/>
              <w:spacing w:line="360" w:lineRule="auto"/>
              <w:ind w:left="0" w:leftChars="0" w:firstLine="420" w:firstLineChars="200"/>
              <w:rPr>
                <w:rFonts w:hint="eastAsia"/>
                <w:color w:val="auto"/>
                <w:highlight w:val="none"/>
              </w:rPr>
            </w:pPr>
            <w:r>
              <w:rPr>
                <w:rFonts w:hint="eastAsia"/>
                <w:color w:val="auto"/>
                <w:highlight w:val="none"/>
              </w:rPr>
              <w:t>2．配合采购人编制《项目支出绩效执行监控报告》、《预算项目绩效评价报告》。</w:t>
            </w:r>
          </w:p>
          <w:p w14:paraId="6AF28B3E">
            <w:pPr>
              <w:pStyle w:val="30"/>
              <w:spacing w:after="0" w:line="360" w:lineRule="auto"/>
              <w:ind w:firstLineChars="200"/>
              <w:rPr>
                <w:rFonts w:ascii="宋体" w:cs="宋体"/>
                <w:color w:val="auto"/>
                <w:szCs w:val="21"/>
                <w:highlight w:val="none"/>
              </w:rPr>
            </w:pPr>
            <w:r>
              <w:rPr>
                <w:rFonts w:hint="eastAsia"/>
                <w:color w:val="auto"/>
                <w:highlight w:val="none"/>
              </w:rPr>
              <w:t>3．配合采购人按季度上报《政府采购信息统计报表》。</w:t>
            </w:r>
          </w:p>
        </w:tc>
      </w:tr>
      <w:tr w14:paraId="2A716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6806E27C">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ECB2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4DE51A48">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9B23A5C">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本项目实行总承包报价，报价必须包含以下部分：</w:t>
            </w:r>
          </w:p>
          <w:p w14:paraId="10240A36">
            <w:pPr>
              <w:pStyle w:val="79"/>
              <w:numPr>
                <w:ilvl w:val="0"/>
                <w:numId w:val="2"/>
              </w:numPr>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服务的价格：本项目竞标报价为总额报价，即一次性报出与本项目服务所需的所有费用，含技术服务、人员、设备、耗材、差旅费、杂费和管理费及其他有关的费用。本项目至验收合格，采购人不另支付任何费用。</w:t>
            </w:r>
          </w:p>
          <w:p w14:paraId="7EBCEECB">
            <w:pPr>
              <w:pStyle w:val="15"/>
              <w:spacing w:line="360" w:lineRule="auto"/>
              <w:rPr>
                <w:rFonts w:ascii="宋体" w:cs="宋体"/>
                <w:b/>
                <w:bCs/>
                <w:color w:val="auto"/>
                <w:szCs w:val="21"/>
                <w:highlight w:val="none"/>
              </w:rPr>
            </w:pPr>
            <w:r>
              <w:rPr>
                <w:rFonts w:hint="eastAsia" w:ascii="宋体" w:hAnsi="宋体" w:cs="宋体"/>
                <w:color w:val="auto"/>
                <w:szCs w:val="21"/>
                <w:highlight w:val="none"/>
              </w:rPr>
              <w:t>（2）必要的保险费用和各项税金。</w:t>
            </w:r>
          </w:p>
        </w:tc>
      </w:tr>
      <w:tr w14:paraId="2DC8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BD0D809">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7614" w:type="dxa"/>
            <w:gridSpan w:val="4"/>
            <w:tcBorders>
              <w:top w:val="single" w:color="auto" w:sz="4" w:space="0"/>
              <w:left w:val="single" w:color="auto" w:sz="4" w:space="0"/>
              <w:bottom w:val="single" w:color="auto" w:sz="4" w:space="0"/>
            </w:tcBorders>
            <w:vAlign w:val="center"/>
          </w:tcPr>
          <w:p w14:paraId="1C93A355">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合同履行期限：自合同签订之日起至项目竣工并通过验收之日止。</w:t>
            </w:r>
          </w:p>
          <w:p w14:paraId="37D7ED41">
            <w:pPr>
              <w:pStyle w:val="15"/>
              <w:rPr>
                <w:rFonts w:ascii="宋体" w:cs="宋体"/>
                <w:b/>
                <w:bCs/>
                <w:color w:val="auto"/>
                <w:szCs w:val="21"/>
                <w:highlight w:val="none"/>
              </w:rPr>
            </w:pPr>
            <w:r>
              <w:rPr>
                <w:rFonts w:hint="eastAsia" w:ascii="宋体" w:hAnsi="宋体" w:cs="宋体"/>
                <w:color w:val="auto"/>
                <w:szCs w:val="21"/>
                <w:highlight w:val="none"/>
              </w:rPr>
              <w:t>地点：广西南宁市内采购单位指定地点。</w:t>
            </w:r>
          </w:p>
        </w:tc>
      </w:tr>
      <w:tr w14:paraId="1E9F0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bottom w:val="single" w:color="auto" w:sz="4" w:space="0"/>
              <w:right w:val="single" w:color="auto" w:sz="4" w:space="0"/>
            </w:tcBorders>
            <w:vAlign w:val="center"/>
          </w:tcPr>
          <w:p w14:paraId="55E3B446">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2BCEA914">
            <w:pPr>
              <w:spacing w:line="360" w:lineRule="auto"/>
              <w:rPr>
                <w:rFonts w:ascii="宋体" w:cs="宋体"/>
                <w:b/>
                <w:bCs/>
                <w:color w:val="auto"/>
                <w:szCs w:val="21"/>
                <w:highlight w:val="none"/>
              </w:rPr>
            </w:pPr>
            <w:r>
              <w:rPr>
                <w:rFonts w:hint="eastAsia" w:ascii="宋体" w:hAnsi="宋体" w:cs="宋体"/>
                <w:bCs/>
                <w:color w:val="auto"/>
                <w:szCs w:val="21"/>
                <w:highlight w:val="none"/>
              </w:rPr>
              <w:t>签定合同后15个工作日内采购人支付</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0%的合同款给成交供应商，</w:t>
            </w:r>
            <w:r>
              <w:rPr>
                <w:rFonts w:hint="eastAsia" w:ascii="宋体" w:hAnsi="宋体" w:cs="宋体"/>
                <w:color w:val="auto"/>
                <w:szCs w:val="21"/>
                <w:highlight w:val="none"/>
              </w:rPr>
              <w:t>通过年度验收后15个工作日内采购人支付剩余</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0%的合同款。成交供应商自收到合同款之日起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个工作日内开具发票给采购人。</w:t>
            </w:r>
          </w:p>
        </w:tc>
      </w:tr>
      <w:tr w14:paraId="771DA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5283BDFC">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售后服务及其他要求</w:t>
            </w:r>
          </w:p>
        </w:tc>
        <w:tc>
          <w:tcPr>
            <w:tcW w:w="7614" w:type="dxa"/>
            <w:gridSpan w:val="4"/>
            <w:tcBorders>
              <w:top w:val="single" w:color="auto" w:sz="4" w:space="0"/>
              <w:left w:val="single" w:color="auto" w:sz="4" w:space="0"/>
              <w:bottom w:val="single" w:color="auto" w:sz="4" w:space="0"/>
            </w:tcBorders>
            <w:vAlign w:val="top"/>
          </w:tcPr>
          <w:p w14:paraId="0969FB7D">
            <w:pPr>
              <w:pStyle w:val="79"/>
              <w:numPr>
                <w:ilvl w:val="0"/>
                <w:numId w:val="3"/>
              </w:numPr>
              <w:kinsoku w:val="0"/>
              <w:overflowPunct w:val="0"/>
              <w:spacing w:line="360" w:lineRule="auto"/>
              <w:ind w:left="107"/>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接采购人服务通知立即响应，1 小时内到达指定现场进行处理，重大问题或其它无法迅速解决的问题应在 24 小时内解决。</w:t>
            </w:r>
          </w:p>
          <w:p w14:paraId="57549A43">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2、保密要求： </w:t>
            </w:r>
          </w:p>
          <w:p w14:paraId="283081D7">
            <w:pPr>
              <w:spacing w:line="400" w:lineRule="exact"/>
              <w:rPr>
                <w:rFonts w:ascii="宋体" w:hAnsi="宋体" w:cs="宋体"/>
                <w:color w:val="auto"/>
                <w:szCs w:val="21"/>
                <w:highlight w:val="none"/>
              </w:rPr>
            </w:pPr>
            <w:r>
              <w:rPr>
                <w:rFonts w:hint="eastAsia" w:ascii="宋体" w:hAnsi="宋体" w:cs="宋体"/>
                <w:color w:val="auto"/>
                <w:szCs w:val="21"/>
                <w:highlight w:val="none"/>
              </w:rPr>
              <w:t>（1）成交供应商对被许可使用的数据及资料不拥有复制、传播、出版、翻译成外国语言等权利，不得向第三方提供采购人的任何业务数据及资料，不得以商业目的使用采购人的业务数据或以采购人的数据为基础开发生产相关的商业产品。</w:t>
            </w:r>
          </w:p>
          <w:p w14:paraId="5579C656">
            <w:pPr>
              <w:spacing w:line="400" w:lineRule="exact"/>
              <w:rPr>
                <w:rFonts w:ascii="宋体" w:hAnsi="宋体" w:cs="宋体"/>
                <w:color w:val="auto"/>
                <w:szCs w:val="21"/>
                <w:highlight w:val="none"/>
              </w:rPr>
            </w:pPr>
            <w:r>
              <w:rPr>
                <w:rFonts w:hint="eastAsia" w:ascii="宋体" w:hAnsi="宋体" w:cs="宋体"/>
                <w:color w:val="auto"/>
                <w:szCs w:val="21"/>
                <w:highlight w:val="none"/>
              </w:rPr>
              <w:t>（2）项目所涉及的所有数据信息（包括纸质的和电子的数据），不论任何格式或者任何复制品将视同原始数据，成交供应商有义务妥善保管，不得泄露。</w:t>
            </w:r>
          </w:p>
          <w:p w14:paraId="6F62BB7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成交供应商可根据需要对数据内容进行必要的修改和对数据格式进行转换，但未经采购人许可，不得将修改、转换后的数据对外发布和提供。成交供应商不得将原始数据及其电子数据或者其衍生成果在计算机互联网上发布供其它人下载使用。</w:t>
            </w:r>
          </w:p>
          <w:p w14:paraId="46A18091">
            <w:pPr>
              <w:pStyle w:val="79"/>
              <w:kinsoku w:val="0"/>
              <w:overflowPunct w:val="0"/>
              <w:spacing w:line="360" w:lineRule="auto"/>
              <w:ind w:left="107"/>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供应商拟投入本项目的总监理工程师、总监理工程师代表、专业监理工程师必须持有信息系统监理师证书，供应商必须在响应文件中提供有关专业技术资格证书复印件及供应商为拟投入人员缴纳的2025年1月-7月期间任意1个月有效社保证明（如拟投入人员属于退休人员返聘无社保证明的，需提供退休证、返聘证明；如供应商为截标时间前60日以内成立的公司或</w:t>
            </w:r>
            <w:r>
              <w:rPr>
                <w:rFonts w:hint="eastAsia" w:ascii="宋体" w:hAnsi="宋体" w:cs="宋体"/>
                <w:color w:val="auto"/>
                <w:sz w:val="21"/>
                <w:szCs w:val="21"/>
                <w:highlight w:val="none"/>
                <w:lang w:val="en-US" w:eastAsia="zh-CN"/>
              </w:rPr>
              <w:t>拟投入</w:t>
            </w:r>
            <w:r>
              <w:rPr>
                <w:rFonts w:hint="eastAsia" w:ascii="宋体" w:hAnsi="宋体" w:cs="宋体"/>
                <w:color w:val="auto"/>
                <w:sz w:val="21"/>
                <w:szCs w:val="21"/>
                <w:highlight w:val="none"/>
                <w:lang w:eastAsia="zh-CN"/>
              </w:rPr>
              <w:t>人员为近一个月（指竞标截止之日当日前一个月）内入职的新员工的，可以提供供应商与项目实施人员签订的劳动合同的原件或复印件扫描件代替社保证明。）。</w:t>
            </w:r>
          </w:p>
          <w:p w14:paraId="6D140D3D">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4、供应商必须承诺成交后对负责本项目的监理人员不得随意更换，若要换人，须经采购人同意认可。</w:t>
            </w:r>
          </w:p>
          <w:p w14:paraId="1BE912D4">
            <w:pPr>
              <w:pStyle w:val="79"/>
              <w:kinsoku w:val="0"/>
              <w:overflowPunct w:val="0"/>
              <w:spacing w:line="360" w:lineRule="auto"/>
              <w:ind w:left="107"/>
              <w:jc w:val="distribute"/>
              <w:rPr>
                <w:rFonts w:hint="eastAsia" w:ascii="宋体" w:hAnsi="宋体" w:cs="宋体"/>
                <w:color w:val="auto"/>
                <w:sz w:val="21"/>
                <w:szCs w:val="21"/>
                <w:highlight w:val="none"/>
                <w:lang w:eastAsia="zh-CN"/>
              </w:rPr>
            </w:pP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、成交供应商需在签订合同前提供人员证书原件给采购人查验，若无法提</w:t>
            </w:r>
          </w:p>
          <w:p w14:paraId="2F6C27F3">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供，采购人有权不与其签订采购合同。</w:t>
            </w:r>
          </w:p>
          <w:p w14:paraId="06B095C5">
            <w:pPr>
              <w:pStyle w:val="79"/>
              <w:kinsoku w:val="0"/>
              <w:overflowPunct w:val="0"/>
              <w:spacing w:line="360" w:lineRule="auto"/>
              <w:ind w:left="107"/>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、供应商必须承诺自行提供本项目所有服务内容，不得转让或转包。</w:t>
            </w:r>
          </w:p>
          <w:p w14:paraId="24BCDCD9">
            <w:pPr>
              <w:pStyle w:val="79"/>
              <w:kinsoku w:val="0"/>
              <w:overflowPunct w:val="0"/>
              <w:spacing w:line="360" w:lineRule="auto"/>
              <w:ind w:left="107"/>
              <w:rPr>
                <w:rFonts w:ascii="宋体" w:hAnsi="宋体" w:cs="宋体"/>
                <w:color w:val="auto"/>
                <w:sz w:val="21"/>
                <w:szCs w:val="21"/>
                <w:highlight w:val="none"/>
                <w:lang w:eastAsia="zh-CN"/>
              </w:rPr>
            </w:pPr>
            <w:r>
              <w:rPr>
                <w:rFonts w:ascii="宋体" w:hAnsi="宋体" w:cs="宋体"/>
                <w:color w:val="auto"/>
                <w:sz w:val="21"/>
                <w:szCs w:val="21"/>
                <w:highlight w:val="none"/>
                <w:lang w:eastAsia="zh-CN"/>
              </w:rPr>
              <w:t>7</w:t>
            </w:r>
            <w:r>
              <w:rPr>
                <w:rFonts w:hint="eastAsia" w:ascii="宋体" w:hAnsi="宋体" w:cs="宋体"/>
                <w:color w:val="auto"/>
                <w:sz w:val="21"/>
                <w:szCs w:val="21"/>
                <w:highlight w:val="none"/>
                <w:lang w:eastAsia="zh-CN"/>
              </w:rPr>
              <w:t>、成交供应商提供的服务不满足竞争性磋商文件要求验收不合格的，采购人有权解除合同   并追究成交供应商的法律责任。</w:t>
            </w:r>
          </w:p>
          <w:p w14:paraId="44068B50">
            <w:pPr>
              <w:spacing w:line="400" w:lineRule="exact"/>
              <w:rPr>
                <w:rFonts w:ascii="宋体" w:cs="宋体"/>
                <w:b/>
                <w:bCs/>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、本项目供应商提供的服务应符合国家标准及行业标准。</w:t>
            </w:r>
          </w:p>
        </w:tc>
      </w:tr>
    </w:tbl>
    <w:p w14:paraId="78B14FB1">
      <w:pPr>
        <w:rPr>
          <w:rFonts w:ascii="宋体" w:cs="宋体"/>
          <w:color w:val="auto"/>
          <w:highlight w:val="none"/>
        </w:rPr>
      </w:pPr>
    </w:p>
    <w:p w14:paraId="73AFFA6D">
      <w:pPr>
        <w:spacing w:line="240" w:lineRule="auto"/>
        <w:ind w:firstLine="0" w:firstLineChars="0"/>
        <w:jc w:val="left"/>
        <w:rPr>
          <w:rFonts w:hint="eastAsia" w:ascii="宋体" w:hAnsi="宋体" w:cs="宋体"/>
          <w:b/>
          <w:color w:val="auto"/>
          <w:szCs w:val="21"/>
          <w:highlight w:val="none"/>
        </w:rPr>
      </w:pPr>
    </w:p>
    <w:p w14:paraId="7F32ED1C">
      <w:pPr>
        <w:spacing w:line="240" w:lineRule="auto"/>
        <w:ind w:firstLine="0" w:firstLineChars="0"/>
        <w:jc w:val="left"/>
        <w:rPr>
          <w:rFonts w:hint="eastAsia" w:ascii="宋体" w:hAnsi="宋体" w:cs="宋体"/>
          <w:b/>
          <w:color w:val="auto"/>
          <w:szCs w:val="21"/>
          <w:highlight w:val="none"/>
        </w:rPr>
      </w:pPr>
    </w:p>
    <w:p w14:paraId="3B2D234C">
      <w:pPr>
        <w:spacing w:line="240" w:lineRule="auto"/>
        <w:ind w:firstLine="0" w:firstLineChars="0"/>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（广西农业信息化项目验收咨询及审计服务）</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8.5</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66C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88EA76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C4BB6D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35C4FB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26BA40B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5B71623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514BF1E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5B6C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1F9C2B5F">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44648D72">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广西农业信息化项目验收咨询及审计服务</w:t>
            </w:r>
          </w:p>
        </w:tc>
        <w:tc>
          <w:tcPr>
            <w:tcW w:w="1050" w:type="dxa"/>
            <w:vAlign w:val="center"/>
          </w:tcPr>
          <w:p w14:paraId="04B21379">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1项</w:t>
            </w:r>
          </w:p>
        </w:tc>
        <w:tc>
          <w:tcPr>
            <w:tcW w:w="1077" w:type="dxa"/>
            <w:vAlign w:val="center"/>
          </w:tcPr>
          <w:p w14:paraId="4903D0F5">
            <w:pPr>
              <w:tabs>
                <w:tab w:val="left" w:pos="180"/>
                <w:tab w:val="left" w:pos="1620"/>
              </w:tabs>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lang w:val="en-US" w:eastAsia="zh-CN"/>
              </w:rPr>
              <w:t>租赁和商务服务业</w:t>
            </w:r>
          </w:p>
          <w:p w14:paraId="4C3226EB">
            <w:pPr>
              <w:tabs>
                <w:tab w:val="left" w:pos="180"/>
                <w:tab w:val="left" w:pos="1620"/>
              </w:tabs>
              <w:spacing w:line="360" w:lineRule="auto"/>
              <w:jc w:val="center"/>
              <w:rPr>
                <w:rFonts w:hint="eastAsia" w:ascii="宋体" w:eastAsia="宋体" w:cs="宋体"/>
                <w:color w:val="auto"/>
                <w:szCs w:val="21"/>
                <w:highlight w:val="none"/>
                <w:lang w:eastAsia="zh-CN"/>
              </w:rPr>
            </w:pPr>
          </w:p>
        </w:tc>
        <w:tc>
          <w:tcPr>
            <w:tcW w:w="5416" w:type="dxa"/>
          </w:tcPr>
          <w:p w14:paraId="484D7E40">
            <w:pPr>
              <w:pStyle w:val="24"/>
              <w:spacing w:line="360" w:lineRule="auto"/>
              <w:ind w:left="0" w:leftChars="0" w:firstLine="422" w:firstLineChars="200"/>
              <w:rPr>
                <w:rFonts w:hint="eastAsia" w:ascii="宋体" w:hAnsi="宋体" w:cs="宋体"/>
                <w:b/>
                <w:bCs/>
                <w:color w:val="auto"/>
                <w:highlight w:val="none"/>
              </w:rPr>
            </w:pPr>
            <w:r>
              <w:rPr>
                <w:rFonts w:hint="eastAsia" w:ascii="宋体" w:hAnsi="宋体" w:cs="宋体"/>
                <w:b/>
                <w:bCs/>
                <w:color w:val="auto"/>
                <w:highlight w:val="none"/>
              </w:rPr>
              <w:t>一、验收咨询服务内容和要求</w:t>
            </w:r>
          </w:p>
          <w:p w14:paraId="5EA54369">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项目验收咨询服务包括验收组织咨询服务、档案整理、验收技术咨询服务，各项工作内容如下：</w:t>
            </w:r>
          </w:p>
          <w:p w14:paraId="1AB25A8B">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（一）验收组织咨询服务</w:t>
            </w:r>
          </w:p>
          <w:p w14:paraId="16FF7BCA">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按项目验收流程组织项目验收，主要工作如下：</w:t>
            </w:r>
          </w:p>
          <w:p w14:paraId="24DC0D8C">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（1）完成项目验收所需要的进度计划及方案。</w:t>
            </w:r>
          </w:p>
          <w:p w14:paraId="3CB28319">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（2）编制会议材料、布置会场、组织项验收与会人员参与会议。</w:t>
            </w:r>
          </w:p>
          <w:p w14:paraId="002B772C">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（3）提供验收一切事项咨询，以及验收整改意见的完善方案。</w:t>
            </w:r>
          </w:p>
          <w:p w14:paraId="1752FB01">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（4）整理验收会议纪要，包括纸质文档、录音、照片。</w:t>
            </w:r>
          </w:p>
          <w:p w14:paraId="01B9E8C3">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（5）每个单项竣工验收时从专家库抽取聘请专家，支付所产生的专家费、打印费、会议费等相关费用。</w:t>
            </w:r>
          </w:p>
          <w:p w14:paraId="63272BF6">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（二）档案整理服务</w:t>
            </w:r>
          </w:p>
          <w:p w14:paraId="4A61459F">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对项目所有文档进行收集、整理、归档，形成一套符合《国家电子政务工程建设项目档案管理暂行办法》（档发〔2008〕3号）》及《国家政务信息化项目建设管理办法》（国办发〔2019〕57号）验收要求的项目档案，包括立项类、管理类、项目类、监理类、财务类、验收类、声像类七大类。</w:t>
            </w:r>
          </w:p>
          <w:p w14:paraId="7604BD17">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（1）整理依据：《国家电子政务工程建设项目档案管理暂行办法》（档发〔2008〕3号）。</w:t>
            </w:r>
          </w:p>
          <w:p w14:paraId="10CF4746">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（2）整理范围</w:t>
            </w:r>
          </w:p>
          <w:p w14:paraId="428C25E9">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档案共分工程立项类、工程综合管理类、工程项目类、工程监理类、工程财务类、工程验收类和工程声像类等7个大类的文档。</w:t>
            </w:r>
          </w:p>
          <w:p w14:paraId="11DD7CA5">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1）立项文档：包含项目</w:t>
            </w:r>
            <w:r>
              <w:rPr>
                <w:rFonts w:hint="eastAsia" w:ascii="宋体" w:hAnsi="宋体" w:cs="宋体"/>
                <w:color w:val="auto"/>
                <w:highlight w:val="none"/>
                <w:lang w:val="en-US" w:eastAsia="zh-CN"/>
              </w:rPr>
              <w:t>建设方案</w:t>
            </w:r>
            <w:r>
              <w:rPr>
                <w:rFonts w:hint="eastAsia" w:ascii="宋体" w:hAnsi="宋体" w:cs="宋体"/>
                <w:color w:val="auto"/>
                <w:highlight w:val="none"/>
              </w:rPr>
              <w:t>等。</w:t>
            </w:r>
          </w:p>
          <w:p w14:paraId="2EBED418">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2）管理类文档：包含建设指导性文件、建设情况通报、工程招投标文件、工程合同文件等。</w:t>
            </w:r>
          </w:p>
          <w:p w14:paraId="5921D199">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3）工程项目类：包含各单项工程竣工资料。</w:t>
            </w:r>
          </w:p>
          <w:p w14:paraId="2E4B04EE">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4）工程监理类：包含监督管理服务全程管理文档。</w:t>
            </w:r>
          </w:p>
          <w:p w14:paraId="59C31EED">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5）工程财务类：包含工程资金批复、工程合同清单、工程采购情况、工程概算执行情况、工程信息资产、工程决算报告、工程审计报告等。</w:t>
            </w:r>
          </w:p>
          <w:p w14:paraId="551B3C66">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6）工程验收类：验收文档包含初步验收文件、竣工验收文件等。</w:t>
            </w:r>
          </w:p>
          <w:p w14:paraId="528BC41C">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7）工程声像类：包含单项工程电子档竣工资料、项目实施过程照片等。</w:t>
            </w:r>
          </w:p>
          <w:p w14:paraId="582F1452">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（三）验收技术咨询服务</w:t>
            </w:r>
          </w:p>
          <w:p w14:paraId="4BCE3A7D">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（1）督促监理、承建单位检查项目建设是否遵循现行国家标准规范；</w:t>
            </w:r>
          </w:p>
          <w:p w14:paraId="485AC334">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（2）检查监理、承建单位提供的单项验收文档是否包含设计、施工过程记录和网络拓扑图等标准文档，核查此类文件是否完整、准确；</w:t>
            </w:r>
          </w:p>
          <w:p w14:paraId="514D01DE">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（3）督促监理或第三方检测机构出具检查成果；</w:t>
            </w:r>
          </w:p>
          <w:p w14:paraId="053DC9D6">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（4）编制项目竣工决算报表及《档案报告》。</w:t>
            </w:r>
          </w:p>
          <w:p w14:paraId="503FD66B">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三、工程审计服务内容和要求</w:t>
            </w:r>
          </w:p>
          <w:p w14:paraId="7728CD19">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对建设单位提供的资料进行集中审计，包括建设项目财务收支审计和工程价款结算审计：</w:t>
            </w:r>
          </w:p>
          <w:p w14:paraId="5C7D9D06">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1、建设项目竣工决算报表和财务决算说明书。</w:t>
            </w:r>
          </w:p>
          <w:p w14:paraId="6257C2CB">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2、建设项目投资及概算执行情况、资金到位和项目实际完成总投资情况。</w:t>
            </w:r>
          </w:p>
          <w:p w14:paraId="099EF142">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3、工程价款结算、实际完成投资的真实性、合法性以及工程造价控制的有效性。</w:t>
            </w:r>
          </w:p>
          <w:p w14:paraId="51C5ABF5">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4、建设项目的设备安装工程费用核算、设备及工具、器具购置费用核算、工程建设其他费用的列支内容和分摊、其他投资列支的真实性、完整性。</w:t>
            </w:r>
          </w:p>
          <w:p w14:paraId="2A946315">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5、建设项目交付使用的固定资产、流动资金、铺底资金、无形资产、递延资产的真实性、完整性。</w:t>
            </w:r>
          </w:p>
          <w:p w14:paraId="539B50DE">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6、建设项目的结余资金及尾工工程的真实性。</w:t>
            </w:r>
          </w:p>
          <w:p w14:paraId="4F66F6A5">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7、建设项目应交税费的核算、上缴情况。</w:t>
            </w:r>
          </w:p>
          <w:p w14:paraId="7A79AD8F">
            <w:pPr>
              <w:pStyle w:val="24"/>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highlight w:val="none"/>
              </w:rPr>
              <w:t>8、从建设工期、工程造价等方面分析测算，评价建设项目的经济效益、社会效益和环境效益。</w:t>
            </w:r>
          </w:p>
          <w:p w14:paraId="2C1A9D7C">
            <w:pPr>
              <w:ind w:firstLine="420"/>
              <w:jc w:val="left"/>
              <w:rPr>
                <w:rFonts w:ascii="宋体" w:cs="宋体"/>
                <w:color w:val="auto"/>
                <w:szCs w:val="21"/>
                <w:highlight w:val="none"/>
              </w:rPr>
            </w:pPr>
            <w:r>
              <w:rPr>
                <w:rFonts w:hint="eastAsia" w:ascii="宋体" w:hAnsi="宋体" w:cs="宋体"/>
                <w:color w:val="auto"/>
                <w:highlight w:val="none"/>
              </w:rPr>
              <w:t>9、法律、法规、规章规定需要审计的其他事项。</w:t>
            </w:r>
          </w:p>
        </w:tc>
      </w:tr>
      <w:tr w14:paraId="6F25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57C5EE85">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1913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7486E78">
            <w:pPr>
              <w:spacing w:line="360" w:lineRule="auto"/>
              <w:jc w:val="center"/>
              <w:rPr>
                <w:rFonts w:ascii="宋体" w:cs="宋体"/>
                <w:color w:val="auto"/>
                <w:kern w:val="0"/>
                <w:sz w:val="28"/>
                <w:szCs w:val="28"/>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top"/>
          </w:tcPr>
          <w:p w14:paraId="73FE11F4">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本项目实行总承包报价，报价必须包含以下部分：</w:t>
            </w:r>
          </w:p>
          <w:p w14:paraId="1544DCAD">
            <w:pPr>
              <w:pStyle w:val="79"/>
              <w:kinsoku w:val="0"/>
              <w:overflowPunct w:val="0"/>
              <w:spacing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服务的价格：本项目投标报价为总额报价，即一次性报出本项目的验收咨询及审计服务所需的所有费用，含技术服务、派出工作人员的交通费、住宿费、伙食补助费及其他与验收咨询及审计服务有关的费用。本项目至验收合格，采购人不另支付任何费用。</w:t>
            </w:r>
          </w:p>
          <w:p w14:paraId="3446109C">
            <w:pPr>
              <w:pStyle w:val="79"/>
              <w:kinsoku w:val="0"/>
              <w:overflowPunct w:val="0"/>
              <w:spacing w:line="360" w:lineRule="auto"/>
              <w:rPr>
                <w:rFonts w:ascii="宋体" w:hAnsi="宋体" w:cs="宋体"/>
                <w:color w:val="auto"/>
                <w:sz w:val="21"/>
                <w:szCs w:val="21"/>
                <w:highlight w:val="none"/>
                <w:lang w:eastAsia="zh-CN"/>
              </w:rPr>
            </w:pP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2</w:t>
            </w:r>
            <w:r>
              <w:rPr>
                <w:rFonts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t>每个单项竣工验收产生的专家费、打印费、会议费等相关费用，其中专家费按广西相关专家费用标准支付。</w:t>
            </w:r>
          </w:p>
          <w:p w14:paraId="452701F1">
            <w:pPr>
              <w:pStyle w:val="79"/>
              <w:kinsoku w:val="0"/>
              <w:overflowPunct w:val="0"/>
              <w:spacing w:line="360" w:lineRule="auto"/>
              <w:rPr>
                <w:rFonts w:ascii="宋体" w:cs="宋体"/>
                <w:color w:val="auto"/>
                <w:kern w:val="0"/>
                <w:sz w:val="28"/>
                <w:szCs w:val="28"/>
                <w:highlight w:val="none"/>
              </w:rPr>
            </w:pPr>
            <w:r>
              <w:rPr>
                <w:rFonts w:hint="eastAsia" w:ascii="宋体" w:hAnsi="宋体" w:cs="宋体"/>
                <w:color w:val="auto"/>
                <w:sz w:val="21"/>
                <w:szCs w:val="21"/>
                <w:highlight w:val="none"/>
                <w:lang w:eastAsia="zh-CN"/>
              </w:rPr>
              <w:t>（3）必要的保险费用和各项税金。</w:t>
            </w:r>
          </w:p>
        </w:tc>
      </w:tr>
      <w:tr w14:paraId="7D33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9E19DD9">
            <w:pPr>
              <w:spacing w:line="360" w:lineRule="auto"/>
              <w:jc w:val="center"/>
              <w:rPr>
                <w:rFonts w:asci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7614" w:type="dxa"/>
            <w:gridSpan w:val="4"/>
            <w:tcBorders>
              <w:top w:val="single" w:color="auto" w:sz="4" w:space="0"/>
              <w:left w:val="single" w:color="auto" w:sz="4" w:space="0"/>
              <w:bottom w:val="single" w:color="auto" w:sz="4" w:space="0"/>
            </w:tcBorders>
            <w:vAlign w:val="center"/>
          </w:tcPr>
          <w:p w14:paraId="5C4C08E5">
            <w:pPr>
              <w:pStyle w:val="15"/>
              <w:rPr>
                <w:rFonts w:ascii="宋体" w:hAnsi="宋体" w:cs="宋体"/>
                <w:color w:val="auto"/>
                <w:szCs w:val="21"/>
                <w:highlight w:val="none"/>
              </w:rPr>
            </w:pPr>
            <w:r>
              <w:rPr>
                <w:rFonts w:hint="eastAsia" w:ascii="宋体" w:hAnsi="宋体" w:cs="宋体"/>
                <w:color w:val="auto"/>
                <w:szCs w:val="21"/>
                <w:highlight w:val="none"/>
              </w:rPr>
              <w:t>合同履行期限：自合同签订之日起至项目竣工并通过验收30日止。</w:t>
            </w:r>
          </w:p>
          <w:p w14:paraId="70C73EBB">
            <w:pPr>
              <w:pStyle w:val="15"/>
              <w:rPr>
                <w:rFonts w:ascii="宋体" w:cs="宋体"/>
                <w:color w:val="auto"/>
                <w:szCs w:val="21"/>
                <w:highlight w:val="none"/>
              </w:rPr>
            </w:pPr>
            <w:r>
              <w:rPr>
                <w:rFonts w:hint="eastAsia" w:ascii="宋体" w:hAnsi="宋体" w:cs="宋体"/>
                <w:color w:val="auto"/>
                <w:szCs w:val="21"/>
                <w:highlight w:val="none"/>
              </w:rPr>
              <w:t>地点：广西南宁市内采购单位指定地点。</w:t>
            </w:r>
          </w:p>
        </w:tc>
      </w:tr>
      <w:tr w14:paraId="2E8BB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BB91223">
            <w:pPr>
              <w:spacing w:line="360" w:lineRule="auto"/>
              <w:jc w:val="center"/>
              <w:rPr>
                <w:rFonts w:asci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773D1BF3">
            <w:pPr>
              <w:spacing w:line="360" w:lineRule="auto"/>
              <w:rPr>
                <w:color w:val="auto"/>
                <w:highlight w:val="none"/>
              </w:rPr>
            </w:pPr>
            <w:r>
              <w:rPr>
                <w:rFonts w:hint="eastAsia" w:ascii="宋体" w:hAnsi="宋体" w:cs="宋体"/>
                <w:bCs/>
                <w:color w:val="auto"/>
                <w:szCs w:val="21"/>
                <w:highlight w:val="none"/>
              </w:rPr>
              <w:t>签定合同后15个工作日内采购人支付</w:t>
            </w:r>
            <w:r>
              <w:rPr>
                <w:rFonts w:ascii="宋体" w:hAnsi="宋体" w:cs="宋体"/>
                <w:bCs/>
                <w:color w:val="auto"/>
                <w:szCs w:val="21"/>
                <w:highlight w:val="none"/>
              </w:rPr>
              <w:t>6</w:t>
            </w:r>
            <w:r>
              <w:rPr>
                <w:rFonts w:hint="eastAsia" w:ascii="宋体" w:hAnsi="宋体" w:cs="宋体"/>
                <w:bCs/>
                <w:color w:val="auto"/>
                <w:szCs w:val="21"/>
                <w:highlight w:val="none"/>
              </w:rPr>
              <w:t>0%的合同款给成交供应商，</w:t>
            </w:r>
            <w:r>
              <w:rPr>
                <w:rFonts w:hint="eastAsia" w:ascii="宋体" w:hAnsi="宋体" w:cs="宋体"/>
                <w:color w:val="auto"/>
                <w:szCs w:val="21"/>
                <w:highlight w:val="none"/>
              </w:rPr>
              <w:t>通过年度验收后15个工作日内采购人支付剩余</w:t>
            </w:r>
            <w:r>
              <w:rPr>
                <w:rFonts w:ascii="宋体" w:hAnsi="宋体" w:cs="宋体"/>
                <w:color w:val="auto"/>
                <w:szCs w:val="21"/>
                <w:highlight w:val="none"/>
              </w:rPr>
              <w:t>4</w:t>
            </w:r>
            <w:r>
              <w:rPr>
                <w:rFonts w:hint="eastAsia" w:ascii="宋体" w:hAnsi="宋体" w:cs="宋体"/>
                <w:color w:val="auto"/>
                <w:szCs w:val="21"/>
                <w:highlight w:val="none"/>
              </w:rPr>
              <w:t>0%的合同款。成交供应商自收到合同款之日起15个工作日内开具发票给采购人。</w:t>
            </w:r>
          </w:p>
        </w:tc>
      </w:tr>
      <w:tr w14:paraId="41921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0DB339B6">
            <w:pPr>
              <w:pStyle w:val="79"/>
              <w:kinsoku w:val="0"/>
              <w:overflowPunct w:val="0"/>
              <w:spacing w:line="360" w:lineRule="auto"/>
              <w:ind w:left="107" w:right="-15"/>
              <w:jc w:val="center"/>
              <w:rPr>
                <w:rFonts w:ascii="宋体" w:hAnsi="宋体" w:cs="宋体"/>
                <w:color w:val="auto"/>
                <w:spacing w:val="-1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pacing w:val="-10"/>
                <w:sz w:val="21"/>
                <w:szCs w:val="21"/>
                <w:highlight w:val="none"/>
              </w:rPr>
              <w:t>售后服务</w:t>
            </w:r>
          </w:p>
          <w:p w14:paraId="15D54FA8">
            <w:pPr>
              <w:pStyle w:val="79"/>
              <w:kinsoku w:val="0"/>
              <w:overflowPunct w:val="0"/>
              <w:spacing w:line="360" w:lineRule="auto"/>
              <w:ind w:left="107" w:leftChars="0" w:right="-15" w:rightChars="0"/>
              <w:jc w:val="center"/>
              <w:rPr>
                <w:rFonts w:ascii="宋体" w:cs="宋体"/>
                <w:color w:val="auto"/>
                <w:szCs w:val="21"/>
                <w:highlight w:val="none"/>
              </w:rPr>
            </w:pPr>
            <w:r>
              <w:rPr>
                <w:rFonts w:hint="eastAsia" w:ascii="宋体" w:hAnsi="宋体" w:cs="宋体"/>
                <w:color w:val="auto"/>
                <w:spacing w:val="-10"/>
                <w:sz w:val="21"/>
                <w:szCs w:val="21"/>
                <w:highlight w:val="none"/>
              </w:rPr>
              <w:t>要求</w:t>
            </w:r>
          </w:p>
        </w:tc>
        <w:tc>
          <w:tcPr>
            <w:tcW w:w="7614" w:type="dxa"/>
            <w:gridSpan w:val="4"/>
            <w:tcBorders>
              <w:top w:val="single" w:color="auto" w:sz="4" w:space="0"/>
              <w:left w:val="single" w:color="auto" w:sz="4" w:space="0"/>
              <w:bottom w:val="single" w:color="auto" w:sz="4" w:space="0"/>
            </w:tcBorders>
            <w:vAlign w:val="top"/>
          </w:tcPr>
          <w:p w14:paraId="24B27B16">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1、自提交服务成果完毕并验收合格之日起计不少于1年。</w:t>
            </w:r>
          </w:p>
          <w:p w14:paraId="6541E608">
            <w:pPr>
              <w:pStyle w:val="79"/>
              <w:kinsoku w:val="0"/>
              <w:overflowPunct w:val="0"/>
              <w:spacing w:line="360" w:lineRule="auto"/>
              <w:ind w:left="107" w:leftChars="0"/>
              <w:rPr>
                <w:rFonts w:ascii="宋体" w:cs="宋体"/>
                <w:bCs/>
                <w:color w:val="auto"/>
                <w:szCs w:val="22"/>
                <w:highlight w:val="none"/>
              </w:rPr>
            </w:pPr>
            <w:r>
              <w:rPr>
                <w:rFonts w:hint="eastAsia" w:ascii="宋体" w:hAnsi="宋体" w:cs="宋体"/>
                <w:color w:val="auto"/>
                <w:sz w:val="21"/>
                <w:szCs w:val="21"/>
                <w:highlight w:val="none"/>
                <w:lang w:eastAsia="zh-CN"/>
              </w:rPr>
              <w:t>2、处理问题响应时间：接采购人服务通知立即响应，1小时内到达指定现场进行处理，重大问题或其它无法迅速解决的问题应在24小时内解决。</w:t>
            </w:r>
          </w:p>
        </w:tc>
      </w:tr>
      <w:tr w14:paraId="79738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3FEC4E8B">
            <w:pPr>
              <w:pStyle w:val="79"/>
              <w:kinsoku w:val="0"/>
              <w:overflowPunct w:val="0"/>
              <w:spacing w:line="360" w:lineRule="auto"/>
              <w:ind w:left="107" w:leftChars="0" w:right="-15" w:rightChars="0"/>
              <w:jc w:val="center"/>
              <w:rPr>
                <w:rFonts w:ascii="宋体" w:hAnsi="宋体" w:cs="宋体"/>
                <w:bCs/>
                <w:color w:val="auto"/>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pacing w:val="-10"/>
                <w:sz w:val="21"/>
                <w:szCs w:val="21"/>
                <w:highlight w:val="none"/>
                <w:lang w:eastAsia="zh-CN"/>
              </w:rPr>
              <w:t>其他</w:t>
            </w:r>
            <w:r>
              <w:rPr>
                <w:rFonts w:hint="eastAsia" w:ascii="宋体" w:hAnsi="宋体" w:cs="宋体"/>
                <w:color w:val="auto"/>
                <w:spacing w:val="-10"/>
                <w:sz w:val="21"/>
                <w:szCs w:val="21"/>
                <w:highlight w:val="none"/>
              </w:rPr>
              <w:t>要求</w:t>
            </w:r>
          </w:p>
        </w:tc>
        <w:tc>
          <w:tcPr>
            <w:tcW w:w="7614" w:type="dxa"/>
            <w:gridSpan w:val="4"/>
            <w:tcBorders>
              <w:top w:val="single" w:color="auto" w:sz="4" w:space="0"/>
              <w:left w:val="single" w:color="auto" w:sz="4" w:space="0"/>
              <w:bottom w:val="single" w:color="auto" w:sz="4" w:space="0"/>
            </w:tcBorders>
            <w:vAlign w:val="top"/>
          </w:tcPr>
          <w:p w14:paraId="34FAB252">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1、专业技术人员要求</w:t>
            </w:r>
          </w:p>
          <w:p w14:paraId="5F5E7353">
            <w:pPr>
              <w:pStyle w:val="79"/>
              <w:numPr>
                <w:ilvl w:val="0"/>
                <w:numId w:val="4"/>
              </w:numPr>
              <w:kinsoku w:val="0"/>
              <w:overflowPunct w:val="0"/>
              <w:spacing w:line="360" w:lineRule="auto"/>
              <w:ind w:left="107"/>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供应商必须拟派本项目的验收咨询服务项目负责人1名。</w:t>
            </w:r>
          </w:p>
          <w:p w14:paraId="0086517E">
            <w:pPr>
              <w:pStyle w:val="79"/>
              <w:kinsoku w:val="0"/>
              <w:overflowPunct w:val="0"/>
              <w:spacing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（2）供应商必须拟派本项目的审计负责人1名，审计负责人必须持有有效的注册会计师证书。</w:t>
            </w:r>
          </w:p>
          <w:p w14:paraId="7BF9FA2B">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拟派项目组专业技术人员必须为正式员工，且必须在响应文件中提供有关专业技术资格证书复印件及供应商为拟投入人员缴纳的2025年1月-7月期间任意1个月有效社保证明（如拟投入人员属于退休人员返聘无社保证明的，需提供退休证、返聘证明；如供应商为截标时间前60日以内成立的公司或</w:t>
            </w:r>
            <w:r>
              <w:rPr>
                <w:rFonts w:hint="eastAsia" w:ascii="宋体" w:hAnsi="宋体" w:cs="宋体"/>
                <w:color w:val="auto"/>
                <w:sz w:val="21"/>
                <w:szCs w:val="21"/>
                <w:highlight w:val="none"/>
                <w:lang w:val="en-US" w:eastAsia="zh-CN"/>
              </w:rPr>
              <w:t>拟投入</w:t>
            </w:r>
            <w:r>
              <w:rPr>
                <w:rFonts w:hint="eastAsia" w:ascii="宋体" w:hAnsi="宋体" w:cs="宋体"/>
                <w:color w:val="auto"/>
                <w:sz w:val="21"/>
                <w:szCs w:val="21"/>
                <w:highlight w:val="none"/>
                <w:lang w:eastAsia="zh-CN"/>
              </w:rPr>
              <w:t>人员为近一个月（指竞标截止之日当日前一个月）内入职的新员工的，可以提供供应商与项目实施人员签订的劳动合同的原件或复印件扫描件代替社保证明。）。</w:t>
            </w:r>
          </w:p>
          <w:p w14:paraId="34CA4BF3">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（4）供应商必须承诺成交后对负责本项目的咨询、审计人员不得随意更换，若要换人，须经采购人同意认可。</w:t>
            </w:r>
          </w:p>
          <w:p w14:paraId="507D2556">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2、供应商必须承诺自行提供本项目所有服务内容，不得转让或转包。</w:t>
            </w:r>
          </w:p>
          <w:p w14:paraId="09DF57CE">
            <w:pPr>
              <w:pStyle w:val="79"/>
              <w:kinsoku w:val="0"/>
              <w:overflowPunct w:val="0"/>
              <w:spacing w:line="360" w:lineRule="auto"/>
              <w:ind w:left="107"/>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3、供应商提供的服务不满足竞争性磋商文件要求验收不合格的，采购人有权解除合同并追究成交供应商的法律责任。</w:t>
            </w:r>
          </w:p>
          <w:p w14:paraId="4C4E052A">
            <w:pPr>
              <w:pStyle w:val="79"/>
              <w:kinsoku w:val="0"/>
              <w:overflowPunct w:val="0"/>
              <w:spacing w:line="360" w:lineRule="auto"/>
              <w:ind w:left="107" w:leftChars="0"/>
              <w:rPr>
                <w:color w:val="auto"/>
                <w:highlight w:val="none"/>
              </w:rPr>
            </w:pPr>
            <w:r>
              <w:rPr>
                <w:rFonts w:hint="eastAsia" w:ascii="宋体" w:hAnsi="宋体" w:cs="宋体"/>
                <w:color w:val="auto"/>
                <w:sz w:val="21"/>
                <w:szCs w:val="21"/>
                <w:highlight w:val="none"/>
                <w:lang w:eastAsia="zh-CN"/>
              </w:rPr>
              <w:t>4、供应商提供的服务应符合国家标准及行业标准。</w:t>
            </w:r>
          </w:p>
        </w:tc>
      </w:tr>
    </w:tbl>
    <w:p w14:paraId="46E09D9E">
      <w:pPr>
        <w:spacing w:line="360" w:lineRule="auto"/>
        <w:ind w:firstLine="310" w:firstLineChars="147"/>
        <w:jc w:val="left"/>
        <w:rPr>
          <w:rFonts w:hint="eastAsia" w:ascii="宋体" w:hAnsi="宋体" w:cs="宋体"/>
          <w:b/>
          <w:color w:val="auto"/>
          <w:szCs w:val="21"/>
          <w:highlight w:val="none"/>
        </w:rPr>
      </w:pPr>
    </w:p>
    <w:p w14:paraId="036DBD10">
      <w:pPr>
        <w:spacing w:line="360" w:lineRule="auto"/>
        <w:ind w:firstLine="310" w:firstLineChars="147"/>
        <w:jc w:val="left"/>
        <w:rPr>
          <w:rFonts w:hint="eastAsia" w:ascii="宋体" w:hAnsi="宋体" w:cs="宋体"/>
          <w:b/>
          <w:color w:val="auto"/>
          <w:szCs w:val="21"/>
          <w:highlight w:val="none"/>
        </w:rPr>
      </w:pPr>
    </w:p>
    <w:p w14:paraId="61EE54FC">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广西农业农村大数据平台运维服务</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hint="eastAsia" w:ascii="宋体" w:hAnsi="宋体"/>
          <w:b/>
          <w:bCs/>
          <w:color w:val="auto"/>
          <w:szCs w:val="21"/>
          <w:highlight w:val="none"/>
          <w:u w:val="single"/>
          <w:lang w:val="en-US" w:eastAsia="zh-CN"/>
        </w:rPr>
        <w:t>12.00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D100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21F93BF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07E4B6A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458B12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95A04C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439CA8A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1D1008B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1DF7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E8B4E0A">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4EBDA428">
            <w:pPr>
              <w:widowControl/>
              <w:spacing w:line="360" w:lineRule="auto"/>
              <w:jc w:val="center"/>
              <w:rPr>
                <w:rFonts w:hint="eastAsia" w:ascii="宋体" w:eastAsia="宋体" w:cs="宋体"/>
                <w:color w:val="auto"/>
                <w:szCs w:val="21"/>
                <w:highlight w:val="none"/>
                <w:lang w:eastAsia="zh-CN"/>
              </w:rPr>
            </w:pPr>
            <w:r>
              <w:rPr>
                <w:rFonts w:hint="eastAsia" w:ascii="宋体" w:cs="宋体"/>
                <w:color w:val="auto"/>
                <w:szCs w:val="21"/>
                <w:highlight w:val="none"/>
                <w:lang w:eastAsia="zh-CN"/>
              </w:rPr>
              <w:t>广西农业农村大数据平台运维服务</w:t>
            </w:r>
          </w:p>
        </w:tc>
        <w:tc>
          <w:tcPr>
            <w:tcW w:w="1050" w:type="dxa"/>
            <w:vAlign w:val="center"/>
          </w:tcPr>
          <w:p w14:paraId="2E4BAA8C">
            <w:pPr>
              <w:tabs>
                <w:tab w:val="left" w:pos="180"/>
                <w:tab w:val="left" w:pos="1620"/>
              </w:tabs>
              <w:jc w:val="center"/>
              <w:rPr>
                <w:rFonts w:ascii="宋体" w:cs="宋体"/>
                <w:color w:val="auto"/>
                <w:szCs w:val="21"/>
                <w:highlight w:val="none"/>
              </w:rPr>
            </w:pPr>
            <w:r>
              <w:rPr>
                <w:rFonts w:hint="eastAsia" w:ascii="宋体" w:hAnsi="宋体" w:cs="宋体"/>
                <w:color w:val="auto"/>
                <w:szCs w:val="21"/>
                <w:highlight w:val="none"/>
              </w:rPr>
              <w:t>1项</w:t>
            </w:r>
          </w:p>
        </w:tc>
        <w:tc>
          <w:tcPr>
            <w:tcW w:w="1077" w:type="dxa"/>
            <w:vAlign w:val="center"/>
          </w:tcPr>
          <w:p w14:paraId="68EC0578">
            <w:pPr>
              <w:tabs>
                <w:tab w:val="left" w:pos="180"/>
                <w:tab w:val="left" w:pos="1620"/>
              </w:tabs>
              <w:ind w:firstLine="0" w:firstLineChars="0"/>
              <w:jc w:val="center"/>
              <w:rPr>
                <w:rFonts w:ascii="宋体" w:cs="宋体"/>
                <w:color w:val="auto"/>
                <w:szCs w:val="21"/>
                <w:highlight w:val="none"/>
              </w:rPr>
            </w:pPr>
            <w:r>
              <w:rPr>
                <w:rFonts w:hint="eastAsia" w:ascii="宋体" w:hAnsi="宋体" w:cs="宋体"/>
                <w:color w:val="auto"/>
                <w:szCs w:val="21"/>
                <w:highlight w:val="none"/>
              </w:rPr>
              <w:t>软件和信息技术服务业</w:t>
            </w:r>
          </w:p>
        </w:tc>
        <w:tc>
          <w:tcPr>
            <w:tcW w:w="5416" w:type="dxa"/>
          </w:tcPr>
          <w:p w14:paraId="58EF73ED">
            <w:pPr>
              <w:numPr>
                <w:ilvl w:val="0"/>
                <w:numId w:val="0"/>
              </w:numPr>
              <w:spacing w:line="360" w:lineRule="auto"/>
              <w:ind w:firstLine="420" w:firstLineChars="0"/>
              <w:jc w:val="left"/>
              <w:rPr>
                <w:rFonts w:hint="eastAsia"/>
                <w:color w:val="auto"/>
                <w:sz w:val="21"/>
                <w:szCs w:val="21"/>
                <w:highlight w:val="none"/>
              </w:rPr>
            </w:pPr>
            <w:r>
              <w:rPr>
                <w:rFonts w:hint="eastAsia" w:ascii="Times New Roman" w:hAnsi="Times New Roman" w:eastAsia="宋体" w:cs="Times New Roman"/>
                <w:b/>
                <w:bCs/>
                <w:color w:val="auto"/>
                <w:kern w:val="2"/>
                <w:sz w:val="21"/>
                <w:szCs w:val="21"/>
                <w:highlight w:val="none"/>
                <w:lang w:val="en-US" w:eastAsia="zh-CN" w:bidi="ar-SA"/>
              </w:rPr>
              <w:t>1</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运维人员安排</w:t>
            </w:r>
            <w:r>
              <w:rPr>
                <w:rFonts w:hint="eastAsia"/>
                <w:b/>
                <w:bCs/>
                <w:color w:val="auto"/>
                <w:sz w:val="21"/>
                <w:szCs w:val="21"/>
                <w:highlight w:val="none"/>
                <w:lang w:eastAsia="zh-CN"/>
              </w:rPr>
              <w:t>：</w:t>
            </w:r>
            <w:r>
              <w:rPr>
                <w:rFonts w:hint="eastAsia"/>
                <w:color w:val="auto"/>
                <w:sz w:val="21"/>
                <w:szCs w:val="21"/>
                <w:highlight w:val="none"/>
              </w:rPr>
              <w:t>安排专职运维人员对系统日常运行进行维护，包括服务器运行维护、系统应用运维、数据维护、代码维护、机构和人员变动等维护。</w:t>
            </w:r>
          </w:p>
          <w:p w14:paraId="538D57AB">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2</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系统运行保障服务</w:t>
            </w:r>
            <w:r>
              <w:rPr>
                <w:rFonts w:hint="eastAsia"/>
                <w:b/>
                <w:bCs/>
                <w:color w:val="auto"/>
                <w:sz w:val="21"/>
                <w:szCs w:val="21"/>
                <w:highlight w:val="none"/>
                <w:lang w:eastAsia="zh-CN"/>
              </w:rPr>
              <w:t>：</w:t>
            </w:r>
            <w:r>
              <w:rPr>
                <w:rFonts w:hint="eastAsia"/>
                <w:color w:val="auto"/>
                <w:sz w:val="21"/>
                <w:szCs w:val="21"/>
                <w:highlight w:val="none"/>
              </w:rPr>
              <w:t>对网络设备、服务器设备、操作系统、应用系统运行状况进行监控和管理，保证系统正常使用。平台包含30台服务器、31个应用程序微服务、3个数据库（数据湖、数据仓库、业务数据库）。运行状况监控和管理主要是对服务器软硬件及网络环境进行定期、不定期地监控与维护管理，包括：服务器操作系统运行状态监控（CPU负载率、内存占用率等）、服务器日志监控（主要包括操作系统日志、应用程序日志、安全日志）、相关服务运行状态监控（数据库服务、中间件服务等）、进程监控、漏洞修复管理、网络状态监控、硬件状态监控、信息系统软硬件运行故障处理记录、数据库运行状态。</w:t>
            </w:r>
          </w:p>
          <w:p w14:paraId="4B58A78B">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lang w:val="en-US" w:eastAsia="zh-CN"/>
              </w:rPr>
              <w:t>系统故障处理：</w:t>
            </w:r>
            <w:r>
              <w:rPr>
                <w:rFonts w:hint="eastAsia"/>
                <w:color w:val="auto"/>
                <w:sz w:val="21"/>
                <w:szCs w:val="21"/>
                <w:highlight w:val="none"/>
              </w:rPr>
              <w:t>对于系统运行过程的异常进行原因分析和故障排除，以恢复业务优先，及时对存在的缺陷进行处理。平台包含数据汇聚平台、大数据处理平台、大数据服务平台、大数据应用平台、数据治理平台、系统运维管理平台，涉及功能点3751个。</w:t>
            </w:r>
          </w:p>
          <w:p w14:paraId="4E7B3DAF">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4</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软件日常技术支持服务</w:t>
            </w:r>
            <w:r>
              <w:rPr>
                <w:rFonts w:hint="eastAsia"/>
                <w:b/>
                <w:bCs/>
                <w:color w:val="auto"/>
                <w:sz w:val="21"/>
                <w:szCs w:val="21"/>
                <w:highlight w:val="none"/>
                <w:lang w:eastAsia="zh-CN"/>
              </w:rPr>
              <w:t>：</w:t>
            </w:r>
            <w:r>
              <w:rPr>
                <w:rFonts w:hint="eastAsia"/>
                <w:color w:val="auto"/>
                <w:sz w:val="21"/>
                <w:szCs w:val="21"/>
                <w:highlight w:val="none"/>
              </w:rPr>
              <w:t>每天两次各业务应用系统巡检，确保各业务系统能够正常访问；定期系统日志分析，排查潜在问题；根据应用情况，定期对系统进行优化；</w:t>
            </w:r>
            <w:r>
              <w:rPr>
                <w:rFonts w:hint="eastAsia"/>
                <w:color w:val="auto"/>
                <w:sz w:val="21"/>
                <w:szCs w:val="21"/>
                <w:highlight w:val="none"/>
              </w:rPr>
              <w:br w:type="textWrapping"/>
            </w:r>
            <w:r>
              <w:rPr>
                <w:rFonts w:hint="eastAsia"/>
                <w:color w:val="auto"/>
                <w:sz w:val="21"/>
                <w:szCs w:val="21"/>
                <w:highlight w:val="none"/>
              </w:rPr>
              <w:t>根据应用情况，对系统中的配置信息、用户信息和数据信息进行维护调整。</w:t>
            </w:r>
          </w:p>
          <w:p w14:paraId="111E4B7C">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5</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操作人员培训</w:t>
            </w:r>
            <w:r>
              <w:rPr>
                <w:rFonts w:hint="eastAsia"/>
                <w:b/>
                <w:bCs/>
                <w:color w:val="auto"/>
                <w:sz w:val="21"/>
                <w:szCs w:val="21"/>
                <w:highlight w:val="none"/>
                <w:lang w:eastAsia="zh-CN"/>
              </w:rPr>
              <w:t>：</w:t>
            </w:r>
            <w:r>
              <w:rPr>
                <w:rFonts w:hint="eastAsia"/>
                <w:color w:val="auto"/>
                <w:sz w:val="21"/>
                <w:szCs w:val="21"/>
                <w:highlight w:val="none"/>
              </w:rPr>
              <w:t>提供新用户人员系统使用培训指导。</w:t>
            </w:r>
          </w:p>
          <w:p w14:paraId="253D14D1">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6</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技术咨询服务</w:t>
            </w:r>
            <w:r>
              <w:rPr>
                <w:rFonts w:hint="eastAsia"/>
                <w:b/>
                <w:bCs/>
                <w:color w:val="auto"/>
                <w:sz w:val="21"/>
                <w:szCs w:val="21"/>
                <w:highlight w:val="none"/>
                <w:lang w:eastAsia="zh-CN"/>
              </w:rPr>
              <w:t>：</w:t>
            </w:r>
            <w:r>
              <w:rPr>
                <w:rFonts w:hint="eastAsia"/>
                <w:color w:val="auto"/>
                <w:sz w:val="21"/>
                <w:szCs w:val="21"/>
                <w:highlight w:val="none"/>
              </w:rPr>
              <w:t>为系统的技术分析、升级改造提供技术咨询支持，为信息化项目提供咨询服务，协助信息中心到各个部门调研需求并提供相应的需求报告。提供服务热线。</w:t>
            </w:r>
          </w:p>
          <w:p w14:paraId="6FAC068C">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7</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数据/存储/容灾服务</w:t>
            </w:r>
            <w:r>
              <w:rPr>
                <w:rFonts w:hint="eastAsia"/>
                <w:b/>
                <w:bCs/>
                <w:color w:val="auto"/>
                <w:sz w:val="21"/>
                <w:szCs w:val="21"/>
                <w:highlight w:val="none"/>
                <w:lang w:eastAsia="zh-CN"/>
              </w:rPr>
              <w:t>：</w:t>
            </w:r>
            <w:r>
              <w:rPr>
                <w:rFonts w:hint="eastAsia"/>
                <w:color w:val="auto"/>
                <w:sz w:val="21"/>
                <w:szCs w:val="21"/>
                <w:highlight w:val="none"/>
              </w:rPr>
              <w:t>对系统和业务数据进行统一存储、备份、恢复、归档，目前大数据平台数据量约为5亿，预计每年增加1亿。</w:t>
            </w:r>
          </w:p>
          <w:p w14:paraId="6F536BB9">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8</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数据管理日常工作服务</w:t>
            </w:r>
            <w:r>
              <w:rPr>
                <w:rFonts w:hint="eastAsia"/>
                <w:b/>
                <w:bCs/>
                <w:color w:val="auto"/>
                <w:sz w:val="21"/>
                <w:szCs w:val="21"/>
                <w:highlight w:val="none"/>
                <w:lang w:eastAsia="zh-CN"/>
              </w:rPr>
              <w:t>：</w:t>
            </w:r>
            <w:r>
              <w:rPr>
                <w:rFonts w:hint="eastAsia"/>
                <w:color w:val="auto"/>
                <w:sz w:val="21"/>
                <w:szCs w:val="21"/>
                <w:highlight w:val="none"/>
              </w:rPr>
              <w:t>提供数据导入、清洗加工、检查、修正数据分析报告编制、交换共享服务、展览、解说等。</w:t>
            </w:r>
          </w:p>
          <w:p w14:paraId="0D48601E">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9</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文档管理服务</w:t>
            </w:r>
            <w:r>
              <w:rPr>
                <w:rFonts w:hint="eastAsia"/>
                <w:b/>
                <w:bCs/>
                <w:color w:val="auto"/>
                <w:sz w:val="21"/>
                <w:szCs w:val="21"/>
                <w:highlight w:val="none"/>
                <w:lang w:eastAsia="zh-CN"/>
              </w:rPr>
              <w:t>：</w:t>
            </w:r>
            <w:r>
              <w:rPr>
                <w:rFonts w:hint="eastAsia"/>
                <w:color w:val="auto"/>
                <w:sz w:val="21"/>
                <w:szCs w:val="21"/>
                <w:highlight w:val="none"/>
              </w:rPr>
              <w:t>运维档案信息整理，包括准备阶段文件、实施阶段文件、试运行和培训阶段文件、管理类文件、验收阶段文件、移交阶段文件的编制。</w:t>
            </w:r>
          </w:p>
          <w:p w14:paraId="459F9E0A">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10</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业务支撑服务</w:t>
            </w:r>
            <w:r>
              <w:rPr>
                <w:rFonts w:hint="eastAsia"/>
                <w:b/>
                <w:bCs/>
                <w:color w:val="auto"/>
                <w:sz w:val="21"/>
                <w:szCs w:val="21"/>
                <w:highlight w:val="none"/>
                <w:lang w:eastAsia="zh-CN"/>
              </w:rPr>
              <w:t>：</w:t>
            </w:r>
            <w:r>
              <w:rPr>
                <w:rFonts w:hint="eastAsia"/>
                <w:color w:val="auto"/>
                <w:sz w:val="21"/>
                <w:szCs w:val="21"/>
                <w:highlight w:val="none"/>
              </w:rPr>
              <w:t>业务需求整理</w:t>
            </w:r>
          </w:p>
          <w:p w14:paraId="481497A1">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11</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数据库管理服务</w:t>
            </w:r>
            <w:r>
              <w:rPr>
                <w:rFonts w:hint="eastAsia"/>
                <w:b/>
                <w:bCs/>
                <w:color w:val="auto"/>
                <w:sz w:val="21"/>
                <w:szCs w:val="21"/>
                <w:highlight w:val="none"/>
                <w:lang w:eastAsia="zh-CN"/>
              </w:rPr>
              <w:t>：</w:t>
            </w:r>
            <w:r>
              <w:rPr>
                <w:rFonts w:hint="eastAsia"/>
                <w:color w:val="auto"/>
                <w:sz w:val="21"/>
                <w:szCs w:val="21"/>
                <w:highlight w:val="none"/>
              </w:rPr>
              <w:t>数据信巡检、运行监控、日志清理、优化、故障处理等。</w:t>
            </w:r>
          </w:p>
          <w:p w14:paraId="4072E916">
            <w:pPr>
              <w:numPr>
                <w:ilvl w:val="0"/>
                <w:numId w:val="0"/>
              </w:numPr>
              <w:spacing w:line="360" w:lineRule="auto"/>
              <w:ind w:firstLine="420" w:firstLineChars="0"/>
              <w:jc w:val="left"/>
              <w:rPr>
                <w:rFonts w:hint="eastAsia"/>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12</w:t>
            </w:r>
            <w:r>
              <w:rPr>
                <w:rFonts w:hint="eastAsia" w:cs="Times New Roman"/>
                <w:b/>
                <w:bCs/>
                <w:color w:val="auto"/>
                <w:kern w:val="2"/>
                <w:sz w:val="21"/>
                <w:szCs w:val="21"/>
                <w:highlight w:val="none"/>
                <w:lang w:val="en-US" w:eastAsia="zh-CN" w:bidi="ar-SA"/>
              </w:rPr>
              <w:t>、</w:t>
            </w:r>
            <w:r>
              <w:rPr>
                <w:rFonts w:hint="eastAsia"/>
                <w:b/>
                <w:bCs/>
                <w:color w:val="auto"/>
                <w:sz w:val="21"/>
                <w:szCs w:val="21"/>
                <w:highlight w:val="none"/>
              </w:rPr>
              <w:t>服务报告编制</w:t>
            </w:r>
            <w:r>
              <w:rPr>
                <w:rFonts w:hint="eastAsia"/>
                <w:b/>
                <w:bCs/>
                <w:color w:val="auto"/>
                <w:sz w:val="21"/>
                <w:szCs w:val="21"/>
                <w:highlight w:val="none"/>
                <w:lang w:eastAsia="zh-CN"/>
              </w:rPr>
              <w:t>：</w:t>
            </w:r>
            <w:r>
              <w:rPr>
                <w:rFonts w:hint="eastAsia"/>
                <w:color w:val="auto"/>
                <w:sz w:val="21"/>
                <w:szCs w:val="21"/>
                <w:highlight w:val="none"/>
              </w:rPr>
              <w:t>包括运行报告、故障报告、总结报告等编制。</w:t>
            </w:r>
          </w:p>
        </w:tc>
      </w:tr>
      <w:tr w14:paraId="77C65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2B2A3BC5">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22EE7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top"/>
          </w:tcPr>
          <w:p w14:paraId="69716E5A">
            <w:pPr>
              <w:pStyle w:val="79"/>
              <w:spacing w:line="440" w:lineRule="exact"/>
              <w:ind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▲磋商报价要</w:t>
            </w:r>
            <w:r>
              <w:rPr>
                <w:rFonts w:hint="eastAsia" w:ascii="宋体" w:hAnsi="宋体" w:eastAsia="宋体" w:cs="宋体"/>
                <w:color w:val="auto"/>
                <w:spacing w:val="-10"/>
                <w:sz w:val="21"/>
                <w:szCs w:val="21"/>
                <w:highlight w:val="none"/>
              </w:rPr>
              <w:t>求</w:t>
            </w:r>
          </w:p>
        </w:tc>
        <w:tc>
          <w:tcPr>
            <w:tcW w:w="7614" w:type="dxa"/>
            <w:gridSpan w:val="4"/>
            <w:tcBorders>
              <w:top w:val="single" w:color="auto" w:sz="4" w:space="0"/>
              <w:left w:val="single" w:color="auto" w:sz="4" w:space="0"/>
              <w:bottom w:val="single" w:color="auto" w:sz="4" w:space="0"/>
            </w:tcBorders>
            <w:vAlign w:val="top"/>
          </w:tcPr>
          <w:p w14:paraId="693EAF50">
            <w:pPr>
              <w:pStyle w:val="79"/>
              <w:spacing w:line="440" w:lineRule="exact"/>
              <w:ind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报价包括完成本项目“项目需求”中所列所有服务内容产生的所有成本、项目验收、税金、利润等费用，采购人不再另行支付任何费用。</w:t>
            </w:r>
          </w:p>
        </w:tc>
      </w:tr>
      <w:tr w14:paraId="0C5E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top"/>
          </w:tcPr>
          <w:p w14:paraId="72E8FF6E">
            <w:pPr>
              <w:pStyle w:val="79"/>
              <w:spacing w:line="44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▲合同履行期</w:t>
            </w:r>
            <w:r>
              <w:rPr>
                <w:rFonts w:hint="eastAsia" w:ascii="宋体" w:hAnsi="宋体" w:eastAsia="宋体" w:cs="宋体"/>
                <w:color w:val="auto"/>
                <w:spacing w:val="-7"/>
                <w:sz w:val="21"/>
                <w:szCs w:val="21"/>
                <w:highlight w:val="none"/>
                <w:lang w:eastAsia="zh-CN"/>
              </w:rPr>
              <w:t>限、地点</w:t>
            </w:r>
          </w:p>
        </w:tc>
        <w:tc>
          <w:tcPr>
            <w:tcW w:w="7614" w:type="dxa"/>
            <w:gridSpan w:val="4"/>
            <w:tcBorders>
              <w:top w:val="single" w:color="auto" w:sz="4" w:space="0"/>
              <w:left w:val="single" w:color="auto" w:sz="4" w:space="0"/>
              <w:bottom w:val="single" w:color="auto" w:sz="4" w:space="0"/>
            </w:tcBorders>
            <w:vAlign w:val="top"/>
          </w:tcPr>
          <w:p w14:paraId="1C5B64E5">
            <w:pPr>
              <w:spacing w:line="36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合同履行期限：自合同签订之日起一年。</w:t>
            </w:r>
          </w:p>
          <w:p w14:paraId="141E04D5">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地点：采购人指定地点。</w:t>
            </w:r>
          </w:p>
        </w:tc>
      </w:tr>
      <w:tr w14:paraId="1BDEF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top"/>
          </w:tcPr>
          <w:p w14:paraId="78D726BC">
            <w:pPr>
              <w:pStyle w:val="79"/>
              <w:spacing w:line="440" w:lineRule="exac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▲付款条件</w:t>
            </w:r>
          </w:p>
        </w:tc>
        <w:tc>
          <w:tcPr>
            <w:tcW w:w="7614" w:type="dxa"/>
            <w:gridSpan w:val="4"/>
            <w:tcBorders>
              <w:top w:val="single" w:color="auto" w:sz="4" w:space="0"/>
              <w:left w:val="single" w:color="auto" w:sz="4" w:space="0"/>
              <w:bottom w:val="single" w:color="auto" w:sz="4" w:space="0"/>
            </w:tcBorders>
            <w:vAlign w:val="top"/>
          </w:tcPr>
          <w:p w14:paraId="4F555738">
            <w:pPr>
              <w:pStyle w:val="79"/>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签订合同，供应商提供运维服务后，10个工作日内，采购人支付30%的合同款给成交供应商，提供实施服务并取得运维成果后采购人支付50%的合同款给成交供应商。完成项目年度验收后，采购人支付合同金额20%合同款给成交供应商，供应商自收到合同款之日起10个工作日内开具发票给采购人。</w:t>
            </w:r>
          </w:p>
        </w:tc>
      </w:tr>
      <w:tr w14:paraId="5CDE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top"/>
          </w:tcPr>
          <w:p w14:paraId="4C169472">
            <w:pPr>
              <w:pStyle w:val="79"/>
              <w:spacing w:line="44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▲服务保障方</w:t>
            </w:r>
            <w:r>
              <w:rPr>
                <w:rFonts w:hint="eastAsia" w:ascii="宋体" w:hAnsi="宋体" w:eastAsia="宋体" w:cs="宋体"/>
                <w:color w:val="auto"/>
                <w:spacing w:val="-4"/>
                <w:sz w:val="21"/>
                <w:szCs w:val="21"/>
                <w:highlight w:val="none"/>
              </w:rPr>
              <w:t>案要求</w:t>
            </w:r>
          </w:p>
        </w:tc>
        <w:tc>
          <w:tcPr>
            <w:tcW w:w="7614" w:type="dxa"/>
            <w:gridSpan w:val="4"/>
            <w:tcBorders>
              <w:top w:val="single" w:color="auto" w:sz="4" w:space="0"/>
              <w:left w:val="single" w:color="auto" w:sz="4" w:space="0"/>
              <w:bottom w:val="single" w:color="auto" w:sz="4" w:space="0"/>
            </w:tcBorders>
            <w:vAlign w:val="top"/>
          </w:tcPr>
          <w:p w14:paraId="78EFBC52">
            <w:pPr>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1、成交供应商在服务期限内对采购人提出的合理的，不涉及架构及全局性的功能增减、美工修改等应免费配合实施。</w:t>
            </w:r>
          </w:p>
          <w:p w14:paraId="7F5A9482">
            <w:pPr>
              <w:spacing w:line="360" w:lineRule="auto"/>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2、维护响应：成交供应商在接到用户电话后1小时内响应，2小时内到达现场修理解决，24小时内恢复正常使用，若不能修复则应有合理应对方案。</w:t>
            </w:r>
          </w:p>
        </w:tc>
      </w:tr>
    </w:tbl>
    <w:p w14:paraId="1844FF69">
      <w:pPr>
        <w:spacing w:line="360" w:lineRule="auto"/>
        <w:ind w:firstLine="310" w:firstLineChars="147"/>
        <w:jc w:val="left"/>
        <w:rPr>
          <w:rFonts w:hint="eastAsia" w:ascii="宋体" w:hAnsi="宋体" w:cs="宋体"/>
          <w:b/>
          <w:color w:val="auto"/>
          <w:szCs w:val="21"/>
          <w:highlight w:val="none"/>
        </w:rPr>
      </w:pPr>
    </w:p>
    <w:p w14:paraId="07353D9E">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（广西农业农村大数据平台部署服务前期委托咨询服务）</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 3.56</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4B31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8F1076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45A990C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561F4E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73C55A5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2416389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222414E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C26A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358327B">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47451A7F">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广西农业农村大数据平台部署服务前期委托咨询服务</w:t>
            </w:r>
          </w:p>
          <w:p w14:paraId="7B5095CA">
            <w:pPr>
              <w:widowControl/>
              <w:spacing w:line="360" w:lineRule="auto"/>
              <w:jc w:val="center"/>
              <w:rPr>
                <w:rFonts w:ascii="宋体" w:cs="宋体"/>
                <w:color w:val="auto"/>
                <w:szCs w:val="21"/>
                <w:highlight w:val="none"/>
              </w:rPr>
            </w:pPr>
          </w:p>
        </w:tc>
        <w:tc>
          <w:tcPr>
            <w:tcW w:w="1050" w:type="dxa"/>
            <w:vAlign w:val="center"/>
          </w:tcPr>
          <w:p w14:paraId="581F0075">
            <w:pPr>
              <w:widowControl/>
              <w:spacing w:line="360" w:lineRule="auto"/>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7B075A3C">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软</w:t>
            </w:r>
            <w:r>
              <w:rPr>
                <w:rFonts w:ascii="宋体" w:cs="宋体"/>
                <w:color w:val="auto"/>
                <w:szCs w:val="21"/>
                <w:highlight w:val="none"/>
                <w:lang w:val="en-US" w:eastAsia="zh-CN"/>
              </w:rPr>
              <w:t>件和信息技术服务业</w:t>
            </w:r>
          </w:p>
          <w:p w14:paraId="52019C2C">
            <w:pPr>
              <w:tabs>
                <w:tab w:val="left" w:pos="180"/>
                <w:tab w:val="left" w:pos="1620"/>
              </w:tabs>
              <w:spacing w:line="360" w:lineRule="auto"/>
              <w:jc w:val="center"/>
              <w:rPr>
                <w:rFonts w:ascii="宋体" w:cs="宋体"/>
                <w:color w:val="auto"/>
                <w:szCs w:val="21"/>
                <w:highlight w:val="none"/>
              </w:rPr>
            </w:pPr>
          </w:p>
        </w:tc>
        <w:tc>
          <w:tcPr>
            <w:tcW w:w="5416" w:type="dxa"/>
          </w:tcPr>
          <w:p w14:paraId="779AA49C">
            <w:pPr>
              <w:spacing w:line="360" w:lineRule="auto"/>
              <w:ind w:firstLine="420"/>
              <w:jc w:val="left"/>
              <w:rPr>
                <w:rFonts w:ascii="宋体" w:cs="宋体"/>
                <w:b/>
                <w:bCs/>
                <w:color w:val="auto"/>
                <w:szCs w:val="21"/>
                <w:highlight w:val="none"/>
              </w:rPr>
            </w:pPr>
            <w:r>
              <w:rPr>
                <w:rFonts w:hint="eastAsia" w:ascii="宋体" w:cs="宋体"/>
                <w:b/>
                <w:bCs/>
                <w:color w:val="auto"/>
                <w:szCs w:val="21"/>
                <w:highlight w:val="none"/>
              </w:rPr>
              <w:t>一、项目前期咨询服务总体要求</w:t>
            </w:r>
          </w:p>
          <w:p w14:paraId="020E47DF">
            <w:pPr>
              <w:spacing w:line="360" w:lineRule="auto"/>
              <w:ind w:firstLine="420"/>
              <w:jc w:val="left"/>
              <w:rPr>
                <w:rFonts w:ascii="宋体" w:cs="宋体"/>
                <w:color w:val="auto"/>
                <w:szCs w:val="21"/>
                <w:highlight w:val="none"/>
              </w:rPr>
            </w:pPr>
            <w:r>
              <w:rPr>
                <w:rFonts w:hint="eastAsia" w:ascii="宋体" w:cs="宋体"/>
                <w:color w:val="auto"/>
                <w:szCs w:val="21"/>
                <w:highlight w:val="none"/>
              </w:rPr>
              <w:t>（一）成交供应商在开展前期咨询服务工作过程中，应按照《广西壮族自治区大数据发展局关于印发广西政务信息化项目建设管理办法配套文件的函》（桂数发〔2024〕34号）等文件要求，充分评估建设单位整体的信息化建设现状，为本项目提供《项目申请报告》、《项目网络安全等级保护预定级报告》、《项目建设方案》、《项目密码应用方案》等服务成果。</w:t>
            </w:r>
          </w:p>
          <w:p w14:paraId="1965EC86">
            <w:pPr>
              <w:spacing w:line="360" w:lineRule="auto"/>
              <w:ind w:firstLine="420"/>
              <w:jc w:val="left"/>
              <w:rPr>
                <w:rFonts w:ascii="宋体" w:cs="宋体"/>
                <w:color w:val="auto"/>
                <w:szCs w:val="21"/>
                <w:highlight w:val="none"/>
              </w:rPr>
            </w:pPr>
            <w:r>
              <w:rPr>
                <w:rFonts w:hint="eastAsia" w:ascii="宋体" w:cs="宋体"/>
                <w:color w:val="auto"/>
                <w:szCs w:val="21"/>
                <w:highlight w:val="none"/>
              </w:rPr>
              <w:t>（二）成果编制及申报备案服务要求</w:t>
            </w:r>
          </w:p>
          <w:p w14:paraId="74890D2D">
            <w:pPr>
              <w:spacing w:line="360" w:lineRule="auto"/>
              <w:ind w:firstLine="420"/>
              <w:jc w:val="left"/>
              <w:rPr>
                <w:rFonts w:ascii="宋体" w:cs="宋体"/>
                <w:color w:val="auto"/>
                <w:szCs w:val="21"/>
                <w:highlight w:val="none"/>
              </w:rPr>
            </w:pPr>
            <w:r>
              <w:rPr>
                <w:rFonts w:hint="eastAsia" w:ascii="宋体" w:cs="宋体"/>
                <w:color w:val="auto"/>
                <w:szCs w:val="21"/>
                <w:highlight w:val="none"/>
              </w:rPr>
              <w:t>1.成交供应商按照《关于印发国家政务信息化项目建设管理办法的通知》（国办发〔2019〕57号）、《广西壮族自治区人民政府办公厅关于印发广西政务信息化项目建设管理办法的通知》（桂政办发〔2024〕59号）、《广西壮族自治区大数据发展局关于印发广西政务信息化项目建设管理办法配套文件的函》（桂数发〔2024〕34号）规定的文档格式和编制要求编制设计文件，并根据采购人的要求，不断完善相关内容。</w:t>
            </w:r>
          </w:p>
          <w:p w14:paraId="2446BCF6">
            <w:pPr>
              <w:spacing w:line="360" w:lineRule="auto"/>
              <w:ind w:firstLine="420"/>
              <w:jc w:val="left"/>
              <w:rPr>
                <w:rFonts w:ascii="宋体" w:cs="宋体"/>
                <w:color w:val="auto"/>
                <w:szCs w:val="21"/>
                <w:highlight w:val="none"/>
              </w:rPr>
            </w:pPr>
            <w:r>
              <w:rPr>
                <w:rFonts w:hint="eastAsia" w:ascii="宋体" w:cs="宋体"/>
                <w:color w:val="auto"/>
                <w:szCs w:val="21"/>
                <w:highlight w:val="none"/>
              </w:rPr>
              <w:t>2.需求调研分析。成交供应商根据采购人要求完成本项目需求分析工作，充分收集当前采购人信息化建设现状等项目前期工作资料，深入分析和总结出项目背景，包括项目总体目标、建设任务、建设意义、必要性等。</w:t>
            </w:r>
          </w:p>
          <w:p w14:paraId="6136F7EA">
            <w:pPr>
              <w:spacing w:line="360" w:lineRule="auto"/>
              <w:ind w:firstLine="420"/>
              <w:jc w:val="left"/>
              <w:rPr>
                <w:rFonts w:ascii="宋体" w:cs="宋体"/>
                <w:color w:val="auto"/>
                <w:szCs w:val="21"/>
                <w:highlight w:val="none"/>
              </w:rPr>
            </w:pPr>
            <w:r>
              <w:rPr>
                <w:rFonts w:hint="eastAsia" w:ascii="宋体" w:cs="宋体"/>
                <w:color w:val="auto"/>
                <w:szCs w:val="21"/>
                <w:highlight w:val="none"/>
              </w:rPr>
              <w:t>3.建设方案立项申报。根据《广西壮族自治区大数据发展局关于印发广西政务信息化项目建设管理办法配套文件的函》（桂数发〔2024〕34号）关于“自治区本级政务信息化项目建设方案编制指南（试行）”要求，编制《项目建设方案》，协同向自治区数据局备案。</w:t>
            </w:r>
          </w:p>
          <w:p w14:paraId="3909D10E">
            <w:pPr>
              <w:spacing w:line="360" w:lineRule="auto"/>
              <w:ind w:firstLine="420"/>
              <w:jc w:val="left"/>
              <w:rPr>
                <w:rFonts w:ascii="宋体" w:cs="宋体"/>
                <w:b/>
                <w:bCs/>
                <w:color w:val="auto"/>
                <w:szCs w:val="21"/>
                <w:highlight w:val="none"/>
              </w:rPr>
            </w:pPr>
            <w:r>
              <w:rPr>
                <w:rFonts w:hint="eastAsia" w:ascii="宋体" w:cs="宋体"/>
                <w:b/>
                <w:bCs/>
                <w:color w:val="auto"/>
                <w:szCs w:val="21"/>
                <w:highlight w:val="none"/>
              </w:rPr>
              <w:t>二、服务成果验收标准</w:t>
            </w:r>
          </w:p>
          <w:p w14:paraId="48A6F3A0">
            <w:pPr>
              <w:spacing w:line="360" w:lineRule="auto"/>
              <w:ind w:firstLine="420"/>
              <w:jc w:val="left"/>
              <w:rPr>
                <w:rFonts w:ascii="宋体" w:cs="宋体"/>
                <w:color w:val="auto"/>
                <w:szCs w:val="21"/>
                <w:highlight w:val="none"/>
              </w:rPr>
            </w:pPr>
            <w:r>
              <w:rPr>
                <w:rFonts w:hint="eastAsia" w:ascii="宋体" w:cs="宋体"/>
                <w:color w:val="auto"/>
                <w:szCs w:val="21"/>
                <w:highlight w:val="none"/>
              </w:rPr>
              <w:t>（一）所有的文件要求用中文书写或有完整的中文注释。</w:t>
            </w:r>
          </w:p>
          <w:p w14:paraId="5C9F40D4">
            <w:pPr>
              <w:spacing w:line="360" w:lineRule="auto"/>
              <w:ind w:firstLine="420"/>
              <w:jc w:val="left"/>
              <w:rPr>
                <w:rFonts w:ascii="宋体" w:cs="宋体"/>
                <w:color w:val="auto"/>
                <w:szCs w:val="21"/>
                <w:highlight w:val="none"/>
              </w:rPr>
            </w:pPr>
            <w:r>
              <w:rPr>
                <w:rFonts w:hint="eastAsia" w:ascii="宋体" w:cs="宋体"/>
                <w:color w:val="auto"/>
                <w:szCs w:val="21"/>
                <w:highlight w:val="none"/>
              </w:rPr>
              <w:t>（二）本项目要求所有文档向采购人提供纸质文档至少3套，电子文档1套。成交供应商应设置专人在项目建设期间对文档进行检查和管理，项目最终验收后全部移交给建设单位。</w:t>
            </w:r>
          </w:p>
          <w:p w14:paraId="482AA844">
            <w:pPr>
              <w:spacing w:line="360" w:lineRule="auto"/>
              <w:ind w:firstLine="420"/>
              <w:jc w:val="left"/>
              <w:rPr>
                <w:rFonts w:ascii="宋体" w:cs="宋体"/>
                <w:color w:val="auto"/>
                <w:szCs w:val="21"/>
                <w:highlight w:val="none"/>
              </w:rPr>
            </w:pPr>
            <w:r>
              <w:rPr>
                <w:rFonts w:hint="eastAsia" w:ascii="宋体" w:cs="宋体"/>
                <w:color w:val="auto"/>
                <w:szCs w:val="21"/>
                <w:highlight w:val="none"/>
              </w:rPr>
              <w:t>（三）咨询服务成果的验收要求，成交供应商提供的服务成果必须通过评审机构评审或采购人验收后，成交供应商按要求向采购人移交项目相关材料文档，包括但不限于全套文件及其电子文档，其中电子文档以只读光盘存储，且必须符合“电子文档格式”的技术要求，同时必须符合《国家电子政务工程建设项目档案管理暂行办法》的归档要求。</w:t>
            </w:r>
          </w:p>
          <w:p w14:paraId="3C540FBE">
            <w:pPr>
              <w:spacing w:line="360" w:lineRule="auto"/>
              <w:ind w:firstLine="420"/>
              <w:jc w:val="left"/>
              <w:rPr>
                <w:rFonts w:ascii="宋体" w:cs="宋体"/>
                <w:b/>
                <w:bCs/>
                <w:color w:val="auto"/>
                <w:szCs w:val="21"/>
                <w:highlight w:val="none"/>
              </w:rPr>
            </w:pPr>
            <w:r>
              <w:rPr>
                <w:rFonts w:hint="eastAsia" w:ascii="宋体" w:cs="宋体"/>
                <w:b/>
                <w:bCs/>
                <w:color w:val="auto"/>
                <w:szCs w:val="21"/>
                <w:highlight w:val="none"/>
              </w:rPr>
              <w:t>三、后续服务要求</w:t>
            </w:r>
          </w:p>
          <w:p w14:paraId="609981AA">
            <w:pPr>
              <w:spacing w:line="360" w:lineRule="auto"/>
              <w:ind w:firstLine="420"/>
              <w:jc w:val="left"/>
              <w:rPr>
                <w:rFonts w:ascii="宋体" w:cs="宋体"/>
                <w:color w:val="auto"/>
                <w:szCs w:val="21"/>
                <w:highlight w:val="none"/>
              </w:rPr>
            </w:pPr>
            <w:r>
              <w:rPr>
                <w:rFonts w:hint="eastAsia" w:ascii="宋体" w:cs="宋体"/>
                <w:color w:val="auto"/>
                <w:szCs w:val="21"/>
                <w:highlight w:val="none"/>
              </w:rPr>
              <w:t>成果交付后，</w:t>
            </w:r>
            <w:r>
              <w:rPr>
                <w:rFonts w:hint="eastAsia" w:ascii="宋体" w:cs="宋体"/>
                <w:color w:val="auto"/>
                <w:szCs w:val="21"/>
                <w:highlight w:val="none"/>
                <w:lang w:val="en-US" w:eastAsia="zh-CN"/>
              </w:rPr>
              <w:t>成交</w:t>
            </w:r>
            <w:r>
              <w:rPr>
                <w:rFonts w:hint="eastAsia" w:ascii="宋体" w:cs="宋体"/>
                <w:color w:val="auto"/>
                <w:szCs w:val="21"/>
                <w:highlight w:val="none"/>
              </w:rPr>
              <w:t>供应商需协助采购人向项目承建单位进行技术交底、技术咨询、验收支持等技术服务，确保采购人的思路及总体设计意图得到实施和落实。具体要求包括但不限于以下内容：</w:t>
            </w:r>
          </w:p>
          <w:p w14:paraId="43CB31C1">
            <w:pPr>
              <w:spacing w:line="360" w:lineRule="auto"/>
              <w:ind w:firstLine="420"/>
              <w:jc w:val="left"/>
              <w:rPr>
                <w:rFonts w:ascii="宋体" w:cs="宋体"/>
                <w:color w:val="auto"/>
                <w:szCs w:val="21"/>
                <w:highlight w:val="none"/>
              </w:rPr>
            </w:pPr>
            <w:r>
              <w:rPr>
                <w:rFonts w:hint="eastAsia" w:ascii="宋体" w:cs="宋体"/>
                <w:color w:val="auto"/>
                <w:szCs w:val="21"/>
                <w:highlight w:val="none"/>
              </w:rPr>
              <w:t>（一）方案交底：</w:t>
            </w:r>
          </w:p>
          <w:p w14:paraId="01A4B117">
            <w:pPr>
              <w:spacing w:line="360" w:lineRule="auto"/>
              <w:ind w:firstLine="420"/>
              <w:jc w:val="left"/>
              <w:rPr>
                <w:rFonts w:ascii="宋体" w:cs="宋体"/>
                <w:color w:val="auto"/>
                <w:szCs w:val="21"/>
                <w:highlight w:val="none"/>
              </w:rPr>
            </w:pPr>
            <w:r>
              <w:rPr>
                <w:rFonts w:hint="eastAsia" w:ascii="宋体" w:cs="宋体"/>
                <w:color w:val="auto"/>
                <w:szCs w:val="21"/>
                <w:highlight w:val="none"/>
              </w:rPr>
              <w:t>1.在项目建设实施过程中，对采购人及项目承建单位进行技术交底，包括但不限于设计的设计思路、技术选型、产品功能特点、质量要求以及其他技术细节等；</w:t>
            </w:r>
          </w:p>
          <w:p w14:paraId="6D959157">
            <w:pPr>
              <w:spacing w:line="360" w:lineRule="auto"/>
              <w:ind w:firstLine="420"/>
              <w:jc w:val="left"/>
              <w:rPr>
                <w:rFonts w:ascii="宋体" w:cs="宋体"/>
                <w:color w:val="auto"/>
                <w:szCs w:val="21"/>
                <w:highlight w:val="none"/>
              </w:rPr>
            </w:pPr>
            <w:r>
              <w:rPr>
                <w:rFonts w:hint="eastAsia" w:ascii="宋体" w:cs="宋体"/>
                <w:color w:val="auto"/>
                <w:szCs w:val="21"/>
                <w:highlight w:val="none"/>
              </w:rPr>
              <w:t>2.解答采购人及项目承建单位提出的对不清楚或不明确的疑问。</w:t>
            </w:r>
          </w:p>
          <w:p w14:paraId="4FA7F38B">
            <w:pPr>
              <w:spacing w:line="360" w:lineRule="auto"/>
              <w:ind w:firstLine="420"/>
              <w:jc w:val="left"/>
              <w:rPr>
                <w:rFonts w:ascii="宋体" w:cs="宋体"/>
                <w:color w:val="auto"/>
                <w:szCs w:val="21"/>
                <w:highlight w:val="none"/>
              </w:rPr>
            </w:pPr>
            <w:r>
              <w:rPr>
                <w:rFonts w:hint="eastAsia" w:ascii="宋体" w:cs="宋体"/>
                <w:color w:val="auto"/>
                <w:szCs w:val="21"/>
                <w:highlight w:val="none"/>
              </w:rPr>
              <w:t>（二）技术咨询</w:t>
            </w:r>
          </w:p>
          <w:p w14:paraId="28A379DD">
            <w:pPr>
              <w:spacing w:line="360" w:lineRule="auto"/>
              <w:ind w:firstLine="420"/>
              <w:jc w:val="left"/>
              <w:rPr>
                <w:rFonts w:ascii="宋体" w:cs="宋体"/>
                <w:color w:val="auto"/>
                <w:szCs w:val="21"/>
                <w:highlight w:val="none"/>
              </w:rPr>
            </w:pPr>
            <w:r>
              <w:rPr>
                <w:rFonts w:hint="eastAsia" w:ascii="宋体" w:cs="宋体"/>
                <w:color w:val="auto"/>
                <w:szCs w:val="21"/>
                <w:highlight w:val="none"/>
              </w:rPr>
              <w:t>根据项目建设情况和实际情况，</w:t>
            </w:r>
            <w:r>
              <w:rPr>
                <w:rFonts w:hint="eastAsia" w:ascii="宋体" w:cs="宋体"/>
                <w:color w:val="auto"/>
                <w:szCs w:val="21"/>
                <w:highlight w:val="none"/>
                <w:lang w:val="en-US" w:eastAsia="zh-CN"/>
              </w:rPr>
              <w:t>成交</w:t>
            </w:r>
            <w:r>
              <w:rPr>
                <w:rFonts w:hint="eastAsia" w:ascii="宋体" w:cs="宋体"/>
                <w:color w:val="auto"/>
                <w:szCs w:val="21"/>
                <w:highlight w:val="none"/>
              </w:rPr>
              <w:t>供应商参与项目实施过程重要里程牌的评审和验证，及时提交评审意见给采购人，确认是否满足规范与设计要求。</w:t>
            </w:r>
          </w:p>
          <w:p w14:paraId="27F33EAA">
            <w:pPr>
              <w:spacing w:line="360" w:lineRule="auto"/>
              <w:ind w:firstLine="420"/>
              <w:jc w:val="left"/>
              <w:rPr>
                <w:rFonts w:ascii="宋体" w:cs="宋体"/>
                <w:color w:val="auto"/>
                <w:szCs w:val="21"/>
                <w:highlight w:val="none"/>
              </w:rPr>
            </w:pPr>
            <w:r>
              <w:rPr>
                <w:rFonts w:hint="eastAsia" w:ascii="宋体" w:cs="宋体"/>
                <w:color w:val="auto"/>
                <w:szCs w:val="21"/>
                <w:highlight w:val="none"/>
              </w:rPr>
              <w:t>（三）验收支持</w:t>
            </w:r>
          </w:p>
          <w:p w14:paraId="24DA3DBA">
            <w:pPr>
              <w:spacing w:line="360" w:lineRule="auto"/>
              <w:ind w:firstLine="420"/>
              <w:jc w:val="left"/>
              <w:rPr>
                <w:rFonts w:ascii="宋体" w:cs="宋体"/>
                <w:color w:val="auto"/>
                <w:szCs w:val="21"/>
                <w:highlight w:val="none"/>
              </w:rPr>
            </w:pPr>
            <w:r>
              <w:rPr>
                <w:rFonts w:hint="eastAsia" w:ascii="宋体" w:cs="宋体"/>
                <w:color w:val="auto"/>
                <w:szCs w:val="21"/>
                <w:highlight w:val="none"/>
                <w:lang w:val="en-US" w:eastAsia="zh-CN"/>
              </w:rPr>
              <w:t>成交</w:t>
            </w:r>
            <w:r>
              <w:rPr>
                <w:rFonts w:hint="eastAsia" w:ascii="宋体" w:cs="宋体"/>
                <w:color w:val="auto"/>
                <w:szCs w:val="21"/>
                <w:highlight w:val="none"/>
              </w:rPr>
              <w:t>供应商协助采购人进行竣工验收文档的整理，出席竣工验收评审会并参与系统演示和发言环节，确保项目符合合同要求、设计标准和用户需求。</w:t>
            </w:r>
          </w:p>
        </w:tc>
      </w:tr>
      <w:tr w14:paraId="4E8EB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1F237357">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4D646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4F3DFFB">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03992F12">
            <w:pPr>
              <w:pStyle w:val="15"/>
              <w:spacing w:line="360" w:lineRule="auto"/>
              <w:rPr>
                <w:rFonts w:ascii="宋体" w:cs="宋体"/>
                <w:color w:val="auto"/>
                <w:kern w:val="0"/>
                <w:sz w:val="28"/>
                <w:szCs w:val="28"/>
                <w:highlight w:val="none"/>
              </w:rPr>
            </w:pPr>
            <w:r>
              <w:rPr>
                <w:rFonts w:hint="eastAsia" w:ascii="宋体" w:hAnsi="宋体" w:eastAsia="宋体" w:cs="宋体"/>
                <w:color w:val="auto"/>
                <w:kern w:val="2"/>
                <w:sz w:val="21"/>
                <w:szCs w:val="21"/>
                <w:highlight w:val="none"/>
                <w:lang w:val="en-US" w:eastAsia="zh-CN" w:bidi="ar-SA"/>
              </w:rPr>
              <w:t>报价包括完成本项目“项目需求”中所列所有服务内容产生的所有成本、项目验收、税金、利润等费用，采购人不再另行支付任何费用。</w:t>
            </w:r>
          </w:p>
        </w:tc>
      </w:tr>
      <w:tr w14:paraId="6538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9B856E4">
            <w:pPr>
              <w:spacing w:line="360" w:lineRule="auto"/>
              <w:jc w:val="center"/>
              <w:rPr>
                <w:rFonts w:hint="eastAsia"/>
                <w:color w:val="auto"/>
                <w:highlight w:val="none"/>
              </w:rPr>
            </w:pPr>
            <w:r>
              <w:rPr>
                <w:rFonts w:hint="eastAsia"/>
                <w:color w:val="auto"/>
                <w:highlight w:val="none"/>
              </w:rPr>
              <w:t>▲合同</w:t>
            </w:r>
            <w:r>
              <w:rPr>
                <w:rFonts w:hint="eastAsia"/>
                <w:color w:val="auto"/>
                <w:highlight w:val="none"/>
                <w:lang w:eastAsia="zh-CN"/>
              </w:rPr>
              <w:t>履约</w:t>
            </w:r>
            <w:r>
              <w:rPr>
                <w:rFonts w:hint="eastAsia"/>
                <w:color w:val="auto"/>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348F02D0">
            <w:pPr>
              <w:spacing w:line="360" w:lineRule="auto"/>
              <w:rPr>
                <w:rFonts w:hint="eastAsia"/>
                <w:color w:val="auto"/>
                <w:highlight w:val="none"/>
                <w:lang w:eastAsia="zh-CN"/>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期限：签订合同后60日内（不含项目评审和审批时间）</w:t>
            </w:r>
            <w:r>
              <w:rPr>
                <w:rFonts w:hint="eastAsia"/>
                <w:color w:val="auto"/>
                <w:highlight w:val="none"/>
                <w:lang w:eastAsia="zh-CN"/>
              </w:rPr>
              <w:t>。</w:t>
            </w:r>
          </w:p>
          <w:p w14:paraId="067C0531">
            <w:pPr>
              <w:spacing w:line="360" w:lineRule="auto"/>
              <w:rPr>
                <w:rFonts w:hint="eastAsia"/>
                <w:color w:val="auto"/>
                <w:highlight w:val="none"/>
              </w:rPr>
            </w:pPr>
            <w:r>
              <w:rPr>
                <w:rFonts w:hint="eastAsia"/>
                <w:color w:val="auto"/>
                <w:highlight w:val="none"/>
              </w:rPr>
              <w:t>2.地点：采购人指定地点。</w:t>
            </w:r>
          </w:p>
        </w:tc>
      </w:tr>
      <w:tr w14:paraId="3A6BB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99227F5">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7040B094">
            <w:pPr>
              <w:spacing w:line="360" w:lineRule="auto"/>
              <w:rPr>
                <w:color w:val="auto"/>
                <w:highlight w:val="none"/>
              </w:rPr>
            </w:pPr>
            <w:r>
              <w:rPr>
                <w:rFonts w:hint="eastAsia"/>
                <w:color w:val="auto"/>
                <w:highlight w:val="none"/>
              </w:rPr>
              <w:t>签订合同后，采购人向</w:t>
            </w:r>
            <w:r>
              <w:rPr>
                <w:rFonts w:hint="eastAsia"/>
                <w:color w:val="auto"/>
                <w:highlight w:val="none"/>
                <w:lang w:val="en-US" w:eastAsia="zh-CN"/>
              </w:rPr>
              <w:t>成交</w:t>
            </w:r>
            <w:r>
              <w:rPr>
                <w:rFonts w:hint="eastAsia"/>
                <w:color w:val="auto"/>
                <w:highlight w:val="none"/>
              </w:rPr>
              <w:t>供应商支付合同金额的</w:t>
            </w:r>
            <w:r>
              <w:rPr>
                <w:rFonts w:hint="eastAsia"/>
                <w:color w:val="auto"/>
                <w:highlight w:val="none"/>
                <w:lang w:val="en-US" w:eastAsia="zh-CN"/>
              </w:rPr>
              <w:t>4</w:t>
            </w:r>
            <w:r>
              <w:rPr>
                <w:rFonts w:hint="eastAsia"/>
                <w:color w:val="auto"/>
                <w:highlight w:val="none"/>
              </w:rPr>
              <w:t>0%；服务成果提交并通过采购人验收后，采购人向</w:t>
            </w:r>
            <w:r>
              <w:rPr>
                <w:rFonts w:hint="eastAsia"/>
                <w:color w:val="auto"/>
                <w:highlight w:val="none"/>
                <w:lang w:val="en-US" w:eastAsia="zh-CN"/>
              </w:rPr>
              <w:t>成交</w:t>
            </w:r>
            <w:r>
              <w:rPr>
                <w:rFonts w:hint="eastAsia"/>
                <w:color w:val="auto"/>
                <w:highlight w:val="none"/>
              </w:rPr>
              <w:t>供应商支付合同金额的</w:t>
            </w:r>
            <w:r>
              <w:rPr>
                <w:rFonts w:hint="eastAsia"/>
                <w:color w:val="auto"/>
                <w:highlight w:val="none"/>
                <w:lang w:val="en-US" w:eastAsia="zh-CN"/>
              </w:rPr>
              <w:t>60</w:t>
            </w:r>
            <w:r>
              <w:rPr>
                <w:rFonts w:hint="eastAsia"/>
                <w:color w:val="auto"/>
                <w:highlight w:val="none"/>
              </w:rPr>
              <w:t>%。</w:t>
            </w:r>
            <w:r>
              <w:rPr>
                <w:rFonts w:hint="eastAsia"/>
                <w:color w:val="auto"/>
                <w:highlight w:val="none"/>
                <w:lang w:eastAsia="zh-CN"/>
              </w:rPr>
              <w:t>供应商自收到合同款之日起</w:t>
            </w:r>
            <w:r>
              <w:rPr>
                <w:rFonts w:hint="eastAsia"/>
                <w:color w:val="auto"/>
                <w:highlight w:val="none"/>
                <w:lang w:val="en-US" w:eastAsia="zh-CN"/>
              </w:rPr>
              <w:t>5</w:t>
            </w:r>
            <w:r>
              <w:rPr>
                <w:rFonts w:hint="eastAsia"/>
                <w:color w:val="auto"/>
                <w:highlight w:val="none"/>
                <w:lang w:eastAsia="zh-CN"/>
              </w:rPr>
              <w:t>个工作日内开具发票给采购人。</w:t>
            </w:r>
          </w:p>
        </w:tc>
      </w:tr>
      <w:tr w14:paraId="7601E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08C88AB7">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2359C168">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质量保证期1年（自提交服务成果并验收合格之日起计）。</w:t>
            </w:r>
          </w:p>
          <w:p w14:paraId="293029AA">
            <w:pPr>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处理问题响应时间：接到采购人处理问题通知后2小时内到达采购人指定现场。</w:t>
            </w:r>
          </w:p>
          <w:p w14:paraId="033333B8">
            <w:pPr>
              <w:spacing w:line="360" w:lineRule="auto"/>
              <w:rPr>
                <w:color w:val="auto"/>
                <w:highlight w:val="none"/>
              </w:rPr>
            </w:pPr>
            <w:r>
              <w:rPr>
                <w:rFonts w:hint="eastAsia"/>
                <w:color w:val="auto"/>
                <w:highlight w:val="none"/>
                <w:lang w:val="en-US" w:eastAsia="zh-CN"/>
              </w:rPr>
              <w:t>3、</w:t>
            </w:r>
            <w:r>
              <w:rPr>
                <w:rFonts w:hint="eastAsia"/>
                <w:color w:val="auto"/>
                <w:highlight w:val="none"/>
              </w:rPr>
              <w:t>根据工作对接会、协调会等意见相应修改完善设计内容。</w:t>
            </w:r>
          </w:p>
        </w:tc>
      </w:tr>
    </w:tbl>
    <w:p w14:paraId="43280D69">
      <w:pPr>
        <w:spacing w:line="360" w:lineRule="auto"/>
        <w:ind w:firstLine="310" w:firstLineChars="147"/>
        <w:jc w:val="left"/>
        <w:rPr>
          <w:rFonts w:hint="eastAsia" w:ascii="宋体" w:hAnsi="宋体" w:cs="宋体"/>
          <w:b/>
          <w:color w:val="auto"/>
          <w:szCs w:val="21"/>
          <w:highlight w:val="none"/>
        </w:rPr>
      </w:pPr>
    </w:p>
    <w:p w14:paraId="62A12F15">
      <w:pPr>
        <w:spacing w:line="360" w:lineRule="auto"/>
        <w:ind w:firstLine="310" w:firstLineChars="147"/>
        <w:jc w:val="left"/>
        <w:rPr>
          <w:rFonts w:hint="eastAsia" w:ascii="宋体" w:hAnsi="宋体" w:cs="宋体"/>
          <w:b/>
          <w:bCs w:val="0"/>
          <w:color w:val="auto"/>
          <w:szCs w:val="21"/>
          <w:highlight w:val="none"/>
        </w:rPr>
      </w:pPr>
    </w:p>
    <w:p w14:paraId="1671E8CA">
      <w:pPr>
        <w:spacing w:line="360" w:lineRule="auto"/>
        <w:ind w:firstLine="310" w:firstLineChars="147"/>
        <w:jc w:val="left"/>
        <w:rPr>
          <w:rFonts w:ascii="宋体" w:cs="宋体"/>
          <w:bCs/>
          <w:color w:val="auto"/>
          <w:szCs w:val="21"/>
          <w:highlight w:val="none"/>
          <w:u w:val="single"/>
        </w:rPr>
      </w:pPr>
      <w:r>
        <w:rPr>
          <w:rFonts w:hint="eastAsia" w:ascii="宋体" w:hAnsi="宋体" w:cs="宋体"/>
          <w:b/>
          <w:bCs w:val="0"/>
          <w:color w:val="auto"/>
          <w:szCs w:val="21"/>
          <w:highlight w:val="none"/>
        </w:rPr>
        <w:t>分标</w:t>
      </w:r>
      <w:r>
        <w:rPr>
          <w:rFonts w:hint="eastAsia" w:ascii="宋体" w:hAnsi="宋体" w:cs="宋体"/>
          <w:b/>
          <w:bCs w:val="0"/>
          <w:color w:val="auto"/>
          <w:szCs w:val="21"/>
          <w:highlight w:val="none"/>
          <w:lang w:val="en-US" w:eastAsia="zh-CN"/>
        </w:rPr>
        <w:t>10</w:t>
      </w: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广西农业信息中心2026年度信息化运维服务前期委托咨询服务</w:t>
      </w:r>
      <w:r>
        <w:rPr>
          <w:rFonts w:hint="eastAsia" w:ascii="宋体" w:hAnsi="宋体" w:cs="宋体"/>
          <w:b/>
          <w:bCs w:val="0"/>
          <w:color w:val="auto"/>
          <w:szCs w:val="21"/>
          <w:highlight w:val="none"/>
        </w:rPr>
        <w:t>）</w:t>
      </w:r>
      <w:r>
        <w:rPr>
          <w:rFonts w:ascii="宋体" w:hAnsi="宋体" w:cs="宋体"/>
          <w:b/>
          <w:bCs w:val="0"/>
          <w:color w:val="auto"/>
          <w:szCs w:val="21"/>
          <w:highlight w:val="none"/>
        </w:rPr>
        <w:t xml:space="preserve">    </w:t>
      </w:r>
      <w:r>
        <w:rPr>
          <w:rFonts w:hint="eastAsia" w:ascii="宋体" w:hAnsi="宋体" w:cs="宋体"/>
          <w:b/>
          <w:bCs w:val="0"/>
          <w:color w:val="auto"/>
          <w:szCs w:val="21"/>
          <w:highlight w:val="none"/>
        </w:rPr>
        <w:t>采购预算：</w:t>
      </w:r>
      <w:r>
        <w:rPr>
          <w:rFonts w:hint="eastAsia" w:ascii="宋体" w:hAnsi="宋体"/>
          <w:b/>
          <w:bCs w:val="0"/>
          <w:color w:val="auto"/>
          <w:szCs w:val="21"/>
          <w:highlight w:val="none"/>
          <w:u w:val="single"/>
          <w:lang w:val="en-US" w:eastAsia="zh-CN"/>
        </w:rPr>
        <w:t xml:space="preserve"> 6.44</w:t>
      </w:r>
      <w:r>
        <w:rPr>
          <w:rFonts w:hint="eastAsia" w:ascii="宋体" w:hAnsi="宋体"/>
          <w:b/>
          <w:bCs w:val="0"/>
          <w:color w:val="auto"/>
          <w:szCs w:val="21"/>
          <w:highlight w:val="none"/>
          <w:u w:val="single"/>
        </w:rPr>
        <w:t>万元</w:t>
      </w:r>
      <w:r>
        <w:rPr>
          <w:rFonts w:ascii="宋体" w:hAnsi="宋体" w:cs="宋体"/>
          <w:b/>
          <w:bCs w:val="0"/>
          <w:color w:val="auto"/>
          <w:szCs w:val="21"/>
          <w:highlight w:val="none"/>
          <w:u w:val="single"/>
        </w:rPr>
        <w:t xml:space="preserve"> </w:t>
      </w:r>
      <w:r>
        <w:rPr>
          <w:rFonts w:ascii="宋体" w:hAnsi="宋体" w:cs="宋体"/>
          <w:b/>
          <w:bCs w:val="0"/>
          <w:color w:val="auto"/>
          <w:szCs w:val="21"/>
          <w:highlight w:val="none"/>
        </w:rPr>
        <w:t xml:space="preserve">  </w:t>
      </w:r>
      <w:r>
        <w:rPr>
          <w:rFonts w:ascii="宋体" w:hAnsi="宋体" w:cs="宋体"/>
          <w:b/>
          <w:color w:val="auto"/>
          <w:szCs w:val="21"/>
          <w:highlight w:val="none"/>
        </w:rPr>
        <w:t xml:space="preserve">    </w:t>
      </w:r>
    </w:p>
    <w:tbl>
      <w:tblPr>
        <w:tblStyle w:val="32"/>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3147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7975B2B9">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B25D54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FCDFFA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D86E3F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1712DE5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2732F74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6BAE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F6EEA5A">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55A7C5BB">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广西农业信息中心2026年度信息化运维服务前期委托咨询服务</w:t>
            </w:r>
          </w:p>
        </w:tc>
        <w:tc>
          <w:tcPr>
            <w:tcW w:w="1050" w:type="dxa"/>
            <w:vAlign w:val="center"/>
          </w:tcPr>
          <w:p w14:paraId="759832B6">
            <w:pPr>
              <w:widowControl/>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1项</w:t>
            </w:r>
          </w:p>
        </w:tc>
        <w:tc>
          <w:tcPr>
            <w:tcW w:w="1077" w:type="dxa"/>
            <w:vAlign w:val="center"/>
          </w:tcPr>
          <w:p w14:paraId="137BC94E">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软</w:t>
            </w:r>
            <w:r>
              <w:rPr>
                <w:rFonts w:ascii="宋体" w:cs="宋体"/>
                <w:color w:val="auto"/>
                <w:szCs w:val="21"/>
                <w:highlight w:val="none"/>
                <w:lang w:val="en-US" w:eastAsia="zh-CN"/>
              </w:rPr>
              <w:t>件和信息技术服务业</w:t>
            </w:r>
          </w:p>
          <w:p w14:paraId="5D39F816">
            <w:pPr>
              <w:tabs>
                <w:tab w:val="left" w:pos="180"/>
                <w:tab w:val="left" w:pos="1620"/>
              </w:tabs>
              <w:spacing w:line="360" w:lineRule="auto"/>
              <w:jc w:val="center"/>
              <w:rPr>
                <w:rFonts w:ascii="宋体" w:cs="宋体"/>
                <w:color w:val="auto"/>
                <w:szCs w:val="21"/>
                <w:highlight w:val="none"/>
              </w:rPr>
            </w:pPr>
          </w:p>
        </w:tc>
        <w:tc>
          <w:tcPr>
            <w:tcW w:w="5416" w:type="dxa"/>
          </w:tcPr>
          <w:p w14:paraId="3AC68184">
            <w:pPr>
              <w:pStyle w:val="7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项目概述</w:t>
            </w:r>
          </w:p>
          <w:p w14:paraId="266A2E3B">
            <w:pPr>
              <w:pStyle w:val="31"/>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为更好地满足农业业务发展需要，广西农业信息中心按照工作计划负责组织开展 2025 年度广西农业信息化项目建设。根据《广西壮族自治区人民政府办公厅关于印发广西政务信息化项目建设管理办法的通知》（桂政办发〔2024〕59号）、《关于印发自治区本级财政投资评审实施办法的通知》（桂财办〔2015〕70号）等文件要求，严格履行国家、自治区审批部门报审报批程序。为高效完成项目立项、财政投资评审等前期工作，现采购第三方供应商的咨询设计服务。</w:t>
            </w:r>
          </w:p>
          <w:p w14:paraId="56BD7D7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二、服务范围：</w:t>
            </w:r>
            <w:r>
              <w:rPr>
                <w:rFonts w:hint="eastAsia" w:ascii="宋体" w:hAnsi="宋体" w:eastAsia="宋体" w:cs="宋体"/>
                <w:color w:val="auto"/>
                <w:sz w:val="21"/>
                <w:szCs w:val="21"/>
                <w:highlight w:val="none"/>
              </w:rPr>
              <w:t>广西农业信息中心2026年度信息化运维服务项目，投资额约660万元。</w:t>
            </w:r>
          </w:p>
          <w:p w14:paraId="40E1199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三、服务内容</w:t>
            </w:r>
          </w:p>
          <w:p w14:paraId="552BFDB8">
            <w:pPr>
              <w:pStyle w:val="31"/>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成项目建设方案编制相关工作。根据《国务院办公厅关于印发国家政务信息化项目建设管理办法的通知》（国办发〔2019〕57号）、《广西壮族自治区人民政府办公厅关于印发广西政务信息化项目建设管理办法的通知》（桂政办发〔2024〕59号）等有关要求，负责编制信息化建设项目建设方案等项目前期立项材料，配合建设单位按照自治区本级政务信息化项目立项审批有关要求完成项目立项报批（备案）、评审等工作。</w:t>
            </w:r>
          </w:p>
          <w:p w14:paraId="590FC4F0">
            <w:pPr>
              <w:pStyle w:val="31"/>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2.协助完成项目财政投资评审相关工作。按照自治区财政厅投资评审相关要求，编制项目投资评审材料，并协助将项目投资评审材料送自治区财政厅财政投资评审中心评审。</w:t>
            </w:r>
          </w:p>
          <w:p w14:paraId="0BB3419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四、咨询设计服务技术要求</w:t>
            </w:r>
          </w:p>
          <w:p w14:paraId="5274BF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（一）能够熟练运用设计方法理论、信息资源规划（IRP）理论、UML 建模设计等方法论，组织对前期建设现状全面调研、梳理、评估，制定具有前瞻性和科学性的应用架构、技术架构、信息安全体系、运维体系等建设总体计方案。</w:t>
            </w:r>
          </w:p>
          <w:p w14:paraId="29C2CAA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熟悉国家及农业相关设计标准规范。主要包括熟悉国家、自治区关于信息化项目立项、网络安全等级保护、商用密码应用等相关法律规定，各类网络、系统接口标准等，确保架构规划、功能需求、系统性能、系统配置等方面符合相关规范要求。</w:t>
            </w:r>
          </w:p>
          <w:p w14:paraId="627A00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（三）具备方案落地执行能力。能够根据项目的建设内容，明确提出软硬件设备配置原则和系统软硬件配置设备清单，包括设备及软件性能指标及参数、数量；列出各应用系统开发工作量测算表。</w:t>
            </w:r>
          </w:p>
          <w:p w14:paraId="6AACAA2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五、咨询设计服务材料编制要求 </w:t>
            </w:r>
          </w:p>
          <w:p w14:paraId="3321ED8F">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（一）项目咨询设计编制要求（包括但不限于）</w:t>
            </w:r>
          </w:p>
          <w:p w14:paraId="083B96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1.本项目咨询设计成果应可作为后期具体子项目建设实施和招标的重要依据和指导文件，设计方案要求内容全面、合理可行。</w:t>
            </w:r>
          </w:p>
          <w:p w14:paraId="0E43F7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2.在开展设计过程中，应充分了解采购人信息化现状，基于科学的方法论对项目涉及的应用建设需求进行收集，详细掌握当前国家和自治区的要求，做好本项目设计。</w:t>
            </w:r>
          </w:p>
          <w:p w14:paraId="209F94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3.设计整体技术架构，根据项目建设实际需求测算所需的服务器、存储以及安全等资源。</w:t>
            </w:r>
          </w:p>
          <w:p w14:paraId="08E96DB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4.总体设计应符合国家及自治区有关要求。同时，设计中引用、套用国家相关专业的设计规范、标准及新的相关专业的技术标准和要求时，应准确引用和套用。</w:t>
            </w:r>
          </w:p>
          <w:p w14:paraId="24C0D5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5.应用系统设计应符合系统开放性、可维护性、支持快速迭代和演化、信创等要求。</w:t>
            </w:r>
          </w:p>
          <w:p w14:paraId="36CC722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6.设计中所配置的设备和材料，必须是具有技术成熟、性能可靠、安全适用、经济合理、兼容扩展性强等特点的优质产品。</w:t>
            </w:r>
          </w:p>
          <w:p w14:paraId="523C423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（二）项目概算编制要求（包括但不限于）</w:t>
            </w:r>
          </w:p>
          <w:p w14:paraId="5216D1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1.项目投资概算编制包括项目的总概算和各项明细费用概算，概算要科学、合理。</w:t>
            </w:r>
          </w:p>
          <w:p w14:paraId="4060BCD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概算编制依据：列举所依据的重要法律法规、文件、引用的国家标准和行业标准等名称及具体引用条款内容，并将其中必要的部分全文附后，作为报告的附件。包括概算编制的原则和依据；设备、软件的价格获取方式和确认途径；各种取费依据和标准等，并评价其合理性。</w:t>
            </w:r>
          </w:p>
          <w:p w14:paraId="1276BC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明确项目所需总投资及其构成，包括工程建设费用、工程建设其他费用和预备费。对投资概算总表中设备购置费内各分项及商业软件部分要提供“项目软硬件配置清单”，包括名称、参考型号、主要参数、数量、单价及合价等详细信息；对定制开发应用软件应根据实际需求按照软件工程的规范及要求初步测算各阶段所需工作量、不同类型的技术人员及其对应的人工费用。</w:t>
            </w:r>
          </w:p>
          <w:p w14:paraId="47CF95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4.结合项目具体情况，提出项目的资金筹措方案，并分项说明资金来源及使用计划。</w:t>
            </w:r>
          </w:p>
          <w:p w14:paraId="39A1BFB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5．按照《广西壮族自治区财政厅关于印发〈广西壮族自治区本级政务信息化建设和运维项目预算支出标准〉的通知》（桂财建 〔2023〕102号）等现行相关规范、标准等规定进行概预算书编制。</w:t>
            </w:r>
          </w:p>
          <w:p w14:paraId="1B064634">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（三）项目文件格式要求（包括但不限于）</w:t>
            </w:r>
          </w:p>
          <w:p w14:paraId="4970BC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1．整体设计文本应格式一致、名称统一，避免出现不同设计人员的不同设计风格。</w:t>
            </w:r>
          </w:p>
          <w:p w14:paraId="6F5CC13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2．设计文件应按照国家标准和部颁（行业）设计规范要求的相关原则套用。设计文件的文字、名词、计量单位等，都应采用现行的国家标准和部颁（行业）标准。</w:t>
            </w:r>
          </w:p>
          <w:p w14:paraId="484D1DC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14:paraId="7BC4E67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4．图纸要求采用Microsoft Visio 2019以上版本或AutoCAD 2016以上版本进行绘制；文档采用Microsoft Office 2019或WPS Office 2019及以上版本软件编制；计算要求采用国内外通行的商业软件，并最终形成具有公式关联计算关系的Microsoft Excel 2019或WPS表格2019及以上版本的电子表格。</w:t>
            </w:r>
          </w:p>
          <w:p w14:paraId="7D0D289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5．咨询设计文件的编制和装订应符合建设单位项目申报、归档保存要求。</w:t>
            </w:r>
          </w:p>
          <w:p w14:paraId="5D002055">
            <w:pPr>
              <w:spacing w:line="360" w:lineRule="auto"/>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六、后续服务要求</w:t>
            </w:r>
          </w:p>
          <w:p w14:paraId="467C9938">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设计成果交付后，成交供应商需跟进项目设计中所有项目建设的全过程，为建设单位提供技术咨询、设计优化等技术服务，确保建设单位的思路及总体设计意图得到实施和落实。具体要求包括但不限于以下内容：</w:t>
            </w:r>
          </w:p>
          <w:p w14:paraId="341A2415">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咨询设计方案交底：在项目建设实施过程中，对建设单位及项目承建单位进行技术交底，包括但不限于设计的设计思路、技术选型、产品功能特点、质量要求以及其他技术细节等；解答建设单位及项目承建单位提出的对设计不清楚或不明确的疑问。</w:t>
            </w:r>
          </w:p>
          <w:p w14:paraId="49C5A679">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（二）咨询设计滚动优化：在项目建设实施过程中，如发生不可预见的情况需要进行设计变更，或发现设计未能满足的内容，成交供应商应配合建设单位、承建单位及监理单位的要求开展变更工作。</w:t>
            </w:r>
          </w:p>
          <w:p w14:paraId="3567479C">
            <w:pPr>
              <w:spacing w:line="360" w:lineRule="auto"/>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七、项目服务成果要求</w:t>
            </w:r>
          </w:p>
          <w:p w14:paraId="49D6BB4F">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1.项目建设方案</w:t>
            </w:r>
          </w:p>
          <w:p w14:paraId="428AA869">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数量：若干份。</w:t>
            </w:r>
          </w:p>
          <w:p w14:paraId="7B0103C8">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提交时限要求：自启动项目建设方案编制工作后10个工作日内完成。</w:t>
            </w:r>
          </w:p>
          <w:p w14:paraId="7EBD528B">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评审要求：符合项目审批部门审批（备案）要求或建设单位要求。</w:t>
            </w:r>
          </w:p>
          <w:p w14:paraId="2F48FE07">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项目预算支出（财政投资）评审材料。</w:t>
            </w:r>
          </w:p>
          <w:p w14:paraId="04F00C4E">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数量：若干份。</w:t>
            </w:r>
          </w:p>
          <w:p w14:paraId="36397A1E">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提交时限要求：启动项目投资评审工作后10个工作日内完成。</w:t>
            </w:r>
          </w:p>
          <w:p w14:paraId="2143A371">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评审要求：符合自治区财政厅财政投资评审中心评审要求。</w:t>
            </w:r>
          </w:p>
          <w:p w14:paraId="1878E3E6">
            <w:pPr>
              <w:spacing w:line="360" w:lineRule="auto"/>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八、其它要求</w:t>
            </w:r>
          </w:p>
          <w:p w14:paraId="2D7E3006">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（一）成交供应商在编制研究过程中应对有关重要的研究结论、技术需求等及时并分阶段向采购人汇报。</w:t>
            </w:r>
          </w:p>
          <w:p w14:paraId="46FEE6B9">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（二）成交供应商必须配合采购人向审批部门、财政部门等相关部门进行项目报批（备案）、评审等相关工作。</w:t>
            </w:r>
          </w:p>
          <w:p w14:paraId="4CEB8129">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（三）成交供应商不得以任何形式向与本项目无关的其他单位或人员提供项目相关文件及所附的有关资料，如违反，必须赔偿采购人的所有损失，且采购人保留追究法律责任的权力。</w:t>
            </w:r>
          </w:p>
          <w:p w14:paraId="717CF0E7">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（四）成交供应商不得承担本项目涉及信息化项目的系统集成及相关实施、运维工作。</w:t>
            </w:r>
          </w:p>
          <w:p w14:paraId="00371AD8">
            <w:pPr>
              <w:spacing w:line="360" w:lineRule="auto"/>
              <w:ind w:firstLine="420"/>
              <w:jc w:val="left"/>
              <w:rPr>
                <w:rFonts w:hint="eastAsia" w:ascii="宋体" w:eastAsia="宋体" w:cs="宋体"/>
                <w:color w:val="auto"/>
                <w:szCs w:val="21"/>
                <w:highlight w:val="none"/>
                <w:lang w:eastAsia="zh-CN"/>
              </w:rPr>
            </w:pPr>
            <w:r>
              <w:rPr>
                <w:rFonts w:hint="eastAsia" w:ascii="宋体" w:hAnsi="宋体" w:eastAsia="宋体" w:cs="宋体"/>
                <w:color w:val="auto"/>
                <w:sz w:val="21"/>
                <w:szCs w:val="21"/>
                <w:highlight w:val="none"/>
              </w:rPr>
              <w:t>（五）本项目成果及其相关知识产权权利归采购人</w:t>
            </w:r>
            <w:r>
              <w:rPr>
                <w:rFonts w:hint="eastAsia" w:ascii="宋体" w:hAnsi="宋体" w:eastAsia="宋体" w:cs="宋体"/>
                <w:color w:val="auto"/>
                <w:sz w:val="21"/>
                <w:szCs w:val="21"/>
                <w:highlight w:val="none"/>
                <w:lang w:eastAsia="zh-CN"/>
              </w:rPr>
              <w:t>。</w:t>
            </w:r>
          </w:p>
        </w:tc>
      </w:tr>
      <w:tr w14:paraId="0BDFB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7D65B3FA">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75E3E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A5EE407">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00E7CF56">
            <w:pPr>
              <w:pStyle w:val="15"/>
              <w:spacing w:line="360" w:lineRule="auto"/>
              <w:rPr>
                <w:rFonts w:ascii="宋体" w:cs="宋体"/>
                <w:color w:val="auto"/>
                <w:kern w:val="0"/>
                <w:sz w:val="28"/>
                <w:szCs w:val="28"/>
                <w:highlight w:val="none"/>
              </w:rPr>
            </w:pPr>
            <w:r>
              <w:rPr>
                <w:rFonts w:hint="eastAsia" w:ascii="宋体" w:cs="宋体"/>
                <w:color w:val="auto"/>
                <w:kern w:val="0"/>
                <w:sz w:val="21"/>
                <w:szCs w:val="21"/>
                <w:highlight w:val="none"/>
              </w:rPr>
              <w:t>本项目报价以固定总价进行报价，即一次性报出完成本项目咨询设计过程服务费、派出工作人员的交通费、住宿费、伙食及通信补助费、税金及其他与项目相关的一切费用。如提供服务过程中产生额外费用，由供应商自行负责。</w:t>
            </w:r>
          </w:p>
        </w:tc>
      </w:tr>
      <w:tr w14:paraId="3E4DD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5CC6F8D3">
            <w:pPr>
              <w:spacing w:line="300" w:lineRule="exact"/>
              <w:jc w:val="center"/>
              <w:rPr>
                <w:rFonts w:asci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期限和地点</w:t>
            </w:r>
          </w:p>
        </w:tc>
        <w:tc>
          <w:tcPr>
            <w:tcW w:w="7614" w:type="dxa"/>
            <w:gridSpan w:val="4"/>
            <w:tcBorders>
              <w:top w:val="single" w:color="auto" w:sz="4" w:space="0"/>
              <w:left w:val="single" w:color="auto" w:sz="4" w:space="0"/>
              <w:bottom w:val="single" w:color="auto" w:sz="4" w:space="0"/>
            </w:tcBorders>
            <w:vAlign w:val="center"/>
          </w:tcPr>
          <w:p w14:paraId="2ECAAA7C">
            <w:pPr>
              <w:spacing w:line="360" w:lineRule="auto"/>
              <w:rPr>
                <w:color w:val="auto"/>
                <w:highlight w:val="none"/>
              </w:rPr>
            </w:pPr>
            <w:r>
              <w:rPr>
                <w:rFonts w:hint="eastAsia"/>
                <w:color w:val="auto"/>
                <w:highlight w:val="none"/>
              </w:rPr>
              <w:t>1.合同</w:t>
            </w:r>
            <w:r>
              <w:rPr>
                <w:rFonts w:hint="eastAsia"/>
                <w:color w:val="auto"/>
                <w:highlight w:val="none"/>
                <w:lang w:eastAsia="zh-CN"/>
              </w:rPr>
              <w:t>履约</w:t>
            </w:r>
            <w:r>
              <w:rPr>
                <w:rFonts w:hint="eastAsia"/>
                <w:color w:val="auto"/>
                <w:highlight w:val="none"/>
              </w:rPr>
              <w:t>期限：完成立项咨询设计服务的信息化项目投资评审审定，且所有项目的咨询设计服务成果通过审批部门审批（备案）或建设单位验收、财政投资评审后服务期截止。</w:t>
            </w:r>
          </w:p>
          <w:p w14:paraId="093944CE">
            <w:pPr>
              <w:pStyle w:val="15"/>
              <w:spacing w:line="360" w:lineRule="auto"/>
              <w:rPr>
                <w:rFonts w:ascii="宋体" w:cs="宋体"/>
                <w:color w:val="auto"/>
                <w:szCs w:val="21"/>
                <w:highlight w:val="none"/>
              </w:rPr>
            </w:pPr>
            <w:r>
              <w:rPr>
                <w:rFonts w:hint="eastAsia"/>
                <w:color w:val="auto"/>
                <w:highlight w:val="none"/>
              </w:rPr>
              <w:t>2.地点：</w:t>
            </w:r>
            <w:r>
              <w:rPr>
                <w:rFonts w:hint="eastAsia" w:ascii="宋体" w:hAnsi="宋体"/>
                <w:color w:val="auto"/>
                <w:szCs w:val="21"/>
                <w:highlight w:val="none"/>
              </w:rPr>
              <w:t>采购人指定地点。</w:t>
            </w:r>
          </w:p>
        </w:tc>
      </w:tr>
      <w:tr w14:paraId="7692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A99AF87">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159B76B">
            <w:pPr>
              <w:spacing w:line="360" w:lineRule="auto"/>
              <w:rPr>
                <w:color w:val="auto"/>
                <w:highlight w:val="none"/>
              </w:rPr>
            </w:pPr>
            <w:r>
              <w:rPr>
                <w:rFonts w:hint="eastAsia"/>
                <w:color w:val="auto"/>
                <w:highlight w:val="none"/>
              </w:rPr>
              <w:t>签订合同后，采购人向</w:t>
            </w:r>
            <w:r>
              <w:rPr>
                <w:rFonts w:hint="eastAsia"/>
                <w:color w:val="auto"/>
                <w:highlight w:val="none"/>
                <w:lang w:val="en-US" w:eastAsia="zh-CN"/>
              </w:rPr>
              <w:t>成交</w:t>
            </w:r>
            <w:r>
              <w:rPr>
                <w:rFonts w:hint="eastAsia"/>
                <w:color w:val="auto"/>
                <w:highlight w:val="none"/>
              </w:rPr>
              <w:t>供应商支付合同金额的</w:t>
            </w:r>
            <w:r>
              <w:rPr>
                <w:rFonts w:hint="eastAsia"/>
                <w:color w:val="auto"/>
                <w:highlight w:val="none"/>
                <w:lang w:val="en-US" w:eastAsia="zh-CN"/>
              </w:rPr>
              <w:t>4</w:t>
            </w:r>
            <w:r>
              <w:rPr>
                <w:rFonts w:hint="eastAsia"/>
                <w:color w:val="auto"/>
                <w:highlight w:val="none"/>
              </w:rPr>
              <w:t>0%；余款根据项目进度支付，于2025年12月31日前支付至合同</w:t>
            </w:r>
            <w:r>
              <w:rPr>
                <w:rFonts w:hint="eastAsia"/>
                <w:color w:val="auto"/>
                <w:highlight w:val="none"/>
                <w:lang w:val="en-US" w:eastAsia="zh-CN"/>
              </w:rPr>
              <w:t>金额的</w:t>
            </w:r>
            <w:r>
              <w:rPr>
                <w:rFonts w:hint="eastAsia"/>
                <w:color w:val="auto"/>
                <w:highlight w:val="none"/>
              </w:rPr>
              <w:t>100%。</w:t>
            </w:r>
            <w:r>
              <w:rPr>
                <w:rFonts w:hint="eastAsia"/>
                <w:color w:val="auto"/>
                <w:highlight w:val="none"/>
                <w:lang w:eastAsia="zh-CN"/>
              </w:rPr>
              <w:t>供应商自收到合同款之日起</w:t>
            </w:r>
            <w:r>
              <w:rPr>
                <w:rFonts w:hint="eastAsia"/>
                <w:color w:val="auto"/>
                <w:highlight w:val="none"/>
                <w:lang w:val="en-US" w:eastAsia="zh-CN"/>
              </w:rPr>
              <w:t>5</w:t>
            </w:r>
            <w:r>
              <w:rPr>
                <w:rFonts w:hint="eastAsia"/>
                <w:color w:val="auto"/>
                <w:highlight w:val="none"/>
                <w:lang w:eastAsia="zh-CN"/>
              </w:rPr>
              <w:t>个工作日内开具发票给采购人。</w:t>
            </w:r>
          </w:p>
        </w:tc>
      </w:tr>
      <w:tr w14:paraId="136AB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1E5641E3">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71C0C3BC">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质量保证期1年（自提交服务成果并验收合格之日起计）。</w:t>
            </w:r>
          </w:p>
          <w:p w14:paraId="537F8767">
            <w:pPr>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处理问题响应时间：接到采购人处理问题通知后2小时内到达采购人指定现场。</w:t>
            </w:r>
          </w:p>
          <w:p w14:paraId="24EA4CFD">
            <w:pPr>
              <w:spacing w:line="360" w:lineRule="auto"/>
              <w:rPr>
                <w:color w:val="auto"/>
                <w:highlight w:val="none"/>
              </w:rPr>
            </w:pPr>
            <w:r>
              <w:rPr>
                <w:rFonts w:hint="eastAsia"/>
                <w:color w:val="auto"/>
                <w:highlight w:val="none"/>
                <w:lang w:val="en-US" w:eastAsia="zh-CN"/>
              </w:rPr>
              <w:t>3.</w:t>
            </w:r>
            <w:r>
              <w:rPr>
                <w:rFonts w:hint="eastAsia"/>
                <w:color w:val="auto"/>
                <w:highlight w:val="none"/>
              </w:rPr>
              <w:t>根据工作对接会、协调会等意见相应修改完善设计内容。</w:t>
            </w:r>
          </w:p>
        </w:tc>
      </w:tr>
      <w:tr w14:paraId="2696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470077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验收标准</w:t>
            </w:r>
          </w:p>
        </w:tc>
        <w:tc>
          <w:tcPr>
            <w:tcW w:w="7614" w:type="dxa"/>
            <w:gridSpan w:val="4"/>
            <w:tcBorders>
              <w:top w:val="single" w:color="auto" w:sz="4" w:space="0"/>
              <w:left w:val="single" w:color="auto" w:sz="4" w:space="0"/>
              <w:bottom w:val="single" w:color="auto" w:sz="4" w:space="0"/>
            </w:tcBorders>
            <w:vAlign w:val="center"/>
          </w:tcPr>
          <w:p w14:paraId="0F6003D0">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1.所有项目服务成果均通过审批部门审批（备案）或建设单位验收、财政投资评审。</w:t>
            </w:r>
          </w:p>
          <w:p w14:paraId="58ABC042">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.成交供应商交付服务前应对服务做出全面检查和对验收文件进行整理，并列出清单，作为采购人验收条件依据，成交供应商不能完整交付服务成果的，必须负责补齐，否则视为未按合同约定交付服务。</w:t>
            </w:r>
          </w:p>
          <w:p w14:paraId="2457B572">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.采购人组织验收，成交供应商必须到场配合。验收合格后双方签署验收合格凭证。</w:t>
            </w:r>
          </w:p>
          <w:p w14:paraId="63103E68">
            <w:pPr>
              <w:tabs>
                <w:tab w:val="left" w:pos="180"/>
                <w:tab w:val="left" w:pos="1620"/>
              </w:tabs>
              <w:spacing w:line="360" w:lineRule="auto"/>
              <w:rPr>
                <w:rFonts w:hint="eastAsia"/>
                <w:color w:val="auto"/>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bl>
    <w:p w14:paraId="6D37D3C8">
      <w:pPr>
        <w:pStyle w:val="2"/>
        <w:spacing w:line="240" w:lineRule="auto"/>
        <w:jc w:val="left"/>
        <w:rPr>
          <w:rFonts w:ascii="宋体" w:cs="宋体"/>
          <w:color w:val="auto"/>
          <w:sz w:val="21"/>
          <w:szCs w:val="21"/>
          <w:highlight w:val="none"/>
        </w:rPr>
      </w:pPr>
    </w:p>
    <w:p w14:paraId="2729AF48">
      <w:pPr>
        <w:rPr>
          <w:rFonts w:ascii="宋体" w:cs="宋体"/>
          <w:color w:val="auto"/>
          <w:highlight w:val="none"/>
        </w:rPr>
      </w:pPr>
      <w:r>
        <w:rPr>
          <w:color w:val="auto"/>
          <w:sz w:val="24"/>
          <w:highlight w:val="none"/>
        </w:rPr>
        <w:br w:type="page"/>
      </w:r>
    </w:p>
    <w:p w14:paraId="4821FCD8">
      <w:pPr>
        <w:pStyle w:val="2"/>
        <w:rPr>
          <w:rFonts w:ascii="宋体" w:cs="宋体"/>
          <w:color w:val="auto"/>
          <w:highlight w:val="none"/>
        </w:rPr>
      </w:pPr>
      <w:bookmarkStart w:id="39" w:name="_Toc31276"/>
      <w:bookmarkStart w:id="40" w:name="_Toc9102"/>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39"/>
      <w:bookmarkEnd w:id="40"/>
    </w:p>
    <w:p w14:paraId="162193FE">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一、评审程序和评审方法</w:t>
      </w:r>
    </w:p>
    <w:p w14:paraId="5E86AC5B">
      <w:pPr>
        <w:spacing w:line="360" w:lineRule="auto"/>
        <w:ind w:firstLine="482" w:firstLineChars="200"/>
        <w:rPr>
          <w:rFonts w:ascii="宋体" w:cs="宋体"/>
          <w:b/>
          <w:bCs/>
          <w:color w:val="auto"/>
          <w:sz w:val="24"/>
          <w:highlight w:val="none"/>
        </w:rPr>
      </w:pPr>
    </w:p>
    <w:p w14:paraId="37BD04F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资格审查</w:t>
      </w:r>
    </w:p>
    <w:p w14:paraId="3754867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响应文件开启后，磋商小组依法对供应商的资格证明文件进行审查。</w:t>
      </w:r>
    </w:p>
    <w:p w14:paraId="562A8B09">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14:paraId="527C59D1">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243E96A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）查询记录和证据留存方式：通过广西政府采购云平台链接到相关查询网站进行查询及记录。</w:t>
      </w:r>
    </w:p>
    <w:p w14:paraId="26990C58">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520A97B5">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1142F9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供应商有下列情形之一的，资格审查不通过，其响应文件按无效响应处理：</w:t>
      </w:r>
    </w:p>
    <w:p w14:paraId="3D8C00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5E8B5CB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）响应文件的资格证明文件缺少任一项“供应商须知前附表”资格证明文件规定的“必须提供”的文件资料的；</w:t>
      </w:r>
    </w:p>
    <w:p w14:paraId="3176143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7E77343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E9A8A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605ED6E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符合性审查</w:t>
      </w:r>
    </w:p>
    <w:p w14:paraId="680AA982">
      <w:pPr>
        <w:spacing w:line="360" w:lineRule="auto"/>
        <w:ind w:firstLine="420" w:firstLineChars="200"/>
        <w:rPr>
          <w:rFonts w:ascii="宋体" w:cs="宋体"/>
          <w:color w:val="auto"/>
          <w:szCs w:val="21"/>
          <w:highlight w:val="none"/>
        </w:rPr>
      </w:pPr>
      <w:bookmarkStart w:id="41" w:name="_Hlk42528882"/>
      <w:r>
        <w:rPr>
          <w:rFonts w:ascii="宋体" w:hAnsi="宋体" w:cs="宋体"/>
          <w:color w:val="auto"/>
          <w:szCs w:val="21"/>
          <w:highlight w:val="none"/>
        </w:rPr>
        <w:t>2.1</w:t>
      </w:r>
      <w:r>
        <w:rPr>
          <w:rFonts w:hint="eastAsia" w:ascii="宋体" w:hAnsi="宋体" w:cs="宋体"/>
          <w:color w:val="auto"/>
          <w:szCs w:val="21"/>
          <w:highlight w:val="none"/>
        </w:rPr>
        <w:t>由磋商小组对资格审查的合格供应商的响应文件的竞标报价、商务、技术等实质性要求进行符合性审查，以确定其是否满足磋商文件的实质性要求。</w:t>
      </w:r>
    </w:p>
    <w:bookmarkEnd w:id="41"/>
    <w:p w14:paraId="7DE6A0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403DEC">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3E868D8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0D7FAF3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4854358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1F40E6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5CCEC6E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0CE0489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65B609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商务技术报价评审</w:t>
      </w:r>
    </w:p>
    <w:p w14:paraId="45425CD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5999A8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28C73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62BC69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14:paraId="39D9A2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）提交的磋商保证金无效的或者未按照磋商文件的规定提交磋商保证金；</w:t>
      </w:r>
    </w:p>
    <w:p w14:paraId="2C46E0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4613E3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14:paraId="7413A72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）未对竞标有效期作出响应或者响应文件承诺的竞标有效期不满足磋商文件要求；</w:t>
      </w:r>
    </w:p>
    <w:p w14:paraId="68E8FC5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）响应文件的实质性内容未使用中文表述、使用计量单位不符合磋商文件要求；</w:t>
      </w:r>
    </w:p>
    <w:p w14:paraId="08D0EE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60C42F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w:t>
      </w:r>
    </w:p>
    <w:p w14:paraId="7876D9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56361A5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14:paraId="2451442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）虚假竞标，或者出现其他情形而导致被磋商小组认定无效；</w:t>
      </w:r>
    </w:p>
    <w:p w14:paraId="7F6CC4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4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2"/>
    </w:p>
    <w:p w14:paraId="29F3461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）响应文件标注的项目名称或者项目编号与磋商文件标注的项目名称或者项目编号不一致的；</w:t>
      </w:r>
    </w:p>
    <w:p w14:paraId="0D4750F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）竞争性磋商文件明确不允许分包，响应文件拟分包的；</w:t>
      </w:r>
    </w:p>
    <w:p w14:paraId="2DC9DA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）未响应磋商文件实质性要求；</w:t>
      </w:r>
    </w:p>
    <w:p w14:paraId="1A30ABD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）法律、法规和磋商文件规定的其他无效情形。</w:t>
      </w:r>
    </w:p>
    <w:p w14:paraId="5B58991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0C8A6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w:t>
      </w:r>
    </w:p>
    <w:p w14:paraId="39E63A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60FFB2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5CCAC9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bookmarkStart w:id="43" w:name="_Hlk42596405"/>
      <w:r>
        <w:rPr>
          <w:rFonts w:ascii="宋体" w:hAnsi="宋体" w:cs="宋体"/>
          <w:color w:val="auto"/>
          <w:szCs w:val="21"/>
          <w:highlight w:val="none"/>
        </w:rPr>
        <w:t xml:space="preserve"> </w:t>
      </w:r>
      <w:bookmarkEnd w:id="43"/>
    </w:p>
    <w:p w14:paraId="601410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14:paraId="19BB91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）响应文件响应的标的数量及单位与竞争性磋商文件要求实质性不一致的。</w:t>
      </w:r>
    </w:p>
    <w:p w14:paraId="38A577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6A15B8D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63C4BA2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磋商程序</w:t>
      </w:r>
    </w:p>
    <w:p w14:paraId="237B74E6">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4CBDD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4D08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22E57A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A1385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49FC564">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103C6845">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124</w:t>
      </w:r>
      <w:r>
        <w:rPr>
          <w:rFonts w:hint="eastAsia" w:ascii="宋体" w:hAnsi="宋体" w:cs="宋体"/>
          <w:color w:val="auto"/>
          <w:highlight w:val="none"/>
        </w:rPr>
        <w:t>号）的规定，采用竞争性磋商采购方式采购的政府购买服务项目（含政府和社会资本合作项目），在采购过程中符合要求的供应商（社会资本）只有</w:t>
      </w:r>
      <w:r>
        <w:rPr>
          <w:rFonts w:ascii="宋体" w:hAnsi="宋体" w:cs="宋体"/>
          <w:color w:val="auto"/>
          <w:highlight w:val="none"/>
        </w:rPr>
        <w:t>2</w:t>
      </w:r>
      <w:r>
        <w:rPr>
          <w:rFonts w:hint="eastAsia" w:ascii="宋体" w:hAnsi="宋体" w:cs="宋体"/>
          <w:color w:val="auto"/>
          <w:highlight w:val="none"/>
        </w:rPr>
        <w:t>家的，竞争性磋商采购活动可以继续进行。采购过程中符合要求的供应商（社会资本）只有</w:t>
      </w:r>
      <w:r>
        <w:rPr>
          <w:rFonts w:ascii="宋体" w:hAnsi="宋体" w:cs="宋体"/>
          <w:color w:val="auto"/>
          <w:highlight w:val="none"/>
        </w:rPr>
        <w:t>1</w:t>
      </w:r>
      <w:r>
        <w:rPr>
          <w:rFonts w:hint="eastAsia" w:ascii="宋体" w:hAnsi="宋体" w:cs="宋体"/>
          <w:color w:val="auto"/>
          <w:highlight w:val="none"/>
        </w:rPr>
        <w:t>家的，采购人（项目实施机构）或者采购代理机构应当终止竞争性磋商采购活动，发布项目终止公告并说明原因，重新开展采购活动。</w:t>
      </w:r>
    </w:p>
    <w:p w14:paraId="2284B34E">
      <w:pPr>
        <w:spacing w:line="360" w:lineRule="auto"/>
        <w:ind w:firstLine="482" w:firstLineChars="200"/>
        <w:rPr>
          <w:rFonts w:ascii="宋体" w:cs="宋体"/>
          <w:color w:val="auto"/>
          <w:szCs w:val="21"/>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最后报价</w:t>
      </w:r>
    </w:p>
    <w:p w14:paraId="4CCFE5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2DE3C75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14:paraId="29F9D5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ascii="宋体" w:hAnsi="宋体" w:cs="宋体"/>
          <w:color w:val="auto"/>
          <w:highlight w:val="none"/>
        </w:rPr>
        <w:t>本章第</w:t>
      </w:r>
      <w:r>
        <w:rPr>
          <w:rFonts w:ascii="宋体" w:hAnsi="宋体" w:cs="宋体"/>
          <w:color w:val="auto"/>
          <w:highlight w:val="none"/>
        </w:rPr>
        <w:t>3.8</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5062DD5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DADACC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5B346B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651151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42509B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6AB0A3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7334C4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E34E93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比较与评价</w:t>
      </w:r>
    </w:p>
    <w:p w14:paraId="610976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9E3F44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E9958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5A5C62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174E0E0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500CD0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19FADA3A">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29B162AD">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5.6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888C76">
      <w:pPr>
        <w:spacing w:line="360" w:lineRule="auto"/>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二、评审标准</w:t>
      </w:r>
    </w:p>
    <w:p w14:paraId="4EF7B681">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4FC2F34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w:t>
      </w:r>
    </w:p>
    <w:p w14:paraId="284D8BF4">
      <w:pPr>
        <w:rPr>
          <w:rFonts w:ascii="宋体" w:hAnsi="宋体" w:cs="宋体"/>
          <w:b/>
          <w:color w:val="auto"/>
          <w:szCs w:val="21"/>
          <w:highlight w:val="none"/>
        </w:rPr>
      </w:pP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0A5A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28F6155E">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57105E09">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E801DFC">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4064E16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2D6B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734A66A">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612D3A6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2165B836">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6CCFCE2D">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7C17EA78">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1303F12E">
            <w:pPr>
              <w:rPr>
                <w:rFonts w:ascii="宋体" w:hAnsi="宋体" w:cs="宋体"/>
                <w:b/>
                <w:bCs/>
                <w:color w:val="auto"/>
                <w:szCs w:val="21"/>
                <w:highlight w:val="none"/>
              </w:rPr>
            </w:pPr>
            <w:r>
              <w:rPr>
                <w:rFonts w:hint="eastAsia" w:ascii="宋体" w:hAnsi="宋体" w:cs="宋体"/>
                <w:b/>
                <w:bCs/>
                <w:color w:val="auto"/>
                <w:szCs w:val="21"/>
                <w:highlight w:val="none"/>
              </w:rPr>
              <w:t>二、报价分（满分10分）</w:t>
            </w:r>
          </w:p>
          <w:p w14:paraId="31734C41">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622AD0AF">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248003FA">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7657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46C4BC64">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5DF19B91">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DB77050">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满分80</w:t>
            </w:r>
            <w:r>
              <w:rPr>
                <w:rFonts w:hint="eastAsia" w:ascii="宋体" w:hAnsi="宋体" w:cs="宋体"/>
                <w:b/>
                <w:color w:val="auto"/>
                <w:szCs w:val="21"/>
                <w:highlight w:val="none"/>
              </w:rPr>
              <w:t>分</w:t>
            </w:r>
          </w:p>
        </w:tc>
        <w:tc>
          <w:tcPr>
            <w:tcW w:w="1244" w:type="dxa"/>
            <w:vAlign w:val="center"/>
          </w:tcPr>
          <w:p w14:paraId="2FD8E37B">
            <w:pPr>
              <w:spacing w:line="360" w:lineRule="auto"/>
              <w:jc w:val="center"/>
              <w:rPr>
                <w:rFonts w:hint="eastAsia" w:ascii="宋体" w:eastAsia="宋体" w:cs="宋体"/>
                <w:bCs/>
                <w:color w:val="auto"/>
                <w:szCs w:val="21"/>
                <w:highlight w:val="none"/>
                <w:lang w:eastAsia="zh-CN"/>
              </w:rPr>
            </w:pPr>
            <w:r>
              <w:rPr>
                <w:rFonts w:hint="eastAsia" w:ascii="宋体" w:hAnsi="宋体" w:cs="宋体"/>
                <w:b/>
                <w:bCs w:val="0"/>
                <w:color w:val="auto"/>
                <w:kern w:val="0"/>
                <w:szCs w:val="21"/>
                <w:highlight w:val="none"/>
              </w:rPr>
              <w:t>成果时间承诺方案</w:t>
            </w:r>
            <w:r>
              <w:rPr>
                <w:rFonts w:hint="eastAsia" w:ascii="宋体" w:hAnsi="宋体" w:cs="宋体"/>
                <w:b/>
                <w:bCs w:val="0"/>
                <w:color w:val="auto"/>
                <w:kern w:val="0"/>
                <w:szCs w:val="21"/>
                <w:highlight w:val="none"/>
                <w:lang w:eastAsia="zh-CN"/>
              </w:rPr>
              <w:t>（</w:t>
            </w:r>
            <w:r>
              <w:rPr>
                <w:rFonts w:hint="eastAsia" w:ascii="宋体" w:hAnsi="宋体" w:cs="宋体"/>
                <w:b/>
                <w:bCs w:val="0"/>
                <w:color w:val="auto"/>
                <w:kern w:val="0"/>
                <w:szCs w:val="21"/>
                <w:highlight w:val="none"/>
                <w:lang w:val="en-US" w:eastAsia="zh-CN"/>
              </w:rPr>
              <w:t>满分15分</w:t>
            </w:r>
            <w:r>
              <w:rPr>
                <w:rFonts w:hint="eastAsia" w:ascii="宋体" w:hAnsi="宋体" w:cs="宋体"/>
                <w:b/>
                <w:bCs w:val="0"/>
                <w:color w:val="auto"/>
                <w:kern w:val="0"/>
                <w:szCs w:val="21"/>
                <w:highlight w:val="none"/>
                <w:lang w:eastAsia="zh-CN"/>
              </w:rPr>
              <w:t>）</w:t>
            </w:r>
          </w:p>
        </w:tc>
        <w:tc>
          <w:tcPr>
            <w:tcW w:w="5665" w:type="dxa"/>
            <w:vAlign w:val="center"/>
          </w:tcPr>
          <w:p w14:paraId="6D5661B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一档（0分）：未提供此内容的，不得分；</w:t>
            </w:r>
          </w:p>
          <w:p w14:paraId="25EF5DD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二档（5分）：服务成果交付时间承诺满足采购要求的，成果质量基本满足采购需求。</w:t>
            </w:r>
          </w:p>
          <w:p w14:paraId="6AF0733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 xml:space="preserve">三档（10分）：服务成果交付时间承诺比采购要求提前2～5天的，成果质量较好满足采购需求，素材丰富（需附具体实施进度计划图）。 </w:t>
            </w:r>
          </w:p>
          <w:p w14:paraId="30212B0B">
            <w:pPr>
              <w:spacing w:line="360" w:lineRule="auto"/>
              <w:ind w:firstLine="420" w:firstLineChars="200"/>
              <w:jc w:val="left"/>
              <w:rPr>
                <w:rFonts w:cs="宋体"/>
                <w:bCs/>
                <w:color w:val="auto"/>
                <w:highlight w:val="none"/>
              </w:rPr>
            </w:pPr>
            <w:r>
              <w:rPr>
                <w:rFonts w:hint="eastAsia" w:ascii="宋体" w:hAnsi="宋体" w:cs="宋体"/>
                <w:bCs/>
                <w:color w:val="auto"/>
                <w:highlight w:val="none"/>
              </w:rPr>
              <w:t>四档（15分）：服务成果交付时间承诺比采购要求提前5天以上的，能保质保量完成拍摄工作，且具有科学性和艺术性（需附具体实施进度计划图）。</w:t>
            </w:r>
          </w:p>
        </w:tc>
      </w:tr>
      <w:tr w14:paraId="3130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0905FB87">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33E58F1A">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66C58732">
            <w:pPr>
              <w:adjustRightInd w:val="0"/>
              <w:spacing w:line="360" w:lineRule="auto"/>
              <w:jc w:val="center"/>
              <w:textAlignment w:val="baseline"/>
              <w:rPr>
                <w:rFonts w:ascii="宋体" w:cs="宋体"/>
                <w:b/>
                <w:color w:val="auto"/>
                <w:szCs w:val="21"/>
                <w:highlight w:val="none"/>
              </w:rPr>
            </w:pPr>
          </w:p>
        </w:tc>
        <w:tc>
          <w:tcPr>
            <w:tcW w:w="1244" w:type="dxa"/>
            <w:vAlign w:val="center"/>
          </w:tcPr>
          <w:p w14:paraId="2CC35616">
            <w:pPr>
              <w:widowControl/>
              <w:snapToGrid w:val="0"/>
              <w:spacing w:line="440" w:lineRule="exact"/>
              <w:rPr>
                <w:rFonts w:hint="eastAsia" w:hAnsi="宋体" w:eastAsia="宋体" w:cs="宋体"/>
                <w:bCs/>
                <w:color w:val="auto"/>
                <w:highlight w:val="none"/>
                <w:lang w:eastAsia="zh-CN"/>
              </w:rPr>
            </w:pPr>
            <w:r>
              <w:rPr>
                <w:rFonts w:hint="eastAsia" w:ascii="宋体" w:hAnsi="宋体" w:eastAsia="宋体" w:cs="宋体"/>
                <w:b/>
                <w:bCs w:val="0"/>
                <w:color w:val="auto"/>
                <w:kern w:val="0"/>
                <w:szCs w:val="21"/>
                <w:highlight w:val="none"/>
              </w:rPr>
              <w:t>实施方案</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满分35分</w:t>
            </w:r>
            <w:r>
              <w:rPr>
                <w:rFonts w:hint="eastAsia" w:ascii="宋体" w:hAnsi="宋体" w:eastAsia="宋体" w:cs="宋体"/>
                <w:b/>
                <w:bCs w:val="0"/>
                <w:color w:val="auto"/>
                <w:kern w:val="0"/>
                <w:szCs w:val="21"/>
                <w:highlight w:val="none"/>
                <w:lang w:eastAsia="zh-CN"/>
              </w:rPr>
              <w:t>）</w:t>
            </w:r>
          </w:p>
        </w:tc>
        <w:tc>
          <w:tcPr>
            <w:tcW w:w="5665" w:type="dxa"/>
            <w:vAlign w:val="center"/>
          </w:tcPr>
          <w:p w14:paraId="0B9343BD">
            <w:pPr>
              <w:spacing w:line="400" w:lineRule="exact"/>
              <w:ind w:firstLine="420"/>
              <w:rPr>
                <w:rFonts w:ascii="宋体" w:hAnsi="宋体" w:cs="宋体"/>
                <w:bCs/>
                <w:color w:val="auto"/>
                <w:highlight w:val="none"/>
              </w:rPr>
            </w:pPr>
            <w:r>
              <w:rPr>
                <w:rFonts w:hint="eastAsia" w:ascii="宋体" w:hAnsi="宋体" w:cs="宋体"/>
                <w:bCs/>
                <w:color w:val="auto"/>
                <w:kern w:val="0"/>
                <w:szCs w:val="21"/>
                <w:highlight w:val="none"/>
              </w:rPr>
              <w:t>实施方案</w:t>
            </w:r>
            <w:r>
              <w:rPr>
                <w:rFonts w:hint="eastAsia" w:ascii="宋体" w:hAnsi="宋体" w:cs="宋体"/>
                <w:bCs/>
                <w:color w:val="auto"/>
                <w:highlight w:val="none"/>
              </w:rPr>
              <w:t>包含但不限于以下内容：①实施方案大纲、②对项目技术环境及情况的了解、③思路及需求分析、④总体设计。</w:t>
            </w:r>
          </w:p>
          <w:p w14:paraId="2B9A6514">
            <w:pPr>
              <w:spacing w:line="400" w:lineRule="exact"/>
              <w:ind w:firstLine="420"/>
              <w:rPr>
                <w:rFonts w:ascii="宋体" w:hAnsi="宋体" w:cs="宋体"/>
                <w:bCs/>
                <w:color w:val="auto"/>
                <w:highlight w:val="none"/>
              </w:rPr>
            </w:pPr>
            <w:r>
              <w:rPr>
                <w:rFonts w:hint="eastAsia" w:ascii="宋体" w:hAnsi="宋体" w:cs="宋体"/>
                <w:bCs/>
                <w:color w:val="auto"/>
                <w:highlight w:val="none"/>
              </w:rPr>
              <w:t>一档（0分）：未提供此内容的，不得分；</w:t>
            </w:r>
          </w:p>
          <w:p w14:paraId="5D248BAD">
            <w:pPr>
              <w:spacing w:line="400" w:lineRule="exact"/>
              <w:ind w:firstLine="420"/>
              <w:rPr>
                <w:rFonts w:ascii="宋体" w:hAnsi="宋体" w:cs="宋体"/>
                <w:bCs/>
                <w:color w:val="auto"/>
                <w:highlight w:val="none"/>
              </w:rPr>
            </w:pPr>
            <w:r>
              <w:rPr>
                <w:rFonts w:hint="eastAsia" w:ascii="宋体" w:hAnsi="宋体" w:cs="宋体"/>
                <w:bCs/>
                <w:color w:val="auto"/>
                <w:highlight w:val="none"/>
              </w:rPr>
              <w:t>二档（3分）：方案有缺漏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少于上述4项</w:t>
            </w:r>
            <w:r>
              <w:rPr>
                <w:rFonts w:hint="eastAsia" w:ascii="宋体" w:hAnsi="宋体" w:cs="宋体"/>
                <w:bCs/>
                <w:color w:val="auto"/>
                <w:kern w:val="0"/>
                <w:szCs w:val="21"/>
                <w:highlight w:val="none"/>
              </w:rPr>
              <w:t>）</w:t>
            </w:r>
            <w:r>
              <w:rPr>
                <w:rFonts w:hint="eastAsia" w:ascii="宋体" w:hAnsi="宋体" w:cs="宋体"/>
                <w:bCs/>
                <w:color w:val="auto"/>
                <w:highlight w:val="none"/>
              </w:rPr>
              <w:t>；</w:t>
            </w:r>
          </w:p>
          <w:p w14:paraId="5E0F5CC3">
            <w:pPr>
              <w:spacing w:line="400" w:lineRule="exact"/>
              <w:ind w:firstLine="420"/>
              <w:rPr>
                <w:rFonts w:ascii="宋体" w:hAnsi="宋体" w:cs="宋体"/>
                <w:bCs/>
                <w:color w:val="auto"/>
                <w:highlight w:val="none"/>
              </w:rPr>
            </w:pPr>
            <w:r>
              <w:rPr>
                <w:rFonts w:hint="eastAsia" w:ascii="宋体" w:hAnsi="宋体" w:cs="宋体"/>
                <w:bCs/>
                <w:color w:val="auto"/>
                <w:highlight w:val="none"/>
              </w:rPr>
              <w:t>三档（13分）：方案无缺漏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上述4项</w:t>
            </w:r>
            <w:r>
              <w:rPr>
                <w:rFonts w:hint="eastAsia" w:ascii="宋体" w:hAnsi="宋体" w:cs="宋体"/>
                <w:bCs/>
                <w:color w:val="auto"/>
                <w:kern w:val="0"/>
                <w:szCs w:val="21"/>
                <w:highlight w:val="none"/>
              </w:rPr>
              <w:t>）；</w:t>
            </w:r>
            <w:r>
              <w:rPr>
                <w:rFonts w:hint="eastAsia" w:ascii="宋体" w:hAnsi="宋体" w:cs="宋体"/>
                <w:bCs/>
                <w:color w:val="auto"/>
                <w:highlight w:val="none"/>
              </w:rPr>
              <w:t>能提出简单的实施方案大纲，基本满足采购文件要求；对项目技术环境及情况基本了解；思路及需求分析基本符合要求，但是目标及要求不够完整明确；总体设计不完善，有欠缺；</w:t>
            </w:r>
          </w:p>
          <w:p w14:paraId="0E669AC8">
            <w:pPr>
              <w:spacing w:line="400" w:lineRule="exact"/>
              <w:ind w:firstLine="420"/>
              <w:rPr>
                <w:rFonts w:ascii="宋体" w:hAnsi="宋体" w:cs="宋体"/>
                <w:bCs/>
                <w:color w:val="auto"/>
                <w:highlight w:val="none"/>
              </w:rPr>
            </w:pPr>
            <w:r>
              <w:rPr>
                <w:rFonts w:hint="eastAsia" w:ascii="宋体" w:hAnsi="宋体" w:cs="宋体"/>
                <w:bCs/>
                <w:color w:val="auto"/>
                <w:highlight w:val="none"/>
              </w:rPr>
              <w:t>四档（24分）：方案无缺漏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上述4项</w:t>
            </w:r>
            <w:r>
              <w:rPr>
                <w:rFonts w:hint="eastAsia" w:ascii="宋体" w:hAnsi="宋体" w:cs="宋体"/>
                <w:bCs/>
                <w:color w:val="auto"/>
                <w:kern w:val="0"/>
                <w:szCs w:val="21"/>
                <w:highlight w:val="none"/>
              </w:rPr>
              <w:t>）；</w:t>
            </w:r>
            <w:r>
              <w:rPr>
                <w:rFonts w:hint="eastAsia" w:ascii="宋体" w:hAnsi="宋体" w:cs="宋体"/>
                <w:bCs/>
                <w:color w:val="auto"/>
                <w:highlight w:val="none"/>
              </w:rPr>
              <w:t>在满足三档的基础上，能提出较详细实施方案大纲，有针对性技术方案；对项目环境及情况把握准确；思路清晰，需求分析合理；总体设计层次及模式相对清晰，对服务内容各方面有较详细描述；能提供原创农业素材截图3组及以上，拍摄花絮照1张及以上等，具有一定的先进性。</w:t>
            </w:r>
          </w:p>
          <w:p w14:paraId="0F5BF16A">
            <w:pPr>
              <w:spacing w:line="440" w:lineRule="exact"/>
              <w:ind w:firstLine="420" w:firstLineChars="200"/>
              <w:jc w:val="left"/>
              <w:rPr>
                <w:rFonts w:cs="宋体"/>
                <w:bCs/>
                <w:color w:val="auto"/>
                <w:highlight w:val="none"/>
              </w:rPr>
            </w:pPr>
            <w:r>
              <w:rPr>
                <w:rFonts w:hint="eastAsia" w:ascii="宋体" w:hAnsi="宋体" w:cs="宋体"/>
                <w:bCs/>
                <w:color w:val="auto"/>
                <w:highlight w:val="none"/>
              </w:rPr>
              <w:t>五档（35分）：方案无缺漏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上述4项</w:t>
            </w:r>
            <w:r>
              <w:rPr>
                <w:rFonts w:hint="eastAsia" w:ascii="宋体" w:hAnsi="宋体" w:cs="宋体"/>
                <w:bCs/>
                <w:color w:val="auto"/>
                <w:kern w:val="0"/>
                <w:szCs w:val="21"/>
                <w:highlight w:val="none"/>
              </w:rPr>
              <w:t>）；</w:t>
            </w:r>
            <w:r>
              <w:rPr>
                <w:rFonts w:hint="eastAsia" w:ascii="宋体" w:hAnsi="宋体" w:cs="宋体"/>
                <w:bCs/>
                <w:color w:val="auto"/>
                <w:highlight w:val="none"/>
              </w:rPr>
              <w:t>在满足四档的基础上，能按照本宣传项目相关要求提出全面完整、详细实施方案大纲；对项目环境及情况把握准确，有项目针对性；思路清晰，需求分析合理，业务满足项目要求，技术成熟先进；设计全面完善，总体设计层次及模式相对清晰，对服务内容各方面有较详细且全面的描述；能提供原创广西农业素材截图5组以上，并注明拍摄地点、使用设备，拍摄花絮照3张及以上。</w:t>
            </w:r>
          </w:p>
        </w:tc>
      </w:tr>
      <w:tr w14:paraId="7AD5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2FDAA8F1">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4B6F5843">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38DD5970">
            <w:pPr>
              <w:adjustRightInd w:val="0"/>
              <w:spacing w:line="360" w:lineRule="auto"/>
              <w:jc w:val="center"/>
              <w:textAlignment w:val="baseline"/>
              <w:rPr>
                <w:rFonts w:ascii="宋体" w:cs="宋体"/>
                <w:b/>
                <w:color w:val="auto"/>
                <w:szCs w:val="21"/>
                <w:highlight w:val="none"/>
              </w:rPr>
            </w:pPr>
          </w:p>
        </w:tc>
        <w:tc>
          <w:tcPr>
            <w:tcW w:w="1244" w:type="dxa"/>
            <w:vAlign w:val="center"/>
          </w:tcPr>
          <w:p w14:paraId="0E149AE3">
            <w:pPr>
              <w:snapToGrid w:val="0"/>
              <w:spacing w:line="440" w:lineRule="exact"/>
              <w:jc w:val="center"/>
              <w:rPr>
                <w:rFonts w:hint="eastAsia" w:ascii="宋体" w:eastAsia="宋体" w:cs="宋体"/>
                <w:bCs/>
                <w:color w:val="auto"/>
                <w:szCs w:val="21"/>
                <w:highlight w:val="none"/>
                <w:lang w:eastAsia="zh-CN"/>
              </w:rPr>
            </w:pPr>
            <w:r>
              <w:rPr>
                <w:rFonts w:hint="eastAsia" w:ascii="宋体" w:hAnsi="宋体" w:cs="宋体"/>
                <w:b/>
                <w:bCs w:val="0"/>
                <w:color w:val="auto"/>
                <w:kern w:val="0"/>
                <w:szCs w:val="21"/>
                <w:highlight w:val="none"/>
              </w:rPr>
              <w:t>售后服务</w:t>
            </w:r>
            <w:r>
              <w:rPr>
                <w:rFonts w:hint="eastAsia" w:ascii="宋体" w:hAnsi="宋体" w:cs="宋体"/>
                <w:b/>
                <w:bCs w:val="0"/>
                <w:color w:val="auto"/>
                <w:kern w:val="0"/>
                <w:szCs w:val="21"/>
                <w:highlight w:val="none"/>
                <w:lang w:eastAsia="zh-CN"/>
              </w:rPr>
              <w:t>（</w:t>
            </w:r>
            <w:r>
              <w:rPr>
                <w:rFonts w:hint="eastAsia" w:ascii="宋体" w:hAnsi="宋体" w:cs="宋体"/>
                <w:b/>
                <w:bCs w:val="0"/>
                <w:color w:val="auto"/>
                <w:kern w:val="0"/>
                <w:szCs w:val="21"/>
                <w:highlight w:val="none"/>
                <w:lang w:val="en-US" w:eastAsia="zh-CN"/>
              </w:rPr>
              <w:t>满分10分</w:t>
            </w:r>
            <w:r>
              <w:rPr>
                <w:rFonts w:hint="eastAsia" w:ascii="宋体" w:hAnsi="宋体" w:cs="宋体"/>
                <w:b/>
                <w:bCs w:val="0"/>
                <w:color w:val="auto"/>
                <w:kern w:val="0"/>
                <w:szCs w:val="21"/>
                <w:highlight w:val="none"/>
                <w:lang w:eastAsia="zh-CN"/>
              </w:rPr>
              <w:t>）</w:t>
            </w:r>
          </w:p>
        </w:tc>
        <w:tc>
          <w:tcPr>
            <w:tcW w:w="5665" w:type="dxa"/>
            <w:vAlign w:val="center"/>
          </w:tcPr>
          <w:p w14:paraId="1E8E4129">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售后服务包括但不限于以下内容：①</w:t>
            </w:r>
            <w:r>
              <w:rPr>
                <w:rFonts w:hint="eastAsia" w:ascii="宋体" w:hAnsi="宋体" w:cs="宋体"/>
                <w:color w:val="auto"/>
                <w:szCs w:val="21"/>
                <w:highlight w:val="none"/>
              </w:rPr>
              <w:t>售后服务支持</w:t>
            </w:r>
            <w:r>
              <w:rPr>
                <w:rFonts w:hint="eastAsia" w:ascii="宋体" w:hAnsi="宋体" w:cs="宋体"/>
                <w:bCs/>
                <w:color w:val="auto"/>
                <w:kern w:val="0"/>
                <w:szCs w:val="21"/>
                <w:highlight w:val="none"/>
              </w:rPr>
              <w:t>、②</w:t>
            </w:r>
            <w:r>
              <w:rPr>
                <w:rFonts w:hint="eastAsia" w:ascii="宋体" w:hAnsi="宋体" w:cs="宋体"/>
                <w:color w:val="auto"/>
                <w:szCs w:val="21"/>
                <w:highlight w:val="none"/>
              </w:rPr>
              <w:t>服务流程</w:t>
            </w:r>
            <w:r>
              <w:rPr>
                <w:rFonts w:hint="eastAsia" w:ascii="宋体" w:hAnsi="宋体" w:cs="宋体"/>
                <w:bCs/>
                <w:color w:val="auto"/>
                <w:kern w:val="0"/>
                <w:szCs w:val="21"/>
                <w:highlight w:val="none"/>
              </w:rPr>
              <w:t>、③</w:t>
            </w:r>
            <w:r>
              <w:rPr>
                <w:rFonts w:hint="eastAsia" w:ascii="宋体" w:hAnsi="宋体" w:cs="宋体"/>
                <w:color w:val="auto"/>
                <w:szCs w:val="21"/>
                <w:highlight w:val="none"/>
              </w:rPr>
              <w:t>保修期限</w:t>
            </w:r>
            <w:r>
              <w:rPr>
                <w:rFonts w:hint="eastAsia" w:ascii="宋体" w:hAnsi="宋体" w:cs="宋体"/>
                <w:bCs/>
                <w:color w:val="auto"/>
                <w:kern w:val="0"/>
                <w:szCs w:val="21"/>
                <w:highlight w:val="none"/>
              </w:rPr>
              <w:t>。</w:t>
            </w:r>
          </w:p>
          <w:p w14:paraId="526691D8">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bCs/>
                <w:color w:val="auto"/>
                <w:kern w:val="0"/>
                <w:szCs w:val="21"/>
                <w:highlight w:val="none"/>
              </w:rPr>
              <w:t>未提供此内容的，不得分</w:t>
            </w:r>
            <w:r>
              <w:rPr>
                <w:rFonts w:hint="eastAsia" w:ascii="宋体" w:hAnsi="宋体" w:cs="宋体"/>
                <w:color w:val="auto"/>
                <w:szCs w:val="21"/>
                <w:highlight w:val="none"/>
              </w:rPr>
              <w:t>；</w:t>
            </w:r>
          </w:p>
          <w:p w14:paraId="43F5DE0A">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二档（1分）：方案</w:t>
            </w:r>
            <w:r>
              <w:rPr>
                <w:rFonts w:hint="eastAsia" w:ascii="宋体" w:hAnsi="宋体" w:cs="宋体"/>
                <w:bCs/>
                <w:color w:val="auto"/>
                <w:kern w:val="0"/>
                <w:szCs w:val="21"/>
                <w:highlight w:val="none"/>
              </w:rPr>
              <w:t>有缺漏（</w:t>
            </w:r>
            <w:r>
              <w:rPr>
                <w:rFonts w:hint="eastAsia" w:ascii="宋体" w:hAnsi="宋体" w:cs="宋体"/>
                <w:bCs/>
                <w:color w:val="auto"/>
                <w:kern w:val="0"/>
                <w:sz w:val="20"/>
                <w:szCs w:val="21"/>
                <w:highlight w:val="none"/>
              </w:rPr>
              <w:t>少于上述3项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w:t>
            </w:r>
          </w:p>
          <w:p w14:paraId="4A5405EA">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三档（4分）：方案</w:t>
            </w:r>
            <w:r>
              <w:rPr>
                <w:rFonts w:hint="eastAsia" w:ascii="宋体" w:hAnsi="宋体" w:cs="宋体"/>
                <w:bCs/>
                <w:color w:val="auto"/>
                <w:kern w:val="0"/>
                <w:szCs w:val="21"/>
                <w:highlight w:val="none"/>
              </w:rPr>
              <w:t>无缺漏（</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有售后服务支持、服务流程、保修期限等方面内容；内容简单，不详细不全面，没有项目针对性，基本满足项目需求。</w:t>
            </w:r>
          </w:p>
          <w:p w14:paraId="1473CB83">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四档（7分）：方案</w:t>
            </w:r>
            <w:r>
              <w:rPr>
                <w:rFonts w:hint="eastAsia" w:ascii="宋体" w:hAnsi="宋体" w:cs="宋体"/>
                <w:bCs/>
                <w:color w:val="auto"/>
                <w:kern w:val="0"/>
                <w:szCs w:val="21"/>
                <w:highlight w:val="none"/>
              </w:rPr>
              <w:t>无缺漏（</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有售后服务支持、服务流程、保修期限、响应时间、故障解决等内容；内容全面，有项目针对性，满足项目需求。</w:t>
            </w:r>
          </w:p>
          <w:p w14:paraId="511AF264">
            <w:pPr>
              <w:widowControl/>
              <w:snapToGrid w:val="0"/>
              <w:spacing w:line="440" w:lineRule="exact"/>
              <w:ind w:firstLine="420" w:firstLineChars="200"/>
              <w:rPr>
                <w:color w:val="auto"/>
                <w:highlight w:val="none"/>
              </w:rPr>
            </w:pPr>
            <w:r>
              <w:rPr>
                <w:rFonts w:hint="eastAsia" w:ascii="宋体" w:hAnsi="宋体" w:cs="宋体"/>
                <w:color w:val="auto"/>
                <w:szCs w:val="21"/>
                <w:highlight w:val="none"/>
              </w:rPr>
              <w:t>五档（10分）：方案</w:t>
            </w:r>
            <w:r>
              <w:rPr>
                <w:rFonts w:hint="eastAsia" w:ascii="宋体" w:hAnsi="宋体" w:cs="宋体"/>
                <w:bCs/>
                <w:color w:val="auto"/>
                <w:kern w:val="0"/>
                <w:szCs w:val="21"/>
                <w:highlight w:val="none"/>
              </w:rPr>
              <w:t>无缺漏（</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color w:val="auto"/>
                <w:szCs w:val="21"/>
                <w:highlight w:val="none"/>
              </w:rPr>
              <w:t>有售后服务支持、服务流程、保修期限、响应时间、应急预案、保密承诺、故障解决等内容；在质保方面有较好的保证；内容详细全面且合理可行，有项目针对性，满足项目需求。</w:t>
            </w:r>
          </w:p>
        </w:tc>
      </w:tr>
      <w:tr w14:paraId="5CA9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41762FD">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43AF8508">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3D209C3D">
            <w:pPr>
              <w:adjustRightInd w:val="0"/>
              <w:spacing w:line="360" w:lineRule="auto"/>
              <w:jc w:val="center"/>
              <w:textAlignment w:val="baseline"/>
              <w:rPr>
                <w:rFonts w:ascii="宋体" w:cs="宋体"/>
                <w:b/>
                <w:color w:val="auto"/>
                <w:szCs w:val="21"/>
                <w:highlight w:val="none"/>
              </w:rPr>
            </w:pPr>
          </w:p>
        </w:tc>
        <w:tc>
          <w:tcPr>
            <w:tcW w:w="1244" w:type="dxa"/>
            <w:vAlign w:val="center"/>
          </w:tcPr>
          <w:p w14:paraId="127C1102">
            <w:pPr>
              <w:snapToGrid w:val="0"/>
              <w:spacing w:line="440" w:lineRule="exact"/>
              <w:rPr>
                <w:rFonts w:hint="eastAsia" w:ascii="宋体" w:eastAsia="宋体" w:cs="宋体"/>
                <w:bCs/>
                <w:color w:val="auto"/>
                <w:szCs w:val="21"/>
                <w:highlight w:val="none"/>
                <w:lang w:eastAsia="zh-CN"/>
              </w:rPr>
            </w:pPr>
            <w:r>
              <w:rPr>
                <w:rFonts w:hint="eastAsia" w:ascii="宋体" w:hAnsi="宋体" w:cs="宋体"/>
                <w:b/>
                <w:bCs/>
                <w:color w:val="auto"/>
                <w:kern w:val="0"/>
                <w:szCs w:val="21"/>
                <w:highlight w:val="none"/>
                <w:lang w:bidi="ar"/>
              </w:rPr>
              <w:t>拟投入人员</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val="en-US" w:eastAsia="zh-CN" w:bidi="ar"/>
              </w:rPr>
              <w:t>满分20分</w:t>
            </w:r>
            <w:r>
              <w:rPr>
                <w:rFonts w:hint="eastAsia" w:ascii="宋体" w:hAnsi="宋体" w:cs="宋体"/>
                <w:b/>
                <w:bCs/>
                <w:color w:val="auto"/>
                <w:kern w:val="0"/>
                <w:szCs w:val="21"/>
                <w:highlight w:val="none"/>
                <w:lang w:eastAsia="zh-CN" w:bidi="ar"/>
              </w:rPr>
              <w:t>）</w:t>
            </w:r>
          </w:p>
        </w:tc>
        <w:tc>
          <w:tcPr>
            <w:tcW w:w="5665" w:type="dxa"/>
          </w:tcPr>
          <w:p w14:paraId="332E2806">
            <w:pPr>
              <w:pStyle w:val="18"/>
              <w:spacing w:line="360" w:lineRule="exact"/>
              <w:ind w:firstLine="422" w:firstLineChars="200"/>
              <w:rPr>
                <w:rFonts w:hAnsi="宋体" w:cs="宋体"/>
                <w:color w:val="auto"/>
                <w:sz w:val="21"/>
                <w:highlight w:val="none"/>
              </w:rPr>
            </w:pPr>
            <w:r>
              <w:rPr>
                <w:rFonts w:hint="eastAsia" w:hAnsi="宋体" w:cs="宋体"/>
                <w:b/>
                <w:bCs/>
                <w:color w:val="auto"/>
                <w:sz w:val="21"/>
                <w:highlight w:val="none"/>
              </w:rPr>
              <w:t>1、拟投入项目负责人情况（满分7分）：</w:t>
            </w:r>
          </w:p>
          <w:p w14:paraId="0CC24433">
            <w:pPr>
              <w:pStyle w:val="18"/>
              <w:spacing w:line="360" w:lineRule="exact"/>
              <w:ind w:firstLine="420" w:firstLineChars="200"/>
              <w:rPr>
                <w:rFonts w:hAnsi="宋体" w:cs="宋体"/>
                <w:color w:val="auto"/>
                <w:sz w:val="21"/>
                <w:highlight w:val="none"/>
              </w:rPr>
            </w:pPr>
            <w:r>
              <w:rPr>
                <w:rFonts w:hint="eastAsia" w:hAnsi="宋体" w:cs="宋体"/>
                <w:color w:val="auto"/>
                <w:sz w:val="21"/>
                <w:highlight w:val="none"/>
              </w:rPr>
              <w:t>①学历：拥有本科学历及以上的，得1分；拥有大专学历的，得0.5分。满分1分。</w:t>
            </w:r>
          </w:p>
          <w:p w14:paraId="13BF2016">
            <w:pPr>
              <w:pStyle w:val="18"/>
              <w:spacing w:line="360" w:lineRule="exact"/>
              <w:ind w:firstLine="420" w:firstLineChars="200"/>
              <w:rPr>
                <w:rFonts w:hAnsi="宋体" w:cs="宋体"/>
                <w:color w:val="auto"/>
                <w:sz w:val="21"/>
                <w:highlight w:val="none"/>
              </w:rPr>
            </w:pPr>
            <w:r>
              <w:rPr>
                <w:rFonts w:hint="eastAsia" w:hAnsi="宋体" w:cs="宋体"/>
                <w:color w:val="auto"/>
                <w:sz w:val="21"/>
                <w:highlight w:val="none"/>
              </w:rPr>
              <w:t>②经验：负责过宣传片、专题片、纪录片服务的，每个业绩得2分，满分6分。</w:t>
            </w:r>
          </w:p>
          <w:p w14:paraId="263EB161">
            <w:pPr>
              <w:pStyle w:val="18"/>
              <w:spacing w:line="360" w:lineRule="exact"/>
              <w:ind w:firstLine="420" w:firstLineChars="200"/>
              <w:rPr>
                <w:rFonts w:hAnsi="宋体" w:cs="宋体"/>
                <w:b/>
                <w:bCs/>
                <w:color w:val="auto"/>
                <w:sz w:val="21"/>
                <w:highlight w:val="none"/>
              </w:rPr>
            </w:pPr>
            <w:r>
              <w:rPr>
                <w:rFonts w:hint="eastAsia" w:hAnsi="宋体" w:cs="宋体"/>
                <w:color w:val="auto"/>
                <w:sz w:val="21"/>
                <w:highlight w:val="none"/>
              </w:rPr>
              <w:t>注：响应文件中须提供拟投入项目负责人学历证明、负责过的片子网站截图或合同或成交通知书，并加盖供应商单位公章，不按要求提供证明材料不得分。</w:t>
            </w:r>
          </w:p>
          <w:p w14:paraId="4E27915B">
            <w:pPr>
              <w:pStyle w:val="18"/>
              <w:spacing w:line="360" w:lineRule="exact"/>
              <w:ind w:firstLine="422" w:firstLineChars="200"/>
              <w:rPr>
                <w:rFonts w:hAnsi="宋体" w:cs="宋体"/>
                <w:b/>
                <w:bCs/>
                <w:color w:val="auto"/>
                <w:sz w:val="21"/>
                <w:highlight w:val="none"/>
              </w:rPr>
            </w:pPr>
          </w:p>
          <w:p w14:paraId="5F0035F6">
            <w:pPr>
              <w:pStyle w:val="18"/>
              <w:spacing w:line="360" w:lineRule="exact"/>
              <w:ind w:firstLine="422" w:firstLineChars="200"/>
              <w:rPr>
                <w:rFonts w:hAnsi="宋体" w:cs="宋体"/>
                <w:b/>
                <w:bCs/>
                <w:color w:val="auto"/>
                <w:sz w:val="21"/>
                <w:highlight w:val="none"/>
              </w:rPr>
            </w:pPr>
            <w:r>
              <w:rPr>
                <w:rFonts w:hint="eastAsia" w:hAnsi="宋体" w:cs="宋体"/>
                <w:b/>
                <w:bCs/>
                <w:color w:val="auto"/>
                <w:sz w:val="21"/>
                <w:highlight w:val="none"/>
              </w:rPr>
              <w:t>2、拟投入团队成员情况（满分13分）：</w:t>
            </w:r>
          </w:p>
          <w:p w14:paraId="2622F968">
            <w:pPr>
              <w:pStyle w:val="18"/>
              <w:spacing w:line="360" w:lineRule="exact"/>
              <w:ind w:firstLine="420" w:firstLineChars="200"/>
              <w:rPr>
                <w:rFonts w:hAnsi="宋体" w:cs="宋体"/>
                <w:color w:val="auto"/>
                <w:sz w:val="21"/>
                <w:highlight w:val="none"/>
              </w:rPr>
            </w:pPr>
            <w:r>
              <w:rPr>
                <w:rFonts w:hint="eastAsia" w:hAnsi="宋体" w:cs="宋体"/>
                <w:color w:val="auto"/>
                <w:sz w:val="21"/>
                <w:highlight w:val="none"/>
              </w:rPr>
              <w:t>①拟投入团队成员数量满足项目最低配备要求（5人或以上），得1分；满分1分；</w:t>
            </w:r>
          </w:p>
          <w:p w14:paraId="26C6D8DC">
            <w:pPr>
              <w:pStyle w:val="18"/>
              <w:spacing w:line="360" w:lineRule="exact"/>
              <w:ind w:firstLine="420" w:firstLineChars="200"/>
              <w:rPr>
                <w:rFonts w:hAnsi="宋体" w:cs="宋体"/>
                <w:strike/>
                <w:color w:val="auto"/>
                <w:sz w:val="21"/>
                <w:highlight w:val="none"/>
              </w:rPr>
            </w:pPr>
            <w:r>
              <w:rPr>
                <w:rFonts w:hint="eastAsia" w:hAnsi="宋体" w:cs="宋体"/>
                <w:color w:val="auto"/>
                <w:sz w:val="21"/>
                <w:highlight w:val="none"/>
              </w:rPr>
              <w:t>②拟投入摄影师要求：拟投入本项目摄影师具有中级职称的，得1分；具有高级及以上职称的，得2分；满分2分；</w:t>
            </w:r>
          </w:p>
          <w:p w14:paraId="357A2DBD">
            <w:pPr>
              <w:pStyle w:val="18"/>
              <w:spacing w:line="360" w:lineRule="exact"/>
              <w:ind w:firstLine="420" w:firstLineChars="200"/>
              <w:rPr>
                <w:rFonts w:hAnsi="宋体" w:cs="宋体"/>
                <w:color w:val="auto"/>
                <w:sz w:val="21"/>
                <w:highlight w:val="none"/>
              </w:rPr>
            </w:pPr>
            <w:r>
              <w:rPr>
                <w:rFonts w:hint="eastAsia" w:hAnsi="宋体" w:cs="宋体"/>
                <w:color w:val="auto"/>
                <w:sz w:val="21"/>
                <w:highlight w:val="none"/>
              </w:rPr>
              <w:t>③经验：拟投入团队成员中（不含负责人）有参与过中央级媒体宣传片、专题片、纪录片制作的相关经验的，每人得2分，满分为10分。</w:t>
            </w:r>
          </w:p>
          <w:p w14:paraId="0B2A3115">
            <w:pPr>
              <w:spacing w:line="440" w:lineRule="exact"/>
              <w:ind w:firstLine="420" w:firstLineChars="200"/>
              <w:jc w:val="left"/>
              <w:rPr>
                <w:rFonts w:hAnsi="宋体"/>
                <w:color w:val="auto"/>
                <w:szCs w:val="21"/>
                <w:highlight w:val="none"/>
              </w:rPr>
            </w:pPr>
            <w:r>
              <w:rPr>
                <w:rFonts w:hint="eastAsia" w:hAnsi="宋体" w:cs="宋体"/>
                <w:color w:val="auto"/>
                <w:sz w:val="21"/>
                <w:highlight w:val="none"/>
              </w:rPr>
              <w:t>注：响应文件中须提供拟投入摄影师职称证、团队成员负责过的片子网站截图或合同或成交通知书，并加盖供应商单位公章，不按要求提供证明材料不得分。</w:t>
            </w:r>
          </w:p>
        </w:tc>
      </w:tr>
      <w:tr w14:paraId="07AD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567A3768">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41906031">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78C0E17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满分10</w:t>
            </w:r>
            <w:r>
              <w:rPr>
                <w:rFonts w:hint="eastAsia" w:ascii="宋体" w:hAnsi="宋体" w:cs="宋体"/>
                <w:b/>
                <w:color w:val="auto"/>
                <w:szCs w:val="21"/>
                <w:highlight w:val="none"/>
              </w:rPr>
              <w:t>分</w:t>
            </w:r>
          </w:p>
        </w:tc>
        <w:tc>
          <w:tcPr>
            <w:tcW w:w="6909" w:type="dxa"/>
            <w:gridSpan w:val="2"/>
            <w:vAlign w:val="center"/>
          </w:tcPr>
          <w:p w14:paraId="26B0F286">
            <w:pPr>
              <w:pStyle w:val="18"/>
              <w:spacing w:line="360" w:lineRule="exact"/>
              <w:ind w:firstLine="420" w:firstLineChars="200"/>
              <w:rPr>
                <w:rFonts w:hAnsi="宋体" w:cs="宋体"/>
                <w:color w:val="auto"/>
                <w:sz w:val="21"/>
                <w:highlight w:val="none"/>
              </w:rPr>
            </w:pPr>
            <w:r>
              <w:rPr>
                <w:rFonts w:hint="eastAsia" w:hAnsi="宋体" w:cs="宋体"/>
                <w:color w:val="auto"/>
                <w:sz w:val="21"/>
                <w:highlight w:val="none"/>
              </w:rPr>
              <w:t>供应商自202</w:t>
            </w:r>
            <w:r>
              <w:rPr>
                <w:rFonts w:hint="eastAsia" w:hAnsi="宋体" w:cs="宋体"/>
                <w:color w:val="auto"/>
                <w:sz w:val="21"/>
                <w:highlight w:val="none"/>
                <w:lang w:val="en-US" w:eastAsia="zh-CN"/>
              </w:rPr>
              <w:t>1</w:t>
            </w:r>
            <w:r>
              <w:rPr>
                <w:rFonts w:hint="eastAsia" w:hAnsi="宋体" w:cs="宋体"/>
                <w:color w:val="auto"/>
                <w:sz w:val="21"/>
                <w:highlight w:val="none"/>
              </w:rPr>
              <w:t>年以来具有同类项目业绩的，每项得2分，</w:t>
            </w:r>
            <w:r>
              <w:rPr>
                <w:rFonts w:hint="eastAsia" w:hAnsi="宋体" w:cs="宋体"/>
                <w:b/>
                <w:bCs/>
                <w:color w:val="auto"/>
                <w:sz w:val="21"/>
                <w:highlight w:val="none"/>
              </w:rPr>
              <w:t>满分10分。</w:t>
            </w:r>
          </w:p>
          <w:p w14:paraId="6609F5A2">
            <w:pPr>
              <w:pStyle w:val="91"/>
              <w:ind w:firstLine="0" w:firstLineChars="0"/>
              <w:rPr>
                <w:rFonts w:hint="eastAsia" w:eastAsia="宋体" w:cs="宋体"/>
                <w:color w:val="auto"/>
                <w:kern w:val="1"/>
                <w:sz w:val="21"/>
                <w:highlight w:val="none"/>
                <w:lang w:val="en-US" w:eastAsia="zh-CN"/>
              </w:rPr>
            </w:pPr>
            <w:r>
              <w:rPr>
                <w:rFonts w:hint="eastAsia" w:hAnsi="宋体" w:cs="宋体"/>
                <w:color w:val="auto"/>
                <w:sz w:val="21"/>
                <w:highlight w:val="none"/>
              </w:rPr>
              <w:t>注：响应文件中须提供业绩一览表、合同或中标通知书，并加盖供应商单位公章，不按要求提供证明材料不得分。</w:t>
            </w:r>
          </w:p>
        </w:tc>
      </w:tr>
      <w:tr w14:paraId="0F00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D3C1D1B">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5EC3E11C">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FAEFBD1">
      <w:pPr>
        <w:spacing w:line="360" w:lineRule="auto"/>
        <w:ind w:firstLine="422" w:firstLineChars="200"/>
        <w:rPr>
          <w:rFonts w:hint="default" w:ascii="宋体" w:eastAsia="宋体" w:cs="宋体"/>
          <w:b/>
          <w:color w:val="auto"/>
          <w:szCs w:val="21"/>
          <w:highlight w:val="none"/>
          <w:lang w:val="en-US" w:eastAsia="zh-CN"/>
        </w:rPr>
      </w:pPr>
      <w:r>
        <w:rPr>
          <w:rFonts w:hint="eastAsia" w:ascii="宋体" w:cs="宋体"/>
          <w:b/>
          <w:color w:val="auto"/>
          <w:szCs w:val="21"/>
          <w:highlight w:val="none"/>
          <w:lang w:val="en-US" w:eastAsia="zh-CN"/>
        </w:rPr>
        <w:t>分标2</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18D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7EAE25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C341407">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B53C1A7">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4EC66A6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DCB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0149F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5A54048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4BAA3A2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0分</w:t>
            </w:r>
          </w:p>
        </w:tc>
        <w:tc>
          <w:tcPr>
            <w:tcW w:w="6909" w:type="dxa"/>
            <w:gridSpan w:val="2"/>
            <w:vAlign w:val="center"/>
          </w:tcPr>
          <w:p w14:paraId="6BB9935A">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606F8CB6">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4CAECAF2">
            <w:pPr>
              <w:rPr>
                <w:rFonts w:ascii="宋体" w:hAnsi="宋体" w:cs="宋体"/>
                <w:b/>
                <w:bCs/>
                <w:color w:val="auto"/>
                <w:szCs w:val="21"/>
                <w:highlight w:val="none"/>
              </w:rPr>
            </w:pPr>
            <w:r>
              <w:rPr>
                <w:rFonts w:hint="eastAsia" w:ascii="宋体" w:hAnsi="宋体" w:cs="宋体"/>
                <w:b/>
                <w:bCs/>
                <w:color w:val="auto"/>
                <w:szCs w:val="21"/>
                <w:highlight w:val="none"/>
              </w:rPr>
              <w:t>二、报价分（满分</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w:t>
            </w:r>
          </w:p>
          <w:p w14:paraId="5DE5AE54">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5650A589">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20567D3E">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w:t>
            </w:r>
            <w:r>
              <w:rPr>
                <w:rFonts w:hint="eastAsia" w:hAnsi="宋体" w:cs="宋体"/>
                <w:bCs/>
                <w:color w:val="auto"/>
                <w:sz w:val="21"/>
                <w:highlight w:val="none"/>
                <w:lang w:val="en-US" w:eastAsia="zh-CN"/>
              </w:rPr>
              <w:t>3</w:t>
            </w:r>
            <w:r>
              <w:rPr>
                <w:rFonts w:hint="eastAsia" w:hAnsi="宋体" w:cs="宋体"/>
                <w:bCs/>
                <w:color w:val="auto"/>
                <w:sz w:val="21"/>
                <w:highlight w:val="none"/>
              </w:rPr>
              <w:t>0分</w:t>
            </w:r>
          </w:p>
        </w:tc>
      </w:tr>
      <w:tr w14:paraId="73B9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4129F18">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45D3559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2782E65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szCs w:val="21"/>
                <w:highlight w:val="none"/>
                <w:lang w:val="en-US" w:eastAsia="zh-CN"/>
              </w:rPr>
              <w:t>满分64</w:t>
            </w:r>
            <w:r>
              <w:rPr>
                <w:rFonts w:hint="eastAsia" w:ascii="宋体" w:hAnsi="宋体" w:cs="宋体"/>
                <w:b/>
                <w:bCs w:val="0"/>
                <w:color w:val="auto"/>
                <w:szCs w:val="21"/>
                <w:highlight w:val="none"/>
              </w:rPr>
              <w:t>分</w:t>
            </w:r>
          </w:p>
        </w:tc>
        <w:tc>
          <w:tcPr>
            <w:tcW w:w="1244" w:type="dxa"/>
            <w:vAlign w:val="center"/>
          </w:tcPr>
          <w:p w14:paraId="418B4C3E">
            <w:pPr>
              <w:jc w:val="center"/>
              <w:rPr>
                <w:rFonts w:ascii="宋体" w:hAnsi="宋体" w:cs="宋体"/>
                <w:bCs/>
                <w:color w:val="auto"/>
                <w:szCs w:val="21"/>
                <w:highlight w:val="none"/>
              </w:rPr>
            </w:pPr>
            <w:r>
              <w:rPr>
                <w:rFonts w:hint="eastAsia"/>
                <w:b/>
                <w:bCs/>
                <w:color w:val="auto"/>
                <w:highlight w:val="none"/>
              </w:rPr>
              <w:t>技术方案分（满分2</w:t>
            </w:r>
            <w:r>
              <w:rPr>
                <w:rFonts w:hint="eastAsia"/>
                <w:b/>
                <w:bCs/>
                <w:color w:val="auto"/>
                <w:highlight w:val="none"/>
                <w:lang w:val="en-US" w:eastAsia="zh-CN"/>
              </w:rPr>
              <w:t>1</w:t>
            </w:r>
            <w:r>
              <w:rPr>
                <w:rFonts w:hint="eastAsia"/>
                <w:b/>
                <w:bCs/>
                <w:color w:val="auto"/>
                <w:highlight w:val="none"/>
              </w:rPr>
              <w:t>分）</w:t>
            </w:r>
          </w:p>
        </w:tc>
        <w:tc>
          <w:tcPr>
            <w:tcW w:w="5665" w:type="dxa"/>
            <w:vAlign w:val="center"/>
          </w:tcPr>
          <w:p w14:paraId="2CFAD63A">
            <w:pPr>
              <w:pStyle w:val="18"/>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由磋商小组在打分前根据各供应商提供的技术方案确定各供应商所属档次及得分，达不到一档要求或不提供的得0分。</w:t>
            </w:r>
          </w:p>
          <w:p w14:paraId="1E8B8F4A">
            <w:pPr>
              <w:pStyle w:val="18"/>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一档（7分）：基本理解能够理解本项目的建设背景、目标、范围；基本把握本项目的技术重点、难点，基本满足项目需求。</w:t>
            </w:r>
          </w:p>
          <w:p w14:paraId="61B84275">
            <w:pPr>
              <w:pStyle w:val="18"/>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二档（1</w:t>
            </w:r>
            <w:r>
              <w:rPr>
                <w:rFonts w:hint="eastAsia" w:hAnsi="宋体" w:cs="宋体"/>
                <w:bCs/>
                <w:color w:val="auto"/>
                <w:sz w:val="21"/>
                <w:highlight w:val="none"/>
                <w:lang w:val="en-US" w:eastAsia="zh-CN"/>
              </w:rPr>
              <w:t>4</w:t>
            </w:r>
            <w:r>
              <w:rPr>
                <w:rFonts w:hint="eastAsia" w:hAnsi="宋体" w:cs="宋体"/>
                <w:bCs/>
                <w:color w:val="auto"/>
                <w:sz w:val="21"/>
                <w:highlight w:val="none"/>
              </w:rPr>
              <w:t>分）：较准确理解本项目的建设背景、目标、范围；能够把握本项目的技术重点、难点；提出了比较全面可行的质量控制；提出有利于该项目进展的意见和建议，较好满足项目建设需要。</w:t>
            </w:r>
          </w:p>
          <w:p w14:paraId="7FF13805">
            <w:pPr>
              <w:pStyle w:val="18"/>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三档（21分）：准确理解本项目的建设背景、目标、范围；准确把握本项目的技术重点、难点；提出了详细、全面可行的质量控制、提供了保证项目顺利完成的保障措施；提出有利于该项目进展的意见和建议，方案详细合理、针对性及可操作性强，很好满足项目建设需要。</w:t>
            </w:r>
          </w:p>
        </w:tc>
      </w:tr>
      <w:tr w14:paraId="785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AC823A6">
            <w:pPr>
              <w:adjustRightInd w:val="0"/>
              <w:spacing w:line="360" w:lineRule="auto"/>
              <w:jc w:val="center"/>
              <w:textAlignment w:val="baseline"/>
              <w:rPr>
                <w:rFonts w:ascii="宋体" w:hAnsi="宋体" w:cs="宋体"/>
                <w:b/>
                <w:color w:val="auto"/>
                <w:szCs w:val="21"/>
                <w:highlight w:val="none"/>
              </w:rPr>
            </w:pPr>
            <w:bookmarkStart w:id="44" w:name="OLE_LINK19" w:colFirst="4" w:colLast="4"/>
          </w:p>
        </w:tc>
        <w:tc>
          <w:tcPr>
            <w:tcW w:w="1280" w:type="dxa"/>
            <w:vMerge w:val="continue"/>
            <w:vAlign w:val="center"/>
          </w:tcPr>
          <w:p w14:paraId="5B5096C1">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384E87F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2311032">
            <w:pPr>
              <w:spacing w:line="360" w:lineRule="auto"/>
              <w:jc w:val="center"/>
              <w:rPr>
                <w:rFonts w:ascii="宋体" w:hAnsi="宋体" w:cs="宋体"/>
                <w:bCs/>
                <w:color w:val="auto"/>
                <w:szCs w:val="21"/>
                <w:highlight w:val="none"/>
              </w:rPr>
            </w:pPr>
            <w:r>
              <w:rPr>
                <w:rFonts w:hint="eastAsia" w:ascii="宋体" w:hAnsi="宋体" w:cs="宋体"/>
                <w:b/>
                <w:bCs w:val="0"/>
                <w:color w:val="auto"/>
                <w:szCs w:val="21"/>
                <w:highlight w:val="none"/>
              </w:rPr>
              <w:t>实施方案分（满分21分）</w:t>
            </w:r>
          </w:p>
        </w:tc>
        <w:tc>
          <w:tcPr>
            <w:tcW w:w="5665" w:type="dxa"/>
            <w:vAlign w:val="center"/>
          </w:tcPr>
          <w:p w14:paraId="27446CAE">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由磋商小组在打分前根据各供应商提供的实施方案分确定各供应商所属档次及得分，达不到一档要求或不提供的得0分。</w:t>
            </w:r>
          </w:p>
          <w:p w14:paraId="76EA73AB">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一档（7分）：项目实施方案基本满足采购要求。</w:t>
            </w:r>
          </w:p>
          <w:p w14:paraId="344C7C17">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分）：项目实施方案包含有项目组织计划、进度计划、保障措施等，措施切实可行，有明确的工程进度，项目管理制度及方法严谨，廉洁承诺较详细。</w:t>
            </w:r>
          </w:p>
          <w:p w14:paraId="7595268C">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三档（21分）：项目实施方案包含有项目组织计划、进度计划等，且描述了保障措施的方法和实现方式并且考虑周全完整，有明确的工程进度和管理措施。</w:t>
            </w:r>
          </w:p>
        </w:tc>
      </w:tr>
      <w:bookmarkEnd w:id="44"/>
      <w:tr w14:paraId="23D4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6FC6A2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95E0124">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955777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7D568178">
            <w:pPr>
              <w:spacing w:line="360" w:lineRule="auto"/>
              <w:jc w:val="center"/>
              <w:rPr>
                <w:rFonts w:ascii="宋体" w:hAnsi="宋体" w:cs="宋体"/>
                <w:bCs/>
                <w:color w:val="auto"/>
                <w:szCs w:val="21"/>
                <w:highlight w:val="none"/>
              </w:rPr>
            </w:pPr>
            <w:r>
              <w:rPr>
                <w:rFonts w:hint="eastAsia" w:ascii="宋体" w:hAnsi="宋体" w:cs="宋体"/>
                <w:b/>
                <w:bCs/>
                <w:color w:val="auto"/>
                <w:highlight w:val="none"/>
                <w:lang w:val="en-US" w:eastAsia="zh-CN"/>
              </w:rPr>
              <w:t>后续</w:t>
            </w:r>
            <w:r>
              <w:rPr>
                <w:rFonts w:hint="eastAsia" w:ascii="宋体" w:hAnsi="宋体" w:cs="宋体"/>
                <w:b/>
                <w:bCs/>
                <w:color w:val="auto"/>
                <w:highlight w:val="none"/>
              </w:rPr>
              <w:t>服务方案分（满分18分）</w:t>
            </w:r>
          </w:p>
        </w:tc>
        <w:tc>
          <w:tcPr>
            <w:tcW w:w="5665" w:type="dxa"/>
            <w:vAlign w:val="center"/>
          </w:tcPr>
          <w:p w14:paraId="400A53F7">
            <w:pPr>
              <w:spacing w:line="360" w:lineRule="auto"/>
              <w:ind w:firstLine="420" w:firstLineChars="200"/>
              <w:jc w:val="left"/>
              <w:rPr>
                <w:rFonts w:hint="eastAsia" w:ascii="宋体" w:hAnsi="宋体" w:cs="宋体"/>
                <w:color w:val="auto"/>
                <w:kern w:val="0"/>
                <w:szCs w:val="21"/>
                <w:highlight w:val="none"/>
              </w:rPr>
            </w:pPr>
            <w:r>
              <w:rPr>
                <w:rFonts w:hint="eastAsia"/>
                <w:color w:val="auto"/>
                <w:szCs w:val="21"/>
                <w:highlight w:val="none"/>
              </w:rPr>
              <w:t>由磋商小组在打分前根据供应商的</w:t>
            </w:r>
            <w:r>
              <w:rPr>
                <w:rFonts w:hint="eastAsia"/>
                <w:color w:val="auto"/>
                <w:szCs w:val="21"/>
                <w:highlight w:val="none"/>
                <w:lang w:val="en-US" w:eastAsia="zh-CN"/>
              </w:rPr>
              <w:t>后续</w:t>
            </w:r>
            <w:r>
              <w:rPr>
                <w:rFonts w:hint="eastAsia"/>
                <w:color w:val="auto"/>
                <w:szCs w:val="21"/>
                <w:highlight w:val="none"/>
              </w:rPr>
              <w:t>服务方案确定各供应商所属档次及得分。达不到一档要求或不提供的得0分。</w:t>
            </w:r>
          </w:p>
          <w:p w14:paraId="0B7B9B7F">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一档（6分）：提供有服务方案，方案包含有项目服务维护和应急保障方案，且方案可行；</w:t>
            </w:r>
          </w:p>
          <w:p w14:paraId="76B8D374">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二档（12分）：提供有服务方案，方案包含有项目服务维护、应急保障方案、保密承诺及廉洁承诺等，且描述了项目维护和应急保障方案的方法以及实现方式，方案可行；     </w:t>
            </w:r>
          </w:p>
          <w:p w14:paraId="150FA351">
            <w:pPr>
              <w:spacing w:line="360" w:lineRule="auto"/>
              <w:ind w:firstLine="420" w:firstLineChars="200"/>
              <w:jc w:val="left"/>
              <w:rPr>
                <w:rFonts w:hAnsi="宋体" w:cs="宋体"/>
                <w:color w:val="auto"/>
                <w:sz w:val="21"/>
                <w:highlight w:val="none"/>
              </w:rPr>
            </w:pPr>
            <w:r>
              <w:rPr>
                <w:rFonts w:hint="eastAsia" w:ascii="宋体" w:hAnsi="宋体"/>
                <w:bCs/>
                <w:color w:val="auto"/>
                <w:szCs w:val="21"/>
                <w:highlight w:val="none"/>
              </w:rPr>
              <w:t xml:space="preserve">三档（18分）：提供有服务方案，方案包含有项目售后维护、应急保障方案、保密承诺及廉洁承诺等，且描述了项目售后维护和应急保障方案的方法以及实现方式，售后服务机构及联系人、技术人员名单等资料详细，服务承诺和保障措施考虑周全完整，有额外优惠服务。 </w:t>
            </w:r>
          </w:p>
        </w:tc>
      </w:tr>
      <w:tr w14:paraId="7A8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940AD1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2536D1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CE72389">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C9BB7DA">
            <w:pPr>
              <w:spacing w:line="360" w:lineRule="auto"/>
              <w:jc w:val="center"/>
              <w:rPr>
                <w:rFonts w:ascii="宋体" w:hAnsi="宋体" w:cs="宋体"/>
                <w:bCs/>
                <w:color w:val="auto"/>
                <w:szCs w:val="21"/>
                <w:highlight w:val="none"/>
              </w:rPr>
            </w:pPr>
            <w:r>
              <w:rPr>
                <w:rFonts w:hint="eastAsia" w:ascii="宋体" w:hAnsi="宋体" w:eastAsia="宋体" w:cs="宋体"/>
                <w:b/>
                <w:bCs/>
                <w:color w:val="auto"/>
                <w:sz w:val="21"/>
                <w:szCs w:val="21"/>
                <w:highlight w:val="none"/>
              </w:rPr>
              <w:t>拟投入</w:t>
            </w:r>
            <w:r>
              <w:rPr>
                <w:rFonts w:hint="eastAsia" w:ascii="宋体" w:hAnsi="宋体" w:eastAsia="宋体" w:cs="宋体"/>
                <w:b/>
                <w:bCs/>
                <w:color w:val="auto"/>
                <w:sz w:val="21"/>
                <w:szCs w:val="21"/>
                <w:highlight w:val="none"/>
                <w:lang w:val="en-US" w:eastAsia="zh-CN"/>
              </w:rPr>
              <w:t>项目经理</w:t>
            </w:r>
            <w:r>
              <w:rPr>
                <w:rFonts w:hint="eastAsia" w:ascii="宋体" w:hAnsi="宋体" w:eastAsia="宋体" w:cs="宋体"/>
                <w:b/>
                <w:bCs/>
                <w:color w:val="auto"/>
                <w:sz w:val="21"/>
                <w:szCs w:val="21"/>
                <w:highlight w:val="none"/>
              </w:rPr>
              <w:t>（满分4分）</w:t>
            </w:r>
          </w:p>
        </w:tc>
        <w:tc>
          <w:tcPr>
            <w:tcW w:w="5665" w:type="dxa"/>
            <w:vAlign w:val="center"/>
          </w:tcPr>
          <w:p w14:paraId="5C871348">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为保证项目服务质量，强调供应商对系统开发能力以及运维项目的实践经验，供应商为本项目配置的项目经理（负责人），参与过类似项目管理，需同时提供合同复印件（合同复印件中能反映出项目经理参与情况）（每提供一个项目的证明得2分，</w:t>
            </w:r>
            <w:r>
              <w:rPr>
                <w:rFonts w:hint="eastAsia" w:ascii="宋体" w:hAnsi="宋体"/>
                <w:b/>
                <w:bCs w:val="0"/>
                <w:color w:val="auto"/>
                <w:szCs w:val="21"/>
                <w:highlight w:val="none"/>
              </w:rPr>
              <w:t>满分4分</w:t>
            </w:r>
            <w:r>
              <w:rPr>
                <w:rFonts w:hint="eastAsia" w:ascii="宋体" w:hAnsi="宋体"/>
                <w:bCs/>
                <w:color w:val="auto"/>
                <w:szCs w:val="21"/>
                <w:highlight w:val="none"/>
              </w:rPr>
              <w:t>）。</w:t>
            </w:r>
          </w:p>
          <w:p w14:paraId="1B340951">
            <w:pPr>
              <w:spacing w:line="360" w:lineRule="auto"/>
              <w:ind w:firstLine="420" w:firstLineChars="200"/>
              <w:jc w:val="left"/>
              <w:rPr>
                <w:rFonts w:hAnsi="宋体" w:cs="宋体"/>
                <w:color w:val="auto"/>
                <w:sz w:val="21"/>
                <w:highlight w:val="none"/>
              </w:rPr>
            </w:pPr>
            <w:r>
              <w:rPr>
                <w:rFonts w:hint="eastAsia" w:ascii="宋体" w:hAnsi="宋体"/>
                <w:bCs/>
                <w:color w:val="auto"/>
                <w:szCs w:val="21"/>
                <w:highlight w:val="none"/>
              </w:rPr>
              <w:t>注：项目经理须提供相关证书证件，同时须提供</w:t>
            </w:r>
            <w:r>
              <w:rPr>
                <w:rFonts w:hint="eastAsia" w:ascii="宋体" w:hAnsi="宋体"/>
                <w:bCs/>
                <w:color w:val="auto"/>
                <w:szCs w:val="21"/>
                <w:highlight w:val="none"/>
                <w:lang w:eastAsia="zh-CN"/>
              </w:rPr>
              <w:t>供应商为拟投入</w:t>
            </w:r>
            <w:r>
              <w:rPr>
                <w:rFonts w:hint="eastAsia" w:ascii="宋体" w:hAnsi="宋体"/>
                <w:bCs/>
                <w:color w:val="auto"/>
                <w:szCs w:val="21"/>
                <w:highlight w:val="none"/>
                <w:lang w:val="en-US" w:eastAsia="zh-CN"/>
              </w:rPr>
              <w:t>项目经理</w:t>
            </w:r>
            <w:r>
              <w:rPr>
                <w:rFonts w:hint="eastAsia" w:ascii="宋体" w:hAnsi="宋体"/>
                <w:bCs/>
                <w:color w:val="auto"/>
                <w:szCs w:val="21"/>
                <w:highlight w:val="none"/>
                <w:lang w:eastAsia="zh-CN"/>
              </w:rPr>
              <w:t>缴纳的2025年1月-7月期间任意1个月有效社保证明（如拟投入</w:t>
            </w:r>
            <w:r>
              <w:rPr>
                <w:rFonts w:hint="eastAsia" w:ascii="宋体" w:hAnsi="宋体"/>
                <w:bCs/>
                <w:color w:val="auto"/>
                <w:szCs w:val="21"/>
                <w:highlight w:val="none"/>
                <w:lang w:val="en-US" w:eastAsia="zh-CN"/>
              </w:rPr>
              <w:t>项目经理</w:t>
            </w:r>
            <w:r>
              <w:rPr>
                <w:rFonts w:hint="eastAsia" w:ascii="宋体" w:hAnsi="宋体"/>
                <w:bCs/>
                <w:color w:val="auto"/>
                <w:szCs w:val="21"/>
                <w:highlight w:val="none"/>
                <w:lang w:eastAsia="zh-CN"/>
              </w:rPr>
              <w:t>属于退休人员返聘无社保证明的，需提供退休证、返聘证明；如供应商为截标时间前60日以内成立的公司或</w:t>
            </w:r>
            <w:r>
              <w:rPr>
                <w:rFonts w:hint="eastAsia" w:ascii="宋体" w:hAnsi="宋体"/>
                <w:bCs/>
                <w:color w:val="auto"/>
                <w:szCs w:val="21"/>
                <w:highlight w:val="none"/>
                <w:lang w:val="en-US" w:eastAsia="zh-CN"/>
              </w:rPr>
              <w:t>拟投入项目经理</w:t>
            </w:r>
            <w:r>
              <w:rPr>
                <w:rFonts w:hint="eastAsia" w:ascii="宋体" w:hAnsi="宋体"/>
                <w:bCs/>
                <w:color w:val="auto"/>
                <w:szCs w:val="21"/>
                <w:highlight w:val="none"/>
                <w:lang w:eastAsia="zh-CN"/>
              </w:rPr>
              <w:t>为近一个月（指竞标截止之日当日前一个月）内入职的新员工的，可以提供供应商与项目实施人员签订的劳动合同的原件或复印件扫描件代替社保证明。）。</w:t>
            </w:r>
            <w:r>
              <w:rPr>
                <w:rFonts w:hint="eastAsia" w:ascii="宋体" w:hAnsi="宋体"/>
                <w:bCs/>
                <w:color w:val="auto"/>
                <w:szCs w:val="21"/>
                <w:highlight w:val="none"/>
              </w:rPr>
              <w:t>否则不得分。</w:t>
            </w:r>
          </w:p>
        </w:tc>
      </w:tr>
      <w:tr w14:paraId="4C70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AAA1AD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1054ED1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60C7917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满分6</w:t>
            </w:r>
            <w:r>
              <w:rPr>
                <w:rFonts w:hint="eastAsia" w:ascii="宋体" w:hAnsi="宋体" w:cs="宋体"/>
                <w:b/>
                <w:color w:val="auto"/>
                <w:kern w:val="0"/>
                <w:szCs w:val="21"/>
                <w:highlight w:val="none"/>
              </w:rPr>
              <w:t>分</w:t>
            </w:r>
          </w:p>
        </w:tc>
        <w:tc>
          <w:tcPr>
            <w:tcW w:w="6909" w:type="dxa"/>
            <w:gridSpan w:val="2"/>
            <w:vAlign w:val="center"/>
          </w:tcPr>
          <w:p w14:paraId="6946F8C4">
            <w:pPr>
              <w:pStyle w:val="91"/>
              <w:ind w:firstLine="0" w:firstLineChars="0"/>
              <w:rPr>
                <w:rFonts w:cs="宋体"/>
                <w:color w:val="auto"/>
                <w:sz w:val="21"/>
                <w:highlight w:val="none"/>
              </w:rPr>
            </w:pPr>
            <w:r>
              <w:rPr>
                <w:rFonts w:hint="eastAsia" w:cs="宋体"/>
                <w:color w:val="auto"/>
                <w:sz w:val="21"/>
                <w:highlight w:val="none"/>
              </w:rPr>
              <w:t>供应商202</w:t>
            </w:r>
            <w:r>
              <w:rPr>
                <w:rFonts w:hint="eastAsia" w:cs="宋体"/>
                <w:color w:val="auto"/>
                <w:sz w:val="21"/>
                <w:highlight w:val="none"/>
                <w:lang w:val="en-US" w:eastAsia="zh-CN"/>
              </w:rPr>
              <w:t>1</w:t>
            </w:r>
            <w:r>
              <w:rPr>
                <w:rFonts w:hint="eastAsia" w:cs="宋体"/>
                <w:color w:val="auto"/>
                <w:sz w:val="21"/>
                <w:highlight w:val="none"/>
              </w:rPr>
              <w:t>年以来有同类业绩每项得2分，</w:t>
            </w:r>
            <w:r>
              <w:rPr>
                <w:rFonts w:hint="eastAsia" w:cs="宋体"/>
                <w:b/>
                <w:bCs/>
                <w:color w:val="auto"/>
                <w:sz w:val="21"/>
                <w:highlight w:val="none"/>
              </w:rPr>
              <w:t>满分6分</w:t>
            </w:r>
            <w:r>
              <w:rPr>
                <w:rFonts w:hint="eastAsia" w:cs="宋体"/>
                <w:b w:val="0"/>
                <w:bCs w:val="0"/>
                <w:color w:val="auto"/>
                <w:sz w:val="21"/>
                <w:highlight w:val="none"/>
              </w:rPr>
              <w:t>（</w:t>
            </w:r>
            <w:r>
              <w:rPr>
                <w:rFonts w:hint="eastAsia" w:cs="宋体"/>
                <w:color w:val="auto"/>
                <w:sz w:val="21"/>
                <w:highlight w:val="none"/>
              </w:rPr>
              <w:t>请提供合同或成交通知书复印件，并加盖供应商公章，否则不得分）。</w:t>
            </w:r>
          </w:p>
        </w:tc>
      </w:tr>
      <w:tr w14:paraId="0AB2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6C677B66">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5618F17E">
      <w:pPr>
        <w:rPr>
          <w:rFonts w:ascii="宋体" w:cs="宋体"/>
          <w:bCs/>
          <w:color w:val="auto"/>
          <w:szCs w:val="21"/>
          <w:highlight w:val="none"/>
        </w:rPr>
      </w:pPr>
    </w:p>
    <w:p w14:paraId="5D4580CD">
      <w:pPr>
        <w:spacing w:line="360" w:lineRule="auto"/>
        <w:rPr>
          <w:rFonts w:ascii="宋体" w:cs="宋体"/>
          <w:bCs/>
          <w:color w:val="auto"/>
          <w:szCs w:val="21"/>
          <w:highlight w:val="none"/>
        </w:rPr>
      </w:pPr>
    </w:p>
    <w:p w14:paraId="4323F385">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762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607CCD0">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0724636E">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3607F78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0E40823B">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7187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A98ECC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6B06693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674BB28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5D3D2DE6">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28064C8B">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282B2DCE">
            <w:pPr>
              <w:rPr>
                <w:rFonts w:ascii="宋体" w:hAnsi="宋体" w:cs="宋体"/>
                <w:b/>
                <w:bCs/>
                <w:color w:val="auto"/>
                <w:szCs w:val="21"/>
                <w:highlight w:val="none"/>
              </w:rPr>
            </w:pPr>
            <w:r>
              <w:rPr>
                <w:rFonts w:hint="eastAsia" w:ascii="宋体" w:hAnsi="宋体" w:cs="宋体"/>
                <w:b/>
                <w:bCs/>
                <w:color w:val="auto"/>
                <w:szCs w:val="21"/>
                <w:highlight w:val="none"/>
              </w:rPr>
              <w:t>二、报价分（满分10分）</w:t>
            </w:r>
          </w:p>
          <w:p w14:paraId="14020688">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7E6F43FE">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294229F1">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06A9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944C83A">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5933319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3E314C2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满分75</w:t>
            </w:r>
            <w:r>
              <w:rPr>
                <w:rFonts w:hint="eastAsia" w:ascii="宋体" w:hAnsi="宋体" w:cs="宋体"/>
                <w:b/>
                <w:color w:val="auto"/>
                <w:szCs w:val="21"/>
                <w:highlight w:val="none"/>
              </w:rPr>
              <w:t>分</w:t>
            </w:r>
          </w:p>
        </w:tc>
        <w:tc>
          <w:tcPr>
            <w:tcW w:w="1244" w:type="dxa"/>
            <w:vAlign w:val="center"/>
          </w:tcPr>
          <w:p w14:paraId="3B4AB3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rPr>
              <w:t>技术方案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满分35分</w:t>
            </w:r>
            <w:r>
              <w:rPr>
                <w:rFonts w:hint="eastAsia" w:ascii="宋体" w:hAnsi="宋体" w:eastAsia="宋体" w:cs="宋体"/>
                <w:b/>
                <w:bCs w:val="0"/>
                <w:color w:val="auto"/>
                <w:sz w:val="21"/>
                <w:szCs w:val="21"/>
                <w:highlight w:val="none"/>
                <w:lang w:eastAsia="zh-CN"/>
              </w:rPr>
              <w:t>）</w:t>
            </w:r>
          </w:p>
        </w:tc>
        <w:tc>
          <w:tcPr>
            <w:tcW w:w="5665" w:type="dxa"/>
            <w:vAlign w:val="center"/>
          </w:tcPr>
          <w:p w14:paraId="7FB440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技术方案包含但不限于以下各项内容：①日常运维、②功能提升、③运维人员方案。</w:t>
            </w:r>
          </w:p>
          <w:p w14:paraId="46950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49F5B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二档（3分）：方案有缺漏（少于上述3项）；</w:t>
            </w:r>
          </w:p>
          <w:p w14:paraId="29163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13分）：方案无缺漏（上述3项）；方案内容不全面完整、不合理准确；日常运维简单不详细，内容不明确不完整；功能提升措施简单不完整；运维人员配置安排不合理（运维人员数量2人及以上），工作内容不全面不详细；未能针对项目特性提出专业有效的方案，仅能满足项目采购要求；</w:t>
            </w:r>
          </w:p>
          <w:p w14:paraId="343E2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24分）：方案无缺漏（上述3项）；方案内容完整、合理准确，日常运维完整；功能提升措施完整；运维人员配置安排合理（运维人员数量3人及以上），工作内容全面；能针对项目特性提出专业有效的方案，能满足项目采购要求；</w:t>
            </w:r>
          </w:p>
          <w:p w14:paraId="744A9A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档（35分）：方案无缺漏（上述3项）；方案内容全面完整且合理可行；日常运维详细完整且合理可行；功能提升措施完整且有效；运维人员配置安排合理（运维人员数量5人及以上），工作内容项目全面且合理；能确保项目服务质量，每项工作都有专人负责，并能定期向采购人反馈运营执行情况及达成情况的，能针对项目特性提出专业有效的方案，能很好满足项目采购要求。</w:t>
            </w:r>
          </w:p>
        </w:tc>
      </w:tr>
      <w:tr w14:paraId="31FF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D6A0B5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60A0442">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0FDF685E">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24DB8C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rPr>
              <w:t>项目实施方案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满分30分）</w:t>
            </w:r>
          </w:p>
        </w:tc>
        <w:tc>
          <w:tcPr>
            <w:tcW w:w="5665" w:type="dxa"/>
            <w:vAlign w:val="center"/>
          </w:tcPr>
          <w:p w14:paraId="50311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项目实施方案包含但不限于以下内容：①项目组织机构、②质量及进度保障措施、③管理方案、④数据安全保障方案。</w:t>
            </w:r>
          </w:p>
          <w:p w14:paraId="7E8C9B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560EF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二档（2分）：方案有缺漏（少于上述4项）；</w:t>
            </w:r>
          </w:p>
          <w:p w14:paraId="4B4769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10分）：方案无缺漏（上述4项）；方案内容不全面完整、不合理准确；项目组织机构不完整；质量及进度保障措施不合理有效；管理方案不合理不完整；数据安全保障方案不合理；未能针对项目特性提出专业有效的方案，仅能满足项目采购要求；</w:t>
            </w:r>
          </w:p>
          <w:p w14:paraId="6E654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20分）：方案无缺漏（上述4项）；方案内容完整、合理准确；项目组织机构完整；质量及进度保障措施合理但简单；管理方案完整；数据安全保障方案合理；能针对项目特性提出专业有效的方案，能满足项目采购要求；</w:t>
            </w:r>
          </w:p>
          <w:p w14:paraId="1DD77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五档（30分）：方案无缺漏（上述4项）；方案内容全面完整且合理可行；项目组织机构合理完整；质量及进度保障措施详细且合理有效；管理方案详细且合理完整；数据安全保障方案合理且有合理的对应措施；能确保项目服务质量，每项工作实施重点难点都能清晰考虑且有具体对应措施的，能针对项目特性提出专业有效的方案，能很好满足项目采购要求。</w:t>
            </w:r>
          </w:p>
        </w:tc>
      </w:tr>
      <w:tr w14:paraId="3BBE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01FC6A0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A0AF7FB">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6B084C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5FFC60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rPr>
              <w:t>服务方案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tc>
        <w:tc>
          <w:tcPr>
            <w:tcW w:w="5665" w:type="dxa"/>
            <w:vAlign w:val="center"/>
          </w:tcPr>
          <w:p w14:paraId="08E263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服务方案包括但不限于以下内容：①售后服务内容承诺、②响应方式、③响应时间、④售后服务点设置情况、⑤应急保障措施。</w:t>
            </w:r>
          </w:p>
          <w:p w14:paraId="42C58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w:t>
            </w:r>
            <w:r>
              <w:rPr>
                <w:rFonts w:hint="eastAsia" w:ascii="宋体" w:hAnsi="宋体" w:eastAsia="宋体" w:cs="宋体"/>
                <w:bCs/>
                <w:color w:val="auto"/>
                <w:sz w:val="21"/>
                <w:szCs w:val="21"/>
                <w:highlight w:val="none"/>
              </w:rPr>
              <w:t>未提供此内容的，不得分</w:t>
            </w:r>
            <w:r>
              <w:rPr>
                <w:rFonts w:hint="eastAsia" w:ascii="宋体" w:hAnsi="宋体" w:eastAsia="宋体" w:cs="宋体"/>
                <w:color w:val="auto"/>
                <w:sz w:val="21"/>
                <w:szCs w:val="21"/>
                <w:highlight w:val="none"/>
              </w:rPr>
              <w:t>；</w:t>
            </w:r>
          </w:p>
          <w:p w14:paraId="6DDAA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二档（1分）：方案</w:t>
            </w:r>
            <w:r>
              <w:rPr>
                <w:rFonts w:hint="eastAsia" w:ascii="宋体" w:hAnsi="宋体" w:eastAsia="宋体" w:cs="宋体"/>
                <w:bCs/>
                <w:color w:val="auto"/>
                <w:sz w:val="21"/>
                <w:szCs w:val="21"/>
                <w:highlight w:val="none"/>
              </w:rPr>
              <w:t>有缺漏（少于上述5项），不能满足项目采购要求</w:t>
            </w:r>
            <w:r>
              <w:rPr>
                <w:rFonts w:hint="eastAsia" w:ascii="宋体" w:hAnsi="宋体" w:eastAsia="宋体" w:cs="宋体"/>
                <w:color w:val="auto"/>
                <w:sz w:val="21"/>
                <w:szCs w:val="21"/>
                <w:highlight w:val="none"/>
              </w:rPr>
              <w:t>；</w:t>
            </w:r>
          </w:p>
          <w:p w14:paraId="266F5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三档（4分）：方案</w:t>
            </w:r>
            <w:r>
              <w:rPr>
                <w:rFonts w:hint="eastAsia" w:ascii="宋体" w:hAnsi="宋体" w:eastAsia="宋体" w:cs="宋体"/>
                <w:bCs/>
                <w:color w:val="auto"/>
                <w:sz w:val="21"/>
                <w:szCs w:val="21"/>
                <w:highlight w:val="none"/>
              </w:rPr>
              <w:t>无缺漏（上述5项）；方案内容不全面完整、不合理准确，售后服务内容承诺不合理不完整，响应方式单一，响应时间不合理，售后服务点设置情况不合理，应急保障措施不合理不完整，</w:t>
            </w:r>
            <w:r>
              <w:rPr>
                <w:rFonts w:hint="eastAsia" w:ascii="宋体" w:hAnsi="宋体" w:eastAsia="宋体" w:cs="宋体"/>
                <w:color w:val="auto"/>
                <w:sz w:val="21"/>
                <w:szCs w:val="21"/>
                <w:highlight w:val="none"/>
              </w:rPr>
              <w:t>未</w:t>
            </w:r>
            <w:r>
              <w:rPr>
                <w:rFonts w:hint="eastAsia" w:ascii="宋体" w:hAnsi="宋体" w:eastAsia="宋体" w:cs="宋体"/>
                <w:bCs/>
                <w:color w:val="auto"/>
                <w:sz w:val="21"/>
                <w:szCs w:val="21"/>
                <w:highlight w:val="none"/>
              </w:rPr>
              <w:t>能针对项目特性提出专业有效的方案，仅能满足项目采购要求；</w:t>
            </w:r>
          </w:p>
          <w:p w14:paraId="284204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四档（7分）：方案</w:t>
            </w:r>
            <w:r>
              <w:rPr>
                <w:rFonts w:hint="eastAsia" w:ascii="宋体" w:hAnsi="宋体" w:eastAsia="宋体" w:cs="宋体"/>
                <w:bCs/>
                <w:color w:val="auto"/>
                <w:sz w:val="21"/>
                <w:szCs w:val="21"/>
                <w:highlight w:val="none"/>
              </w:rPr>
              <w:t>无缺漏（上述5项）；方案内容完整、合理准确，售后服务内容承诺完整，响应方式完整，响应时间合理，售后服务点设置情况合理，应急保障措施合理</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能针对项目特性提出专业有效的方案，能满足项目采购要求；</w:t>
            </w:r>
          </w:p>
          <w:p w14:paraId="6BF43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五档（10分）：方案</w:t>
            </w:r>
            <w:r>
              <w:rPr>
                <w:rFonts w:hint="eastAsia" w:ascii="宋体" w:hAnsi="宋体" w:eastAsia="宋体" w:cs="宋体"/>
                <w:bCs/>
                <w:color w:val="auto"/>
                <w:sz w:val="21"/>
                <w:szCs w:val="21"/>
                <w:highlight w:val="none"/>
              </w:rPr>
              <w:t>无缺漏（上述5项）；</w:t>
            </w:r>
            <w:r>
              <w:rPr>
                <w:rFonts w:hint="eastAsia" w:ascii="宋体" w:hAnsi="宋体" w:eastAsia="宋体" w:cs="宋体"/>
                <w:color w:val="auto"/>
                <w:sz w:val="21"/>
                <w:szCs w:val="21"/>
                <w:highlight w:val="none"/>
              </w:rPr>
              <w:t>方案内容全面完整且合理可行，</w:t>
            </w:r>
            <w:r>
              <w:rPr>
                <w:rFonts w:hint="eastAsia" w:ascii="宋体" w:hAnsi="宋体" w:eastAsia="宋体" w:cs="宋体"/>
                <w:bCs/>
                <w:color w:val="auto"/>
                <w:sz w:val="21"/>
                <w:szCs w:val="21"/>
                <w:highlight w:val="none"/>
              </w:rPr>
              <w:t>售后服务内容承诺详细完整且合理，响应方式完整，响应时间优于采购文件要求，售后服务点设置情况合理可行，</w:t>
            </w:r>
            <w:r>
              <w:rPr>
                <w:rFonts w:hint="eastAsia" w:ascii="宋体" w:hAnsi="宋体" w:eastAsia="宋体" w:cs="宋体"/>
                <w:color w:val="auto"/>
                <w:sz w:val="21"/>
                <w:szCs w:val="21"/>
                <w:highlight w:val="none"/>
              </w:rPr>
              <w:t>应急保障措施详细具体</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客服保障措施详细具体</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能确保项目服务质量，</w:t>
            </w:r>
            <w:r>
              <w:rPr>
                <w:rFonts w:hint="eastAsia" w:ascii="宋体" w:hAnsi="宋体" w:eastAsia="宋体" w:cs="宋体"/>
                <w:bCs/>
                <w:color w:val="auto"/>
                <w:sz w:val="21"/>
                <w:szCs w:val="21"/>
                <w:highlight w:val="none"/>
              </w:rPr>
              <w:t>能针对项目特性提出专业有效的方案</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能很好满足项目采购要求</w:t>
            </w:r>
            <w:r>
              <w:rPr>
                <w:rFonts w:hint="eastAsia" w:ascii="宋体" w:hAnsi="宋体" w:eastAsia="宋体" w:cs="宋体"/>
                <w:color w:val="auto"/>
                <w:sz w:val="21"/>
                <w:szCs w:val="21"/>
                <w:highlight w:val="none"/>
              </w:rPr>
              <w:t>。</w:t>
            </w:r>
          </w:p>
        </w:tc>
      </w:tr>
      <w:tr w14:paraId="25C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4B504B8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779525F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246354A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w:t>
            </w: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分</w:t>
            </w:r>
          </w:p>
        </w:tc>
        <w:tc>
          <w:tcPr>
            <w:tcW w:w="6909" w:type="dxa"/>
            <w:gridSpan w:val="2"/>
            <w:vAlign w:val="center"/>
          </w:tcPr>
          <w:p w14:paraId="7C7C8786">
            <w:pPr>
              <w:pStyle w:val="91"/>
              <w:ind w:firstLine="0" w:firstLineChars="0"/>
              <w:rPr>
                <w:rFonts w:cs="宋体"/>
                <w:color w:val="auto"/>
                <w:sz w:val="21"/>
                <w:highlight w:val="none"/>
              </w:rPr>
            </w:pPr>
            <w:r>
              <w:rPr>
                <w:rFonts w:hint="eastAsia" w:cs="宋体"/>
                <w:color w:val="auto"/>
                <w:sz w:val="21"/>
                <w:highlight w:val="none"/>
              </w:rPr>
              <w:t>供应商自202</w:t>
            </w:r>
            <w:r>
              <w:rPr>
                <w:rFonts w:hint="eastAsia" w:cs="宋体"/>
                <w:color w:val="auto"/>
                <w:sz w:val="21"/>
                <w:highlight w:val="none"/>
                <w:lang w:val="en-US" w:eastAsia="zh-CN"/>
              </w:rPr>
              <w:t>1</w:t>
            </w:r>
            <w:r>
              <w:rPr>
                <w:rFonts w:hint="eastAsia" w:cs="宋体"/>
                <w:color w:val="auto"/>
                <w:sz w:val="21"/>
                <w:highlight w:val="none"/>
              </w:rPr>
              <w:t>年以来具有同类项目业绩的，每项得</w:t>
            </w:r>
            <w:r>
              <w:rPr>
                <w:rFonts w:hint="eastAsia" w:cs="宋体"/>
                <w:color w:val="auto"/>
                <w:sz w:val="21"/>
                <w:highlight w:val="none"/>
                <w:lang w:val="en-US" w:eastAsia="zh-CN"/>
              </w:rPr>
              <w:t>5</w:t>
            </w:r>
            <w:r>
              <w:rPr>
                <w:rFonts w:hint="eastAsia" w:cs="宋体"/>
                <w:color w:val="auto"/>
                <w:sz w:val="21"/>
                <w:highlight w:val="none"/>
              </w:rPr>
              <w:t>分，</w:t>
            </w:r>
            <w:r>
              <w:rPr>
                <w:rFonts w:hint="eastAsia" w:cs="宋体"/>
                <w:b/>
                <w:bCs/>
                <w:color w:val="auto"/>
                <w:sz w:val="21"/>
                <w:highlight w:val="none"/>
              </w:rPr>
              <w:t>满分15分。</w:t>
            </w:r>
          </w:p>
          <w:p w14:paraId="140E42BE">
            <w:pPr>
              <w:pStyle w:val="91"/>
              <w:ind w:firstLine="0" w:firstLineChars="0"/>
              <w:rPr>
                <w:rFonts w:cs="宋体"/>
                <w:color w:val="auto"/>
                <w:sz w:val="21"/>
                <w:highlight w:val="none"/>
              </w:rPr>
            </w:pPr>
            <w:r>
              <w:rPr>
                <w:rFonts w:hint="eastAsia" w:cs="宋体"/>
                <w:color w:val="auto"/>
                <w:sz w:val="21"/>
                <w:highlight w:val="none"/>
              </w:rPr>
              <w:t>注：响应文件中须提供业绩一览表、合同或中标通知书，并加盖供应商单位公章，不按要求提供证明材料不得分。</w:t>
            </w:r>
          </w:p>
        </w:tc>
      </w:tr>
      <w:tr w14:paraId="324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097D51E8">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6B598510">
      <w:pPr>
        <w:rPr>
          <w:rFonts w:ascii="宋体" w:cs="宋体"/>
          <w:bCs/>
          <w:color w:val="auto"/>
          <w:szCs w:val="21"/>
          <w:highlight w:val="none"/>
        </w:rPr>
      </w:pPr>
    </w:p>
    <w:p w14:paraId="62EE5C11">
      <w:pPr>
        <w:rPr>
          <w:rFonts w:ascii="宋体" w:cs="宋体"/>
          <w:b/>
          <w:color w:val="auto"/>
          <w:szCs w:val="21"/>
          <w:highlight w:val="none"/>
        </w:rPr>
      </w:pPr>
    </w:p>
    <w:p w14:paraId="6156AD83">
      <w:pPr>
        <w:rPr>
          <w:rFonts w:ascii="宋体" w:cs="宋体"/>
          <w:b/>
          <w:color w:val="auto"/>
          <w:szCs w:val="21"/>
          <w:highlight w:val="none"/>
        </w:rPr>
      </w:pPr>
    </w:p>
    <w:p w14:paraId="7D09ABB0">
      <w:pPr>
        <w:rPr>
          <w:rFonts w:ascii="宋体" w:hAnsi="宋体" w:cs="宋体"/>
          <w:b/>
          <w:color w:val="auto"/>
          <w:szCs w:val="21"/>
          <w:highlight w:val="none"/>
        </w:rPr>
      </w:pPr>
    </w:p>
    <w:p w14:paraId="73F215AE">
      <w:pPr>
        <w:rPr>
          <w:rFonts w:ascii="宋体" w:hAnsi="宋体" w:cs="宋体"/>
          <w:b/>
          <w:color w:val="auto"/>
          <w:szCs w:val="21"/>
          <w:highlight w:val="none"/>
        </w:rPr>
      </w:pPr>
    </w:p>
    <w:p w14:paraId="00DE0569">
      <w:pPr>
        <w:rPr>
          <w:rFonts w:ascii="宋体" w:hAnsi="宋体" w:cs="宋体"/>
          <w:b/>
          <w:color w:val="auto"/>
          <w:szCs w:val="21"/>
          <w:highlight w:val="none"/>
        </w:rPr>
      </w:pPr>
    </w:p>
    <w:p w14:paraId="1C04D225">
      <w:pPr>
        <w:rPr>
          <w:rFonts w:ascii="宋体" w:hAnsi="宋体" w:cs="宋体"/>
          <w:b/>
          <w:color w:val="auto"/>
          <w:szCs w:val="21"/>
          <w:highlight w:val="none"/>
        </w:rPr>
      </w:pPr>
    </w:p>
    <w:p w14:paraId="3CAA3C69">
      <w:pPr>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28C8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4C70169">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27AAE4FE">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D0D87A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1049AE0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0AD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5D549CA8">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282A83A3">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429D5B2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1</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1580C8A3">
            <w:pPr>
              <w:pStyle w:val="18"/>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296BE31">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05F542F8">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C85555B">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8C52457">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1</w:t>
            </w:r>
            <w:r>
              <w:rPr>
                <w:b/>
                <w:bCs/>
                <w:color w:val="auto"/>
                <w:highlight w:val="none"/>
              </w:rPr>
              <w:t>0</w:t>
            </w:r>
            <w:r>
              <w:rPr>
                <w:rFonts w:hint="eastAsia"/>
                <w:b/>
                <w:bCs/>
                <w:color w:val="auto"/>
                <w:highlight w:val="none"/>
              </w:rPr>
              <w:t>分）</w:t>
            </w:r>
          </w:p>
          <w:p w14:paraId="5124704C">
            <w:pPr>
              <w:pStyle w:val="18"/>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1E7FF653">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20D1C942">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int="eastAsia" w:hAnsi="宋体" w:cs="宋体"/>
                <w:bCs/>
                <w:color w:val="auto"/>
                <w:sz w:val="21"/>
                <w:highlight w:val="none"/>
                <w:lang w:val="en-US" w:eastAsia="zh-CN"/>
              </w:rPr>
              <w:t>1</w:t>
            </w:r>
            <w:r>
              <w:rPr>
                <w:rFonts w:hAnsi="宋体" w:cs="宋体"/>
                <w:bCs/>
                <w:color w:val="auto"/>
                <w:sz w:val="21"/>
                <w:highlight w:val="none"/>
              </w:rPr>
              <w:t>0</w:t>
            </w:r>
            <w:r>
              <w:rPr>
                <w:rFonts w:hint="eastAsia" w:hAnsi="宋体" w:cs="宋体"/>
                <w:bCs/>
                <w:color w:val="auto"/>
                <w:sz w:val="21"/>
                <w:highlight w:val="none"/>
              </w:rPr>
              <w:t>分</w:t>
            </w:r>
          </w:p>
        </w:tc>
      </w:tr>
      <w:tr w14:paraId="5F6B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3370CF3F">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1437FC62">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11390F4">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满分75</w:t>
            </w:r>
            <w:r>
              <w:rPr>
                <w:rFonts w:hint="eastAsia" w:ascii="宋体" w:hAnsi="宋体" w:cs="宋体"/>
                <w:b/>
                <w:color w:val="auto"/>
                <w:szCs w:val="21"/>
                <w:highlight w:val="none"/>
              </w:rPr>
              <w:t>分</w:t>
            </w:r>
          </w:p>
        </w:tc>
        <w:tc>
          <w:tcPr>
            <w:tcW w:w="1244" w:type="dxa"/>
            <w:vAlign w:val="center"/>
          </w:tcPr>
          <w:p w14:paraId="1D07B1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rPr>
              <w:t>技术方案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满分25分</w:t>
            </w:r>
            <w:r>
              <w:rPr>
                <w:rFonts w:hint="eastAsia" w:ascii="宋体" w:hAnsi="宋体" w:eastAsia="宋体" w:cs="宋体"/>
                <w:b/>
                <w:bCs w:val="0"/>
                <w:color w:val="auto"/>
                <w:sz w:val="21"/>
                <w:szCs w:val="21"/>
                <w:highlight w:val="none"/>
                <w:lang w:eastAsia="zh-CN"/>
              </w:rPr>
              <w:t>）</w:t>
            </w:r>
            <w:bookmarkStart w:id="153" w:name="_GoBack"/>
            <w:bookmarkEnd w:id="153"/>
          </w:p>
        </w:tc>
        <w:tc>
          <w:tcPr>
            <w:tcW w:w="5665" w:type="dxa"/>
            <w:vAlign w:val="center"/>
          </w:tcPr>
          <w:p w14:paraId="1F91B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技术方案包含但不限于以下各项内容：①项目理解、②项目的技术重点、难点、③质量控制、④项目进展的意见和建议。</w:t>
            </w:r>
          </w:p>
          <w:p w14:paraId="1D8C0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48781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二档（2分）：方案有缺漏（少于上述4项）；</w:t>
            </w:r>
          </w:p>
          <w:p w14:paraId="3EAE3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三档（9分）：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4项）；对本项目的建设背景、目标、范围理解不准确；本项目的技术重点、难点了解不全面不详细；质量控制不合理、不全面；提出该项目进展的意见和建议没有项目针对性，不全面不合理；基本满足项目需求。</w:t>
            </w:r>
          </w:p>
          <w:p w14:paraId="025B6B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四档（17分）：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无缺漏（上述4项）；较准确理解本项目的建设背景、目标、范围；能够把握本项目的技术重点、难点；提出了比较全面可行的质量控制；提出有利于该项目进展的意见和建议，满足项目建设需要。</w:t>
            </w:r>
          </w:p>
          <w:p w14:paraId="00C75B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五档（25分）：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4项）；准确理解本项目的建设背景、目标、范围；准确把握本项目的技术重点、难点；提出了详细、全面可行的质量控制、提供了保证项目顺利完成的保障措施；提出有利于该项目进展的意见和建议，方案详细合理、针对性及可操作性强，很好满足项目建设需要。</w:t>
            </w:r>
          </w:p>
        </w:tc>
      </w:tr>
      <w:tr w14:paraId="5E4D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1A25B6B5">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6B0F2A60">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4235A200">
            <w:pPr>
              <w:adjustRightInd w:val="0"/>
              <w:spacing w:line="360" w:lineRule="auto"/>
              <w:jc w:val="center"/>
              <w:textAlignment w:val="baseline"/>
              <w:rPr>
                <w:rFonts w:ascii="宋体" w:cs="宋体"/>
                <w:b/>
                <w:color w:val="auto"/>
                <w:szCs w:val="21"/>
                <w:highlight w:val="none"/>
              </w:rPr>
            </w:pPr>
          </w:p>
        </w:tc>
        <w:tc>
          <w:tcPr>
            <w:tcW w:w="1244" w:type="dxa"/>
            <w:vAlign w:val="center"/>
          </w:tcPr>
          <w:p w14:paraId="749832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rPr>
              <w:t>实施方案</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满分25分</w:t>
            </w:r>
            <w:r>
              <w:rPr>
                <w:rFonts w:hint="eastAsia" w:ascii="宋体" w:hAnsi="宋体" w:eastAsia="宋体" w:cs="宋体"/>
                <w:b/>
                <w:bCs w:val="0"/>
                <w:color w:val="auto"/>
                <w:sz w:val="21"/>
                <w:szCs w:val="21"/>
                <w:highlight w:val="none"/>
                <w:lang w:eastAsia="zh-CN"/>
              </w:rPr>
              <w:t>）</w:t>
            </w:r>
          </w:p>
        </w:tc>
        <w:tc>
          <w:tcPr>
            <w:tcW w:w="5665" w:type="dxa"/>
            <w:vAlign w:val="center"/>
          </w:tcPr>
          <w:p w14:paraId="276A85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实施方案包含但不限于以下内容：①组织计划、②进度计划、③保障措施、④项目管理制度、⑤廉洁承诺。</w:t>
            </w:r>
          </w:p>
          <w:p w14:paraId="3C374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162B60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二档（2分）：方案有缺漏（少于上述5项）；</w:t>
            </w:r>
          </w:p>
          <w:p w14:paraId="5770B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三档（9分）：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无缺漏（上述5项）；项目实施方案基本满足采购要求。</w:t>
            </w:r>
          </w:p>
          <w:p w14:paraId="7EB78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四档（17分）：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5项）；项目组织计划详细；进度计划清晰；保障措施合理，措施切实可行；项目管理制度及方法严谨；廉洁承诺较详细；实施方案整体项目针对性、关联性好，基本能针对项目特性提出专业有效的内容，内容基本合理，满足项目采购要求；</w:t>
            </w:r>
          </w:p>
          <w:p w14:paraId="53B971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五档（25分）：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5项）；项目组织计划详细全面且合理可行；进度计划清晰合理，有项目针对性；有详细且有效的保障措施方法和实现方式，且考虑周全完整；项目管理制度及方法严谨，有项目针对性。实施方案整体项目针对性、关联性好、高，能针对项目特性提出专业有效的内容，内容合理准确，满足项目采购要求。</w:t>
            </w:r>
          </w:p>
        </w:tc>
      </w:tr>
      <w:tr w14:paraId="29C3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07501302">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8C98FCF">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7BAFB4D7">
            <w:pPr>
              <w:adjustRightInd w:val="0"/>
              <w:spacing w:line="360" w:lineRule="auto"/>
              <w:jc w:val="center"/>
              <w:textAlignment w:val="baseline"/>
              <w:rPr>
                <w:rFonts w:ascii="宋体" w:cs="宋体"/>
                <w:b/>
                <w:color w:val="auto"/>
                <w:szCs w:val="21"/>
                <w:highlight w:val="none"/>
              </w:rPr>
            </w:pPr>
          </w:p>
        </w:tc>
        <w:tc>
          <w:tcPr>
            <w:tcW w:w="1244" w:type="dxa"/>
            <w:vAlign w:val="center"/>
          </w:tcPr>
          <w:p w14:paraId="1B2DD00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后续</w:t>
            </w:r>
            <w:r>
              <w:rPr>
                <w:rFonts w:hint="eastAsia" w:ascii="宋体" w:hAnsi="宋体" w:eastAsia="宋体" w:cs="宋体"/>
                <w:b/>
                <w:bCs w:val="0"/>
                <w:color w:val="auto"/>
                <w:sz w:val="21"/>
                <w:szCs w:val="21"/>
                <w:highlight w:val="none"/>
              </w:rPr>
              <w:t>服务</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tc>
        <w:tc>
          <w:tcPr>
            <w:tcW w:w="5665" w:type="dxa"/>
            <w:vAlign w:val="center"/>
          </w:tcPr>
          <w:p w14:paraId="4E7D3A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后续</w:t>
            </w:r>
            <w:r>
              <w:rPr>
                <w:rFonts w:hint="eastAsia" w:ascii="宋体" w:hAnsi="宋体" w:eastAsia="宋体" w:cs="宋体"/>
                <w:bCs/>
                <w:color w:val="auto"/>
                <w:sz w:val="21"/>
                <w:szCs w:val="21"/>
                <w:highlight w:val="none"/>
              </w:rPr>
              <w:t>服务包括但不限于以下内容：①服务维护、②应急保障方案、③保密承诺及廉洁承诺。</w:t>
            </w:r>
          </w:p>
          <w:p w14:paraId="459A5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24833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二档（1分）：方案有缺漏（少于上述3项）；</w:t>
            </w:r>
          </w:p>
          <w:p w14:paraId="3AEF8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三档（4分）：方案无缺漏（上述3项）；项目服务维护简单不详细不全面；应急保障方案不详细不全面，不合理有效；保密承诺及廉洁承诺简单，考虑不细致不全面；整体方案基本满足项目采购要求；</w:t>
            </w:r>
          </w:p>
          <w:p w14:paraId="5685B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四档（7分）：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 xml:space="preserve">无缺漏（上述3项）；项目服务维护全面；应急保障方案全面；保密承诺及廉洁承诺全面；整体方案满足项目采购要求；     </w:t>
            </w:r>
          </w:p>
          <w:p w14:paraId="6A890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五档（10分）：</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无缺漏（上述3项）；项目服务维护详细全面且合理可行，售后服务机构及联系人、技术人员名单等资料详细；应急保障方案详细全面，措施合理有效；保密承诺及廉洁承诺合理可行，考虑细致全面；整体方案满足项目采购要求。</w:t>
            </w:r>
          </w:p>
        </w:tc>
      </w:tr>
      <w:tr w14:paraId="53E2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B936FBE">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5416B698">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2E7352CA">
            <w:pPr>
              <w:adjustRightInd w:val="0"/>
              <w:spacing w:line="360" w:lineRule="auto"/>
              <w:jc w:val="center"/>
              <w:textAlignment w:val="baseline"/>
              <w:rPr>
                <w:rFonts w:ascii="宋体" w:cs="宋体"/>
                <w:b/>
                <w:color w:val="auto"/>
                <w:szCs w:val="21"/>
                <w:highlight w:val="none"/>
              </w:rPr>
            </w:pPr>
          </w:p>
        </w:tc>
        <w:tc>
          <w:tcPr>
            <w:tcW w:w="1244" w:type="dxa"/>
            <w:vAlign w:val="center"/>
          </w:tcPr>
          <w:p w14:paraId="3C6CE6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仿宋_GB2312" w:cs="宋体"/>
                <w:bCs/>
                <w:color w:val="auto"/>
                <w:sz w:val="21"/>
                <w:szCs w:val="21"/>
                <w:highlight w:val="none"/>
                <w:lang w:val="en-US" w:eastAsia="zh-CN"/>
              </w:rPr>
            </w:pPr>
            <w:r>
              <w:rPr>
                <w:rFonts w:hint="eastAsia" w:ascii="宋体" w:hAnsi="宋体" w:eastAsia="宋体" w:cs="宋体"/>
                <w:b/>
                <w:bCs/>
                <w:color w:val="auto"/>
                <w:sz w:val="21"/>
                <w:szCs w:val="21"/>
                <w:highlight w:val="none"/>
              </w:rPr>
              <w:t>拟投入人员</w:t>
            </w:r>
            <w:r>
              <w:rPr>
                <w:rFonts w:hint="eastAsia" w:ascii="宋体" w:hAnsi="宋体" w:eastAsia="宋体" w:cs="宋体"/>
                <w:b/>
                <w:bCs/>
                <w:color w:val="auto"/>
                <w:sz w:val="21"/>
                <w:szCs w:val="21"/>
                <w:highlight w:val="none"/>
                <w:lang w:val="en-US" w:eastAsia="zh-CN"/>
              </w:rPr>
              <w:t>配置（满分15分）</w:t>
            </w:r>
          </w:p>
        </w:tc>
        <w:tc>
          <w:tcPr>
            <w:tcW w:w="5665" w:type="dxa"/>
            <w:vAlign w:val="center"/>
          </w:tcPr>
          <w:p w14:paraId="6C42EB33">
            <w:pPr>
              <w:pStyle w:val="91"/>
              <w:ind w:firstLine="420" w:firstLineChars="200"/>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由磋商小组在打分前根据供应商的</w:t>
            </w:r>
            <w:r>
              <w:rPr>
                <w:rFonts w:hint="eastAsia" w:cs="宋体"/>
                <w:color w:val="auto"/>
                <w:kern w:val="1"/>
                <w:sz w:val="21"/>
                <w:highlight w:val="none"/>
                <w:lang w:val="en-US" w:eastAsia="zh-CN"/>
              </w:rPr>
              <w:t>人员配置</w:t>
            </w:r>
            <w:r>
              <w:rPr>
                <w:rFonts w:hint="eastAsia" w:eastAsia="宋体" w:cs="宋体"/>
                <w:color w:val="auto"/>
                <w:kern w:val="1"/>
                <w:sz w:val="21"/>
                <w:highlight w:val="none"/>
                <w:lang w:val="en-US" w:eastAsia="zh-CN"/>
              </w:rPr>
              <w:t>确定各供应商所属档次及得分。达不到一档要求或不提供的得0分。</w:t>
            </w:r>
          </w:p>
          <w:p w14:paraId="4C01F6FB">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一档（5分）：对项目实施设置了简单管理机构和岗位职责；人员配备和设备投入简</w:t>
            </w:r>
            <w:r>
              <w:rPr>
                <w:rFonts w:hint="eastAsia" w:cs="宋体"/>
                <w:color w:val="auto"/>
                <w:kern w:val="1"/>
                <w:sz w:val="21"/>
                <w:highlight w:val="none"/>
                <w:lang w:val="en-US" w:eastAsia="zh-CN"/>
              </w:rPr>
              <w:t>单</w:t>
            </w:r>
            <w:r>
              <w:rPr>
                <w:rFonts w:hint="eastAsia" w:eastAsia="宋体" w:cs="宋体"/>
                <w:color w:val="auto"/>
                <w:kern w:val="1"/>
                <w:sz w:val="21"/>
                <w:highlight w:val="none"/>
                <w:lang w:val="en-US" w:eastAsia="zh-CN"/>
              </w:rPr>
              <w:t>；拟投入项目负责人具有中级及以上工程师职称，其他拟投入人员中具有1名及以上系统软件相关专业中级职称及以上的；基本满足本项目总体要求；</w:t>
            </w:r>
          </w:p>
          <w:p w14:paraId="111457B3">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二档（10分）：对项目实施设置了管理机构和岗位职责；有单位内部的保密管理制度；有简单的生产、技术、质量管理机构及人员，人员配备和设备投入合理；拟投入项目负责人具有高级及以上工程师职称，其他拟投入人员具有2名及以上计算机软件或计算机网络相关专业高级职称及以上的；满足本项目总体要求；</w:t>
            </w:r>
          </w:p>
          <w:p w14:paraId="3B001970">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三档（15分）：对项目实施设置了明确的管理机构和岗位职责；有单位内部的保密管理制度；有明确的生产管理机构及人员，有明确的技术管理机构及人员，有明确的质量管理机构及人员，有明确的具体作业单位及人员，人员配备和设备投入合理；拟投入项目负责人具有正高级工程师职称，其他拟投入人员具有5名及以上计算机软件或计算机网络相关专业高级职称及以上的；完全满足本项目总体要求。</w:t>
            </w:r>
          </w:p>
          <w:p w14:paraId="718092D5">
            <w:pPr>
              <w:adjustRightIn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cs="宋体"/>
                <w:b w:val="0"/>
                <w:bCs/>
                <w:color w:val="auto"/>
                <w:szCs w:val="21"/>
                <w:highlight w:val="none"/>
                <w:lang w:val="en-US" w:eastAsia="zh-CN"/>
              </w:rPr>
              <w:t>注：响应文件中须提供拟投入人员的有效职称证书、供应商为拟投入人员缴纳的2025年1月-7月期间任意1个月有效社保证明（如拟投入人员属于退休人员返聘无社保证明的，需提供退休证、返聘证明；如供应商为截标时间前60日以内成立的公司或拟投入人员为近一个月（指竞标截止之日当日前一个月）内入职的新员工的，可以提供供应商与项目实施人员签订的劳动合同的原件或复印件扫描件代替社保证明。）。不按要求提供证明材料不得分。</w:t>
            </w:r>
          </w:p>
        </w:tc>
      </w:tr>
      <w:tr w14:paraId="6E24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7D414385">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3AA491A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72434445">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满分15</w:t>
            </w:r>
            <w:r>
              <w:rPr>
                <w:rFonts w:hint="eastAsia" w:ascii="宋体" w:hAnsi="宋体" w:cs="宋体"/>
                <w:b/>
                <w:color w:val="auto"/>
                <w:szCs w:val="21"/>
                <w:highlight w:val="none"/>
              </w:rPr>
              <w:t>分</w:t>
            </w:r>
          </w:p>
        </w:tc>
        <w:tc>
          <w:tcPr>
            <w:tcW w:w="6909" w:type="dxa"/>
            <w:gridSpan w:val="2"/>
            <w:vAlign w:val="center"/>
          </w:tcPr>
          <w:p w14:paraId="13C652B8">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供应商自202</w:t>
            </w:r>
            <w:r>
              <w:rPr>
                <w:rFonts w:hint="eastAsia" w:cs="宋体"/>
                <w:color w:val="auto"/>
                <w:kern w:val="1"/>
                <w:sz w:val="21"/>
                <w:highlight w:val="none"/>
                <w:lang w:val="en-US" w:eastAsia="zh-CN"/>
              </w:rPr>
              <w:t>1</w:t>
            </w:r>
            <w:r>
              <w:rPr>
                <w:rFonts w:hint="eastAsia" w:eastAsia="宋体" w:cs="宋体"/>
                <w:color w:val="auto"/>
                <w:kern w:val="1"/>
                <w:sz w:val="21"/>
                <w:highlight w:val="none"/>
                <w:lang w:val="en-US" w:eastAsia="zh-CN"/>
              </w:rPr>
              <w:t>年以来具有同类项目业绩的，每项得3分，</w:t>
            </w:r>
            <w:r>
              <w:rPr>
                <w:rFonts w:hint="eastAsia" w:eastAsia="宋体" w:cs="宋体"/>
                <w:b/>
                <w:bCs/>
                <w:color w:val="auto"/>
                <w:kern w:val="1"/>
                <w:sz w:val="21"/>
                <w:highlight w:val="none"/>
                <w:lang w:val="en-US" w:eastAsia="zh-CN"/>
              </w:rPr>
              <w:t>满分15分。</w:t>
            </w:r>
          </w:p>
          <w:p w14:paraId="5C1C6702">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kern w:val="1"/>
                <w:sz w:val="21"/>
                <w:highlight w:val="none"/>
                <w:lang w:val="en-US" w:eastAsia="zh-CN"/>
              </w:rPr>
            </w:pPr>
            <w:r>
              <w:rPr>
                <w:rFonts w:hint="eastAsia" w:eastAsia="宋体" w:cs="宋体"/>
                <w:color w:val="auto"/>
                <w:kern w:val="1"/>
                <w:sz w:val="21"/>
                <w:highlight w:val="none"/>
                <w:lang w:val="en-US" w:eastAsia="zh-CN"/>
              </w:rPr>
              <w:t>注：响应文件中须提供业绩一览表、合同或中标通知书，并加盖供应商单位公章，不按要求提供证明材料不得分。</w:t>
            </w:r>
          </w:p>
        </w:tc>
      </w:tr>
      <w:tr w14:paraId="1C0A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3836F5F">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5A4B7497">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0330239">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08A2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D8E831A">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4DC0FA5">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388B0011">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DC4EB82">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49F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12CE93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BB412F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354F4C7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p>
        </w:tc>
        <w:tc>
          <w:tcPr>
            <w:tcW w:w="6909" w:type="dxa"/>
            <w:gridSpan w:val="2"/>
            <w:vAlign w:val="center"/>
          </w:tcPr>
          <w:p w14:paraId="553ADC2D">
            <w:pPr>
              <w:pStyle w:val="18"/>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38BF71F">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25B5BF2D">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ED6FBFA">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38B8635">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2</w:t>
            </w:r>
            <w:r>
              <w:rPr>
                <w:b/>
                <w:bCs/>
                <w:color w:val="auto"/>
                <w:highlight w:val="none"/>
              </w:rPr>
              <w:t>0</w:t>
            </w:r>
            <w:r>
              <w:rPr>
                <w:rFonts w:hint="eastAsia"/>
                <w:b/>
                <w:bCs/>
                <w:color w:val="auto"/>
                <w:highlight w:val="none"/>
              </w:rPr>
              <w:t>分）</w:t>
            </w:r>
          </w:p>
          <w:p w14:paraId="27BD28CA">
            <w:pPr>
              <w:pStyle w:val="18"/>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79E4DB04">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3CAD5CE6">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int="eastAsia" w:hAnsi="宋体" w:cs="宋体"/>
                <w:bCs/>
                <w:color w:val="auto"/>
                <w:sz w:val="21"/>
                <w:highlight w:val="none"/>
                <w:lang w:val="en-US" w:eastAsia="zh-CN"/>
              </w:rPr>
              <w:t>2</w:t>
            </w:r>
            <w:r>
              <w:rPr>
                <w:rFonts w:hAnsi="宋体" w:cs="宋体"/>
                <w:bCs/>
                <w:color w:val="auto"/>
                <w:sz w:val="21"/>
                <w:highlight w:val="none"/>
              </w:rPr>
              <w:t>0</w:t>
            </w:r>
            <w:r>
              <w:rPr>
                <w:rFonts w:hint="eastAsia" w:hAnsi="宋体" w:cs="宋体"/>
                <w:bCs/>
                <w:color w:val="auto"/>
                <w:sz w:val="21"/>
                <w:highlight w:val="none"/>
              </w:rPr>
              <w:t>分</w:t>
            </w:r>
          </w:p>
        </w:tc>
      </w:tr>
      <w:tr w14:paraId="4867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27F9C9C9">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p>
        </w:tc>
        <w:tc>
          <w:tcPr>
            <w:tcW w:w="1280" w:type="dxa"/>
            <w:vMerge w:val="restart"/>
            <w:vAlign w:val="center"/>
          </w:tcPr>
          <w:p w14:paraId="71F509E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3CB2B47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满分69</w:t>
            </w:r>
            <w:r>
              <w:rPr>
                <w:rFonts w:hint="eastAsia" w:ascii="宋体" w:hAnsi="宋体" w:cs="宋体"/>
                <w:b/>
                <w:color w:val="auto"/>
                <w:szCs w:val="21"/>
                <w:highlight w:val="none"/>
              </w:rPr>
              <w:t>分</w:t>
            </w:r>
          </w:p>
        </w:tc>
        <w:tc>
          <w:tcPr>
            <w:tcW w:w="1244" w:type="dxa"/>
            <w:vAlign w:val="center"/>
          </w:tcPr>
          <w:p w14:paraId="54C6E406">
            <w:pPr>
              <w:spacing w:line="360" w:lineRule="auto"/>
              <w:jc w:val="center"/>
              <w:rPr>
                <w:rFonts w:ascii="宋体" w:hAnsi="宋体" w:cs="宋体"/>
                <w:bCs/>
                <w:color w:val="auto"/>
                <w:szCs w:val="21"/>
                <w:highlight w:val="none"/>
              </w:rPr>
            </w:pPr>
            <w:r>
              <w:rPr>
                <w:rFonts w:hint="eastAsia" w:ascii="宋体" w:hAnsi="宋体" w:cs="宋体"/>
                <w:b/>
                <w:color w:val="auto"/>
                <w:kern w:val="0"/>
                <w:szCs w:val="21"/>
                <w:highlight w:val="none"/>
              </w:rPr>
              <w:t>服务方案（</w:t>
            </w:r>
            <w:r>
              <w:rPr>
                <w:rFonts w:hint="eastAsia" w:ascii="宋体" w:hAnsi="宋体" w:cs="宋体"/>
                <w:b/>
                <w:color w:val="auto"/>
                <w:kern w:val="0"/>
                <w:szCs w:val="21"/>
                <w:highlight w:val="none"/>
                <w:lang w:eastAsia="zh-CN"/>
              </w:rPr>
              <w:t>满分</w:t>
            </w:r>
            <w:r>
              <w:rPr>
                <w:rFonts w:hint="eastAsia" w:ascii="宋体" w:hAnsi="宋体" w:cs="宋体"/>
                <w:b/>
                <w:color w:val="auto"/>
                <w:kern w:val="0"/>
                <w:szCs w:val="21"/>
                <w:highlight w:val="none"/>
                <w:lang w:val="en-US" w:eastAsia="zh-CN"/>
              </w:rPr>
              <w:t>36</w:t>
            </w:r>
            <w:r>
              <w:rPr>
                <w:rFonts w:hint="eastAsia" w:ascii="宋体" w:hAnsi="宋体" w:cs="宋体"/>
                <w:b/>
                <w:color w:val="auto"/>
                <w:kern w:val="0"/>
                <w:szCs w:val="21"/>
                <w:highlight w:val="none"/>
              </w:rPr>
              <w:t>分</w:t>
            </w:r>
            <w:r>
              <w:rPr>
                <w:rFonts w:hint="eastAsia" w:ascii="宋体" w:hAnsi="宋体" w:cs="宋体"/>
                <w:bCs/>
                <w:color w:val="auto"/>
                <w:kern w:val="0"/>
                <w:szCs w:val="21"/>
                <w:highlight w:val="none"/>
              </w:rPr>
              <w:t>）</w:t>
            </w:r>
          </w:p>
        </w:tc>
        <w:tc>
          <w:tcPr>
            <w:tcW w:w="5665" w:type="dxa"/>
            <w:vAlign w:val="center"/>
          </w:tcPr>
          <w:p w14:paraId="26FB58C7">
            <w:pPr>
              <w:spacing w:line="360" w:lineRule="auto"/>
              <w:ind w:firstLine="420"/>
              <w:rPr>
                <w:rFonts w:hint="eastAsia" w:ascii="宋体" w:hAnsi="宋体" w:cs="宋体"/>
                <w:color w:val="auto"/>
                <w:spacing w:val="-3"/>
                <w:szCs w:val="21"/>
                <w:highlight w:val="none"/>
              </w:rPr>
            </w:pPr>
            <w:r>
              <w:rPr>
                <w:rFonts w:hint="eastAsia"/>
                <w:color w:val="auto"/>
                <w:szCs w:val="21"/>
                <w:highlight w:val="none"/>
              </w:rPr>
              <w:t>由磋商小组在打分前根据供应商提供的</w:t>
            </w:r>
            <w:r>
              <w:rPr>
                <w:rFonts w:hint="eastAsia" w:ascii="宋体" w:hAnsi="宋体" w:cs="宋体"/>
                <w:bCs/>
                <w:color w:val="auto"/>
                <w:kern w:val="0"/>
                <w:szCs w:val="21"/>
                <w:highlight w:val="none"/>
              </w:rPr>
              <w:t>服务方案</w:t>
            </w:r>
            <w:r>
              <w:rPr>
                <w:rFonts w:hint="eastAsia"/>
                <w:color w:val="auto"/>
                <w:szCs w:val="21"/>
                <w:highlight w:val="none"/>
              </w:rPr>
              <w:t>确定各供应商所属档次及得分。</w:t>
            </w:r>
            <w:r>
              <w:rPr>
                <w:rFonts w:hint="eastAsia" w:ascii="宋体" w:hAnsi="宋体" w:cs="宋体"/>
                <w:color w:val="auto"/>
                <w:spacing w:val="-3"/>
                <w:szCs w:val="21"/>
                <w:highlight w:val="none"/>
              </w:rPr>
              <w:t>达不到一档要求或不提供的得0分。</w:t>
            </w:r>
          </w:p>
          <w:p w14:paraId="20E12517">
            <w:pPr>
              <w:spacing w:line="400" w:lineRule="exact"/>
              <w:ind w:firstLine="420" w:firstLineChars="200"/>
              <w:rPr>
                <w:rFonts w:hint="eastAsia" w:ascii="宋体" w:hAnsi="宋体" w:cs="宋体"/>
                <w:color w:val="auto"/>
                <w:spacing w:val="-3"/>
                <w:szCs w:val="21"/>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9</w:t>
            </w:r>
            <w:r>
              <w:rPr>
                <w:rFonts w:hint="eastAsia" w:ascii="宋体" w:hAnsi="宋体" w:cs="宋体"/>
                <w:bCs/>
                <w:color w:val="auto"/>
                <w:highlight w:val="none"/>
              </w:rPr>
              <w:t>分）：方案对总体业务需求及理解不</w:t>
            </w:r>
            <w:r>
              <w:rPr>
                <w:rFonts w:hint="eastAsia" w:ascii="宋体" w:hAnsi="宋体" w:cs="宋体"/>
                <w:bCs/>
                <w:color w:val="auto"/>
                <w:highlight w:val="none"/>
                <w:lang w:val="en-US" w:eastAsia="zh-CN"/>
              </w:rPr>
              <w:t>太</w:t>
            </w:r>
            <w:r>
              <w:rPr>
                <w:rFonts w:hint="eastAsia" w:ascii="宋体" w:hAnsi="宋体" w:cs="宋体"/>
                <w:bCs/>
                <w:color w:val="auto"/>
                <w:highlight w:val="none"/>
              </w:rPr>
              <w:t>准确，</w:t>
            </w:r>
            <w:r>
              <w:rPr>
                <w:rFonts w:hint="eastAsia" w:ascii="宋体" w:hAnsi="宋体" w:cs="宋体"/>
                <w:bCs/>
                <w:color w:val="auto"/>
                <w:highlight w:val="none"/>
                <w:lang w:val="en-US" w:eastAsia="zh-CN"/>
              </w:rPr>
              <w:t>仅复制了</w:t>
            </w:r>
            <w:r>
              <w:rPr>
                <w:rFonts w:hint="eastAsia" w:ascii="宋体" w:hAnsi="宋体" w:cs="宋体"/>
                <w:bCs/>
                <w:color w:val="auto"/>
                <w:highlight w:val="none"/>
              </w:rPr>
              <w:t>本项目内容</w:t>
            </w:r>
            <w:r>
              <w:rPr>
                <w:rFonts w:hint="eastAsia" w:ascii="宋体" w:hAnsi="宋体" w:cs="宋体"/>
                <w:bCs/>
                <w:color w:val="auto"/>
                <w:highlight w:val="none"/>
                <w:lang w:eastAsia="zh-CN"/>
              </w:rPr>
              <w:t>，</w:t>
            </w:r>
            <w:r>
              <w:rPr>
                <w:rFonts w:hint="eastAsia" w:ascii="宋体" w:hAnsi="宋体" w:cs="宋体"/>
                <w:bCs/>
                <w:color w:val="auto"/>
                <w:highlight w:val="none"/>
              </w:rPr>
              <w:t>满足磋商文件要求</w:t>
            </w:r>
            <w:r>
              <w:rPr>
                <w:rFonts w:hint="eastAsia" w:ascii="宋体" w:hAnsi="宋体" w:cs="宋体"/>
                <w:bCs/>
                <w:color w:val="auto"/>
                <w:highlight w:val="none"/>
                <w:lang w:val="en-US" w:eastAsia="zh-CN"/>
              </w:rPr>
              <w:t>较差</w:t>
            </w:r>
            <w:r>
              <w:rPr>
                <w:rFonts w:hint="eastAsia" w:ascii="宋体" w:hAnsi="宋体" w:cs="宋体"/>
                <w:bCs/>
                <w:color w:val="auto"/>
                <w:highlight w:val="none"/>
              </w:rPr>
              <w:t xml:space="preserve">的； </w:t>
            </w:r>
          </w:p>
          <w:p w14:paraId="71774A4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二</w:t>
            </w:r>
            <w:r>
              <w:rPr>
                <w:rFonts w:hint="eastAsia" w:ascii="宋体" w:hAnsi="宋体" w:cs="宋体"/>
                <w:bCs/>
                <w:color w:val="auto"/>
                <w:highlight w:val="none"/>
              </w:rPr>
              <w:t>档（</w:t>
            </w:r>
            <w:r>
              <w:rPr>
                <w:rFonts w:hint="eastAsia" w:ascii="宋体" w:hAnsi="宋体" w:cs="宋体"/>
                <w:bCs/>
                <w:color w:val="auto"/>
                <w:highlight w:val="none"/>
                <w:lang w:val="en-US" w:eastAsia="zh-CN"/>
              </w:rPr>
              <w:t>18</w:t>
            </w:r>
            <w:r>
              <w:rPr>
                <w:rFonts w:hint="eastAsia" w:ascii="宋体" w:hAnsi="宋体" w:cs="宋体"/>
                <w:bCs/>
                <w:color w:val="auto"/>
                <w:highlight w:val="none"/>
              </w:rPr>
              <w:t>分）：方案对总体业务需求及理解不全</w:t>
            </w:r>
            <w:r>
              <w:rPr>
                <w:rFonts w:hint="eastAsia" w:ascii="宋体" w:hAnsi="宋体" w:cs="宋体"/>
                <w:bCs/>
                <w:color w:val="auto"/>
                <w:highlight w:val="none"/>
                <w:lang w:val="en-US" w:eastAsia="zh-CN"/>
              </w:rPr>
              <w:t>面</w:t>
            </w:r>
            <w:r>
              <w:rPr>
                <w:rFonts w:hint="eastAsia" w:ascii="宋体" w:hAnsi="宋体" w:cs="宋体"/>
                <w:bCs/>
                <w:color w:val="auto"/>
                <w:highlight w:val="none"/>
              </w:rPr>
              <w:t>，</w:t>
            </w:r>
            <w:r>
              <w:rPr>
                <w:rFonts w:hint="eastAsia" w:ascii="宋体" w:hAnsi="宋体" w:cs="宋体"/>
                <w:bCs/>
                <w:color w:val="auto"/>
                <w:highlight w:val="none"/>
                <w:lang w:val="en-US" w:eastAsia="zh-CN"/>
              </w:rPr>
              <w:t>仅</w:t>
            </w:r>
            <w:r>
              <w:rPr>
                <w:rFonts w:hint="eastAsia" w:ascii="宋体" w:hAnsi="宋体" w:cs="宋体"/>
                <w:bCs/>
                <w:color w:val="auto"/>
                <w:highlight w:val="none"/>
              </w:rPr>
              <w:t xml:space="preserve">对本项目内容进行了简单阐述；对本项目的服务特点、实施难点、工作重点描述简单粗糙，没有针对性；有基本的服务保障体系；拟投入项目人员团队配置较差（6人及以上）；服务方案简单，基本满足磋商文件要求的； </w:t>
            </w:r>
          </w:p>
          <w:p w14:paraId="735C0E9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24</w:t>
            </w:r>
            <w:r>
              <w:rPr>
                <w:rFonts w:hint="eastAsia" w:ascii="宋体" w:hAnsi="宋体" w:cs="宋体"/>
                <w:bCs/>
                <w:color w:val="auto"/>
                <w:highlight w:val="none"/>
              </w:rPr>
              <w:t>分）：方案对总体业务需求及理解全面，对本项目内容进行了全面的阐述；对本项目的服务特点、实施难点、工作重点把握准确，内容不够详细，不够全面，有针对性，但不够强；有合理的服务保障体系；</w:t>
            </w:r>
            <w:r>
              <w:rPr>
                <w:rFonts w:hint="eastAsia" w:ascii="宋体" w:hAnsi="宋体" w:cs="宋体"/>
                <w:b w:val="0"/>
                <w:bCs/>
                <w:color w:val="auto"/>
                <w:highlight w:val="none"/>
              </w:rPr>
              <w:t>拟投入项目人员团队配置合理（</w:t>
            </w:r>
            <w:r>
              <w:rPr>
                <w:rFonts w:ascii="宋体" w:hAnsi="宋体" w:cs="宋体"/>
                <w:b w:val="0"/>
                <w:bCs/>
                <w:color w:val="auto"/>
                <w:highlight w:val="none"/>
              </w:rPr>
              <w:t>5人及以上），其中有成员具有</w:t>
            </w:r>
            <w:r>
              <w:rPr>
                <w:rFonts w:hint="eastAsia" w:ascii="宋体" w:hAnsi="宋体" w:cs="宋体"/>
                <w:b w:val="0"/>
                <w:bCs/>
                <w:color w:val="auto"/>
                <w:highlight w:val="none"/>
                <w:lang w:val="en-US" w:eastAsia="zh-CN"/>
              </w:rPr>
              <w:t>软考中级</w:t>
            </w:r>
            <w:r>
              <w:rPr>
                <w:rFonts w:hint="eastAsia" w:ascii="宋体" w:hAnsi="宋体" w:cs="宋体"/>
                <w:b w:val="0"/>
                <w:bCs/>
                <w:color w:val="auto"/>
                <w:szCs w:val="21"/>
                <w:highlight w:val="none"/>
              </w:rPr>
              <w:t>软件设计师</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网络工程师、</w:t>
            </w:r>
            <w:r>
              <w:rPr>
                <w:rFonts w:hint="eastAsia" w:ascii="宋体" w:hAnsi="宋体" w:cs="宋体"/>
                <w:b w:val="0"/>
                <w:bCs/>
                <w:color w:val="auto"/>
                <w:szCs w:val="21"/>
                <w:highlight w:val="none"/>
              </w:rPr>
              <w:t>注册信息安全专业人员</w:t>
            </w:r>
            <w:r>
              <w:rPr>
                <w:rFonts w:ascii="宋体" w:hAnsi="宋体" w:cs="宋体"/>
                <w:b w:val="0"/>
                <w:bCs/>
                <w:color w:val="auto"/>
                <w:szCs w:val="21"/>
                <w:highlight w:val="none"/>
              </w:rPr>
              <w:t>CISP证书</w:t>
            </w:r>
            <w:r>
              <w:rPr>
                <w:rFonts w:hint="eastAsia" w:ascii="宋体" w:hAnsi="宋体" w:cs="宋体"/>
                <w:bCs/>
                <w:color w:val="auto"/>
                <w:highlight w:val="none"/>
              </w:rPr>
              <w:t>，具备完善的人员规划；</w:t>
            </w:r>
            <w:r>
              <w:rPr>
                <w:rFonts w:hint="eastAsia" w:ascii="宋体" w:hAnsi="宋体" w:cs="宋体"/>
                <w:bCs/>
                <w:color w:val="auto"/>
                <w:kern w:val="0"/>
                <w:szCs w:val="21"/>
                <w:highlight w:val="none"/>
              </w:rPr>
              <w:t>能针对项目特性提出专业有效的方案，能满足项目采购要求；</w:t>
            </w:r>
          </w:p>
          <w:p w14:paraId="2C1DFC8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四</w:t>
            </w:r>
            <w:r>
              <w:rPr>
                <w:rFonts w:hint="eastAsia" w:ascii="宋体" w:hAnsi="宋体" w:cs="宋体"/>
                <w:bCs/>
                <w:color w:val="auto"/>
                <w:highlight w:val="none"/>
              </w:rPr>
              <w:t>档（</w:t>
            </w:r>
            <w:r>
              <w:rPr>
                <w:rFonts w:hint="eastAsia" w:ascii="宋体" w:hAnsi="宋体" w:cs="宋体"/>
                <w:bCs/>
                <w:color w:val="auto"/>
                <w:highlight w:val="none"/>
                <w:lang w:val="en-US" w:eastAsia="zh-CN"/>
              </w:rPr>
              <w:t>36</w:t>
            </w:r>
            <w:r>
              <w:rPr>
                <w:rFonts w:hint="eastAsia" w:ascii="宋体" w:hAnsi="宋体" w:cs="宋体"/>
                <w:bCs/>
                <w:color w:val="auto"/>
                <w:highlight w:val="none"/>
              </w:rPr>
              <w:t>分）：对总体业务需求及理解透彻，对本项目内容全面的进行了阐述；对本项目的服务特点、实施难点、安全工作重点描述准确，有针对性，从准备、实施、到最终完善交付，配置完善，工具完备，每一道工序都能较详尽的阐述，整个项目概况描述非常详细的；</w:t>
            </w:r>
            <w:r>
              <w:rPr>
                <w:rFonts w:hint="eastAsia" w:ascii="宋体" w:hAnsi="宋体" w:cs="宋体"/>
                <w:b w:val="0"/>
                <w:bCs/>
                <w:color w:val="auto"/>
                <w:highlight w:val="none"/>
              </w:rPr>
              <w:t>项目人员团队配置合理（</w:t>
            </w:r>
            <w:r>
              <w:rPr>
                <w:rFonts w:ascii="宋体" w:hAnsi="宋体" w:cs="宋体"/>
                <w:b w:val="0"/>
                <w:bCs/>
                <w:color w:val="auto"/>
                <w:highlight w:val="none"/>
              </w:rPr>
              <w:t>7人及以上），其中有成员具有</w:t>
            </w:r>
            <w:r>
              <w:rPr>
                <w:rFonts w:hint="eastAsia" w:ascii="宋体" w:hAnsi="宋体" w:cs="宋体"/>
                <w:b w:val="0"/>
                <w:bCs/>
                <w:color w:val="auto"/>
                <w:highlight w:val="none"/>
                <w:lang w:val="en-US" w:eastAsia="zh-CN"/>
              </w:rPr>
              <w:t>软考中级</w:t>
            </w:r>
            <w:r>
              <w:rPr>
                <w:rFonts w:hint="eastAsia" w:ascii="宋体" w:hAnsi="宋体" w:cs="宋体"/>
                <w:b w:val="0"/>
                <w:bCs/>
                <w:color w:val="auto"/>
                <w:szCs w:val="21"/>
                <w:highlight w:val="none"/>
              </w:rPr>
              <w:t>软件设计师</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网络工程师、系统集成项目管理工程师</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软考高级网络规划设计师、</w:t>
            </w:r>
            <w:r>
              <w:rPr>
                <w:rFonts w:hint="eastAsia" w:ascii="宋体" w:hAnsi="宋体" w:cs="宋体"/>
                <w:b w:val="0"/>
                <w:bCs/>
                <w:color w:val="auto"/>
                <w:szCs w:val="21"/>
                <w:highlight w:val="none"/>
              </w:rPr>
              <w:t>注册信息安全专业人员</w:t>
            </w:r>
            <w:r>
              <w:rPr>
                <w:rFonts w:ascii="宋体" w:hAnsi="宋体" w:cs="宋体"/>
                <w:b w:val="0"/>
                <w:bCs/>
                <w:color w:val="auto"/>
                <w:szCs w:val="21"/>
                <w:highlight w:val="none"/>
              </w:rPr>
              <w:t>CISP证书</w:t>
            </w:r>
            <w:r>
              <w:rPr>
                <w:rFonts w:hint="eastAsia" w:ascii="宋体" w:hAnsi="宋体" w:cs="宋体"/>
                <w:b w:val="0"/>
                <w:bCs/>
                <w:color w:val="auto"/>
                <w:szCs w:val="21"/>
                <w:highlight w:val="none"/>
                <w:lang w:eastAsia="zh-CN"/>
              </w:rPr>
              <w:t>、</w:t>
            </w:r>
            <w:r>
              <w:rPr>
                <w:rFonts w:ascii="宋体" w:hAnsi="宋体" w:cs="宋体"/>
                <w:b w:val="0"/>
                <w:bCs/>
                <w:color w:val="auto"/>
                <w:szCs w:val="21"/>
                <w:highlight w:val="none"/>
              </w:rPr>
              <w:t>注册信息安全渗透测试工程师CISP-PTE或CISP-PTS证书</w:t>
            </w:r>
            <w:r>
              <w:rPr>
                <w:rFonts w:hint="eastAsia" w:ascii="宋体" w:hAnsi="宋体" w:cs="宋体"/>
                <w:b w:val="0"/>
                <w:bCs/>
                <w:color w:val="auto"/>
                <w:szCs w:val="21"/>
                <w:highlight w:val="none"/>
                <w:lang w:eastAsia="zh-CN"/>
              </w:rPr>
              <w:t>、</w:t>
            </w:r>
            <w:r>
              <w:rPr>
                <w:rFonts w:hint="eastAsia" w:ascii="宋体" w:hAnsi="宋体" w:cs="宋体"/>
                <w:bCs/>
                <w:color w:val="auto"/>
                <w:highlight w:val="none"/>
              </w:rPr>
              <w:t>注册数据安全治理专业人员</w:t>
            </w:r>
            <w:r>
              <w:rPr>
                <w:rFonts w:hint="eastAsia" w:ascii="宋体" w:hAnsi="宋体" w:cs="宋体"/>
                <w:bCs/>
                <w:color w:val="auto"/>
                <w:highlight w:val="none"/>
                <w:lang w:val="en-US" w:eastAsia="zh-CN"/>
              </w:rPr>
              <w:t>CISP-DSG</w:t>
            </w:r>
            <w:r>
              <w:rPr>
                <w:rFonts w:hint="eastAsia" w:ascii="宋体" w:hAnsi="宋体" w:cs="宋体"/>
                <w:bCs/>
                <w:color w:val="auto"/>
                <w:highlight w:val="none"/>
              </w:rPr>
              <w:t>；</w:t>
            </w:r>
            <w:r>
              <w:rPr>
                <w:rFonts w:hint="eastAsia" w:ascii="宋体" w:hAnsi="宋体" w:cs="宋体"/>
                <w:bCs/>
                <w:color w:val="auto"/>
                <w:kern w:val="0"/>
                <w:szCs w:val="21"/>
                <w:highlight w:val="none"/>
              </w:rPr>
              <w:t>能针对项目</w:t>
            </w:r>
            <w:r>
              <w:rPr>
                <w:rFonts w:hint="eastAsia" w:ascii="宋体" w:hAnsi="宋体" w:cs="宋体"/>
                <w:bCs/>
                <w:color w:val="auto"/>
                <w:kern w:val="0"/>
                <w:szCs w:val="21"/>
                <w:highlight w:val="none"/>
                <w:lang w:val="en-US" w:eastAsia="zh-CN"/>
              </w:rPr>
              <w:t>运维过程中</w:t>
            </w:r>
            <w:r>
              <w:rPr>
                <w:rFonts w:hint="eastAsia" w:ascii="宋体" w:hAnsi="宋体" w:cs="宋体"/>
                <w:bCs/>
                <w:color w:val="auto"/>
                <w:kern w:val="0"/>
                <w:szCs w:val="21"/>
                <w:highlight w:val="none"/>
              </w:rPr>
              <w:t>特性提出</w:t>
            </w:r>
            <w:r>
              <w:rPr>
                <w:rFonts w:hint="eastAsia" w:ascii="宋体" w:hAnsi="宋体" w:cs="宋体"/>
                <w:bCs/>
                <w:color w:val="auto"/>
                <w:kern w:val="0"/>
                <w:szCs w:val="21"/>
                <w:highlight w:val="none"/>
                <w:lang w:val="en-US" w:eastAsia="zh-CN"/>
              </w:rPr>
              <w:t>安全</w:t>
            </w:r>
            <w:r>
              <w:rPr>
                <w:rFonts w:hint="eastAsia" w:ascii="宋体" w:hAnsi="宋体" w:cs="宋体"/>
                <w:bCs/>
                <w:color w:val="auto"/>
                <w:kern w:val="0"/>
                <w:szCs w:val="21"/>
                <w:highlight w:val="none"/>
              </w:rPr>
              <w:t>有效的方案，能满足项目采购要求</w:t>
            </w:r>
            <w:r>
              <w:rPr>
                <w:rFonts w:hint="eastAsia" w:ascii="宋体" w:hAnsi="宋体" w:cs="宋体"/>
                <w:bCs/>
                <w:color w:val="auto"/>
                <w:highlight w:val="none"/>
              </w:rPr>
              <w:t>。</w:t>
            </w:r>
          </w:p>
          <w:p w14:paraId="4F2AD2DD">
            <w:pPr>
              <w:spacing w:line="360" w:lineRule="auto"/>
              <w:ind w:firstLine="420" w:firstLineChars="200"/>
              <w:jc w:val="left"/>
              <w:rPr>
                <w:rFonts w:hAnsi="宋体" w:cs="宋体"/>
                <w:bCs/>
                <w:color w:val="auto"/>
                <w:sz w:val="21"/>
                <w:highlight w:val="none"/>
              </w:rPr>
            </w:pPr>
            <w:r>
              <w:rPr>
                <w:rFonts w:hint="eastAsia" w:ascii="宋体" w:hAnsi="宋体" w:cs="宋体"/>
                <w:color w:val="auto"/>
                <w:kern w:val="0"/>
                <w:szCs w:val="21"/>
                <w:highlight w:val="none"/>
              </w:rPr>
              <w:t>注：</w:t>
            </w:r>
            <w:r>
              <w:rPr>
                <w:rFonts w:hint="eastAsia" w:hAnsi="宋体" w:cs="宋体"/>
                <w:color w:val="auto"/>
                <w:highlight w:val="none"/>
              </w:rPr>
              <w:t>须提供人员资格证书复印件，否则不得分；以上所有人员须提供由县级以上（含县级）社会养老保险经办机构出具的供应商为项目实施人员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7C0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FB6DC24">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123BA06C">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4D16482">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5C8E8FA">
            <w:pPr>
              <w:spacing w:line="360" w:lineRule="auto"/>
              <w:jc w:val="center"/>
              <w:rPr>
                <w:rFonts w:hint="default" w:ascii="宋体" w:hAnsi="宋体" w:cs="宋体"/>
                <w:bCs/>
                <w:color w:val="auto"/>
                <w:szCs w:val="21"/>
                <w:highlight w:val="none"/>
                <w:lang w:val="en-US"/>
              </w:rPr>
            </w:pPr>
            <w:r>
              <w:rPr>
                <w:rFonts w:hint="eastAsia" w:ascii="宋体" w:hAnsi="宋体" w:cs="宋体"/>
                <w:b/>
                <w:color w:val="auto"/>
                <w:kern w:val="0"/>
                <w:szCs w:val="21"/>
                <w:highlight w:val="none"/>
              </w:rPr>
              <w:t>后续服务方案（</w:t>
            </w:r>
            <w:r>
              <w:rPr>
                <w:rFonts w:hint="eastAsia" w:ascii="宋体" w:hAnsi="宋体" w:cs="宋体"/>
                <w:b/>
                <w:color w:val="auto"/>
                <w:kern w:val="0"/>
                <w:szCs w:val="21"/>
                <w:highlight w:val="none"/>
                <w:lang w:val="en-US" w:eastAsia="zh-CN"/>
              </w:rPr>
              <w:t>33分)</w:t>
            </w:r>
          </w:p>
        </w:tc>
        <w:tc>
          <w:tcPr>
            <w:tcW w:w="5665" w:type="dxa"/>
            <w:shd w:val="clear" w:color="auto" w:fill="auto"/>
            <w:vAlign w:val="center"/>
          </w:tcPr>
          <w:p w14:paraId="73B710E2">
            <w:pPr>
              <w:spacing w:line="360" w:lineRule="auto"/>
              <w:ind w:firstLine="420"/>
              <w:rPr>
                <w:rFonts w:ascii="宋体" w:hAnsi="宋体" w:cs="宋体"/>
                <w:bCs/>
                <w:color w:val="auto"/>
                <w:highlight w:val="none"/>
              </w:rPr>
            </w:pPr>
            <w:r>
              <w:rPr>
                <w:rFonts w:hint="eastAsia"/>
                <w:color w:val="auto"/>
                <w:szCs w:val="21"/>
                <w:highlight w:val="none"/>
              </w:rPr>
              <w:t>由磋商小组在打分前根据供应商提供的</w:t>
            </w:r>
            <w:r>
              <w:rPr>
                <w:rFonts w:hint="eastAsia" w:ascii="宋体" w:hAnsi="宋体" w:cs="宋体"/>
                <w:bCs/>
                <w:color w:val="auto"/>
                <w:kern w:val="0"/>
                <w:szCs w:val="21"/>
                <w:highlight w:val="none"/>
              </w:rPr>
              <w:t>后续服务方案</w:t>
            </w:r>
            <w:r>
              <w:rPr>
                <w:rFonts w:hint="eastAsia"/>
                <w:color w:val="auto"/>
                <w:szCs w:val="21"/>
                <w:highlight w:val="none"/>
              </w:rPr>
              <w:t>确定各供应商所属档次及得分。</w:t>
            </w:r>
            <w:r>
              <w:rPr>
                <w:rFonts w:hint="eastAsia" w:ascii="宋体" w:hAnsi="宋体" w:cs="宋体"/>
                <w:color w:val="auto"/>
                <w:spacing w:val="-3"/>
                <w:szCs w:val="21"/>
                <w:highlight w:val="none"/>
              </w:rPr>
              <w:t>达不到一档要求或不提供的得0分。</w:t>
            </w:r>
          </w:p>
          <w:p w14:paraId="24E8D048">
            <w:pPr>
              <w:spacing w:line="360" w:lineRule="auto"/>
              <w:ind w:firstLine="420"/>
              <w:rPr>
                <w:color w:val="auto"/>
                <w:szCs w:val="21"/>
                <w:highlight w:val="none"/>
              </w:rPr>
            </w:pPr>
            <w:r>
              <w:rPr>
                <w:rFonts w:hint="eastAsia"/>
                <w:color w:val="auto"/>
                <w:szCs w:val="21"/>
                <w:highlight w:val="none"/>
              </w:rPr>
              <w:t>一档（</w:t>
            </w:r>
            <w:r>
              <w:rPr>
                <w:rFonts w:hint="eastAsia"/>
                <w:color w:val="auto"/>
                <w:szCs w:val="21"/>
                <w:highlight w:val="none"/>
                <w:lang w:val="en-US" w:eastAsia="zh-CN"/>
              </w:rPr>
              <w:t>11</w:t>
            </w:r>
            <w:r>
              <w:rPr>
                <w:rFonts w:hint="eastAsia"/>
                <w:color w:val="auto"/>
                <w:szCs w:val="21"/>
                <w:highlight w:val="none"/>
              </w:rPr>
              <w:t>分）：方案内容不全面完整、不合理准确；</w:t>
            </w:r>
            <w:r>
              <w:rPr>
                <w:rFonts w:hint="eastAsia"/>
                <w:color w:val="auto"/>
                <w:szCs w:val="21"/>
                <w:highlight w:val="none"/>
                <w:lang w:eastAsia="zh-CN"/>
              </w:rPr>
              <w:t>后续服务</w:t>
            </w:r>
            <w:r>
              <w:rPr>
                <w:rFonts w:hint="eastAsia"/>
                <w:color w:val="auto"/>
                <w:szCs w:val="21"/>
                <w:highlight w:val="none"/>
              </w:rPr>
              <w:t>内容承诺不合理不完整；响应方式单一；响应时间满足项目要求；</w:t>
            </w:r>
            <w:r>
              <w:rPr>
                <w:rFonts w:hint="eastAsia"/>
                <w:color w:val="auto"/>
                <w:szCs w:val="21"/>
                <w:highlight w:val="none"/>
                <w:lang w:eastAsia="zh-CN"/>
              </w:rPr>
              <w:t>后续服务</w:t>
            </w:r>
            <w:r>
              <w:rPr>
                <w:rFonts w:hint="eastAsia"/>
                <w:color w:val="auto"/>
                <w:szCs w:val="21"/>
                <w:highlight w:val="none"/>
              </w:rPr>
              <w:t>点设置情况简单；应急保障措施不合理不完整；拟投入后续人员配置差（1人及以上）；未能针对项目特性提出专业有效的方案，仅能满足项目采购要求；</w:t>
            </w:r>
          </w:p>
          <w:p w14:paraId="17BAADB2">
            <w:pPr>
              <w:spacing w:line="360" w:lineRule="auto"/>
              <w:ind w:firstLine="420"/>
              <w:rPr>
                <w:rFonts w:ascii="宋体" w:hAnsi="宋体" w:cs="宋体"/>
                <w:b w:val="0"/>
                <w:bCs w:val="0"/>
                <w:color w:val="auto"/>
                <w:szCs w:val="21"/>
                <w:highlight w:val="none"/>
              </w:rPr>
            </w:pPr>
            <w:r>
              <w:rPr>
                <w:rFonts w:hint="eastAsia"/>
                <w:color w:val="auto"/>
                <w:szCs w:val="21"/>
                <w:highlight w:val="none"/>
              </w:rPr>
              <w:t>二档（</w:t>
            </w:r>
            <w:r>
              <w:rPr>
                <w:rFonts w:hint="eastAsia"/>
                <w:color w:val="auto"/>
                <w:szCs w:val="21"/>
                <w:highlight w:val="none"/>
                <w:lang w:val="en-US" w:eastAsia="zh-CN"/>
              </w:rPr>
              <w:t>22</w:t>
            </w:r>
            <w:r>
              <w:rPr>
                <w:rFonts w:hint="eastAsia"/>
                <w:color w:val="auto"/>
                <w:szCs w:val="21"/>
                <w:highlight w:val="none"/>
              </w:rPr>
              <w:t>分）：方案内容完整、合理准确，后续服务内容承诺完整；响应方式多样；响应时间满足项目要求；</w:t>
            </w:r>
            <w:r>
              <w:rPr>
                <w:rFonts w:hint="eastAsia"/>
                <w:color w:val="auto"/>
                <w:szCs w:val="21"/>
                <w:highlight w:val="none"/>
                <w:lang w:eastAsia="zh-CN"/>
              </w:rPr>
              <w:t>后续服务</w:t>
            </w:r>
            <w:r>
              <w:rPr>
                <w:rFonts w:hint="eastAsia"/>
                <w:color w:val="auto"/>
                <w:szCs w:val="21"/>
                <w:highlight w:val="none"/>
              </w:rPr>
              <w:t>点设置情况合理，同时具有完善的运</w:t>
            </w:r>
            <w:r>
              <w:rPr>
                <w:rFonts w:hint="eastAsia"/>
                <w:b w:val="0"/>
                <w:bCs w:val="0"/>
                <w:color w:val="auto"/>
                <w:szCs w:val="21"/>
                <w:highlight w:val="none"/>
              </w:rPr>
              <w:t>维体系，</w:t>
            </w:r>
            <w:r>
              <w:rPr>
                <w:rFonts w:hint="eastAsia" w:ascii="宋体" w:hAnsi="宋体" w:cs="宋体"/>
                <w:b w:val="0"/>
                <w:bCs w:val="0"/>
                <w:color w:val="auto"/>
                <w:szCs w:val="21"/>
                <w:highlight w:val="none"/>
              </w:rPr>
              <w:t>通过</w:t>
            </w:r>
            <w:r>
              <w:rPr>
                <w:rFonts w:ascii="宋体" w:hAnsi="宋体" w:cs="宋体"/>
                <w:b w:val="0"/>
                <w:bCs w:val="0"/>
                <w:color w:val="auto"/>
                <w:szCs w:val="21"/>
                <w:highlight w:val="none"/>
              </w:rPr>
              <w:t>ISO/IEC 27001</w:t>
            </w:r>
            <w:r>
              <w:rPr>
                <w:rFonts w:hint="eastAsia" w:ascii="宋体" w:hAnsi="宋体" w:cs="宋体"/>
                <w:b w:val="0"/>
                <w:bCs w:val="0"/>
                <w:color w:val="auto"/>
                <w:szCs w:val="21"/>
                <w:highlight w:val="none"/>
              </w:rPr>
              <w:t>信息技术服务管理体系标准认证的</w:t>
            </w:r>
            <w:r>
              <w:rPr>
                <w:rFonts w:hint="eastAsia" w:ascii="宋体" w:hAnsi="宋体" w:cs="宋体"/>
                <w:b w:val="0"/>
                <w:bCs w:val="0"/>
                <w:color w:val="auto"/>
                <w:kern w:val="0"/>
                <w:szCs w:val="21"/>
                <w:highlight w:val="none"/>
              </w:rPr>
              <w:t>；能针对项目特性提出专业有效的方案，能满足项目采购要求；</w:t>
            </w:r>
          </w:p>
          <w:p w14:paraId="789DC7DA">
            <w:pPr>
              <w:spacing w:line="360" w:lineRule="auto"/>
              <w:ind w:firstLine="420"/>
              <w:rPr>
                <w:rFonts w:ascii="宋体" w:hAnsi="宋体" w:cs="宋体"/>
                <w:b w:val="0"/>
                <w:bCs w:val="0"/>
                <w:color w:val="auto"/>
                <w:szCs w:val="21"/>
                <w:highlight w:val="none"/>
              </w:rPr>
            </w:pPr>
            <w:r>
              <w:rPr>
                <w:rFonts w:hint="eastAsia"/>
                <w:color w:val="auto"/>
                <w:szCs w:val="21"/>
                <w:highlight w:val="none"/>
              </w:rPr>
              <w:t>三档（</w:t>
            </w:r>
            <w:r>
              <w:rPr>
                <w:rFonts w:hint="eastAsia"/>
                <w:color w:val="auto"/>
                <w:szCs w:val="21"/>
                <w:highlight w:val="none"/>
                <w:lang w:val="en-US" w:eastAsia="zh-CN"/>
              </w:rPr>
              <w:t>33</w:t>
            </w:r>
            <w:r>
              <w:rPr>
                <w:rFonts w:hint="eastAsia"/>
                <w:color w:val="auto"/>
                <w:szCs w:val="21"/>
                <w:highlight w:val="none"/>
              </w:rPr>
              <w:t>分）：方案内容全面完整且合理可行；</w:t>
            </w:r>
            <w:r>
              <w:rPr>
                <w:rFonts w:hint="eastAsia"/>
                <w:color w:val="auto"/>
                <w:szCs w:val="21"/>
                <w:highlight w:val="none"/>
                <w:lang w:eastAsia="zh-CN"/>
              </w:rPr>
              <w:t>后续服务</w:t>
            </w:r>
            <w:r>
              <w:rPr>
                <w:rFonts w:hint="eastAsia"/>
                <w:color w:val="auto"/>
                <w:szCs w:val="21"/>
                <w:highlight w:val="none"/>
              </w:rPr>
              <w:t>内容承诺详细完整且合理；响应方式多样；响应时间满足项目要求，在服务响应和处理故障的流程上，进行在线跟踪服务处理进度、服务结束后在线评价等有着全流程的服务平台支撑（提供全流程的相关证明材料，如系统截图或软件著作权），保障采购人的合法权益和需求；</w:t>
            </w:r>
            <w:r>
              <w:rPr>
                <w:rFonts w:hint="eastAsia"/>
                <w:color w:val="auto"/>
                <w:szCs w:val="21"/>
                <w:highlight w:val="none"/>
                <w:lang w:eastAsia="zh-CN"/>
              </w:rPr>
              <w:t>后续服务</w:t>
            </w:r>
            <w:r>
              <w:rPr>
                <w:rFonts w:hint="eastAsia"/>
                <w:color w:val="auto"/>
                <w:szCs w:val="21"/>
                <w:highlight w:val="none"/>
              </w:rPr>
              <w:t>点设置情况合理可行，同时具有完善的</w:t>
            </w:r>
            <w:r>
              <w:rPr>
                <w:rFonts w:hint="eastAsia"/>
                <w:b w:val="0"/>
                <w:bCs w:val="0"/>
                <w:color w:val="auto"/>
                <w:szCs w:val="21"/>
                <w:highlight w:val="none"/>
              </w:rPr>
              <w:t>运维体系，</w:t>
            </w:r>
            <w:r>
              <w:rPr>
                <w:rFonts w:hint="eastAsia" w:ascii="宋体" w:hAnsi="宋体" w:cs="宋体"/>
                <w:b w:val="0"/>
                <w:bCs w:val="0"/>
                <w:color w:val="auto"/>
                <w:szCs w:val="21"/>
                <w:highlight w:val="none"/>
              </w:rPr>
              <w:t>通过</w:t>
            </w:r>
            <w:r>
              <w:rPr>
                <w:rFonts w:ascii="宋体" w:hAnsi="宋体" w:cs="宋体"/>
                <w:b w:val="0"/>
                <w:bCs w:val="0"/>
                <w:color w:val="auto"/>
                <w:szCs w:val="21"/>
                <w:highlight w:val="none"/>
              </w:rPr>
              <w:t>ISO/IEC 27001信息安全管理体系认证的；应急保障措施详细具体，有项目针对性；拟投入售后人员配置合理（3人及以上）；能确保项目服务质量，能针对项目特性提出专业有效的方案，能很好满足项目采购要求。</w:t>
            </w:r>
          </w:p>
          <w:p w14:paraId="5EBD0A7E">
            <w:pPr>
              <w:spacing w:line="360" w:lineRule="auto"/>
              <w:rPr>
                <w:rFonts w:ascii="宋体" w:hAnsi="宋体" w:eastAsia="宋体" w:cs="宋体"/>
                <w:color w:val="auto"/>
                <w:kern w:val="2"/>
                <w:sz w:val="21"/>
                <w:szCs w:val="21"/>
                <w:highlight w:val="none"/>
                <w:lang w:val="en-US" w:eastAsia="zh-CN" w:bidi="ar-SA"/>
              </w:rPr>
            </w:pPr>
            <w:r>
              <w:rPr>
                <w:rFonts w:hint="eastAsia"/>
                <w:color w:val="auto"/>
                <w:szCs w:val="21"/>
                <w:highlight w:val="none"/>
              </w:rPr>
              <w:t>注：响应文件中须提供供应商有效认证证书及全流程平台证明材料（如有）、拟投入售后人员的有效证书、供应商为其交纳的开标截止时间前3个月（指竞标截止之日当月前3个月）内任意一个月社保证明的原件或复印件扫描件；如供应商为截标时间前60日以内成立的公司或项目人员为近一个月（指竞标截止之日当日前一个月）内入职的新员工的，可以提供供应商与项目实施人员签订的劳动合同的原件或复印件扫描件代替社保证明；退休聘用人员，提供聘用合同及退休证明复印件扫描件代替社保证明；临时聘用人员，仅须提供聘用合同复印件扫描件，否则不得分。扫描件均需加盖公章。</w:t>
            </w:r>
          </w:p>
        </w:tc>
      </w:tr>
      <w:tr w14:paraId="7ADE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518584C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4010A61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7E6F0CD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满分11</w:t>
            </w:r>
            <w:r>
              <w:rPr>
                <w:rFonts w:hint="eastAsia" w:ascii="宋体" w:hAnsi="宋体" w:cs="宋体"/>
                <w:b/>
                <w:color w:val="auto"/>
                <w:kern w:val="0"/>
                <w:szCs w:val="21"/>
                <w:highlight w:val="none"/>
              </w:rPr>
              <w:t>分</w:t>
            </w:r>
          </w:p>
        </w:tc>
        <w:tc>
          <w:tcPr>
            <w:tcW w:w="6909" w:type="dxa"/>
            <w:gridSpan w:val="2"/>
            <w:vAlign w:val="center"/>
          </w:tcPr>
          <w:p w14:paraId="6C2E01EF">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供应商自202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年以来具有同类业绩材料，每有一项得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b/>
                <w:bCs/>
                <w:color w:val="auto"/>
                <w:sz w:val="21"/>
                <w:szCs w:val="21"/>
                <w:highlight w:val="none"/>
              </w:rPr>
              <w:t>满分</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r>
              <w:rPr>
                <w:rFonts w:hint="eastAsia" w:ascii="宋体" w:hAnsi="宋体" w:cs="宋体"/>
                <w:color w:val="auto"/>
                <w:sz w:val="21"/>
                <w:szCs w:val="21"/>
                <w:highlight w:val="none"/>
              </w:rPr>
              <w:t>（以开具发票或者中标（成交）通知书或合同复印件为准，并加盖供应商公章。）</w:t>
            </w:r>
          </w:p>
          <w:p w14:paraId="4A05EBD5">
            <w:pPr>
              <w:pStyle w:val="91"/>
              <w:ind w:firstLine="0" w:firstLineChars="0"/>
              <w:rPr>
                <w:rFonts w:cs="宋体"/>
                <w:color w:val="auto"/>
                <w:sz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供应商具备ISO9001质量管理体系认证证书的，得</w:t>
            </w:r>
            <w:r>
              <w:rPr>
                <w:rFonts w:hint="eastAsia"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b/>
                <w:bCs/>
                <w:color w:val="auto"/>
                <w:sz w:val="21"/>
                <w:szCs w:val="21"/>
                <w:highlight w:val="none"/>
              </w:rPr>
              <w:t>满分</w:t>
            </w:r>
            <w:r>
              <w:rPr>
                <w:rFonts w:hint="eastAsia" w:cs="宋体"/>
                <w:b/>
                <w:bCs/>
                <w:color w:val="auto"/>
                <w:sz w:val="21"/>
                <w:szCs w:val="21"/>
                <w:highlight w:val="none"/>
                <w:lang w:val="en-US" w:eastAsia="zh-CN"/>
              </w:rPr>
              <w:t>1</w:t>
            </w:r>
            <w:r>
              <w:rPr>
                <w:rFonts w:hint="eastAsia" w:ascii="宋体" w:hAnsi="宋体" w:cs="宋体"/>
                <w:b/>
                <w:bCs/>
                <w:color w:val="auto"/>
                <w:sz w:val="21"/>
                <w:szCs w:val="21"/>
                <w:highlight w:val="none"/>
              </w:rPr>
              <w:t>分。</w:t>
            </w:r>
            <w:r>
              <w:rPr>
                <w:rFonts w:hint="eastAsia" w:ascii="宋体" w:hAnsi="宋体" w:cs="宋体"/>
                <w:color w:val="auto"/>
                <w:sz w:val="21"/>
                <w:szCs w:val="21"/>
                <w:highlight w:val="none"/>
              </w:rPr>
              <w:t>（需在响应文件中提供有效证书复印件，不提供，不得分）</w:t>
            </w:r>
          </w:p>
        </w:tc>
      </w:tr>
      <w:tr w14:paraId="36AE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07B2DC81">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180AC0E7">
      <w:pPr>
        <w:rPr>
          <w:rFonts w:ascii="宋体" w:cs="宋体"/>
          <w:bCs/>
          <w:color w:val="auto"/>
          <w:szCs w:val="21"/>
          <w:highlight w:val="none"/>
        </w:rPr>
      </w:pPr>
    </w:p>
    <w:p w14:paraId="402A30BF">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5DEAF9D">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F03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05C0FA6B">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6DD8E95">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72CD81AB">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B314E65">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2B82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0010708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5A84C5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13F1910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p>
        </w:tc>
        <w:tc>
          <w:tcPr>
            <w:tcW w:w="6909" w:type="dxa"/>
            <w:gridSpan w:val="2"/>
            <w:vAlign w:val="center"/>
          </w:tcPr>
          <w:p w14:paraId="2B680D6A">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62E8CC51">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009625AA">
            <w:pPr>
              <w:rPr>
                <w:rFonts w:ascii="宋体" w:hAnsi="宋体" w:cs="宋体"/>
                <w:b/>
                <w:bCs/>
                <w:color w:val="auto"/>
                <w:szCs w:val="21"/>
                <w:highlight w:val="none"/>
              </w:rPr>
            </w:pPr>
            <w:r>
              <w:rPr>
                <w:rFonts w:hint="eastAsia" w:ascii="宋体" w:hAnsi="宋体" w:cs="宋体"/>
                <w:b/>
                <w:bCs/>
                <w:color w:val="auto"/>
                <w:szCs w:val="21"/>
                <w:highlight w:val="none"/>
              </w:rPr>
              <w:t>二、报价分（满分</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0分）</w:t>
            </w:r>
          </w:p>
          <w:p w14:paraId="5CA606F0">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07B36AAF">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78ACB8EF">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w:t>
            </w:r>
            <w:r>
              <w:rPr>
                <w:rFonts w:hint="eastAsia" w:hAnsi="宋体" w:cs="宋体"/>
                <w:bCs/>
                <w:color w:val="auto"/>
                <w:sz w:val="21"/>
                <w:highlight w:val="none"/>
                <w:lang w:val="en-US" w:eastAsia="zh-CN"/>
              </w:rPr>
              <w:t>2</w:t>
            </w:r>
            <w:r>
              <w:rPr>
                <w:rFonts w:hint="eastAsia" w:hAnsi="宋体" w:cs="宋体"/>
                <w:bCs/>
                <w:color w:val="auto"/>
                <w:sz w:val="21"/>
                <w:highlight w:val="none"/>
              </w:rPr>
              <w:t>0分</w:t>
            </w:r>
          </w:p>
        </w:tc>
      </w:tr>
      <w:tr w14:paraId="05E9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700417D1">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25ABA27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BC80C2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szCs w:val="21"/>
                <w:highlight w:val="none"/>
                <w:lang w:val="en-US" w:eastAsia="zh-CN"/>
              </w:rPr>
              <w:t>满分72</w:t>
            </w:r>
            <w:r>
              <w:rPr>
                <w:rFonts w:hint="eastAsia" w:ascii="宋体" w:hAnsi="宋体" w:cs="宋体"/>
                <w:b/>
                <w:bCs w:val="0"/>
                <w:color w:val="auto"/>
                <w:szCs w:val="21"/>
                <w:highlight w:val="none"/>
              </w:rPr>
              <w:t>分</w:t>
            </w:r>
          </w:p>
        </w:tc>
        <w:tc>
          <w:tcPr>
            <w:tcW w:w="1244" w:type="dxa"/>
            <w:vAlign w:val="center"/>
          </w:tcPr>
          <w:p w14:paraId="1FC8B04A">
            <w:pPr>
              <w:adjustRightInd w:val="0"/>
              <w:spacing w:line="360" w:lineRule="auto"/>
              <w:jc w:val="center"/>
              <w:textAlignment w:val="baseline"/>
              <w:rPr>
                <w:rFonts w:ascii="宋体" w:hAnsi="宋体" w:cs="宋体"/>
                <w:bCs/>
                <w:color w:val="auto"/>
                <w:szCs w:val="21"/>
                <w:highlight w:val="none"/>
              </w:rPr>
            </w:pPr>
            <w:r>
              <w:rPr>
                <w:rFonts w:hint="eastAsia" w:ascii="宋体" w:hAnsi="宋体"/>
                <w:b/>
                <w:bCs/>
                <w:color w:val="auto"/>
                <w:kern w:val="1"/>
                <w:szCs w:val="21"/>
                <w:highlight w:val="none"/>
              </w:rPr>
              <w:t>监理</w:t>
            </w:r>
            <w:r>
              <w:rPr>
                <w:rFonts w:ascii="宋体" w:hAnsi="宋体"/>
                <w:b/>
                <w:bCs/>
                <w:color w:val="auto"/>
                <w:kern w:val="1"/>
                <w:szCs w:val="21"/>
                <w:highlight w:val="none"/>
              </w:rPr>
              <w:t>服务方案（满分36分）</w:t>
            </w:r>
          </w:p>
        </w:tc>
        <w:tc>
          <w:tcPr>
            <w:tcW w:w="5665" w:type="dxa"/>
            <w:vAlign w:val="center"/>
          </w:tcPr>
          <w:p w14:paraId="3F0C6A91">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由磋商小组在打分前根据供应商提供的服务方案确定各供应商所属档次及得分。达不到一档要求或不提供的得0分。</w:t>
            </w:r>
          </w:p>
          <w:p w14:paraId="6D368ED3">
            <w:pPr>
              <w:pStyle w:val="18"/>
              <w:spacing w:line="38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一档（</w:t>
            </w:r>
            <w:r>
              <w:rPr>
                <w:rFonts w:hAnsi="宋体" w:cs="宋体"/>
                <w:color w:val="auto"/>
                <w:kern w:val="2"/>
                <w:sz w:val="21"/>
                <w:highlight w:val="none"/>
              </w:rPr>
              <w:t>9</w:t>
            </w:r>
            <w:r>
              <w:rPr>
                <w:rFonts w:hint="eastAsia" w:hAnsi="宋体" w:cs="宋体"/>
                <w:color w:val="auto"/>
                <w:kern w:val="2"/>
                <w:sz w:val="21"/>
                <w:highlight w:val="none"/>
              </w:rPr>
              <w:t>）：服务方案能简单理解把握本项目建设背景和建设目标、服务范围，并有提出优化改进的思路，且基本满足采购需求；</w:t>
            </w:r>
          </w:p>
          <w:p w14:paraId="692F1CD8">
            <w:pPr>
              <w:pStyle w:val="18"/>
              <w:spacing w:line="38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二档（</w:t>
            </w:r>
            <w:r>
              <w:rPr>
                <w:rFonts w:hAnsi="宋体" w:cs="宋体"/>
                <w:color w:val="auto"/>
                <w:kern w:val="2"/>
                <w:sz w:val="21"/>
                <w:highlight w:val="none"/>
              </w:rPr>
              <w:t>18</w:t>
            </w:r>
            <w:r>
              <w:rPr>
                <w:rFonts w:hint="eastAsia" w:hAnsi="宋体" w:cs="宋体"/>
                <w:color w:val="auto"/>
                <w:kern w:val="2"/>
                <w:sz w:val="21"/>
                <w:highlight w:val="none"/>
              </w:rPr>
              <w:t>分）：服务方案能基本理解把握本项目建设背景和建设目标、服务范围，并有提出优化改进的思路，简单描述了监理工作范围及监理目标、监理组织机构、监理工作制度及廉洁自律措施。</w:t>
            </w:r>
          </w:p>
          <w:p w14:paraId="6A7AB280">
            <w:pPr>
              <w:pStyle w:val="18"/>
              <w:spacing w:line="38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三档（</w:t>
            </w:r>
            <w:r>
              <w:rPr>
                <w:rFonts w:hAnsi="宋体" w:cs="宋体"/>
                <w:color w:val="auto"/>
                <w:kern w:val="2"/>
                <w:sz w:val="21"/>
                <w:highlight w:val="none"/>
              </w:rPr>
              <w:t>27</w:t>
            </w:r>
            <w:r>
              <w:rPr>
                <w:rFonts w:hint="eastAsia" w:hAnsi="宋体" w:cs="宋体"/>
                <w:color w:val="auto"/>
                <w:kern w:val="2"/>
                <w:sz w:val="21"/>
                <w:highlight w:val="none"/>
              </w:rPr>
              <w:t>分）：服务方案能基本理解把握本项目建设背景和建设目标、服务范围，并有提出优化改进的思路，详细描述了监理工作范围及监理目标、监理组织机构、监理工作制度及廉洁自律措施、质量控制的工作任务与方法、进度控制的工作任务与方法、投资控制的工作任务与方法、合同管理及信息管理工作任务与方法、组织协调的工作任务与方法。</w:t>
            </w:r>
          </w:p>
          <w:p w14:paraId="7DB30885">
            <w:pPr>
              <w:pStyle w:val="18"/>
              <w:spacing w:line="380" w:lineRule="exact"/>
              <w:ind w:firstLine="420" w:firstLineChars="200"/>
              <w:rPr>
                <w:rFonts w:hAnsi="宋体" w:cs="宋体"/>
                <w:bCs/>
                <w:color w:val="auto"/>
                <w:sz w:val="21"/>
                <w:highlight w:val="none"/>
              </w:rPr>
            </w:pPr>
            <w:r>
              <w:rPr>
                <w:rFonts w:hint="eastAsia" w:hAnsi="宋体" w:cs="宋体"/>
                <w:color w:val="auto"/>
                <w:kern w:val="2"/>
                <w:sz w:val="21"/>
                <w:highlight w:val="none"/>
              </w:rPr>
              <w:t>四档（</w:t>
            </w:r>
            <w:r>
              <w:rPr>
                <w:rFonts w:hAnsi="宋体" w:cs="宋体"/>
                <w:color w:val="auto"/>
                <w:kern w:val="2"/>
                <w:sz w:val="21"/>
                <w:highlight w:val="none"/>
              </w:rPr>
              <w:t>36</w:t>
            </w:r>
            <w:r>
              <w:rPr>
                <w:rFonts w:hint="eastAsia" w:hAnsi="宋体" w:cs="宋体"/>
                <w:color w:val="auto"/>
                <w:kern w:val="2"/>
                <w:sz w:val="21"/>
                <w:highlight w:val="none"/>
              </w:rPr>
              <w:t>分）：服务方案能准确把握本项目建设背景和建设目标、服务范围，并有提出优化改进的思路，详细全面描述了监理工作范围及监理目标、监理组织机构、监理工作制度及廉洁自律措施、质量控制的工作任务与方法、进度控制的工作任务与方法、投资控制的工作任务与方法、合同管理及信息管理工作任务与方法、组织协调的工作任务与方法，对项目难点重点进行详细分析并提出应对措施，提出了监理保证措施及并提供的监理报告一览表格式，内容具体、针对性强。</w:t>
            </w:r>
          </w:p>
        </w:tc>
      </w:tr>
      <w:tr w14:paraId="0B3E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8B3CE1F">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5F07F61D">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1E5306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1743CDC">
            <w:pPr>
              <w:pStyle w:val="18"/>
              <w:spacing w:line="360" w:lineRule="auto"/>
              <w:rPr>
                <w:rFonts w:ascii="宋体" w:hAnsi="宋体" w:cs="宋体"/>
                <w:bCs/>
                <w:color w:val="auto"/>
                <w:szCs w:val="21"/>
                <w:highlight w:val="none"/>
              </w:rPr>
            </w:pPr>
            <w:r>
              <w:rPr>
                <w:rFonts w:hint="eastAsia" w:hAnsi="宋体"/>
                <w:b/>
                <w:color w:val="auto"/>
                <w:sz w:val="21"/>
                <w:szCs w:val="21"/>
                <w:highlight w:val="none"/>
              </w:rPr>
              <w:t>售后服务（满分</w:t>
            </w:r>
            <w:r>
              <w:rPr>
                <w:rFonts w:hAnsi="宋体"/>
                <w:b/>
                <w:color w:val="auto"/>
                <w:sz w:val="21"/>
                <w:szCs w:val="21"/>
                <w:highlight w:val="none"/>
              </w:rPr>
              <w:t>9</w:t>
            </w:r>
            <w:r>
              <w:rPr>
                <w:rFonts w:hint="eastAsia" w:hAnsi="宋体"/>
                <w:b/>
                <w:color w:val="auto"/>
                <w:sz w:val="21"/>
                <w:szCs w:val="21"/>
                <w:highlight w:val="none"/>
              </w:rPr>
              <w:t>分）</w:t>
            </w:r>
          </w:p>
        </w:tc>
        <w:tc>
          <w:tcPr>
            <w:tcW w:w="5665" w:type="dxa"/>
            <w:vAlign w:val="center"/>
          </w:tcPr>
          <w:p w14:paraId="4144B58E">
            <w:pPr>
              <w:spacing w:line="360" w:lineRule="auto"/>
              <w:ind w:firstLine="420" w:firstLineChars="200"/>
              <w:jc w:val="left"/>
              <w:rPr>
                <w:color w:val="auto"/>
                <w:szCs w:val="21"/>
                <w:highlight w:val="none"/>
              </w:rPr>
            </w:pPr>
            <w:r>
              <w:rPr>
                <w:rFonts w:hint="eastAsia" w:ascii="宋体" w:hAnsi="宋体"/>
                <w:bCs/>
                <w:color w:val="auto"/>
                <w:szCs w:val="21"/>
                <w:highlight w:val="none"/>
              </w:rPr>
              <w:t>由磋商小组在打分前根据供应商的售后服务方案确定各供应商所属档次及得分。达不到一档要求或不提供的得0分。</w:t>
            </w:r>
          </w:p>
          <w:p w14:paraId="532F1B44">
            <w:pPr>
              <w:spacing w:line="360" w:lineRule="auto"/>
              <w:ind w:firstLine="480"/>
              <w:rPr>
                <w:rFonts w:ascii="宋体" w:hAnsi="宋体"/>
                <w:color w:val="auto"/>
                <w:kern w:val="1"/>
                <w:szCs w:val="21"/>
                <w:highlight w:val="none"/>
              </w:rPr>
            </w:pPr>
            <w:r>
              <w:rPr>
                <w:rFonts w:hint="eastAsia" w:ascii="宋体" w:hAnsi="宋体"/>
                <w:color w:val="auto"/>
                <w:kern w:val="1"/>
                <w:szCs w:val="21"/>
                <w:highlight w:val="none"/>
              </w:rPr>
              <w:t>一档（</w:t>
            </w:r>
            <w:r>
              <w:rPr>
                <w:rFonts w:ascii="宋体" w:hAnsi="宋体"/>
                <w:color w:val="auto"/>
                <w:kern w:val="1"/>
                <w:szCs w:val="21"/>
                <w:highlight w:val="none"/>
              </w:rPr>
              <w:t>3分）有基本的售后服务方案</w:t>
            </w:r>
            <w:r>
              <w:rPr>
                <w:rFonts w:hint="eastAsia" w:ascii="宋体" w:hAnsi="宋体"/>
                <w:color w:val="auto"/>
                <w:kern w:val="1"/>
                <w:szCs w:val="21"/>
                <w:highlight w:val="none"/>
              </w:rPr>
              <w:t>，方案简单</w:t>
            </w:r>
            <w:r>
              <w:rPr>
                <w:rFonts w:ascii="宋体" w:hAnsi="宋体"/>
                <w:color w:val="auto"/>
                <w:kern w:val="1"/>
                <w:szCs w:val="21"/>
                <w:highlight w:val="none"/>
              </w:rPr>
              <w:t>；</w:t>
            </w:r>
          </w:p>
          <w:p w14:paraId="6313A50B">
            <w:pPr>
              <w:spacing w:line="360" w:lineRule="auto"/>
              <w:ind w:firstLine="480"/>
              <w:rPr>
                <w:rFonts w:ascii="宋体" w:hAnsi="宋体"/>
                <w:color w:val="auto"/>
                <w:kern w:val="1"/>
                <w:szCs w:val="21"/>
                <w:highlight w:val="none"/>
              </w:rPr>
            </w:pPr>
            <w:r>
              <w:rPr>
                <w:rFonts w:hint="eastAsia" w:ascii="宋体" w:hAnsi="宋体"/>
                <w:color w:val="auto"/>
                <w:kern w:val="1"/>
                <w:szCs w:val="21"/>
                <w:highlight w:val="none"/>
              </w:rPr>
              <w:t>二档（</w:t>
            </w:r>
            <w:r>
              <w:rPr>
                <w:rFonts w:ascii="宋体" w:hAnsi="宋体"/>
                <w:color w:val="auto"/>
                <w:kern w:val="1"/>
                <w:szCs w:val="21"/>
                <w:highlight w:val="none"/>
              </w:rPr>
              <w:t>6分）</w:t>
            </w:r>
            <w:r>
              <w:rPr>
                <w:rFonts w:hint="eastAsia" w:ascii="宋体" w:hAnsi="宋体"/>
                <w:color w:val="auto"/>
                <w:kern w:val="1"/>
                <w:szCs w:val="21"/>
                <w:highlight w:val="none"/>
              </w:rPr>
              <w:t>售后服务方案</w:t>
            </w:r>
            <w:r>
              <w:rPr>
                <w:rFonts w:hint="eastAsia"/>
                <w:color w:val="auto"/>
                <w:highlight w:val="none"/>
              </w:rPr>
              <w:t>有本地化服务、售后服务流程，</w:t>
            </w:r>
            <w:r>
              <w:rPr>
                <w:rFonts w:hint="eastAsia" w:ascii="宋体" w:hAnsi="宋体"/>
                <w:color w:val="auto"/>
                <w:kern w:val="1"/>
                <w:szCs w:val="21"/>
                <w:highlight w:val="none"/>
              </w:rPr>
              <w:t>满足项目需求，针对性强，利于实施的，到达现场时间、培训、定期回访等满足采购人的实际售后需求</w:t>
            </w:r>
            <w:r>
              <w:rPr>
                <w:rFonts w:ascii="宋体" w:hAnsi="宋体"/>
                <w:color w:val="auto"/>
                <w:kern w:val="1"/>
                <w:szCs w:val="21"/>
                <w:highlight w:val="none"/>
              </w:rPr>
              <w:t>；</w:t>
            </w:r>
          </w:p>
          <w:p w14:paraId="151B4EFD">
            <w:pPr>
              <w:spacing w:line="360" w:lineRule="auto"/>
              <w:ind w:firstLine="420" w:firstLineChars="200"/>
              <w:jc w:val="left"/>
              <w:rPr>
                <w:rFonts w:ascii="宋体" w:hAnsi="宋体" w:cs="宋体"/>
                <w:color w:val="auto"/>
                <w:szCs w:val="21"/>
                <w:highlight w:val="none"/>
              </w:rPr>
            </w:pPr>
            <w:r>
              <w:rPr>
                <w:rFonts w:hint="eastAsia" w:ascii="宋体" w:hAnsi="宋体"/>
                <w:color w:val="auto"/>
                <w:kern w:val="1"/>
                <w:szCs w:val="21"/>
                <w:highlight w:val="none"/>
              </w:rPr>
              <w:t>三档（</w:t>
            </w:r>
            <w:r>
              <w:rPr>
                <w:rFonts w:ascii="宋体" w:hAnsi="宋体"/>
                <w:color w:val="auto"/>
                <w:kern w:val="1"/>
                <w:szCs w:val="21"/>
                <w:highlight w:val="none"/>
              </w:rPr>
              <w:t>9分）</w:t>
            </w:r>
            <w:r>
              <w:rPr>
                <w:rFonts w:hint="eastAsia" w:ascii="宋体" w:hAnsi="宋体"/>
                <w:color w:val="auto"/>
                <w:kern w:val="1"/>
                <w:szCs w:val="21"/>
                <w:highlight w:val="none"/>
              </w:rPr>
              <w:t>售后服务方案</w:t>
            </w:r>
            <w:r>
              <w:rPr>
                <w:rFonts w:hint="eastAsia"/>
                <w:color w:val="auto"/>
                <w:highlight w:val="none"/>
              </w:rPr>
              <w:t>有本地化服务、售后服务流程、应急预案、售后服务响应与处置体系，并针对售后服务内容提供资源保障体系与措施、保密管理管理体系与措施、文档管理体系与措施、投诉处理体系与措施以及客户回访体系与措施详实、具备可操作性强，，且内容齐全、详实、可操作性强，吻合实际，</w:t>
            </w:r>
            <w:r>
              <w:rPr>
                <w:rFonts w:hint="eastAsia" w:ascii="宋体" w:hAnsi="宋体"/>
                <w:color w:val="auto"/>
                <w:kern w:val="1"/>
                <w:szCs w:val="21"/>
                <w:highlight w:val="none"/>
              </w:rPr>
              <w:t>到达现场时间、培训、定期回访等优于采购人的实际售后需求。</w:t>
            </w:r>
          </w:p>
        </w:tc>
      </w:tr>
      <w:tr w14:paraId="14FC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DC020AF">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6C1608E8">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53B4AFF">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66E7CFE">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拟投入人员配置</w:t>
            </w:r>
            <w:r>
              <w:rPr>
                <w:rFonts w:hint="eastAsia" w:ascii="宋体" w:hAnsi="宋体"/>
                <w:b/>
                <w:color w:val="auto"/>
                <w:szCs w:val="21"/>
                <w:highlight w:val="none"/>
              </w:rPr>
              <w:t>（满分</w:t>
            </w:r>
            <w:r>
              <w:rPr>
                <w:rFonts w:ascii="宋体" w:hAnsi="宋体"/>
                <w:b/>
                <w:color w:val="auto"/>
                <w:szCs w:val="21"/>
                <w:highlight w:val="none"/>
              </w:rPr>
              <w:t>27</w:t>
            </w:r>
            <w:r>
              <w:rPr>
                <w:rFonts w:hint="eastAsia" w:ascii="宋体" w:hAnsi="宋体"/>
                <w:b/>
                <w:color w:val="auto"/>
                <w:szCs w:val="21"/>
                <w:highlight w:val="none"/>
              </w:rPr>
              <w:t>分）</w:t>
            </w:r>
          </w:p>
        </w:tc>
        <w:tc>
          <w:tcPr>
            <w:tcW w:w="5665" w:type="dxa"/>
            <w:vAlign w:val="center"/>
          </w:tcPr>
          <w:p w14:paraId="0C561A1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总监理工程师1人（满分9分）</w:t>
            </w:r>
          </w:p>
          <w:p w14:paraId="140BDA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项目总监理工程师</w:t>
            </w:r>
            <w:r>
              <w:rPr>
                <w:rFonts w:hint="eastAsia" w:ascii="宋体" w:hAnsi="宋体" w:cs="宋体"/>
                <w:color w:val="auto"/>
                <w:szCs w:val="21"/>
                <w:highlight w:val="none"/>
                <w:lang w:val="en-US" w:eastAsia="zh-CN"/>
              </w:rPr>
              <w:t>除持</w:t>
            </w:r>
            <w:r>
              <w:rPr>
                <w:rFonts w:hint="eastAsia" w:ascii="宋体" w:hAnsi="宋体" w:cs="宋体"/>
                <w:color w:val="auto"/>
                <w:szCs w:val="21"/>
                <w:highlight w:val="none"/>
              </w:rPr>
              <w:t>有软考信息系统监理师证书</w:t>
            </w:r>
            <w:r>
              <w:rPr>
                <w:rFonts w:hint="eastAsia" w:ascii="宋体" w:hAnsi="宋体" w:cs="宋体"/>
                <w:color w:val="auto"/>
                <w:szCs w:val="21"/>
                <w:highlight w:val="none"/>
                <w:lang w:val="en-US" w:eastAsia="zh-CN"/>
              </w:rPr>
              <w:t>外</w:t>
            </w:r>
            <w:r>
              <w:rPr>
                <w:rFonts w:hint="eastAsia" w:ascii="宋体" w:hAnsi="宋体" w:cs="宋体"/>
                <w:color w:val="auto"/>
                <w:szCs w:val="21"/>
                <w:highlight w:val="none"/>
              </w:rPr>
              <w:t>，同时</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w:t>
            </w:r>
          </w:p>
          <w:p w14:paraId="5E51A33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①持有</w:t>
            </w:r>
            <w:r>
              <w:rPr>
                <w:rFonts w:hint="eastAsia" w:ascii="宋体" w:hAnsi="宋体" w:cs="宋体"/>
                <w:color w:val="auto"/>
                <w:szCs w:val="21"/>
                <w:highlight w:val="none"/>
              </w:rPr>
              <w:t>注册监理工程师注册执业证书（注册专业：通信工程）</w:t>
            </w:r>
            <w:r>
              <w:rPr>
                <w:rFonts w:hint="eastAsia" w:ascii="宋体" w:hAnsi="宋体"/>
                <w:color w:val="auto"/>
                <w:highlight w:val="none"/>
                <w:lang w:eastAsia="zh-CN"/>
              </w:rPr>
              <w:t>的</w:t>
            </w:r>
            <w:r>
              <w:rPr>
                <w:rFonts w:hint="eastAsia" w:ascii="宋体" w:hAnsi="宋体"/>
                <w:color w:val="auto"/>
                <w:highlight w:val="none"/>
              </w:rPr>
              <w:t>得1分；</w:t>
            </w:r>
          </w:p>
          <w:p w14:paraId="24446E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②持有</w:t>
            </w:r>
            <w:r>
              <w:rPr>
                <w:rFonts w:hint="eastAsia" w:ascii="宋体" w:hAnsi="宋体" w:cs="宋体"/>
                <w:color w:val="auto"/>
                <w:szCs w:val="21"/>
                <w:highlight w:val="none"/>
              </w:rPr>
              <w:t>中华人民共和国咨询工程师（投资）登记证书【专业：电子</w:t>
            </w:r>
            <w:r>
              <w:rPr>
                <w:rFonts w:hint="eastAsia" w:ascii="宋体" w:hAnsi="宋体"/>
                <w:color w:val="auto"/>
                <w:highlight w:val="none"/>
                <w:lang w:eastAsia="zh-CN"/>
              </w:rPr>
              <w:t>的</w:t>
            </w:r>
            <w:r>
              <w:rPr>
                <w:rFonts w:hint="eastAsia" w:ascii="宋体" w:hAnsi="宋体"/>
                <w:color w:val="auto"/>
                <w:highlight w:val="none"/>
              </w:rPr>
              <w:t>得1分；</w:t>
            </w:r>
          </w:p>
          <w:p w14:paraId="4ECDA94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③持有</w:t>
            </w:r>
            <w:r>
              <w:rPr>
                <w:rFonts w:hint="eastAsia" w:ascii="宋体" w:hAnsi="宋体" w:cs="宋体"/>
                <w:color w:val="auto"/>
                <w:szCs w:val="21"/>
                <w:highlight w:val="none"/>
              </w:rPr>
              <w:t>信息工程（含通信、广电、信息化）】</w:t>
            </w:r>
            <w:r>
              <w:rPr>
                <w:rFonts w:hint="eastAsia" w:ascii="宋体" w:hAnsi="宋体"/>
                <w:color w:val="auto"/>
                <w:highlight w:val="none"/>
                <w:lang w:eastAsia="zh-CN"/>
              </w:rPr>
              <w:t>的</w:t>
            </w:r>
            <w:r>
              <w:rPr>
                <w:rFonts w:hint="eastAsia" w:ascii="宋体" w:hAnsi="宋体"/>
                <w:color w:val="auto"/>
                <w:highlight w:val="none"/>
              </w:rPr>
              <w:t>得1分；</w:t>
            </w:r>
          </w:p>
          <w:p w14:paraId="024218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④持有</w:t>
            </w:r>
            <w:r>
              <w:rPr>
                <w:rFonts w:hint="eastAsia" w:ascii="宋体" w:hAnsi="宋体" w:cs="宋体"/>
                <w:color w:val="auto"/>
                <w:szCs w:val="21"/>
                <w:highlight w:val="none"/>
              </w:rPr>
              <w:t>一级建造师注册证书（注册专业：通信与广电工程）</w:t>
            </w:r>
            <w:r>
              <w:rPr>
                <w:rFonts w:hint="eastAsia" w:ascii="宋体" w:hAnsi="宋体"/>
                <w:color w:val="auto"/>
                <w:highlight w:val="none"/>
                <w:lang w:eastAsia="zh-CN"/>
              </w:rPr>
              <w:t>的</w:t>
            </w:r>
            <w:r>
              <w:rPr>
                <w:rFonts w:hint="eastAsia" w:ascii="宋体" w:hAnsi="宋体"/>
                <w:color w:val="auto"/>
                <w:highlight w:val="none"/>
              </w:rPr>
              <w:t>得1分；</w:t>
            </w:r>
          </w:p>
          <w:p w14:paraId="32500B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⑤持有</w:t>
            </w:r>
            <w:r>
              <w:rPr>
                <w:rFonts w:hint="eastAsia" w:ascii="宋体" w:hAnsi="宋体" w:cs="宋体"/>
                <w:color w:val="auto"/>
                <w:szCs w:val="21"/>
                <w:highlight w:val="none"/>
              </w:rPr>
              <w:t>注册信息安全专业人员（CISP）证书</w:t>
            </w:r>
            <w:r>
              <w:rPr>
                <w:rFonts w:hint="eastAsia" w:ascii="宋体" w:hAnsi="宋体"/>
                <w:color w:val="auto"/>
                <w:highlight w:val="none"/>
                <w:lang w:eastAsia="zh-CN"/>
              </w:rPr>
              <w:t>的</w:t>
            </w:r>
            <w:r>
              <w:rPr>
                <w:rFonts w:hint="eastAsia" w:ascii="宋体" w:hAnsi="宋体"/>
                <w:color w:val="auto"/>
                <w:highlight w:val="none"/>
              </w:rPr>
              <w:t>得1分；</w:t>
            </w:r>
          </w:p>
          <w:p w14:paraId="07F905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⑥持有</w:t>
            </w:r>
            <w:r>
              <w:rPr>
                <w:rFonts w:hint="eastAsia" w:ascii="宋体" w:hAnsi="宋体" w:cs="宋体"/>
                <w:color w:val="auto"/>
                <w:szCs w:val="21"/>
                <w:highlight w:val="none"/>
              </w:rPr>
              <w:t>软考信息系统项目管理师证书</w:t>
            </w:r>
            <w:r>
              <w:rPr>
                <w:rFonts w:hint="eastAsia" w:ascii="宋体" w:hAnsi="宋体"/>
                <w:color w:val="auto"/>
                <w:highlight w:val="none"/>
                <w:lang w:eastAsia="zh-CN"/>
              </w:rPr>
              <w:t>的</w:t>
            </w:r>
            <w:r>
              <w:rPr>
                <w:rFonts w:hint="eastAsia" w:ascii="宋体" w:hAnsi="宋体"/>
                <w:color w:val="auto"/>
                <w:highlight w:val="none"/>
              </w:rPr>
              <w:t>得1分；</w:t>
            </w:r>
          </w:p>
          <w:p w14:paraId="4B1E853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⑦</w:t>
            </w:r>
            <w:r>
              <w:rPr>
                <w:rFonts w:hint="eastAsia" w:ascii="宋体" w:hAnsi="宋体"/>
                <w:color w:val="auto"/>
                <w:highlight w:val="none"/>
              </w:rPr>
              <w:t>持有</w:t>
            </w:r>
            <w:r>
              <w:rPr>
                <w:rFonts w:hint="eastAsia" w:ascii="宋体" w:hAnsi="宋体" w:cs="宋体"/>
                <w:color w:val="auto"/>
                <w:szCs w:val="21"/>
                <w:highlight w:val="none"/>
              </w:rPr>
              <w:t>软考系统架构设计师证书</w:t>
            </w:r>
            <w:r>
              <w:rPr>
                <w:rFonts w:hint="eastAsia" w:ascii="宋体" w:hAnsi="宋体"/>
                <w:color w:val="auto"/>
                <w:highlight w:val="none"/>
                <w:lang w:eastAsia="zh-CN"/>
              </w:rPr>
              <w:t>的</w:t>
            </w:r>
            <w:r>
              <w:rPr>
                <w:rFonts w:hint="eastAsia" w:ascii="宋体" w:hAnsi="宋体"/>
                <w:color w:val="auto"/>
                <w:highlight w:val="none"/>
              </w:rPr>
              <w:t>得1分；</w:t>
            </w:r>
          </w:p>
          <w:p w14:paraId="4FB69AA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⑧</w:t>
            </w:r>
            <w:r>
              <w:rPr>
                <w:rFonts w:hint="eastAsia" w:ascii="宋体" w:hAnsi="宋体"/>
                <w:color w:val="auto"/>
                <w:highlight w:val="none"/>
              </w:rPr>
              <w:t>持有</w:t>
            </w:r>
            <w:r>
              <w:rPr>
                <w:rFonts w:hint="eastAsia" w:ascii="宋体" w:hAnsi="宋体" w:cs="宋体"/>
                <w:color w:val="auto"/>
                <w:szCs w:val="21"/>
                <w:highlight w:val="none"/>
              </w:rPr>
              <w:t>软考系统分析师</w:t>
            </w:r>
            <w:r>
              <w:rPr>
                <w:rFonts w:hint="eastAsia" w:ascii="宋体" w:hAnsi="宋体"/>
                <w:color w:val="auto"/>
                <w:highlight w:val="none"/>
                <w:lang w:eastAsia="zh-CN"/>
              </w:rPr>
              <w:t>的</w:t>
            </w:r>
            <w:r>
              <w:rPr>
                <w:rFonts w:hint="eastAsia" w:ascii="宋体" w:hAnsi="宋体"/>
                <w:color w:val="auto"/>
                <w:highlight w:val="none"/>
              </w:rPr>
              <w:t>得1分；</w:t>
            </w:r>
          </w:p>
          <w:p w14:paraId="5C4C74E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⑨</w:t>
            </w:r>
            <w:r>
              <w:rPr>
                <w:rFonts w:hint="eastAsia" w:ascii="宋体" w:hAnsi="宋体"/>
                <w:color w:val="auto"/>
                <w:highlight w:val="none"/>
              </w:rPr>
              <w:t>持有</w:t>
            </w:r>
            <w:r>
              <w:rPr>
                <w:rFonts w:hint="eastAsia" w:ascii="宋体" w:hAnsi="宋体" w:cs="宋体"/>
                <w:color w:val="auto"/>
                <w:szCs w:val="21"/>
                <w:highlight w:val="none"/>
              </w:rPr>
              <w:t>软考网络工程师证书</w:t>
            </w:r>
            <w:r>
              <w:rPr>
                <w:rFonts w:hint="eastAsia" w:ascii="宋体" w:hAnsi="宋体"/>
                <w:color w:val="auto"/>
                <w:highlight w:val="none"/>
                <w:lang w:eastAsia="zh-CN"/>
              </w:rPr>
              <w:t>的</w:t>
            </w:r>
            <w:r>
              <w:rPr>
                <w:rFonts w:hint="eastAsia" w:ascii="宋体" w:hAnsi="宋体"/>
                <w:color w:val="auto"/>
                <w:highlight w:val="none"/>
              </w:rPr>
              <w:t>得1分</w:t>
            </w:r>
            <w:r>
              <w:rPr>
                <w:rFonts w:hint="eastAsia" w:ascii="宋体" w:hAnsi="宋体"/>
                <w:color w:val="auto"/>
                <w:highlight w:val="none"/>
                <w:lang w:eastAsia="zh-CN"/>
              </w:rPr>
              <w:t>。</w:t>
            </w:r>
          </w:p>
          <w:p w14:paraId="5FDAA69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总监理工程师代表1人（除总监理工程师外，满分6分）</w:t>
            </w:r>
          </w:p>
          <w:p w14:paraId="096A42A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总监理工程师代表</w:t>
            </w:r>
            <w:r>
              <w:rPr>
                <w:rFonts w:hint="eastAsia" w:ascii="宋体" w:hAnsi="宋体" w:cs="宋体"/>
                <w:color w:val="auto"/>
                <w:szCs w:val="21"/>
                <w:highlight w:val="none"/>
                <w:lang w:val="en-US" w:eastAsia="zh-CN"/>
              </w:rPr>
              <w:t>除持</w:t>
            </w:r>
            <w:r>
              <w:rPr>
                <w:rFonts w:hint="eastAsia" w:ascii="宋体" w:hAnsi="宋体" w:cs="宋体"/>
                <w:color w:val="auto"/>
                <w:szCs w:val="21"/>
                <w:highlight w:val="none"/>
              </w:rPr>
              <w:t>有软考信息系统监理师证书</w:t>
            </w:r>
            <w:r>
              <w:rPr>
                <w:rFonts w:hint="eastAsia" w:ascii="宋体" w:hAnsi="宋体" w:cs="宋体"/>
                <w:color w:val="auto"/>
                <w:szCs w:val="21"/>
                <w:highlight w:val="none"/>
                <w:lang w:val="en-US" w:eastAsia="zh-CN"/>
              </w:rPr>
              <w:t>外</w:t>
            </w:r>
            <w:r>
              <w:rPr>
                <w:rFonts w:hint="eastAsia" w:ascii="宋体" w:hAnsi="宋体" w:cs="宋体"/>
                <w:color w:val="auto"/>
                <w:szCs w:val="21"/>
                <w:highlight w:val="none"/>
              </w:rPr>
              <w:t>，同时</w:t>
            </w:r>
            <w:r>
              <w:rPr>
                <w:rFonts w:hint="eastAsia" w:ascii="宋体" w:hAnsi="宋体" w:cs="宋体"/>
                <w:color w:val="auto"/>
                <w:szCs w:val="21"/>
                <w:highlight w:val="none"/>
                <w:lang w:val="en-US" w:eastAsia="zh-CN"/>
              </w:rPr>
              <w:t>持有</w:t>
            </w:r>
            <w:r>
              <w:rPr>
                <w:rFonts w:hint="eastAsia" w:ascii="宋体" w:hAnsi="宋体" w:cs="宋体"/>
                <w:color w:val="auto"/>
                <w:szCs w:val="21"/>
                <w:highlight w:val="none"/>
              </w:rPr>
              <w:t>：</w:t>
            </w:r>
          </w:p>
          <w:p w14:paraId="4440F26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①持有</w:t>
            </w:r>
            <w:r>
              <w:rPr>
                <w:rFonts w:hint="eastAsia" w:ascii="宋体" w:hAnsi="宋体" w:cs="宋体"/>
                <w:color w:val="auto"/>
                <w:szCs w:val="21"/>
                <w:highlight w:val="none"/>
              </w:rPr>
              <w:t>软考信息系统项目管理师证书</w:t>
            </w:r>
            <w:r>
              <w:rPr>
                <w:rFonts w:hint="eastAsia" w:ascii="宋体" w:hAnsi="宋体" w:cs="宋体"/>
                <w:color w:val="auto"/>
                <w:szCs w:val="21"/>
                <w:highlight w:val="none"/>
                <w:lang w:val="en-US" w:eastAsia="zh-CN"/>
              </w:rPr>
              <w:t>的</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56E1793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②</w:t>
            </w:r>
            <w:r>
              <w:rPr>
                <w:rFonts w:hint="eastAsia" w:ascii="宋体" w:hAnsi="宋体"/>
                <w:color w:val="auto"/>
                <w:highlight w:val="none"/>
                <w:lang w:val="en-US" w:eastAsia="zh-CN"/>
              </w:rPr>
              <w:t>持有</w:t>
            </w:r>
            <w:r>
              <w:rPr>
                <w:rFonts w:hint="eastAsia" w:ascii="宋体" w:hAnsi="宋体" w:cs="宋体"/>
                <w:color w:val="auto"/>
                <w:szCs w:val="21"/>
                <w:highlight w:val="none"/>
              </w:rPr>
              <w:t>职称改革工作领导小组批准颁发的高级工程师证书（专业：项目管理）</w:t>
            </w:r>
            <w:r>
              <w:rPr>
                <w:rFonts w:hint="eastAsia" w:ascii="宋体" w:hAnsi="宋体" w:cs="宋体"/>
                <w:color w:val="auto"/>
                <w:szCs w:val="21"/>
                <w:highlight w:val="none"/>
                <w:lang w:val="en-US" w:eastAsia="zh-CN"/>
              </w:rPr>
              <w:t>的</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54E221D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③持有</w:t>
            </w:r>
            <w:r>
              <w:rPr>
                <w:rFonts w:hint="eastAsia" w:ascii="宋体" w:hAnsi="宋体" w:cs="宋体"/>
                <w:color w:val="auto"/>
                <w:szCs w:val="21"/>
                <w:highlight w:val="none"/>
              </w:rPr>
              <w:t>中华人民共和国咨询工程师（投资）登记证书【专业：电子、信息工程（含通信、广电、信息化）】</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7072EE8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lang w:eastAsia="zh-CN"/>
              </w:rPr>
            </w:pPr>
            <w:r>
              <w:rPr>
                <w:rFonts w:hint="eastAsia" w:ascii="宋体" w:hAnsi="宋体" w:eastAsia="宋体" w:cs="宋体"/>
                <w:color w:val="auto"/>
                <w:highlight w:val="none"/>
              </w:rPr>
              <w:t>④</w:t>
            </w:r>
            <w:r>
              <w:rPr>
                <w:rFonts w:hint="eastAsia" w:ascii="宋体" w:hAnsi="宋体"/>
                <w:color w:val="auto"/>
                <w:highlight w:val="none"/>
              </w:rPr>
              <w:t>持有</w:t>
            </w:r>
            <w:r>
              <w:rPr>
                <w:rFonts w:hint="eastAsia" w:ascii="宋体" w:hAnsi="宋体" w:cs="宋体"/>
                <w:color w:val="auto"/>
                <w:szCs w:val="21"/>
                <w:highlight w:val="none"/>
              </w:rPr>
              <w:t>软件工程造价师证书的</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r>
              <w:rPr>
                <w:rFonts w:hint="eastAsia" w:ascii="宋体" w:hAnsi="宋体"/>
                <w:color w:val="auto"/>
                <w:highlight w:val="none"/>
                <w:lang w:eastAsia="zh-CN"/>
              </w:rPr>
              <w:t>。</w:t>
            </w:r>
          </w:p>
          <w:p w14:paraId="745A8E6F">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项目组成员（除总监理工程师、总监理工程师代表外，满分</w:t>
            </w:r>
            <w:r>
              <w:rPr>
                <w:rFonts w:ascii="宋体" w:hAnsi="宋体" w:cs="宋体"/>
                <w:b/>
                <w:bCs/>
                <w:color w:val="auto"/>
                <w:szCs w:val="21"/>
                <w:highlight w:val="none"/>
              </w:rPr>
              <w:t>12</w:t>
            </w:r>
            <w:r>
              <w:rPr>
                <w:rFonts w:hint="eastAsia" w:ascii="宋体" w:hAnsi="宋体" w:cs="宋体"/>
                <w:b/>
                <w:bCs/>
                <w:color w:val="auto"/>
                <w:szCs w:val="21"/>
                <w:highlight w:val="none"/>
              </w:rPr>
              <w:t>分）</w:t>
            </w:r>
          </w:p>
          <w:p w14:paraId="2FB6388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专业监理工程师</w:t>
            </w:r>
            <w:r>
              <w:rPr>
                <w:rFonts w:hint="eastAsia" w:ascii="宋体" w:hAnsi="宋体" w:cs="宋体"/>
                <w:color w:val="auto"/>
                <w:szCs w:val="21"/>
                <w:highlight w:val="none"/>
                <w:lang w:val="en-US" w:eastAsia="zh-CN"/>
              </w:rPr>
              <w:t>除持</w:t>
            </w:r>
            <w:r>
              <w:rPr>
                <w:rFonts w:hint="eastAsia" w:ascii="宋体" w:hAnsi="宋体" w:cs="宋体"/>
                <w:color w:val="auto"/>
                <w:szCs w:val="21"/>
                <w:highlight w:val="none"/>
              </w:rPr>
              <w:t>有软考信息系统监理师证书</w:t>
            </w:r>
            <w:r>
              <w:rPr>
                <w:rFonts w:hint="eastAsia" w:ascii="宋体" w:hAnsi="宋体" w:cs="宋体"/>
                <w:color w:val="auto"/>
                <w:szCs w:val="21"/>
                <w:highlight w:val="none"/>
                <w:lang w:val="en-US" w:eastAsia="zh-CN"/>
              </w:rPr>
              <w:t>外</w:t>
            </w:r>
            <w:r>
              <w:rPr>
                <w:rFonts w:hint="eastAsia" w:ascii="宋体" w:hAnsi="宋体" w:cs="宋体"/>
                <w:color w:val="auto"/>
                <w:szCs w:val="21"/>
                <w:highlight w:val="none"/>
              </w:rPr>
              <w:t>，同时</w:t>
            </w:r>
            <w:r>
              <w:rPr>
                <w:rFonts w:hint="eastAsia" w:ascii="宋体" w:hAnsi="宋体" w:cs="宋体"/>
                <w:color w:val="auto"/>
                <w:szCs w:val="21"/>
                <w:highlight w:val="none"/>
                <w:lang w:val="en-US" w:eastAsia="zh-CN"/>
              </w:rPr>
              <w:t>持有</w:t>
            </w:r>
            <w:r>
              <w:rPr>
                <w:rFonts w:hint="eastAsia" w:ascii="宋体" w:hAnsi="宋体" w:cs="宋体"/>
                <w:color w:val="auto"/>
                <w:szCs w:val="21"/>
                <w:highlight w:val="none"/>
              </w:rPr>
              <w:t xml:space="preserve">： </w:t>
            </w:r>
          </w:p>
          <w:p w14:paraId="2BD1CB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olor w:val="auto"/>
                <w:highlight w:val="none"/>
              </w:rPr>
              <w:t>①</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有注册监理工程师注册执业证书（注册专业：通信工程）的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p>
          <w:p w14:paraId="3D951A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②</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有软考网络工程师证书的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p>
          <w:p w14:paraId="7A248C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lang w:eastAsia="zh-CN"/>
              </w:rPr>
            </w:pPr>
            <w:r>
              <w:rPr>
                <w:rFonts w:hint="eastAsia" w:ascii="宋体" w:hAnsi="宋体"/>
                <w:color w:val="auto"/>
                <w:highlight w:val="none"/>
              </w:rPr>
              <w:t>③</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有中华人民共和国咨询工程师（投资）登记证书【专业：电子、信息工程（含通信、广电、信息化）】的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p>
          <w:p w14:paraId="3EB964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highlight w:val="none"/>
              </w:rPr>
              <w:t>④</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有软件工程造价师证书的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p>
          <w:p w14:paraId="74296F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有信息安全保障人员认证证书的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p>
          <w:p w14:paraId="37C3814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⑥</w:t>
            </w: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有注册信息安全专业人员（CISP）证书的</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s="宋体"/>
                <w:color w:val="auto"/>
                <w:szCs w:val="21"/>
                <w:highlight w:val="none"/>
              </w:rPr>
              <w:t>（注：每项证书仅评一次，同一人不重复计分）</w:t>
            </w:r>
          </w:p>
          <w:p w14:paraId="3F66F8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sz w:val="21"/>
                <w:highlight w:val="none"/>
              </w:rPr>
            </w:pPr>
            <w:r>
              <w:rPr>
                <w:rFonts w:hint="eastAsia" w:ascii="宋体" w:hAnsi="宋体" w:cs="宋体"/>
                <w:color w:val="auto"/>
                <w:szCs w:val="21"/>
                <w:highlight w:val="none"/>
              </w:rPr>
              <w:t>注：上述软考是指计算机技术与软件专业技术资格（水平）考试；响应文件中须提供以上证书及</w:t>
            </w:r>
            <w:r>
              <w:rPr>
                <w:rFonts w:hint="eastAsia" w:ascii="宋体" w:hAnsi="宋体" w:cs="宋体"/>
                <w:color w:val="auto"/>
                <w:szCs w:val="21"/>
                <w:highlight w:val="none"/>
                <w:lang w:eastAsia="zh-CN"/>
              </w:rPr>
              <w:t>供应商为拟投入人员缴纳的2025年1月-7月期间任意1个月有效社保证明（如拟投入人员属于退休人员返聘无社保证明的，需提供退休证、返聘证明；如供应商为截标时间前60日以内成立的公司或</w:t>
            </w:r>
            <w:r>
              <w:rPr>
                <w:rFonts w:hint="eastAsia" w:ascii="宋体" w:hAnsi="宋体" w:cs="宋体"/>
                <w:color w:val="auto"/>
                <w:szCs w:val="21"/>
                <w:highlight w:val="none"/>
                <w:lang w:val="en-US" w:eastAsia="zh-CN"/>
              </w:rPr>
              <w:t>拟投入</w:t>
            </w:r>
            <w:r>
              <w:rPr>
                <w:rFonts w:hint="eastAsia" w:ascii="宋体" w:hAnsi="宋体" w:cs="宋体"/>
                <w:color w:val="auto"/>
                <w:szCs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color w:val="auto"/>
                <w:szCs w:val="21"/>
                <w:highlight w:val="none"/>
              </w:rPr>
              <w:t>以上相关证书若能在互联网查询验证的须提供查询网址及截图，加盖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公章，若无法在互联网查询的均须提供人员证书原件扫描件加盖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公章，原件备查，否则该项不予计分。</w:t>
            </w:r>
          </w:p>
        </w:tc>
      </w:tr>
      <w:tr w14:paraId="3E8B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614B0E5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1A96197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1ADE732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满分8</w:t>
            </w:r>
            <w:r>
              <w:rPr>
                <w:rFonts w:hint="eastAsia" w:ascii="宋体" w:hAnsi="宋体" w:cs="宋体"/>
                <w:b/>
                <w:color w:val="auto"/>
                <w:kern w:val="0"/>
                <w:szCs w:val="21"/>
                <w:highlight w:val="none"/>
              </w:rPr>
              <w:t>分</w:t>
            </w:r>
          </w:p>
        </w:tc>
        <w:tc>
          <w:tcPr>
            <w:tcW w:w="6909" w:type="dxa"/>
            <w:gridSpan w:val="2"/>
            <w:vAlign w:val="center"/>
          </w:tcPr>
          <w:p w14:paraId="1A3B143C">
            <w:pPr>
              <w:spacing w:line="360" w:lineRule="auto"/>
              <w:ind w:firstLine="420" w:firstLineChars="200"/>
              <w:rPr>
                <w:rFonts w:ascii="宋体" w:hAnsi="宋体" w:cs="华文宋体"/>
                <w:color w:val="auto"/>
                <w:szCs w:val="21"/>
                <w:highlight w:val="none"/>
              </w:rPr>
            </w:pPr>
            <w:r>
              <w:rPr>
                <w:rFonts w:hint="eastAsia" w:ascii="宋体" w:hAnsi="宋体" w:cs="华文宋体"/>
                <w:color w:val="auto"/>
                <w:szCs w:val="21"/>
                <w:highlight w:val="none"/>
              </w:rPr>
              <w:t>1.供应商具有有效的</w:t>
            </w:r>
            <w:r>
              <w:rPr>
                <w:rFonts w:ascii="宋体" w:hAnsi="宋体" w:cs="宋体"/>
                <w:color w:val="auto"/>
                <w:kern w:val="0"/>
                <w:szCs w:val="21"/>
                <w:highlight w:val="none"/>
              </w:rPr>
              <w:t>质量管理体系认证证书</w:t>
            </w:r>
            <w:r>
              <w:rPr>
                <w:rFonts w:hint="eastAsia" w:ascii="宋体" w:hAnsi="宋体" w:cs="宋体"/>
                <w:color w:val="auto"/>
                <w:kern w:val="0"/>
                <w:szCs w:val="21"/>
                <w:highlight w:val="none"/>
              </w:rPr>
              <w:t>、信息安全管理体系认证证书（认证范围至少包含信息系统工程监理）</w:t>
            </w:r>
            <w:r>
              <w:rPr>
                <w:rFonts w:ascii="宋体" w:hAnsi="宋体" w:cs="宋体"/>
                <w:color w:val="auto"/>
                <w:kern w:val="0"/>
                <w:szCs w:val="21"/>
                <w:highlight w:val="none"/>
              </w:rPr>
              <w:t>，</w:t>
            </w:r>
            <w:r>
              <w:rPr>
                <w:rFonts w:hint="eastAsia"/>
                <w:color w:val="auto"/>
                <w:highlight w:val="none"/>
              </w:rPr>
              <w:t>每个认证得</w:t>
            </w:r>
            <w:r>
              <w:rPr>
                <w:rFonts w:hint="eastAsia" w:ascii="宋体" w:hAnsi="宋体" w:cs="华文宋体"/>
                <w:color w:val="auto"/>
                <w:szCs w:val="21"/>
                <w:highlight w:val="none"/>
                <w:lang w:val="en-US" w:eastAsia="zh-CN"/>
              </w:rPr>
              <w:t>1</w:t>
            </w:r>
            <w:r>
              <w:rPr>
                <w:rFonts w:hint="eastAsia" w:ascii="宋体" w:hAnsi="宋体" w:cs="华文宋体"/>
                <w:color w:val="auto"/>
                <w:szCs w:val="21"/>
                <w:highlight w:val="none"/>
              </w:rPr>
              <w:t>分，</w:t>
            </w:r>
            <w:r>
              <w:rPr>
                <w:rFonts w:hint="eastAsia" w:ascii="宋体" w:hAnsi="宋体" w:cs="华文宋体"/>
                <w:b/>
                <w:bCs/>
                <w:color w:val="auto"/>
                <w:szCs w:val="21"/>
                <w:highlight w:val="none"/>
              </w:rPr>
              <w:t>满分</w:t>
            </w:r>
            <w:r>
              <w:rPr>
                <w:rFonts w:hint="eastAsia" w:ascii="宋体" w:hAnsi="宋体" w:cs="华文宋体"/>
                <w:b/>
                <w:bCs/>
                <w:color w:val="auto"/>
                <w:szCs w:val="21"/>
                <w:highlight w:val="none"/>
                <w:lang w:val="en-US" w:eastAsia="zh-CN"/>
              </w:rPr>
              <w:t>2</w:t>
            </w:r>
            <w:r>
              <w:rPr>
                <w:rFonts w:hint="eastAsia" w:ascii="宋体" w:hAnsi="宋体" w:cs="华文宋体"/>
                <w:b/>
                <w:bCs/>
                <w:color w:val="auto"/>
                <w:szCs w:val="21"/>
                <w:highlight w:val="none"/>
              </w:rPr>
              <w:t>分</w:t>
            </w:r>
            <w:r>
              <w:rPr>
                <w:rFonts w:hint="eastAsia" w:ascii="宋体" w:hAnsi="宋体" w:cs="华文宋体"/>
                <w:color w:val="auto"/>
                <w:szCs w:val="21"/>
                <w:highlight w:val="none"/>
              </w:rPr>
              <w:t>；</w:t>
            </w:r>
          </w:p>
          <w:p w14:paraId="1BA3A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szCs w:val="21"/>
                <w:highlight w:val="none"/>
              </w:rPr>
              <w:t>供应商自202</w:t>
            </w:r>
            <w:r>
              <w:rPr>
                <w:rFonts w:ascii="宋体" w:hAnsi="宋体" w:cs="宋体"/>
                <w:color w:val="auto"/>
                <w:szCs w:val="21"/>
                <w:highlight w:val="none"/>
              </w:rPr>
              <w:t>1</w:t>
            </w:r>
            <w:r>
              <w:rPr>
                <w:rFonts w:hint="eastAsia" w:ascii="宋体" w:hAnsi="宋体" w:cs="宋体"/>
                <w:color w:val="auto"/>
                <w:szCs w:val="21"/>
                <w:highlight w:val="none"/>
              </w:rPr>
              <w:t>年以来具有同类项目业绩每个得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r>
              <w:rPr>
                <w:rFonts w:hint="eastAsia" w:ascii="宋体" w:hAnsi="宋体" w:cs="宋体"/>
                <w:color w:val="auto"/>
                <w:szCs w:val="21"/>
                <w:highlight w:val="none"/>
              </w:rPr>
              <w:t>（响应文件中提供合同或中标/成交通知书复印件）。</w:t>
            </w:r>
          </w:p>
          <w:p w14:paraId="318008F1">
            <w:pPr>
              <w:pStyle w:val="91"/>
              <w:ind w:firstLine="0" w:firstLineChars="0"/>
              <w:rPr>
                <w:rFonts w:cs="宋体"/>
                <w:color w:val="auto"/>
                <w:sz w:val="21"/>
                <w:highlight w:val="none"/>
              </w:rPr>
            </w:pPr>
            <w:r>
              <w:rPr>
                <w:rFonts w:hint="eastAsia" w:ascii="宋体" w:hAnsi="宋体" w:eastAsia="宋体" w:cs="宋体"/>
                <w:color w:val="auto"/>
                <w:kern w:val="2"/>
                <w:sz w:val="21"/>
                <w:szCs w:val="21"/>
                <w:highlight w:val="none"/>
                <w:lang w:val="en-US" w:eastAsia="zh-CN" w:bidi="ar-SA"/>
              </w:rPr>
              <w:t>注：供应商须在响应文件中提供上述相关证明文件复印件并加盖公章。</w:t>
            </w:r>
          </w:p>
        </w:tc>
      </w:tr>
      <w:tr w14:paraId="306D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9A64084">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010AB32">
      <w:pPr>
        <w:rPr>
          <w:rFonts w:ascii="宋体" w:cs="宋体"/>
          <w:bCs/>
          <w:color w:val="auto"/>
          <w:szCs w:val="21"/>
          <w:highlight w:val="none"/>
        </w:rPr>
      </w:pPr>
    </w:p>
    <w:p w14:paraId="1643560F">
      <w:pPr>
        <w:rPr>
          <w:rFonts w:ascii="宋体" w:hAnsi="宋体" w:cs="宋体"/>
          <w:b/>
          <w:color w:val="auto"/>
          <w:szCs w:val="21"/>
          <w:highlight w:val="none"/>
        </w:rPr>
      </w:pPr>
    </w:p>
    <w:p w14:paraId="70D55BFB">
      <w:pPr>
        <w:rPr>
          <w:rFonts w:ascii="宋体" w:hAnsi="宋体" w:cs="宋体"/>
          <w:b/>
          <w:color w:val="auto"/>
          <w:szCs w:val="21"/>
          <w:highlight w:val="none"/>
        </w:rPr>
      </w:pPr>
    </w:p>
    <w:p w14:paraId="3DDC896C">
      <w:pPr>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7328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DFFA3F0">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53D21333">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6F536D7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274CDD1D">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523E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BE6E183">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4048EF4E">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35125B6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2</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0B142538">
            <w:pPr>
              <w:pStyle w:val="18"/>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052C5C09">
            <w:pPr>
              <w:pStyle w:val="18"/>
              <w:spacing w:line="360" w:lineRule="auto"/>
              <w:ind w:firstLine="420" w:firstLineChars="200"/>
              <w:rPr>
                <w:rFonts w:hAnsi="宋体" w:cs="宋体"/>
                <w:color w:val="auto"/>
                <w:highlight w:val="none"/>
              </w:rPr>
            </w:pPr>
            <w:r>
              <w:rPr>
                <w:rFonts w:hAnsi="宋体"/>
                <w:bCs/>
                <w:color w:val="auto"/>
                <w:sz w:val="21"/>
                <w:highlight w:val="none"/>
              </w:rPr>
              <w:t>1</w:t>
            </w:r>
            <w:r>
              <w:rPr>
                <w:rFonts w:hint="eastAsia" w:hAnsi="宋体"/>
                <w:bCs/>
                <w:color w:val="auto"/>
                <w:sz w:val="21"/>
                <w:highlight w:val="none"/>
              </w:rPr>
              <w:t>、本分标属于专门面向小微企业采购的项目，不再享受价格扣除优惠政策。</w:t>
            </w:r>
          </w:p>
          <w:p w14:paraId="702A8A64">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2</w:t>
            </w:r>
            <w:r>
              <w:rPr>
                <w:b/>
                <w:bCs/>
                <w:color w:val="auto"/>
                <w:highlight w:val="none"/>
              </w:rPr>
              <w:t>0</w:t>
            </w:r>
            <w:r>
              <w:rPr>
                <w:rFonts w:hint="eastAsia"/>
                <w:b/>
                <w:bCs/>
                <w:color w:val="auto"/>
                <w:highlight w:val="none"/>
              </w:rPr>
              <w:t>分）</w:t>
            </w:r>
          </w:p>
          <w:p w14:paraId="08144F64">
            <w:pPr>
              <w:pStyle w:val="18"/>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584A99F8">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5B792517">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（评标基准价／某有效供应商最后报价）×</w:t>
            </w:r>
            <w:r>
              <w:rPr>
                <w:rFonts w:hint="eastAsia" w:hAnsi="宋体" w:cs="宋体"/>
                <w:bCs/>
                <w:color w:val="auto"/>
                <w:sz w:val="21"/>
                <w:highlight w:val="none"/>
                <w:lang w:val="en-US" w:eastAsia="zh-CN"/>
              </w:rPr>
              <w:t>2</w:t>
            </w:r>
            <w:r>
              <w:rPr>
                <w:rFonts w:hAnsi="宋体" w:cs="宋体"/>
                <w:bCs/>
                <w:color w:val="auto"/>
                <w:sz w:val="21"/>
                <w:highlight w:val="none"/>
              </w:rPr>
              <w:t>0</w:t>
            </w:r>
            <w:r>
              <w:rPr>
                <w:rFonts w:hint="eastAsia" w:hAnsi="宋体" w:cs="宋体"/>
                <w:bCs/>
                <w:color w:val="auto"/>
                <w:sz w:val="21"/>
                <w:highlight w:val="none"/>
              </w:rPr>
              <w:t>分</w:t>
            </w:r>
          </w:p>
        </w:tc>
      </w:tr>
      <w:tr w14:paraId="3985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3E517D6F">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35F04A4E">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5A084AC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满分70</w:t>
            </w:r>
            <w:r>
              <w:rPr>
                <w:rFonts w:hint="eastAsia" w:ascii="宋体" w:hAnsi="宋体" w:cs="宋体"/>
                <w:b/>
                <w:color w:val="auto"/>
                <w:szCs w:val="21"/>
                <w:highlight w:val="none"/>
              </w:rPr>
              <w:t>分</w:t>
            </w:r>
          </w:p>
        </w:tc>
        <w:tc>
          <w:tcPr>
            <w:tcW w:w="1244" w:type="dxa"/>
            <w:vAlign w:val="center"/>
          </w:tcPr>
          <w:p w14:paraId="39475AB0">
            <w:pPr>
              <w:spacing w:line="360" w:lineRule="auto"/>
              <w:jc w:val="center"/>
              <w:rPr>
                <w:rFonts w:ascii="宋体" w:cs="宋体"/>
                <w:bCs/>
                <w:color w:val="auto"/>
                <w:szCs w:val="21"/>
                <w:highlight w:val="none"/>
              </w:rPr>
            </w:pPr>
            <w:r>
              <w:rPr>
                <w:rFonts w:hint="eastAsia" w:hAnsi="宋体"/>
                <w:b/>
                <w:color w:val="auto"/>
                <w:highlight w:val="none"/>
              </w:rPr>
              <w:t>验收咨询方案分（</w:t>
            </w:r>
            <w:r>
              <w:rPr>
                <w:rFonts w:hint="eastAsia" w:hAnsi="宋体"/>
                <w:b/>
                <w:bCs/>
                <w:color w:val="auto"/>
                <w:highlight w:val="none"/>
              </w:rPr>
              <w:t>满分40分）</w:t>
            </w:r>
          </w:p>
        </w:tc>
        <w:tc>
          <w:tcPr>
            <w:tcW w:w="5665" w:type="dxa"/>
            <w:vAlign w:val="center"/>
          </w:tcPr>
          <w:p w14:paraId="66C9B8E9">
            <w:pPr>
              <w:spacing w:line="360" w:lineRule="auto"/>
              <w:ind w:firstLine="420" w:firstLineChars="200"/>
              <w:jc w:val="left"/>
              <w:rPr>
                <w:rFonts w:ascii="宋体" w:hAnsi="宋体"/>
                <w:bCs/>
                <w:color w:val="auto"/>
                <w:szCs w:val="21"/>
                <w:highlight w:val="none"/>
              </w:rPr>
            </w:pPr>
            <w:r>
              <w:rPr>
                <w:rFonts w:hint="eastAsia" w:ascii="宋体" w:hAnsi="宋体" w:cs="宋体"/>
                <w:bCs/>
                <w:color w:val="auto"/>
                <w:szCs w:val="21"/>
                <w:highlight w:val="none"/>
              </w:rPr>
              <w:t>由磋商小组在打分前根据供应商提供的验收咨询方案确定各供应商所属档次及得分。达不到一档要求或不提供的得0分。</w:t>
            </w:r>
          </w:p>
          <w:p w14:paraId="58205CD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一档（10分）：验收咨询服务方案所列的验收流程与项目的实际需求基本符合；所提出的验收思路简单。拟投入项目负责人</w:t>
            </w:r>
            <w:r>
              <w:rPr>
                <w:rFonts w:hint="eastAsia" w:ascii="宋体" w:hAnsi="宋体"/>
                <w:bCs/>
                <w:color w:val="auto"/>
                <w:szCs w:val="21"/>
                <w:highlight w:val="none"/>
              </w:rPr>
              <w:t>持有信息系统项目管理师证书。</w:t>
            </w:r>
          </w:p>
          <w:p w14:paraId="6C27009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二档（20分）：验收咨询服务方案所列的验收流程与项目的实际需求基本符合；所提出的验收思路简单，提出的编制重点、难点与实际有偏差。有具体列明拟投入验收咨询项目人员一览表，拟投入项目负责人</w:t>
            </w:r>
            <w:r>
              <w:rPr>
                <w:rFonts w:hint="eastAsia" w:ascii="宋体" w:hAnsi="宋体"/>
                <w:bCs/>
                <w:color w:val="auto"/>
                <w:szCs w:val="21"/>
                <w:highlight w:val="none"/>
              </w:rPr>
              <w:t>持有信息系统项目管理师证书、信息化项目度量师证书</w:t>
            </w:r>
            <w:r>
              <w:rPr>
                <w:rFonts w:hint="eastAsia" w:ascii="宋体" w:hAnsi="宋体"/>
                <w:color w:val="auto"/>
                <w:szCs w:val="21"/>
                <w:highlight w:val="none"/>
              </w:rPr>
              <w:t>；</w:t>
            </w:r>
            <w:r>
              <w:rPr>
                <w:rFonts w:hint="eastAsia" w:ascii="宋体" w:hAnsi="宋体" w:cs="宋体"/>
                <w:color w:val="auto"/>
                <w:kern w:val="1"/>
                <w:szCs w:val="21"/>
                <w:highlight w:val="none"/>
              </w:rPr>
              <w:t>拟投入</w:t>
            </w:r>
            <w:r>
              <w:rPr>
                <w:rFonts w:hint="eastAsia" w:ascii="宋体" w:hAnsi="宋体"/>
                <w:color w:val="auto"/>
                <w:szCs w:val="21"/>
                <w:highlight w:val="none"/>
              </w:rPr>
              <w:t>验收咨询</w:t>
            </w:r>
            <w:r>
              <w:rPr>
                <w:rFonts w:hint="eastAsia" w:ascii="宋体" w:hAnsi="宋体" w:cs="宋体"/>
                <w:color w:val="auto"/>
                <w:kern w:val="1"/>
                <w:szCs w:val="21"/>
                <w:highlight w:val="none"/>
              </w:rPr>
              <w:t>项目组其他人员持有</w:t>
            </w:r>
            <w:r>
              <w:rPr>
                <w:rFonts w:hint="eastAsia" w:ascii="宋体" w:hAnsi="宋体" w:cs="宋体"/>
                <w:color w:val="auto"/>
                <w:szCs w:val="21"/>
                <w:highlight w:val="none"/>
              </w:rPr>
              <w:t>中华人民共和国咨询工程师（投资）登记证书【专业：电子、信息工程（含通信、广电、信息化）】</w:t>
            </w:r>
            <w:r>
              <w:rPr>
                <w:rFonts w:hint="eastAsia" w:ascii="宋体" w:hAnsi="宋体" w:cs="宋体"/>
                <w:color w:val="auto"/>
                <w:kern w:val="1"/>
                <w:szCs w:val="21"/>
                <w:highlight w:val="none"/>
              </w:rPr>
              <w:t>、软件造价工程师证书、注册信息安全专业人员证书（CISP）证书至少各1名（项目组其他成员中同一人仅可计算一项证书）；</w:t>
            </w:r>
          </w:p>
          <w:p w14:paraId="21FD428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档（30分）：验收咨询服务方案所列的验收流程符合项目的实际需求；所提出的验收思路合法合理，提出的编制重点、难点与实际相符，且方案较详细。有具体列明拟投入验收咨询项目人员一览表，拟投入项目负责人</w:t>
            </w:r>
            <w:r>
              <w:rPr>
                <w:rFonts w:hint="eastAsia" w:ascii="宋体" w:hAnsi="宋体"/>
                <w:bCs/>
                <w:color w:val="auto"/>
                <w:szCs w:val="21"/>
                <w:highlight w:val="none"/>
              </w:rPr>
              <w:t>持有信息系统项目管理师证书、信息化项目度量师证书、信息系统审计师证书</w:t>
            </w:r>
            <w:r>
              <w:rPr>
                <w:rFonts w:hint="eastAsia" w:ascii="宋体" w:hAnsi="宋体"/>
                <w:color w:val="auto"/>
                <w:szCs w:val="21"/>
                <w:highlight w:val="none"/>
              </w:rPr>
              <w:t>；</w:t>
            </w:r>
            <w:r>
              <w:rPr>
                <w:rFonts w:hint="eastAsia" w:ascii="宋体" w:hAnsi="宋体" w:cs="宋体"/>
                <w:color w:val="auto"/>
                <w:kern w:val="1"/>
                <w:szCs w:val="21"/>
                <w:highlight w:val="none"/>
              </w:rPr>
              <w:t>拟投入</w:t>
            </w:r>
            <w:r>
              <w:rPr>
                <w:rFonts w:hint="eastAsia" w:ascii="宋体" w:hAnsi="宋体"/>
                <w:color w:val="auto"/>
                <w:szCs w:val="21"/>
                <w:highlight w:val="none"/>
              </w:rPr>
              <w:t>验收咨询</w:t>
            </w:r>
            <w:r>
              <w:rPr>
                <w:rFonts w:hint="eastAsia" w:ascii="宋体" w:hAnsi="宋体" w:cs="宋体"/>
                <w:color w:val="auto"/>
                <w:kern w:val="1"/>
                <w:szCs w:val="21"/>
                <w:highlight w:val="none"/>
              </w:rPr>
              <w:t>项目组其他人员持有</w:t>
            </w:r>
            <w:r>
              <w:rPr>
                <w:rFonts w:hint="eastAsia" w:ascii="宋体" w:hAnsi="宋体" w:cs="宋体"/>
                <w:color w:val="auto"/>
                <w:szCs w:val="21"/>
                <w:highlight w:val="none"/>
              </w:rPr>
              <w:t>中华人民共和国咨询工程师（投资）登记证书【专业：电子、信息工程（含通信、广电、信息化）】</w:t>
            </w:r>
            <w:r>
              <w:rPr>
                <w:rFonts w:hint="eastAsia" w:ascii="宋体" w:hAnsi="宋体" w:cs="宋体"/>
                <w:color w:val="auto"/>
                <w:kern w:val="1"/>
                <w:szCs w:val="21"/>
                <w:highlight w:val="none"/>
              </w:rPr>
              <w:t>、软件造价工程师证书、档案信息化管理师证书、注册信息安全专业人员证书（CISP）证书至少各1名（项目组其他成员中同一人仅可计算一项证书）；</w:t>
            </w:r>
          </w:p>
          <w:p w14:paraId="2D49CD48">
            <w:pPr>
              <w:spacing w:line="440" w:lineRule="exact"/>
              <w:ind w:firstLine="420" w:firstLineChars="200"/>
              <w:rPr>
                <w:rFonts w:ascii="宋体" w:hAnsi="宋体" w:cs="宋体"/>
                <w:color w:val="auto"/>
                <w:kern w:val="1"/>
                <w:szCs w:val="21"/>
                <w:highlight w:val="none"/>
              </w:rPr>
            </w:pPr>
            <w:r>
              <w:rPr>
                <w:rFonts w:hint="eastAsia" w:ascii="宋体" w:hAnsi="宋体"/>
                <w:color w:val="auto"/>
                <w:szCs w:val="21"/>
                <w:highlight w:val="none"/>
              </w:rPr>
              <w:t>四档（40分）：验收咨询服务方案详细描述每个阶段应具体落实的事项和实现方式，方案所列的验收流程细致且有具体实施措施；所提出的验收思路合法、准确，准确提出了编制重点、难点以及可行的验收建议，方案考虑周全完整。有具体列明拟投入验收咨询项目人员一览表，拟投入项目负责人</w:t>
            </w:r>
            <w:r>
              <w:rPr>
                <w:rFonts w:hint="eastAsia" w:ascii="宋体" w:hAnsi="宋体"/>
                <w:bCs/>
                <w:color w:val="auto"/>
                <w:szCs w:val="21"/>
                <w:highlight w:val="none"/>
              </w:rPr>
              <w:t>持有信息系统项目管理师证书、信息化项目度量师证书、信息系统审计师证书、高级软件设计师证书、注册信息安全专业人员证书（CISP）证书</w:t>
            </w:r>
            <w:r>
              <w:rPr>
                <w:rFonts w:hint="eastAsia" w:ascii="宋体" w:hAnsi="宋体"/>
                <w:color w:val="auto"/>
                <w:szCs w:val="21"/>
                <w:highlight w:val="none"/>
              </w:rPr>
              <w:t>；</w:t>
            </w:r>
            <w:r>
              <w:rPr>
                <w:rFonts w:hint="eastAsia" w:ascii="宋体" w:hAnsi="宋体" w:cs="宋体"/>
                <w:color w:val="auto"/>
                <w:kern w:val="1"/>
                <w:szCs w:val="21"/>
                <w:highlight w:val="none"/>
              </w:rPr>
              <w:t>拟投入</w:t>
            </w:r>
            <w:r>
              <w:rPr>
                <w:rFonts w:hint="eastAsia" w:ascii="宋体" w:hAnsi="宋体"/>
                <w:color w:val="auto"/>
                <w:szCs w:val="21"/>
                <w:highlight w:val="none"/>
              </w:rPr>
              <w:t>验收咨询</w:t>
            </w:r>
            <w:r>
              <w:rPr>
                <w:rFonts w:hint="eastAsia" w:ascii="宋体" w:hAnsi="宋体" w:cs="宋体"/>
                <w:color w:val="auto"/>
                <w:kern w:val="1"/>
                <w:szCs w:val="21"/>
                <w:highlight w:val="none"/>
              </w:rPr>
              <w:t>项目组其他人员持有</w:t>
            </w:r>
            <w:r>
              <w:rPr>
                <w:rFonts w:hint="eastAsia" w:ascii="宋体" w:hAnsi="宋体" w:cs="宋体"/>
                <w:color w:val="auto"/>
                <w:szCs w:val="21"/>
                <w:highlight w:val="none"/>
              </w:rPr>
              <w:t>中华人民共和国咨询工程师（投资）登记证书【专业：电子、信息工程（含通信、广电、信息化）】、</w:t>
            </w:r>
            <w:r>
              <w:rPr>
                <w:rFonts w:hint="eastAsia" w:ascii="宋体" w:hAnsi="宋体" w:cs="宋体"/>
                <w:color w:val="auto"/>
                <w:kern w:val="1"/>
                <w:szCs w:val="21"/>
                <w:highlight w:val="none"/>
              </w:rPr>
              <w:t>软件造价工程师证书、档案信息化管理师证书、注册信息安全专业人员证书（CISP）证书、数据安全工程师证书、系统集成项目管理工程师证书至少各1名（项目组其他成员中同一人仅可计算一项证书）。</w:t>
            </w:r>
          </w:p>
          <w:p w14:paraId="61072FAA">
            <w:pPr>
              <w:spacing w:line="440" w:lineRule="exact"/>
              <w:ind w:firstLine="420" w:firstLineChars="200"/>
              <w:rPr>
                <w:rFonts w:cs="宋体"/>
                <w:bCs/>
                <w:color w:val="auto"/>
                <w:highlight w:val="none"/>
              </w:rPr>
            </w:pPr>
            <w:r>
              <w:rPr>
                <w:rFonts w:hint="eastAsia"/>
                <w:color w:val="auto"/>
                <w:highlight w:val="none"/>
              </w:rPr>
              <w:t>注：响应文件中须提供以上证书及</w:t>
            </w:r>
            <w:r>
              <w:rPr>
                <w:rFonts w:hint="eastAsia"/>
                <w:color w:val="auto"/>
                <w:highlight w:val="none"/>
                <w:lang w:eastAsia="zh-CN"/>
              </w:rPr>
              <w:t>供应商为拟投入人员缴纳的2025年1月-7月期间任意1个月有效社保证明（如拟投入人员属于退休人员返聘无社保证明的，需提供退休证、返聘证明；如供应商为截标时间前60日以内成立的公司或</w:t>
            </w:r>
            <w:r>
              <w:rPr>
                <w:rFonts w:hint="eastAsia"/>
                <w:color w:val="auto"/>
                <w:highlight w:val="none"/>
                <w:lang w:val="en-US" w:eastAsia="zh-CN"/>
              </w:rPr>
              <w:t>拟投入</w:t>
            </w:r>
            <w:r>
              <w:rPr>
                <w:rFonts w:hint="eastAsia"/>
                <w:color w:val="auto"/>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color w:val="auto"/>
                <w:highlight w:val="none"/>
              </w:rPr>
              <w:t>，以上相关证书若能在互联网查询验证的须提供查询网址及截图，加盖</w:t>
            </w:r>
            <w:r>
              <w:rPr>
                <w:rFonts w:hint="eastAsia"/>
                <w:color w:val="auto"/>
                <w:highlight w:val="none"/>
                <w:lang w:val="en-US" w:eastAsia="zh-CN"/>
              </w:rPr>
              <w:t>供应商</w:t>
            </w:r>
            <w:r>
              <w:rPr>
                <w:rFonts w:hint="eastAsia"/>
                <w:color w:val="auto"/>
                <w:highlight w:val="none"/>
              </w:rPr>
              <w:t>章，若无法在互联网查询的均须提供人员证书原件扫描件加盖</w:t>
            </w:r>
            <w:r>
              <w:rPr>
                <w:rFonts w:hint="eastAsia"/>
                <w:color w:val="auto"/>
                <w:highlight w:val="none"/>
                <w:lang w:val="en-US" w:eastAsia="zh-CN"/>
              </w:rPr>
              <w:t>供应商</w:t>
            </w:r>
            <w:r>
              <w:rPr>
                <w:rFonts w:hint="eastAsia"/>
                <w:color w:val="auto"/>
                <w:highlight w:val="none"/>
              </w:rPr>
              <w:t>公章，原件备查，否则该项不予计分。</w:t>
            </w:r>
          </w:p>
        </w:tc>
      </w:tr>
      <w:tr w14:paraId="1B4B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61D31B05">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16490353">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2BC140BF">
            <w:pPr>
              <w:adjustRightInd w:val="0"/>
              <w:spacing w:line="360" w:lineRule="auto"/>
              <w:jc w:val="center"/>
              <w:textAlignment w:val="baseline"/>
              <w:rPr>
                <w:rFonts w:ascii="宋体" w:cs="宋体"/>
                <w:b/>
                <w:color w:val="auto"/>
                <w:szCs w:val="21"/>
                <w:highlight w:val="none"/>
              </w:rPr>
            </w:pPr>
          </w:p>
        </w:tc>
        <w:tc>
          <w:tcPr>
            <w:tcW w:w="1244" w:type="dxa"/>
            <w:vAlign w:val="center"/>
          </w:tcPr>
          <w:p w14:paraId="52819C79">
            <w:pPr>
              <w:spacing w:line="360" w:lineRule="auto"/>
              <w:jc w:val="center"/>
              <w:rPr>
                <w:rFonts w:hAnsi="宋体" w:cs="宋体"/>
                <w:bCs/>
                <w:color w:val="auto"/>
                <w:highlight w:val="none"/>
              </w:rPr>
            </w:pPr>
            <w:r>
              <w:rPr>
                <w:rFonts w:hint="eastAsia" w:ascii="宋体" w:hAnsi="宋体"/>
                <w:b/>
                <w:color w:val="auto"/>
                <w:szCs w:val="21"/>
                <w:highlight w:val="none"/>
              </w:rPr>
              <w:t>审计服务方案</w:t>
            </w:r>
            <w:r>
              <w:rPr>
                <w:rFonts w:hint="eastAsia" w:ascii="宋体" w:hAnsi="宋体" w:cs="Courier New"/>
                <w:b/>
                <w:bCs/>
                <w:color w:val="auto"/>
                <w:szCs w:val="21"/>
                <w:highlight w:val="none"/>
              </w:rPr>
              <w:t>（满分18分）</w:t>
            </w:r>
          </w:p>
        </w:tc>
        <w:tc>
          <w:tcPr>
            <w:tcW w:w="5665" w:type="dxa"/>
            <w:vAlign w:val="center"/>
          </w:tcPr>
          <w:p w14:paraId="1F13EBD1">
            <w:pPr>
              <w:spacing w:line="360" w:lineRule="auto"/>
              <w:ind w:firstLine="420" w:firstLineChars="200"/>
              <w:jc w:val="left"/>
              <w:rPr>
                <w:rFonts w:ascii="宋体" w:hAnsi="宋体"/>
                <w:bCs/>
                <w:color w:val="auto"/>
                <w:szCs w:val="21"/>
                <w:highlight w:val="none"/>
              </w:rPr>
            </w:pPr>
            <w:r>
              <w:rPr>
                <w:rFonts w:hint="eastAsia" w:ascii="宋体" w:hAnsi="宋体" w:cs="宋体"/>
                <w:bCs/>
                <w:color w:val="auto"/>
                <w:szCs w:val="21"/>
                <w:highlight w:val="none"/>
              </w:rPr>
              <w:t>由磋商小组在打分前根据供应商提供的审计服务方案确定各供应商所属档次及得分。达不到一档要求或不提供的得0分。</w:t>
            </w:r>
          </w:p>
          <w:p w14:paraId="0D57797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一档（6分）：基本能够理解本项目的业务特点、业务目标、业务范围；能够把握本项目的技术重点、难点和要点；提出了基本可行的服务方案。</w:t>
            </w:r>
          </w:p>
          <w:p w14:paraId="4D916FC1">
            <w:pPr>
              <w:spacing w:line="440" w:lineRule="exact"/>
              <w:ind w:firstLine="420" w:firstLineChars="200"/>
              <w:rPr>
                <w:rFonts w:ascii="宋体" w:hAnsi="宋体"/>
                <w:b/>
                <w:color w:val="auto"/>
                <w:szCs w:val="21"/>
                <w:highlight w:val="none"/>
              </w:rPr>
            </w:pPr>
            <w:r>
              <w:rPr>
                <w:rFonts w:hint="eastAsia" w:ascii="宋体" w:hAnsi="宋体"/>
                <w:color w:val="auto"/>
                <w:szCs w:val="21"/>
                <w:highlight w:val="none"/>
              </w:rPr>
              <w:t>二档（12分）：准确理解本项目的业务特点、业务目标、业务范围；能把握本项目的技术重点、难点和要点；提出较完整可行的服务方案。</w:t>
            </w:r>
          </w:p>
          <w:p w14:paraId="7AC3D838">
            <w:pPr>
              <w:spacing w:line="440" w:lineRule="exact"/>
              <w:ind w:firstLine="420" w:firstLineChars="200"/>
              <w:rPr>
                <w:rFonts w:cs="宋体"/>
                <w:bCs/>
                <w:color w:val="auto"/>
                <w:highlight w:val="none"/>
              </w:rPr>
            </w:pPr>
            <w:r>
              <w:rPr>
                <w:rFonts w:hint="eastAsia" w:ascii="宋体" w:hAnsi="宋体"/>
                <w:color w:val="auto"/>
                <w:szCs w:val="21"/>
                <w:highlight w:val="none"/>
              </w:rPr>
              <w:t>三档（18分）：准确理解本项目的业务特点、业务目标、业务范围；完全把握本项目的技术重点、难点和要点；提出完整可行的服务方案、质量控制、进度控制和后续服务措施。</w:t>
            </w:r>
          </w:p>
        </w:tc>
      </w:tr>
      <w:tr w14:paraId="7DE8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0DE97350">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01347B7E">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0104F194">
            <w:pPr>
              <w:adjustRightInd w:val="0"/>
              <w:spacing w:line="360" w:lineRule="auto"/>
              <w:jc w:val="center"/>
              <w:textAlignment w:val="baseline"/>
              <w:rPr>
                <w:rFonts w:ascii="宋体" w:cs="宋体"/>
                <w:b/>
                <w:color w:val="auto"/>
                <w:szCs w:val="21"/>
                <w:highlight w:val="none"/>
              </w:rPr>
            </w:pPr>
          </w:p>
        </w:tc>
        <w:tc>
          <w:tcPr>
            <w:tcW w:w="1244" w:type="dxa"/>
            <w:vAlign w:val="center"/>
          </w:tcPr>
          <w:p w14:paraId="6134C0F6">
            <w:pPr>
              <w:spacing w:line="360" w:lineRule="auto"/>
              <w:jc w:val="center"/>
              <w:rPr>
                <w:rFonts w:ascii="宋体" w:cs="宋体"/>
                <w:bCs/>
                <w:color w:val="auto"/>
                <w:szCs w:val="21"/>
                <w:highlight w:val="none"/>
              </w:rPr>
            </w:pPr>
            <w:r>
              <w:rPr>
                <w:rFonts w:hint="eastAsia" w:ascii="宋体" w:hAnsi="宋体" w:cs="宋体"/>
                <w:b/>
                <w:color w:val="auto"/>
                <w:szCs w:val="21"/>
                <w:highlight w:val="none"/>
              </w:rPr>
              <w:t>售后服务（满分12分）</w:t>
            </w:r>
          </w:p>
        </w:tc>
        <w:tc>
          <w:tcPr>
            <w:tcW w:w="5665" w:type="dxa"/>
            <w:vAlign w:val="center"/>
          </w:tcPr>
          <w:p w14:paraId="649D5272">
            <w:pPr>
              <w:adjustRightInd w:val="0"/>
              <w:snapToGrid w:val="0"/>
              <w:spacing w:line="360" w:lineRule="auto"/>
              <w:ind w:firstLine="420" w:firstLineChars="200"/>
              <w:rPr>
                <w:rFonts w:ascii="宋体" w:hAnsi="宋体" w:cs="宋体"/>
                <w:bCs/>
                <w:color w:val="auto"/>
                <w:highlight w:val="none"/>
              </w:rPr>
            </w:pPr>
            <w:r>
              <w:rPr>
                <w:rFonts w:hint="eastAsia" w:ascii="宋体" w:hAnsi="宋体"/>
                <w:bCs/>
                <w:color w:val="auto"/>
                <w:szCs w:val="21"/>
                <w:highlight w:val="none"/>
              </w:rPr>
              <w:t>由磋商小组会在打分前根据各供应商提供发售后服务确定各供应商所属档次及分值，达不到一档不得分。</w:t>
            </w:r>
          </w:p>
          <w:p w14:paraId="067281F0">
            <w:pPr>
              <w:spacing w:line="440" w:lineRule="exact"/>
              <w:ind w:firstLine="420" w:firstLineChars="200"/>
              <w:rPr>
                <w:rFonts w:ascii="宋体" w:hAnsi="宋体"/>
                <w:color w:val="auto"/>
                <w:szCs w:val="21"/>
                <w:highlight w:val="none"/>
                <w:lang w:bidi="zh-CN"/>
              </w:rPr>
            </w:pPr>
            <w:r>
              <w:rPr>
                <w:rFonts w:hint="eastAsia" w:ascii="宋体" w:hAnsi="宋体"/>
                <w:color w:val="auto"/>
                <w:szCs w:val="21"/>
                <w:highlight w:val="none"/>
                <w:lang w:bidi="zh-CN"/>
              </w:rPr>
              <w:t>一档（4</w:t>
            </w:r>
            <w:r>
              <w:rPr>
                <w:rFonts w:ascii="宋体" w:hAnsi="宋体"/>
                <w:color w:val="auto"/>
                <w:szCs w:val="21"/>
                <w:highlight w:val="none"/>
                <w:lang w:bidi="zh-CN"/>
              </w:rPr>
              <w:t>分）</w:t>
            </w:r>
            <w:r>
              <w:rPr>
                <w:rFonts w:hint="eastAsia" w:ascii="宋体" w:hAnsi="宋体"/>
                <w:bCs/>
                <w:color w:val="auto"/>
                <w:szCs w:val="21"/>
                <w:highlight w:val="none"/>
              </w:rPr>
              <w:t>供应商</w:t>
            </w:r>
            <w:r>
              <w:rPr>
                <w:rFonts w:hint="eastAsia" w:ascii="宋体" w:hAnsi="宋体"/>
                <w:color w:val="auto"/>
                <w:szCs w:val="21"/>
                <w:highlight w:val="none"/>
                <w:lang w:bidi="zh-CN"/>
              </w:rPr>
              <w:t>提供</w:t>
            </w:r>
            <w:r>
              <w:rPr>
                <w:rFonts w:ascii="宋体" w:hAnsi="宋体"/>
                <w:color w:val="auto"/>
                <w:szCs w:val="21"/>
                <w:highlight w:val="none"/>
                <w:lang w:bidi="zh-CN"/>
              </w:rPr>
              <w:t>的售后服务方案，售后服务方案能够满足本项目的最基本要求的。</w:t>
            </w:r>
          </w:p>
          <w:p w14:paraId="119A7133">
            <w:pPr>
              <w:spacing w:line="440" w:lineRule="exact"/>
              <w:ind w:firstLine="420" w:firstLineChars="200"/>
              <w:rPr>
                <w:rFonts w:ascii="宋体" w:hAnsi="宋体"/>
                <w:color w:val="auto"/>
                <w:szCs w:val="21"/>
                <w:highlight w:val="none"/>
                <w:lang w:bidi="zh-CN"/>
              </w:rPr>
            </w:pPr>
            <w:r>
              <w:rPr>
                <w:rFonts w:hint="eastAsia" w:ascii="宋体" w:hAnsi="宋体"/>
                <w:color w:val="auto"/>
                <w:szCs w:val="21"/>
                <w:highlight w:val="none"/>
                <w:lang w:bidi="zh-CN"/>
              </w:rPr>
              <w:t>二档（8</w:t>
            </w:r>
            <w:r>
              <w:rPr>
                <w:rFonts w:ascii="宋体" w:hAnsi="宋体"/>
                <w:color w:val="auto"/>
                <w:szCs w:val="21"/>
                <w:highlight w:val="none"/>
                <w:lang w:bidi="zh-CN"/>
              </w:rPr>
              <w:t>分）</w:t>
            </w:r>
            <w:r>
              <w:rPr>
                <w:rFonts w:hint="eastAsia" w:ascii="宋体" w:hAnsi="宋体"/>
                <w:bCs/>
                <w:color w:val="auto"/>
                <w:szCs w:val="21"/>
                <w:highlight w:val="none"/>
              </w:rPr>
              <w:t>供应商</w:t>
            </w:r>
            <w:r>
              <w:rPr>
                <w:rFonts w:hint="eastAsia" w:ascii="宋体" w:hAnsi="宋体"/>
                <w:color w:val="auto"/>
                <w:szCs w:val="21"/>
                <w:highlight w:val="none"/>
                <w:lang w:bidi="zh-CN"/>
              </w:rPr>
              <w:t>提供</w:t>
            </w:r>
            <w:r>
              <w:rPr>
                <w:rFonts w:ascii="宋体" w:hAnsi="宋体"/>
                <w:color w:val="auto"/>
                <w:szCs w:val="21"/>
                <w:highlight w:val="none"/>
                <w:lang w:bidi="zh-CN"/>
              </w:rPr>
              <w:t>的售后服务方案，售后服务能够满足本项目的最基本要求，</w:t>
            </w:r>
            <w:r>
              <w:rPr>
                <w:rFonts w:hint="eastAsia" w:ascii="宋体" w:hAnsi="宋体"/>
                <w:color w:val="auto"/>
                <w:szCs w:val="21"/>
                <w:highlight w:val="none"/>
                <w:lang w:bidi="zh-CN"/>
              </w:rPr>
              <w:t>能提供本地化服务，响应时间及时，满足项目实际服务保障需求</w:t>
            </w:r>
            <w:r>
              <w:rPr>
                <w:rFonts w:ascii="宋体" w:hAnsi="宋体"/>
                <w:color w:val="auto"/>
                <w:szCs w:val="21"/>
                <w:highlight w:val="none"/>
                <w:lang w:bidi="zh-CN"/>
              </w:rPr>
              <w:t>。</w:t>
            </w:r>
          </w:p>
          <w:p w14:paraId="31AB9EA2">
            <w:pPr>
              <w:spacing w:line="360" w:lineRule="auto"/>
              <w:ind w:firstLine="420" w:firstLineChars="200"/>
              <w:jc w:val="left"/>
              <w:rPr>
                <w:color w:val="auto"/>
                <w:highlight w:val="none"/>
              </w:rPr>
            </w:pPr>
            <w:r>
              <w:rPr>
                <w:rFonts w:hint="eastAsia" w:ascii="宋体" w:hAnsi="宋体"/>
                <w:color w:val="auto"/>
                <w:szCs w:val="21"/>
                <w:highlight w:val="none"/>
                <w:lang w:bidi="zh-CN"/>
              </w:rPr>
              <w:t>三档（12</w:t>
            </w:r>
            <w:r>
              <w:rPr>
                <w:rFonts w:ascii="宋体" w:hAnsi="宋体"/>
                <w:color w:val="auto"/>
                <w:szCs w:val="21"/>
                <w:highlight w:val="none"/>
                <w:lang w:bidi="zh-CN"/>
              </w:rPr>
              <w:t>分）</w:t>
            </w:r>
            <w:r>
              <w:rPr>
                <w:rFonts w:hint="eastAsia" w:ascii="宋体" w:hAnsi="宋体"/>
                <w:bCs/>
                <w:color w:val="auto"/>
                <w:szCs w:val="21"/>
                <w:highlight w:val="none"/>
              </w:rPr>
              <w:t>供应商</w:t>
            </w:r>
            <w:r>
              <w:rPr>
                <w:rFonts w:hint="eastAsia" w:ascii="宋体" w:hAnsi="宋体"/>
                <w:color w:val="auto"/>
                <w:szCs w:val="21"/>
                <w:highlight w:val="none"/>
                <w:lang w:bidi="zh-CN"/>
              </w:rPr>
              <w:t>提供</w:t>
            </w:r>
            <w:r>
              <w:rPr>
                <w:rFonts w:ascii="宋体" w:hAnsi="宋体"/>
                <w:color w:val="auto"/>
                <w:szCs w:val="21"/>
                <w:highlight w:val="none"/>
                <w:lang w:bidi="zh-CN"/>
              </w:rPr>
              <w:t>的售后服务方案，售后服务能够满足本项目的</w:t>
            </w:r>
            <w:r>
              <w:rPr>
                <w:rFonts w:hint="eastAsia" w:ascii="宋体" w:hAnsi="宋体"/>
                <w:color w:val="auto"/>
                <w:szCs w:val="21"/>
                <w:highlight w:val="none"/>
                <w:lang w:bidi="zh-CN"/>
              </w:rPr>
              <w:t>实际</w:t>
            </w:r>
            <w:r>
              <w:rPr>
                <w:rFonts w:ascii="宋体" w:hAnsi="宋体"/>
                <w:color w:val="auto"/>
                <w:szCs w:val="21"/>
                <w:highlight w:val="none"/>
                <w:lang w:bidi="zh-CN"/>
              </w:rPr>
              <w:t>要求，</w:t>
            </w:r>
            <w:r>
              <w:rPr>
                <w:rFonts w:hint="eastAsia" w:ascii="宋体" w:hAnsi="宋体"/>
                <w:color w:val="auto"/>
                <w:szCs w:val="21"/>
                <w:highlight w:val="none"/>
                <w:lang w:bidi="zh-CN"/>
              </w:rPr>
              <w:t>能提供本地化服务，响应时间及时，满足项目实际服务保障需求。并承诺审计成果资料有问题，接到采购人通知10分钟响应，较小问题3小时解决，重大问题承诺48小时内解决</w:t>
            </w:r>
            <w:r>
              <w:rPr>
                <w:rFonts w:ascii="宋体" w:hAnsi="宋体"/>
                <w:color w:val="auto"/>
                <w:szCs w:val="21"/>
                <w:highlight w:val="none"/>
                <w:lang w:bidi="zh-CN"/>
              </w:rPr>
              <w:t>。</w:t>
            </w:r>
          </w:p>
        </w:tc>
      </w:tr>
      <w:tr w14:paraId="187D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71EE997B">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698496D7">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3EC3A951">
            <w:pPr>
              <w:adjustRightInd w:val="0"/>
              <w:spacing w:line="360" w:lineRule="auto"/>
              <w:jc w:val="center"/>
              <w:textAlignment w:val="baseline"/>
              <w:rPr>
                <w:rFonts w:ascii="宋体" w:cs="宋体"/>
                <w:b/>
                <w:color w:val="auto"/>
                <w:szCs w:val="21"/>
                <w:highlight w:val="none"/>
              </w:rPr>
            </w:pPr>
            <w:r>
              <w:rPr>
                <w:rFonts w:hint="eastAsia" w:ascii="宋体" w:hAnsi="宋体" w:cs="宋体"/>
                <w:b/>
                <w:bCs w:val="0"/>
                <w:color w:val="auto"/>
                <w:szCs w:val="21"/>
                <w:highlight w:val="none"/>
                <w:lang w:val="en-US" w:eastAsia="zh-CN"/>
              </w:rPr>
              <w:t>满分10</w:t>
            </w:r>
            <w:r>
              <w:rPr>
                <w:rFonts w:hint="eastAsia" w:ascii="宋体" w:hAnsi="宋体" w:cs="宋体"/>
                <w:b/>
                <w:bCs w:val="0"/>
                <w:color w:val="auto"/>
                <w:szCs w:val="21"/>
                <w:highlight w:val="none"/>
              </w:rPr>
              <w:t>分</w:t>
            </w:r>
          </w:p>
        </w:tc>
        <w:tc>
          <w:tcPr>
            <w:tcW w:w="6909" w:type="dxa"/>
            <w:gridSpan w:val="2"/>
            <w:vAlign w:val="center"/>
          </w:tcPr>
          <w:p w14:paraId="1C75C391">
            <w:pPr>
              <w:pStyle w:val="18"/>
              <w:spacing w:line="420" w:lineRule="exact"/>
              <w:ind w:firstLine="420" w:firstLineChars="200"/>
              <w:jc w:val="left"/>
              <w:rPr>
                <w:rFonts w:hint="default" w:hAnsi="宋体"/>
                <w:color w:val="auto"/>
                <w:kern w:val="2"/>
                <w:sz w:val="21"/>
                <w:highlight w:val="none"/>
                <w:lang w:val="en-US" w:bidi="zh-CN"/>
              </w:rPr>
            </w:pPr>
            <w:r>
              <w:rPr>
                <w:rFonts w:hint="eastAsia" w:hAnsi="宋体"/>
                <w:color w:val="auto"/>
                <w:kern w:val="2"/>
                <w:sz w:val="21"/>
                <w:highlight w:val="none"/>
                <w:lang w:bidi="zh-CN"/>
              </w:rPr>
              <w:t>1.供应商具有有效的质量管理体系认证证书，得1分，</w:t>
            </w:r>
            <w:r>
              <w:rPr>
                <w:rFonts w:hint="eastAsia" w:hAnsi="宋体"/>
                <w:color w:val="auto"/>
                <w:kern w:val="2"/>
                <w:sz w:val="21"/>
                <w:highlight w:val="none"/>
                <w:lang w:val="en-US" w:bidi="zh-CN"/>
              </w:rPr>
              <w:t>满分1分</w:t>
            </w:r>
            <w:r>
              <w:rPr>
                <w:rFonts w:hint="eastAsia" w:hAnsi="宋体"/>
                <w:color w:val="auto"/>
                <w:kern w:val="2"/>
                <w:sz w:val="21"/>
                <w:highlight w:val="none"/>
                <w:lang w:bidi="zh-CN"/>
              </w:rPr>
              <w:t>。</w:t>
            </w:r>
          </w:p>
          <w:p w14:paraId="1EEA1D53">
            <w:pPr>
              <w:pStyle w:val="18"/>
              <w:spacing w:line="420" w:lineRule="exact"/>
              <w:ind w:firstLine="420" w:firstLineChars="200"/>
              <w:jc w:val="left"/>
              <w:rPr>
                <w:rFonts w:hint="eastAsia" w:hAnsi="宋体"/>
                <w:color w:val="auto"/>
                <w:kern w:val="2"/>
                <w:sz w:val="21"/>
                <w:highlight w:val="none"/>
                <w:lang w:bidi="zh-CN"/>
              </w:rPr>
            </w:pPr>
            <w:r>
              <w:rPr>
                <w:rFonts w:hint="eastAsia" w:hAnsi="宋体"/>
                <w:color w:val="auto"/>
                <w:kern w:val="2"/>
                <w:sz w:val="21"/>
                <w:highlight w:val="none"/>
                <w:lang w:bidi="zh-CN"/>
              </w:rPr>
              <w:t>2.供应商自2021年以来承接同类验收咨询业绩案例（以提供中标通知书或合同复印件个数为准），每个得1分，满分6分。</w:t>
            </w:r>
          </w:p>
          <w:p w14:paraId="1089C74E">
            <w:pPr>
              <w:pStyle w:val="18"/>
              <w:spacing w:line="420" w:lineRule="exact"/>
              <w:ind w:firstLine="420" w:firstLineChars="200"/>
              <w:jc w:val="left"/>
              <w:rPr>
                <w:rFonts w:hint="eastAsia" w:hAnsi="宋体"/>
                <w:color w:val="auto"/>
                <w:kern w:val="2"/>
                <w:sz w:val="21"/>
                <w:highlight w:val="none"/>
                <w:lang w:val="en-US" w:eastAsia="zh-CN" w:bidi="zh-CN"/>
              </w:rPr>
            </w:pPr>
            <w:r>
              <w:rPr>
                <w:rFonts w:hint="eastAsia" w:hAnsi="宋体"/>
                <w:color w:val="auto"/>
                <w:kern w:val="2"/>
                <w:sz w:val="21"/>
                <w:highlight w:val="none"/>
                <w:lang w:bidi="zh-CN"/>
              </w:rPr>
              <w:t>3.供应商自2021年以来承接同类审计业绩案例（以提供中标通知书或合同复印件个数为准），每个得1分，满分3分。</w:t>
            </w:r>
          </w:p>
        </w:tc>
      </w:tr>
      <w:tr w14:paraId="5604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65C52A40">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59466EEF">
      <w:pPr>
        <w:spacing w:line="360" w:lineRule="auto"/>
        <w:ind w:firstLine="422" w:firstLineChars="200"/>
        <w:rPr>
          <w:rFonts w:hint="eastAsia" w:ascii="宋体" w:hAnsi="宋体" w:cs="宋体"/>
          <w:b/>
          <w:color w:val="auto"/>
          <w:szCs w:val="21"/>
          <w:highlight w:val="none"/>
        </w:rPr>
      </w:pPr>
    </w:p>
    <w:p w14:paraId="50C694B5">
      <w:pPr>
        <w:spacing w:line="360" w:lineRule="auto"/>
        <w:ind w:firstLine="422" w:firstLineChars="200"/>
        <w:rPr>
          <w:rFonts w:hint="eastAsia" w:ascii="宋体" w:hAnsi="宋体" w:cs="宋体"/>
          <w:b/>
          <w:color w:val="auto"/>
          <w:szCs w:val="21"/>
          <w:highlight w:val="none"/>
        </w:rPr>
      </w:pPr>
    </w:p>
    <w:p w14:paraId="01405B43">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3C70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8CA64E2">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5780754E">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1531AFBC">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A789195">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468D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30" w:type="dxa"/>
            <w:vAlign w:val="center"/>
          </w:tcPr>
          <w:p w14:paraId="6371D05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35341F0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CF2375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74349168">
            <w:pPr>
              <w:pStyle w:val="18"/>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2C53EC25">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53DBC740">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EC7D4FB">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0DD68B">
            <w:pPr>
              <w:rPr>
                <w:b/>
                <w:bCs/>
                <w:color w:val="auto"/>
                <w:highlight w:val="none"/>
              </w:rPr>
            </w:pPr>
            <w:r>
              <w:rPr>
                <w:rFonts w:hint="eastAsia"/>
                <w:b/>
                <w:bCs/>
                <w:color w:val="auto"/>
                <w:highlight w:val="none"/>
              </w:rPr>
              <w:t>二、报价分（满分</w:t>
            </w:r>
            <w:r>
              <w:rPr>
                <w:rFonts w:hint="eastAsia"/>
                <w:b/>
                <w:bCs/>
                <w:color w:val="auto"/>
                <w:highlight w:val="none"/>
                <w:lang w:val="en-US" w:eastAsia="zh-CN"/>
              </w:rPr>
              <w:t>1</w:t>
            </w:r>
            <w:r>
              <w:rPr>
                <w:b/>
                <w:bCs/>
                <w:color w:val="auto"/>
                <w:highlight w:val="none"/>
              </w:rPr>
              <w:t>0</w:t>
            </w:r>
            <w:r>
              <w:rPr>
                <w:rFonts w:hint="eastAsia"/>
                <w:b/>
                <w:bCs/>
                <w:color w:val="auto"/>
                <w:highlight w:val="none"/>
              </w:rPr>
              <w:t>分）</w:t>
            </w:r>
          </w:p>
          <w:p w14:paraId="5F0FE674">
            <w:pPr>
              <w:pStyle w:val="18"/>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34472BE8">
            <w:pPr>
              <w:pStyle w:val="18"/>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29277092">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int="eastAsia" w:hAnsi="宋体" w:cs="宋体"/>
                <w:bCs/>
                <w:color w:val="auto"/>
                <w:sz w:val="21"/>
                <w:highlight w:val="none"/>
                <w:lang w:val="en-US" w:eastAsia="zh-CN"/>
              </w:rPr>
              <w:t>1</w:t>
            </w:r>
            <w:r>
              <w:rPr>
                <w:rFonts w:hAnsi="宋体" w:cs="宋体"/>
                <w:bCs/>
                <w:color w:val="auto"/>
                <w:sz w:val="21"/>
                <w:highlight w:val="none"/>
              </w:rPr>
              <w:t>0</w:t>
            </w:r>
            <w:r>
              <w:rPr>
                <w:rFonts w:hint="eastAsia" w:hAnsi="宋体" w:cs="宋体"/>
                <w:bCs/>
                <w:color w:val="auto"/>
                <w:sz w:val="21"/>
                <w:highlight w:val="none"/>
              </w:rPr>
              <w:t>分</w:t>
            </w:r>
          </w:p>
        </w:tc>
      </w:tr>
      <w:tr w14:paraId="2CC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225A778B">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013D3E7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4479A4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szCs w:val="21"/>
                <w:highlight w:val="none"/>
                <w:lang w:val="en-US" w:eastAsia="zh-CN"/>
              </w:rPr>
              <w:t>满分</w:t>
            </w:r>
            <w:r>
              <w:rPr>
                <w:rFonts w:hint="eastAsia" w:ascii="宋体" w:hAnsi="宋体" w:cs="宋体"/>
                <w:b/>
                <w:bCs w:val="0"/>
                <w:color w:val="auto"/>
                <w:szCs w:val="21"/>
                <w:highlight w:val="none"/>
              </w:rPr>
              <w:t>80分</w:t>
            </w:r>
          </w:p>
        </w:tc>
        <w:tc>
          <w:tcPr>
            <w:tcW w:w="1244" w:type="dxa"/>
            <w:vAlign w:val="center"/>
          </w:tcPr>
          <w:p w14:paraId="38CBF38C">
            <w:pPr>
              <w:adjustRightInd w:val="0"/>
              <w:spacing w:line="360" w:lineRule="auto"/>
              <w:ind w:firstLine="0" w:firstLineChars="0"/>
              <w:textAlignment w:val="baseline"/>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项目理解分（满分21分）</w:t>
            </w:r>
          </w:p>
        </w:tc>
        <w:tc>
          <w:tcPr>
            <w:tcW w:w="5665" w:type="dxa"/>
            <w:vAlign w:val="center"/>
          </w:tcPr>
          <w:p w14:paraId="75793802">
            <w:pPr>
              <w:spacing w:line="360" w:lineRule="auto"/>
              <w:ind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由磋商小组在打分前根据供应商对</w:t>
            </w:r>
            <w:r>
              <w:rPr>
                <w:rFonts w:hint="eastAsia" w:ascii="宋体" w:hAnsi="宋体" w:eastAsia="宋体" w:cs="宋体"/>
                <w:color w:val="auto"/>
                <w:sz w:val="21"/>
                <w:szCs w:val="21"/>
                <w:highlight w:val="none"/>
              </w:rPr>
              <w:t>项目理解</w:t>
            </w:r>
            <w:r>
              <w:rPr>
                <w:rFonts w:hint="eastAsia" w:ascii="宋体" w:hAnsi="宋体" w:eastAsia="宋体" w:cs="宋体"/>
                <w:bCs/>
                <w:color w:val="auto"/>
                <w:sz w:val="21"/>
                <w:szCs w:val="21"/>
                <w:highlight w:val="none"/>
              </w:rPr>
              <w:t>确定各供应商所属档次及得分。达不到一档要求或不提供的得0分。</w:t>
            </w:r>
          </w:p>
          <w:p w14:paraId="466BB7C7">
            <w:pPr>
              <w:spacing w:line="360" w:lineRule="auto"/>
              <w:ind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一档（7分）：基本理解采购文件要求，对各项服务需求仅有粗浅的认识；</w:t>
            </w:r>
          </w:p>
          <w:p w14:paraId="0FE57B3E">
            <w:pPr>
              <w:spacing w:line="360" w:lineRule="auto"/>
              <w:ind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二档（14分）：对各项服务需求能正确理解，表达基本清晰，对系统需求有较全面的理解；</w:t>
            </w:r>
          </w:p>
          <w:p w14:paraId="3FE44BC1">
            <w:pPr>
              <w:spacing w:line="360" w:lineRule="auto"/>
              <w:ind w:firstLine="48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三档（21分）：对各项服务需求有深刻认识，表达清晰、说明明确。对各项服务需求有全面详尽的理解、描述完整。</w:t>
            </w:r>
          </w:p>
        </w:tc>
      </w:tr>
      <w:tr w14:paraId="0BD2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3D4C54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7C7292B">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4D401D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EBCDA38">
            <w:pPr>
              <w:pStyle w:val="18"/>
              <w:spacing w:after="156"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服务总体方案（满分18分）</w:t>
            </w:r>
          </w:p>
          <w:p w14:paraId="3B279153">
            <w:pPr>
              <w:pStyle w:val="18"/>
              <w:spacing w:line="360" w:lineRule="auto"/>
              <w:ind w:firstLine="420" w:firstLineChars="0"/>
              <w:rPr>
                <w:rFonts w:hint="eastAsia" w:ascii="宋体" w:hAnsi="宋体" w:eastAsia="宋体" w:cs="宋体"/>
                <w:bCs/>
                <w:color w:val="auto"/>
                <w:sz w:val="21"/>
                <w:szCs w:val="21"/>
                <w:highlight w:val="none"/>
              </w:rPr>
            </w:pPr>
          </w:p>
        </w:tc>
        <w:tc>
          <w:tcPr>
            <w:tcW w:w="5665" w:type="dxa"/>
            <w:vAlign w:val="top"/>
          </w:tcPr>
          <w:p w14:paraId="3D8E7A0B">
            <w:pPr>
              <w:spacing w:line="360" w:lineRule="auto"/>
              <w:ind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由磋商小组在打分前根据供应商提供的确定各供应商所属档次及得分。达不到一档要求或不提供的得0分。</w:t>
            </w:r>
          </w:p>
          <w:p w14:paraId="69C80E41">
            <w:pPr>
              <w:pStyle w:val="18"/>
              <w:spacing w:after="156"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一档（6分）：项目实施方案基本满足采购要求。</w:t>
            </w:r>
          </w:p>
          <w:p w14:paraId="0ECA12F1">
            <w:pPr>
              <w:pStyle w:val="18"/>
              <w:spacing w:after="156"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二档（12分）：项目实施方案包含有项目组织计划、进度计划，方案整体可行。</w:t>
            </w:r>
          </w:p>
          <w:p w14:paraId="2071EE8F">
            <w:pPr>
              <w:pStyle w:val="18"/>
              <w:spacing w:after="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三档（18分）：项目实施方案包含有项目组织计划、进度计划，考虑周全完整，有明确的工作进度和管理措施，质量保证措施。</w:t>
            </w:r>
          </w:p>
        </w:tc>
      </w:tr>
      <w:tr w14:paraId="41C7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1115AB5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E24E46C">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3B3A7F3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0C74C67">
            <w:pPr>
              <w:pStyle w:val="18"/>
              <w:spacing w:after="156"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运维方案分（满分24分）</w:t>
            </w:r>
          </w:p>
          <w:p w14:paraId="3FD72E5B">
            <w:pPr>
              <w:adjustRightInd w:val="0"/>
              <w:spacing w:line="360" w:lineRule="auto"/>
              <w:ind w:firstLine="480" w:firstLineChars="0"/>
              <w:jc w:val="center"/>
              <w:textAlignment w:val="baseline"/>
              <w:rPr>
                <w:rFonts w:hint="eastAsia" w:ascii="宋体" w:hAnsi="宋体" w:eastAsia="宋体" w:cs="宋体"/>
                <w:bCs/>
                <w:color w:val="auto"/>
                <w:sz w:val="21"/>
                <w:szCs w:val="21"/>
                <w:highlight w:val="none"/>
              </w:rPr>
            </w:pPr>
          </w:p>
        </w:tc>
        <w:tc>
          <w:tcPr>
            <w:tcW w:w="5665" w:type="dxa"/>
            <w:vAlign w:val="center"/>
          </w:tcPr>
          <w:p w14:paraId="0A1EA4D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由磋商小组在打分前根据供应商提供的运维方案方案确定各供应商所属档次及得分。达不到一档要求或不提供的得0分。</w:t>
            </w:r>
          </w:p>
          <w:p w14:paraId="614A99E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一档（8分）：运维方案只对项目各工作环节进行了简单的描述。</w:t>
            </w:r>
          </w:p>
          <w:p w14:paraId="2E2ECF9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二档（16分）：运维方案基本可行,对项目各个工作环节有详细的描述，并有具体的工作方式、方法。</w:t>
            </w:r>
          </w:p>
          <w:p w14:paraId="33905027">
            <w:pPr>
              <w:spacing w:line="360" w:lineRule="auto"/>
              <w:ind w:firstLine="48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三档（24分）：运维方案可行,对项目各个工作环节有详细的描述，并对项目的重点难点进行分析，并提出针对性的工作方式、方法，且提出了响应的保障措施。</w:t>
            </w:r>
          </w:p>
        </w:tc>
      </w:tr>
      <w:tr w14:paraId="051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F43E539">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ED5E6F2">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54DF27F">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6CAB554">
            <w:pPr>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售后服务（满分17分）</w:t>
            </w:r>
          </w:p>
        </w:tc>
        <w:tc>
          <w:tcPr>
            <w:tcW w:w="5665" w:type="dxa"/>
            <w:vAlign w:val="center"/>
          </w:tcPr>
          <w:p w14:paraId="015A4BC2">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由磋商小组在打分前根据供应商的售后服务方案确定各供应商所属档次及得分。达不到一档要求或不提供的得0分。</w:t>
            </w:r>
          </w:p>
          <w:p w14:paraId="22A41A3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一档（6分）：能在服务地区长期驻有技术服务团队，服务方案包含有项目售后服务维护，但方案较为简单，缺乏针对性。</w:t>
            </w:r>
          </w:p>
          <w:p w14:paraId="4470BF0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二档（12分）：能在服务地区长期驻有技术服务团队且人数达4人，方案包含有项目服务维护、保密承诺及廉洁承诺等，且描述了项目维护的方法以及实现方式，方案合理可行，具有针对性。</w:t>
            </w:r>
          </w:p>
          <w:p w14:paraId="7B957B0D">
            <w:pPr>
              <w:spacing w:line="360" w:lineRule="auto"/>
              <w:ind w:firstLine="48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17分）：在服务地区长期驻有技术服务团队且人数达8人或以上，方案包含有合理可行并且具有针对性的项目售后维护、保密承诺及廉洁承诺等，且描述了项目售后维护的方法以及实现方式，售后服务机构及联系人、技术人员名单等资料详细，服务承诺和保障措施考虑周全完整。</w:t>
            </w:r>
          </w:p>
        </w:tc>
      </w:tr>
      <w:tr w14:paraId="2EE8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50922AC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44337D0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650F7D5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w:t>
            </w:r>
            <w:r>
              <w:rPr>
                <w:rFonts w:hint="eastAsia" w:ascii="宋体" w:hAnsi="宋体" w:cs="宋体"/>
                <w:b/>
                <w:color w:val="auto"/>
                <w:kern w:val="0"/>
                <w:szCs w:val="21"/>
                <w:highlight w:val="none"/>
              </w:rPr>
              <w:t>10分</w:t>
            </w:r>
          </w:p>
        </w:tc>
        <w:tc>
          <w:tcPr>
            <w:tcW w:w="6909" w:type="dxa"/>
            <w:gridSpan w:val="2"/>
            <w:vAlign w:val="center"/>
          </w:tcPr>
          <w:p w14:paraId="226DA54B">
            <w:pPr>
              <w:pStyle w:val="91"/>
              <w:numPr>
                <w:ilvl w:val="0"/>
                <w:numId w:val="0"/>
              </w:numPr>
              <w:spacing w:line="360" w:lineRule="auto"/>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rPr>
              <w:t>供应商自202</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年1月1日以来具有同类服务业绩的，每个得2分，</w:t>
            </w:r>
            <w:r>
              <w:rPr>
                <w:rFonts w:hint="eastAsia" w:ascii="宋体" w:hAnsi="宋体" w:eastAsia="宋体" w:cs="宋体"/>
                <w:b/>
                <w:bCs w:val="0"/>
                <w:color w:val="auto"/>
                <w:kern w:val="0"/>
                <w:sz w:val="21"/>
                <w:szCs w:val="21"/>
                <w:highlight w:val="none"/>
              </w:rPr>
              <w:t>满分4分。</w:t>
            </w:r>
            <w:r>
              <w:rPr>
                <w:rFonts w:hint="eastAsia" w:ascii="宋体" w:hAnsi="宋体" w:eastAsia="宋体" w:cs="宋体"/>
                <w:bCs/>
                <w:color w:val="auto"/>
                <w:kern w:val="0"/>
                <w:sz w:val="21"/>
                <w:szCs w:val="21"/>
                <w:highlight w:val="none"/>
                <w:lang w:val="zh-CN"/>
              </w:rPr>
              <w:t>（提供项目合同书或协议书复印件，</w:t>
            </w:r>
            <w:r>
              <w:rPr>
                <w:rFonts w:hint="eastAsia" w:ascii="宋体" w:hAnsi="宋体" w:eastAsia="宋体" w:cs="宋体"/>
                <w:bCs/>
                <w:color w:val="auto"/>
                <w:kern w:val="0"/>
                <w:sz w:val="21"/>
                <w:szCs w:val="21"/>
                <w:highlight w:val="none"/>
              </w:rPr>
              <w:t>复印件必须加盖供应商公章，否则视为无效不计分）。</w:t>
            </w:r>
          </w:p>
          <w:p w14:paraId="0E9E578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有效的IS020000 信息技术服务管理体系认证证书的得1分，</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color w:val="auto"/>
                <w:sz w:val="21"/>
                <w:szCs w:val="21"/>
                <w:highlight w:val="none"/>
              </w:rPr>
              <w:t>1分。</w:t>
            </w:r>
          </w:p>
          <w:p w14:paraId="74002E8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供应商具</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ITSS信息技术服务运行维护标准符合性证书的</w:t>
            </w:r>
            <w:r>
              <w:rPr>
                <w:rFonts w:hint="eastAsia" w:ascii="宋体" w:hAnsi="宋体" w:cs="宋体"/>
                <w:color w:val="auto"/>
                <w:sz w:val="21"/>
                <w:szCs w:val="21"/>
                <w:highlight w:val="none"/>
                <w:lang w:val="en-US" w:eastAsia="zh-CN"/>
              </w:rPr>
              <w:t>得2分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color w:val="auto"/>
                <w:sz w:val="21"/>
                <w:szCs w:val="21"/>
                <w:highlight w:val="none"/>
              </w:rPr>
              <w:t>2分。</w:t>
            </w:r>
          </w:p>
          <w:p w14:paraId="7987574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供应时具备有效的信息安全服务资质认证CCRC证书（信息系统安全运维）证书，一级的得3分、二级的得2分、三级及以下的得1分，</w:t>
            </w:r>
            <w:r>
              <w:rPr>
                <w:rFonts w:hint="eastAsia" w:ascii="宋体" w:hAnsi="宋体" w:eastAsia="宋体" w:cs="宋体"/>
                <w:b/>
                <w:bCs/>
                <w:color w:val="auto"/>
                <w:sz w:val="21"/>
                <w:szCs w:val="21"/>
                <w:highlight w:val="none"/>
                <w:lang w:val="en-US" w:eastAsia="zh-CN"/>
              </w:rPr>
              <w:t>满分</w:t>
            </w:r>
            <w:r>
              <w:rPr>
                <w:rFonts w:hint="eastAsia" w:ascii="宋体" w:hAnsi="宋体" w:eastAsia="宋体" w:cs="宋体"/>
                <w:b/>
                <w:bCs/>
                <w:color w:val="auto"/>
                <w:sz w:val="21"/>
                <w:szCs w:val="21"/>
                <w:highlight w:val="none"/>
              </w:rPr>
              <w:t>3分。</w:t>
            </w:r>
          </w:p>
          <w:p w14:paraId="3DCC442F">
            <w:pPr>
              <w:pStyle w:val="91"/>
              <w:numPr>
                <w:ilvl w:val="0"/>
                <w:numId w:val="0"/>
              </w:num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（注：需在响应文件中提供有效证书复印件，不提供，不得分）。</w:t>
            </w:r>
          </w:p>
        </w:tc>
      </w:tr>
      <w:tr w14:paraId="1C5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5263AEBC">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149425D0">
      <w:pPr>
        <w:rPr>
          <w:rFonts w:ascii="宋体" w:cs="宋体"/>
          <w:bCs/>
          <w:color w:val="auto"/>
          <w:szCs w:val="21"/>
          <w:highlight w:val="none"/>
        </w:rPr>
      </w:pPr>
    </w:p>
    <w:p w14:paraId="30C6A2B1">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71E2553D">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328E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1ADEDF62">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AFDB3F7">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75548224">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408E70EB">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336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379ADF0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0F22D03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48AEF60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209D17DB">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7C77CA9D">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w:t>
            </w:r>
            <w:r>
              <w:rPr>
                <w:rFonts w:hint="eastAsia" w:hAnsi="宋体" w:cs="宋体"/>
                <w:bCs/>
                <w:color w:val="auto"/>
                <w:sz w:val="21"/>
                <w:highlight w:val="none"/>
                <w:lang w:val="en-US" w:eastAsia="zh-CN"/>
              </w:rPr>
              <w:t>小微</w:t>
            </w:r>
            <w:r>
              <w:rPr>
                <w:rFonts w:hint="eastAsia" w:hAnsi="宋体" w:cs="宋体"/>
                <w:bCs/>
                <w:color w:val="auto"/>
                <w:sz w:val="21"/>
                <w:highlight w:val="none"/>
              </w:rPr>
              <w:t>企业采购的项目，不再享受价格扣除优惠政策。</w:t>
            </w:r>
          </w:p>
          <w:p w14:paraId="12782A93">
            <w:pPr>
              <w:rPr>
                <w:rFonts w:ascii="宋体" w:hAnsi="宋体" w:cs="宋体"/>
                <w:b/>
                <w:bCs/>
                <w:color w:val="auto"/>
                <w:szCs w:val="21"/>
                <w:highlight w:val="none"/>
              </w:rPr>
            </w:pPr>
            <w:r>
              <w:rPr>
                <w:rFonts w:hint="eastAsia" w:ascii="宋体" w:hAnsi="宋体" w:cs="宋体"/>
                <w:b/>
                <w:bCs/>
                <w:color w:val="auto"/>
                <w:szCs w:val="21"/>
                <w:highlight w:val="none"/>
              </w:rPr>
              <w:t>二、报价分（满分10分）</w:t>
            </w:r>
          </w:p>
          <w:p w14:paraId="18D82B43">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2BEA7061">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122F2187">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7A7C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4B64B6CB">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378C0F5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2105BCF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szCs w:val="21"/>
                <w:highlight w:val="none"/>
                <w:lang w:val="en-US" w:eastAsia="zh-CN"/>
              </w:rPr>
              <w:t>满分68</w:t>
            </w:r>
            <w:r>
              <w:rPr>
                <w:rFonts w:hint="eastAsia" w:ascii="宋体" w:hAnsi="宋体" w:cs="宋体"/>
                <w:b/>
                <w:bCs w:val="0"/>
                <w:color w:val="auto"/>
                <w:szCs w:val="21"/>
                <w:highlight w:val="none"/>
              </w:rPr>
              <w:t>分</w:t>
            </w:r>
          </w:p>
        </w:tc>
        <w:tc>
          <w:tcPr>
            <w:tcW w:w="1244" w:type="dxa"/>
            <w:vAlign w:val="center"/>
          </w:tcPr>
          <w:p w14:paraId="0122A233">
            <w:pPr>
              <w:spacing w:line="360" w:lineRule="auto"/>
              <w:jc w:val="center"/>
              <w:rPr>
                <w:rFonts w:ascii="宋体" w:hAnsi="宋体" w:cs="宋体"/>
                <w:bCs/>
                <w:color w:val="auto"/>
                <w:szCs w:val="21"/>
                <w:highlight w:val="none"/>
              </w:rPr>
            </w:pPr>
            <w:r>
              <w:rPr>
                <w:rFonts w:hint="eastAsia" w:ascii="宋体" w:hAnsi="宋体" w:cs="宋体"/>
                <w:b/>
                <w:bCs w:val="0"/>
                <w:color w:val="auto"/>
                <w:szCs w:val="21"/>
                <w:highlight w:val="none"/>
              </w:rPr>
              <w:t>设计服务保障方案（满分</w:t>
            </w:r>
            <w:r>
              <w:rPr>
                <w:rFonts w:hint="eastAsia" w:ascii="宋体" w:hAnsi="宋体" w:cs="宋体"/>
                <w:b/>
                <w:bCs w:val="0"/>
                <w:color w:val="auto"/>
                <w:szCs w:val="21"/>
                <w:highlight w:val="none"/>
                <w:lang w:val="en-US" w:eastAsia="zh-CN"/>
              </w:rPr>
              <w:t>32</w:t>
            </w:r>
            <w:r>
              <w:rPr>
                <w:rFonts w:hint="eastAsia" w:ascii="宋体" w:hAnsi="宋体" w:cs="宋体"/>
                <w:b/>
                <w:bCs w:val="0"/>
                <w:color w:val="auto"/>
                <w:szCs w:val="21"/>
                <w:highlight w:val="none"/>
              </w:rPr>
              <w:t>分）</w:t>
            </w:r>
          </w:p>
        </w:tc>
        <w:tc>
          <w:tcPr>
            <w:tcW w:w="5665" w:type="dxa"/>
            <w:vAlign w:val="center"/>
          </w:tcPr>
          <w:p w14:paraId="71D00CCC">
            <w:pPr>
              <w:widowControl/>
              <w:spacing w:line="360" w:lineRule="auto"/>
              <w:ind w:firstLine="420" w:firstLineChars="200"/>
              <w:jc w:val="left"/>
              <w:rPr>
                <w:rFonts w:hint="eastAsia" w:hAnsi="宋体" w:cs="宋体"/>
                <w:bCs/>
                <w:color w:val="auto"/>
                <w:sz w:val="21"/>
                <w:highlight w:val="none"/>
              </w:rPr>
            </w:pPr>
            <w:r>
              <w:rPr>
                <w:rFonts w:hint="eastAsia" w:ascii="宋体" w:hAnsi="宋体" w:cs="宋体"/>
                <w:bCs/>
                <w:color w:val="auto"/>
                <w:szCs w:val="21"/>
                <w:highlight w:val="none"/>
              </w:rPr>
              <w:t>由磋商小组根据供应商提供的设计服务保障方案确定各供应商所属档次及分值。达不到一档要求或不提供的得0分。</w:t>
            </w:r>
          </w:p>
          <w:p w14:paraId="3B3DAA4B">
            <w:pPr>
              <w:pStyle w:val="18"/>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一档（</w:t>
            </w:r>
            <w:r>
              <w:rPr>
                <w:rFonts w:hint="eastAsia" w:hAnsi="宋体" w:cs="宋体"/>
                <w:bCs/>
                <w:color w:val="auto"/>
                <w:sz w:val="21"/>
                <w:highlight w:val="none"/>
                <w:lang w:val="en-US" w:eastAsia="zh-CN"/>
              </w:rPr>
              <w:t>8</w:t>
            </w:r>
            <w:r>
              <w:rPr>
                <w:rFonts w:hint="eastAsia" w:hAnsi="宋体" w:cs="宋体"/>
                <w:bCs/>
                <w:color w:val="auto"/>
                <w:sz w:val="21"/>
                <w:highlight w:val="none"/>
              </w:rPr>
              <w:t>分）：供应商能根据项目采购的各项服务提供有服务保障目标、任务等内容描述简单；</w:t>
            </w:r>
          </w:p>
          <w:p w14:paraId="6893FB1B">
            <w:pPr>
              <w:pStyle w:val="18"/>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二档（1</w:t>
            </w:r>
            <w:r>
              <w:rPr>
                <w:rFonts w:hint="eastAsia" w:hAnsi="宋体" w:cs="宋体"/>
                <w:bCs/>
                <w:color w:val="auto"/>
                <w:sz w:val="21"/>
                <w:highlight w:val="none"/>
                <w:lang w:val="en-US" w:eastAsia="zh-CN"/>
              </w:rPr>
              <w:t>6</w:t>
            </w:r>
            <w:r>
              <w:rPr>
                <w:rFonts w:hint="eastAsia" w:hAnsi="宋体" w:cs="宋体"/>
                <w:bCs/>
                <w:color w:val="auto"/>
                <w:sz w:val="21"/>
                <w:highlight w:val="none"/>
              </w:rPr>
              <w:t>分）：在一档的基础上，供应商能根据项目采购的各项服务提供有项目组织计划、进度计划等内容描述清晰，方案合理、可行、完整；</w:t>
            </w:r>
          </w:p>
          <w:p w14:paraId="4FECE655">
            <w:pPr>
              <w:pStyle w:val="18"/>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三档（</w:t>
            </w:r>
            <w:r>
              <w:rPr>
                <w:rFonts w:hint="eastAsia" w:hAnsi="宋体" w:cs="宋体"/>
                <w:bCs/>
                <w:color w:val="auto"/>
                <w:sz w:val="21"/>
                <w:highlight w:val="none"/>
                <w:lang w:val="en-US" w:eastAsia="zh-CN"/>
              </w:rPr>
              <w:t>24</w:t>
            </w:r>
            <w:r>
              <w:rPr>
                <w:rFonts w:hint="eastAsia" w:hAnsi="宋体" w:cs="宋体"/>
                <w:bCs/>
                <w:color w:val="auto"/>
                <w:sz w:val="21"/>
                <w:highlight w:val="none"/>
              </w:rPr>
              <w:t>分）：在二档的基础上，供应商能根据项目采购的各项服务提供有详细的工程进度保障方法，内容描述详尽、操作性强。</w:t>
            </w:r>
          </w:p>
          <w:p w14:paraId="63A1EB3E">
            <w:pPr>
              <w:pStyle w:val="18"/>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四档（</w:t>
            </w:r>
            <w:r>
              <w:rPr>
                <w:rFonts w:hint="eastAsia" w:hAnsi="宋体" w:cs="宋体"/>
                <w:bCs/>
                <w:color w:val="auto"/>
                <w:sz w:val="21"/>
                <w:highlight w:val="none"/>
                <w:lang w:val="en-US" w:eastAsia="zh-CN"/>
              </w:rPr>
              <w:t>32</w:t>
            </w:r>
            <w:r>
              <w:rPr>
                <w:rFonts w:hint="eastAsia" w:hAnsi="宋体" w:cs="宋体"/>
                <w:bCs/>
                <w:color w:val="auto"/>
                <w:sz w:val="21"/>
                <w:highlight w:val="none"/>
              </w:rPr>
              <w:t>分）：在三档的基础上，供应商能根据项目采购的各项服务提供有明确的保障措施、管理措施等内容描述详细全面、各项措施合理。</w:t>
            </w:r>
          </w:p>
        </w:tc>
      </w:tr>
      <w:tr w14:paraId="77B7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FF2D50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08134D4A">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357845A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60E812D">
            <w:pPr>
              <w:spacing w:line="360" w:lineRule="auto"/>
              <w:jc w:val="center"/>
              <w:rPr>
                <w:rFonts w:ascii="宋体" w:hAnsi="宋体" w:cs="宋体"/>
                <w:bCs/>
                <w:color w:val="auto"/>
                <w:szCs w:val="21"/>
                <w:highlight w:val="none"/>
              </w:rPr>
            </w:pPr>
            <w:r>
              <w:rPr>
                <w:rFonts w:hint="eastAsia" w:ascii="宋体" w:hAnsi="宋体"/>
                <w:b/>
                <w:bCs/>
                <w:color w:val="auto"/>
                <w:highlight w:val="none"/>
              </w:rPr>
              <w:t>设计项目管理方案（满分2</w:t>
            </w:r>
            <w:r>
              <w:rPr>
                <w:rFonts w:hint="eastAsia" w:ascii="宋体" w:hAnsi="宋体"/>
                <w:b/>
                <w:bCs/>
                <w:color w:val="auto"/>
                <w:highlight w:val="none"/>
                <w:lang w:val="en-US" w:eastAsia="zh-CN"/>
              </w:rPr>
              <w:t>4</w:t>
            </w:r>
            <w:r>
              <w:rPr>
                <w:rFonts w:hint="eastAsia" w:ascii="宋体" w:hAnsi="宋体"/>
                <w:b/>
                <w:bCs/>
                <w:color w:val="auto"/>
                <w:highlight w:val="none"/>
              </w:rPr>
              <w:t>分）</w:t>
            </w:r>
          </w:p>
        </w:tc>
        <w:tc>
          <w:tcPr>
            <w:tcW w:w="5665" w:type="dxa"/>
            <w:vAlign w:val="center"/>
          </w:tcPr>
          <w:p w14:paraId="22733716">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由磋商小组根据供应商提供的设计项目管理方案确定各供应商所属档次及分值。达不到一档要求或不提供的得0分。</w:t>
            </w:r>
          </w:p>
          <w:p w14:paraId="5E1313AD">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分）：供应商提供有项目管理范围、工作内容等描述简单；</w:t>
            </w:r>
          </w:p>
          <w:p w14:paraId="57090810">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分）：在一档的基础上，供应商能根据项目采购的各项服务提供有项目组织计划、进度计划及工程进度保障方法等内容描述清晰，方案合理、可行、完整</w:t>
            </w:r>
          </w:p>
          <w:p w14:paraId="39EDDEF9">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三档（1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分）：在二档的基础上，供应商提供有合同管理、沟通管理等内容描述清晰、完整、合理。</w:t>
            </w:r>
          </w:p>
          <w:p w14:paraId="46A2241F">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四档（2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分）：在三档的基础上，供应商提供的方案涵盖成本管理、风险管理等内容，能针对项目变更管理提出原因、分类以及控制措施等内容，且具备可行性、可靠性，</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项目实际。</w:t>
            </w:r>
          </w:p>
        </w:tc>
      </w:tr>
      <w:tr w14:paraId="78FB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5BFB0C24">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5CF53241">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0C91CB3C">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0C4CCF0">
            <w:pPr>
              <w:spacing w:line="360" w:lineRule="auto"/>
              <w:jc w:val="center"/>
              <w:rPr>
                <w:rFonts w:hint="eastAsia" w:ascii="宋体" w:hAnsi="宋体" w:cs="宋体"/>
                <w:bCs/>
                <w:color w:val="auto"/>
                <w:szCs w:val="21"/>
                <w:highlight w:val="none"/>
                <w:lang w:val="en-US" w:eastAsia="zh-CN"/>
              </w:rPr>
            </w:pPr>
            <w:r>
              <w:rPr>
                <w:rFonts w:hint="eastAsia" w:ascii="宋体" w:hAnsi="宋体" w:cs="宋体"/>
                <w:b/>
                <w:bCs w:val="0"/>
                <w:color w:val="auto"/>
                <w:szCs w:val="21"/>
                <w:highlight w:val="none"/>
                <w:lang w:val="en-US" w:eastAsia="zh-CN"/>
              </w:rPr>
              <w:t>拟投入团队人员分（满分12分）</w:t>
            </w:r>
          </w:p>
          <w:p w14:paraId="3EE27424">
            <w:pPr>
              <w:spacing w:line="360" w:lineRule="auto"/>
              <w:jc w:val="center"/>
              <w:rPr>
                <w:rFonts w:hint="default" w:ascii="宋体" w:hAnsi="宋体" w:eastAsia="宋体" w:cs="宋体"/>
                <w:bCs/>
                <w:color w:val="auto"/>
                <w:szCs w:val="21"/>
                <w:highlight w:val="none"/>
                <w:lang w:val="en-US" w:eastAsia="zh-CN"/>
              </w:rPr>
            </w:pPr>
          </w:p>
        </w:tc>
        <w:tc>
          <w:tcPr>
            <w:tcW w:w="5665" w:type="dxa"/>
            <w:vAlign w:val="center"/>
          </w:tcPr>
          <w:p w14:paraId="3BF8C3FD">
            <w:pPr>
              <w:spacing w:line="360" w:lineRule="auto"/>
              <w:ind w:firstLine="560"/>
              <w:rPr>
                <w:rFonts w:ascii="宋体" w:hAnsi="宋体"/>
                <w:color w:val="auto"/>
                <w:highlight w:val="none"/>
              </w:rPr>
            </w:pPr>
            <w:r>
              <w:rPr>
                <w:rFonts w:hint="eastAsia" w:ascii="宋体" w:hAnsi="宋体"/>
                <w:color w:val="auto"/>
                <w:highlight w:val="none"/>
              </w:rPr>
              <w:t>（1）供应商拟投入本项目的项目经理</w:t>
            </w:r>
            <w:r>
              <w:rPr>
                <w:rFonts w:hint="eastAsia" w:ascii="宋体" w:hAnsi="宋体"/>
                <w:color w:val="auto"/>
                <w:highlight w:val="none"/>
                <w:lang w:val="en-US" w:eastAsia="zh-CN"/>
              </w:rPr>
              <w:t>除</w:t>
            </w:r>
            <w:r>
              <w:rPr>
                <w:rFonts w:hint="eastAsia" w:ascii="宋体" w:hAnsi="宋体"/>
                <w:color w:val="auto"/>
                <w:highlight w:val="none"/>
              </w:rPr>
              <w:t>持有咨询工程师（投资）证书</w:t>
            </w:r>
            <w:r>
              <w:rPr>
                <w:rFonts w:hint="eastAsia" w:ascii="宋体" w:hAnsi="宋体"/>
                <w:color w:val="auto"/>
                <w:highlight w:val="none"/>
                <w:lang w:val="en-US" w:eastAsia="zh-CN"/>
              </w:rPr>
              <w:t>外，同时</w:t>
            </w:r>
            <w:r>
              <w:rPr>
                <w:rFonts w:hint="eastAsia" w:ascii="宋体" w:hAnsi="宋体"/>
                <w:color w:val="auto"/>
                <w:highlight w:val="none"/>
              </w:rPr>
              <w:t>持有以下证书的，每个证书得1分，</w:t>
            </w:r>
            <w:r>
              <w:rPr>
                <w:rFonts w:hint="eastAsia" w:ascii="宋体" w:hAnsi="宋体"/>
                <w:b/>
                <w:bCs/>
                <w:color w:val="auto"/>
                <w:highlight w:val="none"/>
              </w:rPr>
              <w:t>满分3分。</w:t>
            </w:r>
          </w:p>
          <w:p w14:paraId="1444DA81">
            <w:pPr>
              <w:spacing w:line="360" w:lineRule="auto"/>
              <w:ind w:firstLine="560"/>
              <w:rPr>
                <w:rFonts w:ascii="宋体" w:hAnsi="宋体"/>
                <w:color w:val="auto"/>
                <w:highlight w:val="none"/>
              </w:rPr>
            </w:pPr>
            <w:r>
              <w:rPr>
                <w:rFonts w:hint="eastAsia" w:ascii="宋体" w:hAnsi="宋体"/>
                <w:color w:val="auto"/>
                <w:highlight w:val="none"/>
              </w:rPr>
              <w:t>①持有通信工程相关专业或计算机相关专业工程师或以上职称证书</w:t>
            </w:r>
            <w:r>
              <w:rPr>
                <w:rFonts w:hint="eastAsia" w:ascii="宋体" w:hAnsi="宋体"/>
                <w:color w:val="auto"/>
                <w:highlight w:val="none"/>
                <w:lang w:eastAsia="zh-CN"/>
              </w:rPr>
              <w:t>的</w:t>
            </w:r>
            <w:r>
              <w:rPr>
                <w:rFonts w:hint="eastAsia" w:ascii="宋体" w:hAnsi="宋体"/>
                <w:color w:val="auto"/>
                <w:highlight w:val="none"/>
              </w:rPr>
              <w:t>得1分；</w:t>
            </w:r>
          </w:p>
          <w:p w14:paraId="6C7186BF">
            <w:pPr>
              <w:spacing w:line="360" w:lineRule="auto"/>
              <w:ind w:firstLine="560"/>
              <w:rPr>
                <w:rFonts w:ascii="宋体" w:hAnsi="宋体"/>
                <w:color w:val="auto"/>
                <w:highlight w:val="none"/>
              </w:rPr>
            </w:pPr>
            <w:r>
              <w:rPr>
                <w:rFonts w:hint="eastAsia" w:ascii="宋体" w:hAnsi="宋体"/>
                <w:color w:val="auto"/>
                <w:highlight w:val="none"/>
              </w:rPr>
              <w:t>②</w:t>
            </w:r>
            <w:r>
              <w:rPr>
                <w:rFonts w:hint="eastAsia" w:ascii="宋体" w:hAnsi="宋体"/>
                <w:color w:val="auto"/>
                <w:highlight w:val="none"/>
                <w:lang w:val="en-US" w:eastAsia="zh-CN"/>
              </w:rPr>
              <w:t>持有</w:t>
            </w:r>
            <w:r>
              <w:rPr>
                <w:rFonts w:hint="eastAsia" w:ascii="宋体" w:hAnsi="宋体"/>
                <w:color w:val="auto"/>
                <w:highlight w:val="none"/>
              </w:rPr>
              <w:t>信息安全工程师证书</w:t>
            </w:r>
            <w:r>
              <w:rPr>
                <w:rFonts w:hint="eastAsia" w:ascii="宋体" w:hAnsi="宋体"/>
                <w:color w:val="auto"/>
                <w:highlight w:val="none"/>
                <w:lang w:eastAsia="zh-CN"/>
              </w:rPr>
              <w:t>的</w:t>
            </w:r>
            <w:r>
              <w:rPr>
                <w:rFonts w:hint="eastAsia" w:ascii="宋体" w:hAnsi="宋体"/>
                <w:color w:val="auto"/>
                <w:highlight w:val="none"/>
              </w:rPr>
              <w:t>得1分；</w:t>
            </w:r>
          </w:p>
          <w:p w14:paraId="5B4A423D">
            <w:pPr>
              <w:spacing w:line="360" w:lineRule="auto"/>
              <w:ind w:firstLine="560"/>
              <w:rPr>
                <w:rFonts w:ascii="宋体" w:hAnsi="宋体"/>
                <w:color w:val="auto"/>
                <w:highlight w:val="none"/>
              </w:rPr>
            </w:pPr>
            <w:r>
              <w:rPr>
                <w:rFonts w:hint="eastAsia" w:ascii="宋体" w:hAnsi="宋体"/>
                <w:color w:val="auto"/>
                <w:highlight w:val="none"/>
              </w:rPr>
              <w:t>③</w:t>
            </w:r>
            <w:r>
              <w:rPr>
                <w:rFonts w:hint="eastAsia" w:ascii="宋体" w:hAnsi="宋体"/>
                <w:color w:val="auto"/>
                <w:highlight w:val="none"/>
                <w:lang w:val="en-US" w:eastAsia="zh-CN"/>
              </w:rPr>
              <w:t>持有</w:t>
            </w:r>
            <w:r>
              <w:rPr>
                <w:rFonts w:hint="eastAsia" w:ascii="宋体" w:hAnsi="宋体"/>
                <w:color w:val="auto"/>
                <w:highlight w:val="none"/>
              </w:rPr>
              <w:t>数据库管理工程师证书</w:t>
            </w:r>
            <w:r>
              <w:rPr>
                <w:rFonts w:hint="eastAsia" w:ascii="宋体" w:hAnsi="宋体"/>
                <w:color w:val="auto"/>
                <w:highlight w:val="none"/>
                <w:lang w:eastAsia="zh-CN"/>
              </w:rPr>
              <w:t>的</w:t>
            </w:r>
            <w:r>
              <w:rPr>
                <w:rFonts w:hint="eastAsia" w:ascii="宋体" w:hAnsi="宋体"/>
                <w:color w:val="auto"/>
                <w:highlight w:val="none"/>
              </w:rPr>
              <w:t>得1分；</w:t>
            </w:r>
          </w:p>
          <w:p w14:paraId="60CD7D13">
            <w:pPr>
              <w:spacing w:line="360" w:lineRule="auto"/>
              <w:ind w:firstLine="560"/>
              <w:rPr>
                <w:rFonts w:ascii="宋体" w:hAnsi="宋体"/>
                <w:color w:val="auto"/>
                <w:highlight w:val="none"/>
              </w:rPr>
            </w:pPr>
            <w:r>
              <w:rPr>
                <w:rFonts w:hint="eastAsia" w:ascii="宋体" w:hAnsi="宋体"/>
                <w:color w:val="auto"/>
                <w:highlight w:val="none"/>
              </w:rPr>
              <w:t>（2）供应商拟投入本项目的技术负责人除持有通信工程相关专业或计算机相关专业工程师或以上职称证书外，持有以下证书的，每个证书得1分，</w:t>
            </w:r>
            <w:r>
              <w:rPr>
                <w:rFonts w:hint="eastAsia" w:ascii="宋体" w:hAnsi="宋体"/>
                <w:b/>
                <w:bCs/>
                <w:color w:val="auto"/>
                <w:highlight w:val="none"/>
              </w:rPr>
              <w:t>满分3分。</w:t>
            </w:r>
          </w:p>
          <w:p w14:paraId="155C8C81">
            <w:pPr>
              <w:spacing w:line="360" w:lineRule="auto"/>
              <w:ind w:firstLine="560"/>
              <w:rPr>
                <w:rFonts w:ascii="宋体" w:hAnsi="宋体"/>
                <w:color w:val="auto"/>
                <w:highlight w:val="none"/>
              </w:rPr>
            </w:pPr>
            <w:r>
              <w:rPr>
                <w:rFonts w:hint="eastAsia" w:ascii="宋体" w:hAnsi="宋体"/>
                <w:color w:val="auto"/>
                <w:highlight w:val="none"/>
              </w:rPr>
              <w:t>①持有网络技术工程师证书</w:t>
            </w:r>
            <w:r>
              <w:rPr>
                <w:rFonts w:hint="eastAsia" w:ascii="宋体" w:hAnsi="宋体"/>
                <w:color w:val="auto"/>
                <w:highlight w:val="none"/>
                <w:lang w:eastAsia="zh-CN"/>
              </w:rPr>
              <w:t>的</w:t>
            </w:r>
            <w:r>
              <w:rPr>
                <w:rFonts w:hint="eastAsia" w:ascii="宋体" w:hAnsi="宋体"/>
                <w:color w:val="auto"/>
                <w:highlight w:val="none"/>
              </w:rPr>
              <w:t>得1分；</w:t>
            </w:r>
          </w:p>
          <w:p w14:paraId="30D75019">
            <w:pPr>
              <w:spacing w:line="360" w:lineRule="auto"/>
              <w:ind w:firstLine="560"/>
              <w:rPr>
                <w:rFonts w:ascii="宋体" w:hAnsi="宋体"/>
                <w:color w:val="auto"/>
                <w:highlight w:val="none"/>
              </w:rPr>
            </w:pPr>
            <w:r>
              <w:rPr>
                <w:rFonts w:hint="eastAsia" w:ascii="宋体" w:hAnsi="宋体"/>
                <w:color w:val="auto"/>
                <w:highlight w:val="none"/>
              </w:rPr>
              <w:t>②持有软件设计师证书</w:t>
            </w:r>
            <w:r>
              <w:rPr>
                <w:rFonts w:hint="eastAsia" w:ascii="宋体" w:hAnsi="宋体"/>
                <w:color w:val="auto"/>
                <w:highlight w:val="none"/>
                <w:lang w:eastAsia="zh-CN"/>
              </w:rPr>
              <w:t>的</w:t>
            </w:r>
            <w:r>
              <w:rPr>
                <w:rFonts w:hint="eastAsia" w:ascii="宋体" w:hAnsi="宋体"/>
                <w:color w:val="auto"/>
                <w:highlight w:val="none"/>
              </w:rPr>
              <w:t>得1分；</w:t>
            </w:r>
          </w:p>
          <w:p w14:paraId="533F2A6E">
            <w:pPr>
              <w:spacing w:line="360" w:lineRule="auto"/>
              <w:ind w:firstLine="560"/>
              <w:rPr>
                <w:rFonts w:ascii="宋体" w:hAnsi="宋体"/>
                <w:color w:val="auto"/>
                <w:highlight w:val="none"/>
              </w:rPr>
            </w:pPr>
            <w:r>
              <w:rPr>
                <w:rFonts w:hint="eastAsia" w:ascii="宋体" w:hAnsi="宋体"/>
                <w:color w:val="auto"/>
                <w:highlight w:val="none"/>
              </w:rPr>
              <w:t>③持有程序员证书</w:t>
            </w:r>
            <w:r>
              <w:rPr>
                <w:rFonts w:hint="eastAsia" w:ascii="宋体" w:hAnsi="宋体"/>
                <w:color w:val="auto"/>
                <w:highlight w:val="none"/>
                <w:lang w:eastAsia="zh-CN"/>
              </w:rPr>
              <w:t>的</w:t>
            </w:r>
            <w:r>
              <w:rPr>
                <w:rFonts w:hint="eastAsia" w:ascii="宋体" w:hAnsi="宋体"/>
                <w:color w:val="auto"/>
                <w:highlight w:val="none"/>
              </w:rPr>
              <w:t>得1分；</w:t>
            </w:r>
          </w:p>
          <w:p w14:paraId="3098C8C5">
            <w:pPr>
              <w:spacing w:line="360" w:lineRule="auto"/>
              <w:ind w:firstLine="560"/>
              <w:rPr>
                <w:rFonts w:ascii="宋体" w:hAnsi="宋体"/>
                <w:color w:val="auto"/>
                <w:highlight w:val="none"/>
              </w:rPr>
            </w:pPr>
            <w:r>
              <w:rPr>
                <w:rFonts w:hint="eastAsia" w:ascii="宋体" w:hAnsi="宋体"/>
                <w:color w:val="auto"/>
                <w:highlight w:val="none"/>
              </w:rPr>
              <w:t>（3）供应商拟投入本项目的团队设计人员（不包括项目经理、技术负责人）除持有通信工程相关专业或计算机相关专业工程师或以上职称证书外，持有以下证书的，每个证书得1分，同一人证书最多得2分，</w:t>
            </w:r>
            <w:r>
              <w:rPr>
                <w:rFonts w:hint="eastAsia" w:ascii="宋体" w:hAnsi="宋体"/>
                <w:b/>
                <w:bCs/>
                <w:color w:val="auto"/>
                <w:highlight w:val="none"/>
              </w:rPr>
              <w:t>满分6分。</w:t>
            </w:r>
          </w:p>
          <w:p w14:paraId="13F87230">
            <w:pPr>
              <w:spacing w:line="360" w:lineRule="auto"/>
              <w:ind w:firstLine="560"/>
              <w:rPr>
                <w:rFonts w:ascii="宋体" w:hAnsi="宋体"/>
                <w:color w:val="auto"/>
                <w:highlight w:val="none"/>
              </w:rPr>
            </w:pPr>
            <w:r>
              <w:rPr>
                <w:rFonts w:hint="eastAsia" w:ascii="宋体" w:hAnsi="宋体"/>
                <w:color w:val="auto"/>
                <w:highlight w:val="none"/>
              </w:rPr>
              <w:t>①持有一级造价师（或中国电子技术标准化研究院颁发的IT服务项目经理）证书</w:t>
            </w:r>
            <w:r>
              <w:rPr>
                <w:rFonts w:hint="eastAsia" w:ascii="宋体" w:hAnsi="宋体"/>
                <w:color w:val="auto"/>
                <w:highlight w:val="none"/>
                <w:lang w:eastAsia="zh-CN"/>
              </w:rPr>
              <w:t>的</w:t>
            </w:r>
            <w:r>
              <w:rPr>
                <w:rFonts w:hint="eastAsia" w:ascii="宋体" w:hAnsi="宋体"/>
                <w:color w:val="auto"/>
                <w:highlight w:val="none"/>
              </w:rPr>
              <w:t>得1分；</w:t>
            </w:r>
          </w:p>
          <w:p w14:paraId="221EF078">
            <w:pPr>
              <w:spacing w:line="360" w:lineRule="auto"/>
              <w:ind w:firstLine="560"/>
              <w:rPr>
                <w:rFonts w:ascii="宋体" w:hAnsi="宋体"/>
                <w:color w:val="auto"/>
                <w:highlight w:val="none"/>
              </w:rPr>
            </w:pPr>
            <w:r>
              <w:rPr>
                <w:rFonts w:hint="eastAsia" w:ascii="宋体" w:hAnsi="宋体"/>
                <w:color w:val="auto"/>
                <w:highlight w:val="none"/>
              </w:rPr>
              <w:t>②持有网络规划设计师（或工业和信息化部教育与考试中心颁发的网络技术工程师）证书（高级）</w:t>
            </w:r>
            <w:r>
              <w:rPr>
                <w:rFonts w:hint="eastAsia" w:ascii="宋体" w:hAnsi="宋体"/>
                <w:color w:val="auto"/>
                <w:highlight w:val="none"/>
                <w:lang w:eastAsia="zh-CN"/>
              </w:rPr>
              <w:t>的</w:t>
            </w:r>
            <w:r>
              <w:rPr>
                <w:rFonts w:hint="eastAsia" w:ascii="宋体" w:hAnsi="宋体"/>
                <w:color w:val="auto"/>
                <w:highlight w:val="none"/>
              </w:rPr>
              <w:t>得1分；</w:t>
            </w:r>
          </w:p>
          <w:p w14:paraId="5DC38E50">
            <w:pPr>
              <w:spacing w:line="360" w:lineRule="auto"/>
              <w:ind w:firstLine="560"/>
              <w:rPr>
                <w:rFonts w:ascii="宋体" w:hAnsi="宋体"/>
                <w:color w:val="auto"/>
                <w:highlight w:val="none"/>
              </w:rPr>
            </w:pPr>
            <w:r>
              <w:rPr>
                <w:rFonts w:hint="eastAsia" w:ascii="宋体" w:hAnsi="宋体"/>
                <w:color w:val="auto"/>
                <w:highlight w:val="none"/>
              </w:rPr>
              <w:t>③持有系统架构设计师证书（高级）</w:t>
            </w:r>
            <w:r>
              <w:rPr>
                <w:rFonts w:hint="eastAsia" w:ascii="宋体" w:hAnsi="宋体"/>
                <w:color w:val="auto"/>
                <w:highlight w:val="none"/>
                <w:lang w:eastAsia="zh-CN"/>
              </w:rPr>
              <w:t>的</w:t>
            </w:r>
            <w:r>
              <w:rPr>
                <w:rFonts w:hint="eastAsia" w:ascii="宋体" w:hAnsi="宋体"/>
                <w:color w:val="auto"/>
                <w:highlight w:val="none"/>
              </w:rPr>
              <w:t>得1分；</w:t>
            </w:r>
          </w:p>
          <w:p w14:paraId="0B568B46">
            <w:pPr>
              <w:spacing w:line="360" w:lineRule="auto"/>
              <w:ind w:firstLine="560"/>
              <w:rPr>
                <w:rFonts w:ascii="宋体" w:hAnsi="宋体"/>
                <w:color w:val="auto"/>
                <w:highlight w:val="none"/>
              </w:rPr>
            </w:pPr>
            <w:r>
              <w:rPr>
                <w:rFonts w:hint="eastAsia" w:ascii="宋体" w:hAnsi="宋体"/>
                <w:color w:val="auto"/>
                <w:highlight w:val="none"/>
              </w:rPr>
              <w:t>④持有数据库系统工程师（或数据库管理工程师）证书</w:t>
            </w:r>
            <w:r>
              <w:rPr>
                <w:rFonts w:hint="eastAsia" w:ascii="宋体" w:hAnsi="宋体"/>
                <w:color w:val="auto"/>
                <w:highlight w:val="none"/>
                <w:lang w:eastAsia="zh-CN"/>
              </w:rPr>
              <w:t>的</w:t>
            </w:r>
            <w:r>
              <w:rPr>
                <w:rFonts w:hint="eastAsia" w:ascii="宋体" w:hAnsi="宋体"/>
                <w:color w:val="auto"/>
                <w:highlight w:val="none"/>
              </w:rPr>
              <w:t>得1分；</w:t>
            </w:r>
          </w:p>
          <w:p w14:paraId="2E1F57A0">
            <w:pPr>
              <w:spacing w:line="360" w:lineRule="auto"/>
              <w:ind w:firstLine="560"/>
              <w:rPr>
                <w:rFonts w:ascii="宋体" w:hAnsi="宋体"/>
                <w:color w:val="auto"/>
                <w:highlight w:val="none"/>
              </w:rPr>
            </w:pPr>
            <w:r>
              <w:rPr>
                <w:rFonts w:hint="eastAsia" w:ascii="宋体" w:hAnsi="宋体"/>
                <w:color w:val="auto"/>
                <w:highlight w:val="none"/>
              </w:rPr>
              <w:t>⑤持有软件工程造价师证书</w:t>
            </w:r>
            <w:r>
              <w:rPr>
                <w:rFonts w:hint="eastAsia" w:ascii="宋体" w:hAnsi="宋体"/>
                <w:color w:val="auto"/>
                <w:highlight w:val="none"/>
                <w:lang w:eastAsia="zh-CN"/>
              </w:rPr>
              <w:t>的</w:t>
            </w:r>
            <w:r>
              <w:rPr>
                <w:rFonts w:hint="eastAsia" w:ascii="宋体" w:hAnsi="宋体"/>
                <w:color w:val="auto"/>
                <w:highlight w:val="none"/>
              </w:rPr>
              <w:t>得1分；</w:t>
            </w:r>
          </w:p>
          <w:p w14:paraId="7B06E278">
            <w:pPr>
              <w:spacing w:line="360" w:lineRule="auto"/>
              <w:ind w:firstLine="560"/>
              <w:rPr>
                <w:rFonts w:ascii="宋体" w:hAnsi="宋体"/>
                <w:color w:val="auto"/>
                <w:highlight w:val="none"/>
              </w:rPr>
            </w:pPr>
            <w:r>
              <w:rPr>
                <w:rFonts w:hint="eastAsia" w:ascii="宋体" w:hAnsi="宋体"/>
                <w:color w:val="auto"/>
                <w:highlight w:val="none"/>
              </w:rPr>
              <w:t>⑥持有网络信息安全工程师（或注册信息安全专业人员（CISE））证书</w:t>
            </w:r>
            <w:r>
              <w:rPr>
                <w:rFonts w:hint="eastAsia" w:ascii="宋体" w:hAnsi="宋体"/>
                <w:color w:val="auto"/>
                <w:highlight w:val="none"/>
                <w:lang w:eastAsia="zh-CN"/>
              </w:rPr>
              <w:t>的</w:t>
            </w:r>
            <w:r>
              <w:rPr>
                <w:rFonts w:hint="eastAsia" w:ascii="宋体" w:hAnsi="宋体"/>
                <w:color w:val="auto"/>
                <w:highlight w:val="none"/>
              </w:rPr>
              <w:t>得1分。</w:t>
            </w:r>
          </w:p>
          <w:p w14:paraId="4C7F0D82">
            <w:pPr>
              <w:spacing w:line="360" w:lineRule="auto"/>
              <w:ind w:firstLine="560"/>
              <w:rPr>
                <w:rFonts w:hAnsi="宋体" w:cs="宋体"/>
                <w:color w:val="auto"/>
                <w:sz w:val="21"/>
                <w:highlight w:val="none"/>
              </w:rPr>
            </w:pPr>
            <w:r>
              <w:rPr>
                <w:rFonts w:hint="eastAsia" w:ascii="宋体" w:hAnsi="宋体"/>
                <w:color w:val="auto"/>
                <w:highlight w:val="none"/>
              </w:rPr>
              <w:t>注：</w:t>
            </w:r>
            <w:r>
              <w:rPr>
                <w:rFonts w:hint="eastAsia" w:hAnsi="宋体" w:cs="宋体"/>
                <w:color w:val="auto"/>
                <w:sz w:val="21"/>
                <w:highlight w:val="none"/>
              </w:rPr>
              <w:t>响应文件中须提供以上证书及</w:t>
            </w:r>
            <w:r>
              <w:rPr>
                <w:rFonts w:hint="eastAsia" w:hAnsi="宋体" w:cs="宋体"/>
                <w:color w:val="auto"/>
                <w:sz w:val="21"/>
                <w:highlight w:val="none"/>
                <w:lang w:eastAsia="zh-CN"/>
              </w:rPr>
              <w:t>供应商为拟投入人员缴纳的2025年1月-7月期间任意1个月有效社保证明（如拟投入人员属于退休人员返聘无社保证明的，需提供退休证、返聘证明；如供应商为截标时间前60日以内成立的公司或</w:t>
            </w:r>
            <w:r>
              <w:rPr>
                <w:rFonts w:hint="eastAsia" w:hAnsi="宋体" w:cs="宋体"/>
                <w:color w:val="auto"/>
                <w:sz w:val="21"/>
                <w:highlight w:val="none"/>
                <w:lang w:val="en-US" w:eastAsia="zh-CN"/>
              </w:rPr>
              <w:t>拟投入</w:t>
            </w:r>
            <w:r>
              <w:rPr>
                <w:rFonts w:hint="eastAsia" w:hAnsi="宋体"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hAnsi="宋体" w:cs="宋体"/>
                <w:color w:val="auto"/>
                <w:sz w:val="21"/>
                <w:highlight w:val="none"/>
                <w:lang w:val="en-US" w:eastAsia="zh-CN"/>
              </w:rPr>
              <w:t>,</w:t>
            </w:r>
            <w:r>
              <w:rPr>
                <w:rFonts w:hint="eastAsia" w:hAnsi="宋体" w:cs="宋体"/>
                <w:color w:val="auto"/>
                <w:sz w:val="21"/>
                <w:highlight w:val="none"/>
              </w:rPr>
              <w:t>否则该项不予计分。</w:t>
            </w:r>
          </w:p>
        </w:tc>
      </w:tr>
      <w:tr w14:paraId="3EF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1CA5C83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0C2A34C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14B2C0E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bCs w:val="0"/>
                <w:color w:val="auto"/>
                <w:kern w:val="0"/>
                <w:szCs w:val="21"/>
                <w:highlight w:val="none"/>
                <w:lang w:val="en-US" w:eastAsia="zh-CN"/>
              </w:rPr>
              <w:t>满分22</w:t>
            </w:r>
            <w:r>
              <w:rPr>
                <w:rFonts w:hint="eastAsia" w:ascii="宋体" w:hAnsi="宋体" w:cs="宋体"/>
                <w:b/>
                <w:bCs w:val="0"/>
                <w:color w:val="auto"/>
                <w:kern w:val="0"/>
                <w:szCs w:val="21"/>
                <w:highlight w:val="none"/>
              </w:rPr>
              <w:t>分</w:t>
            </w:r>
          </w:p>
        </w:tc>
        <w:tc>
          <w:tcPr>
            <w:tcW w:w="6909" w:type="dxa"/>
            <w:gridSpan w:val="2"/>
            <w:vAlign w:val="center"/>
          </w:tcPr>
          <w:p w14:paraId="2965540B">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（1）供应商通过ISO 9001质量管理体系认证、ISO14001环境管理体系认证、ISO45001职业健康安全管理体系认证，且证书认证范围涵盖计算机软件系统、大数据系统、智能化系统、信息系统、网络安全工程、信息安全工程的内容，每个证书符合1个认证范围的得0.5分，</w:t>
            </w:r>
            <w:r>
              <w:rPr>
                <w:rFonts w:hint="eastAsia"/>
                <w:b/>
                <w:bCs/>
                <w:color w:val="auto"/>
                <w:sz w:val="21"/>
                <w:szCs w:val="21"/>
                <w:highlight w:val="none"/>
                <w:lang w:eastAsia="zh-CN"/>
              </w:rPr>
              <w:t>每个证书满分2分，满分6分。</w:t>
            </w:r>
            <w:r>
              <w:rPr>
                <w:rFonts w:hint="eastAsia"/>
                <w:b w:val="0"/>
                <w:bCs w:val="0"/>
                <w:color w:val="auto"/>
                <w:sz w:val="21"/>
                <w:szCs w:val="21"/>
                <w:highlight w:val="none"/>
                <w:lang w:eastAsia="zh-CN"/>
              </w:rPr>
              <w:t>（响应文件中提供证书复印件）</w:t>
            </w:r>
          </w:p>
          <w:p w14:paraId="44E76AD1">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（2）供应商通过ISO/IEC 27001信息安全管理体系认证证书的，且证书认证范围至少包含计算机软件系统、大数据系统、智能化系统、信息系统、网络安全工程等内容的，每符合1个认证范围的得0.5分，</w:t>
            </w:r>
            <w:r>
              <w:rPr>
                <w:rFonts w:hint="eastAsia"/>
                <w:b/>
                <w:bCs/>
                <w:color w:val="auto"/>
                <w:sz w:val="21"/>
                <w:szCs w:val="21"/>
                <w:highlight w:val="none"/>
                <w:lang w:eastAsia="zh-CN"/>
              </w:rPr>
              <w:t>满分2分</w:t>
            </w:r>
            <w:r>
              <w:rPr>
                <w:rFonts w:hint="eastAsia"/>
                <w:b/>
                <w:bCs/>
                <w:color w:val="auto"/>
                <w:sz w:val="21"/>
                <w:szCs w:val="21"/>
                <w:highlight w:val="none"/>
                <w:lang w:val="en-US" w:eastAsia="zh-CN"/>
              </w:rPr>
              <w:t>.</w:t>
            </w:r>
            <w:r>
              <w:rPr>
                <w:rFonts w:hint="eastAsia"/>
                <w:b w:val="0"/>
                <w:bCs w:val="0"/>
                <w:color w:val="auto"/>
                <w:sz w:val="21"/>
                <w:szCs w:val="21"/>
                <w:highlight w:val="none"/>
                <w:lang w:eastAsia="zh-CN"/>
              </w:rPr>
              <w:t>（响应文件中提供证书复印件）</w:t>
            </w:r>
          </w:p>
          <w:p w14:paraId="2AE3D3C7">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（3）供应商通过ISO/IEC 20000信息技术服务管理体系认证证书的，且证书认证范围至少包含向外部客户提供信息系统咨询、规划服务、信息技术咨询服务等内容的，得1分，</w:t>
            </w:r>
            <w:r>
              <w:rPr>
                <w:rFonts w:hint="eastAsia"/>
                <w:b/>
                <w:bCs/>
                <w:color w:val="auto"/>
                <w:sz w:val="21"/>
                <w:szCs w:val="21"/>
                <w:highlight w:val="none"/>
                <w:lang w:eastAsia="zh-CN"/>
              </w:rPr>
              <w:t>满分1分。</w:t>
            </w:r>
            <w:r>
              <w:rPr>
                <w:rFonts w:hint="eastAsia"/>
                <w:b w:val="0"/>
                <w:bCs w:val="0"/>
                <w:color w:val="auto"/>
                <w:sz w:val="21"/>
                <w:szCs w:val="21"/>
                <w:highlight w:val="none"/>
                <w:lang w:eastAsia="zh-CN"/>
              </w:rPr>
              <w:t>（响应文件中提供证书复印件）</w:t>
            </w:r>
          </w:p>
          <w:p w14:paraId="072069E0">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（4）供应商通过社会责任管理体系认证、GB/T 35770合规管理体系认证、GB/T 27922-2011 售后服务认证的，且证书认证范围涵盖计算机软件系统、大数据系统、智能化系统、信息系统、网络安全工程、信息安全工程的，每个证书符合1个认证范围的得0.5分，</w:t>
            </w:r>
            <w:r>
              <w:rPr>
                <w:rFonts w:hint="eastAsia"/>
                <w:b/>
                <w:bCs/>
                <w:color w:val="auto"/>
                <w:sz w:val="21"/>
                <w:szCs w:val="21"/>
                <w:highlight w:val="none"/>
                <w:lang w:eastAsia="zh-CN"/>
              </w:rPr>
              <w:t>每个证书满分2分。本项满分6分。</w:t>
            </w:r>
            <w:r>
              <w:rPr>
                <w:rFonts w:hint="eastAsia"/>
                <w:b w:val="0"/>
                <w:bCs w:val="0"/>
                <w:color w:val="auto"/>
                <w:sz w:val="21"/>
                <w:szCs w:val="21"/>
                <w:highlight w:val="none"/>
                <w:lang w:eastAsia="zh-CN"/>
              </w:rPr>
              <w:t>（响应文件中提供证书复印件）</w:t>
            </w:r>
          </w:p>
          <w:p w14:paraId="66FCF2EE">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（5）供应商通过GB/T36463.1-2018信息技术服务 咨询设计 第1部分:通用要求评估，具有ITSS信息技术服务咨询设计标准符合性证书的得2分，</w:t>
            </w:r>
            <w:r>
              <w:rPr>
                <w:rFonts w:hint="eastAsia"/>
                <w:b/>
                <w:bCs/>
                <w:color w:val="auto"/>
                <w:sz w:val="21"/>
                <w:szCs w:val="21"/>
                <w:highlight w:val="none"/>
                <w:lang w:eastAsia="zh-CN"/>
              </w:rPr>
              <w:t>满分2分。</w:t>
            </w:r>
            <w:r>
              <w:rPr>
                <w:rFonts w:hint="eastAsia"/>
                <w:b w:val="0"/>
                <w:bCs w:val="0"/>
                <w:color w:val="auto"/>
                <w:sz w:val="21"/>
                <w:szCs w:val="21"/>
                <w:highlight w:val="none"/>
                <w:lang w:eastAsia="zh-CN"/>
              </w:rPr>
              <w:t>（响应文件中提供证书复印件）</w:t>
            </w:r>
          </w:p>
          <w:p w14:paraId="0E1A5FDD">
            <w:pPr>
              <w:pStyle w:val="91"/>
              <w:numPr>
                <w:ilvl w:val="0"/>
                <w:numId w:val="0"/>
              </w:numPr>
              <w:rPr>
                <w:rFonts w:hint="eastAsia"/>
                <w:b w:val="0"/>
                <w:bCs w:val="0"/>
                <w:color w:val="auto"/>
                <w:sz w:val="21"/>
                <w:szCs w:val="21"/>
                <w:highlight w:val="none"/>
                <w:lang w:eastAsia="zh-CN"/>
              </w:rPr>
            </w:pPr>
            <w:r>
              <w:rPr>
                <w:rFonts w:hint="eastAsia"/>
                <w:b w:val="0"/>
                <w:bCs w:val="0"/>
                <w:color w:val="auto"/>
                <w:sz w:val="21"/>
                <w:szCs w:val="21"/>
                <w:highlight w:val="none"/>
                <w:lang w:eastAsia="zh-CN"/>
              </w:rPr>
              <w:t>（6）供应商具有信息安全服务资质认证证书（信息安全风险评估服务资质）的得1分，</w:t>
            </w:r>
            <w:r>
              <w:rPr>
                <w:rFonts w:hint="eastAsia"/>
                <w:b/>
                <w:bCs/>
                <w:color w:val="auto"/>
                <w:sz w:val="21"/>
                <w:szCs w:val="21"/>
                <w:highlight w:val="none"/>
                <w:lang w:eastAsia="zh-CN"/>
              </w:rPr>
              <w:t>满分1分。</w:t>
            </w:r>
            <w:r>
              <w:rPr>
                <w:rFonts w:hint="eastAsia"/>
                <w:b w:val="0"/>
                <w:bCs w:val="0"/>
                <w:color w:val="auto"/>
                <w:sz w:val="21"/>
                <w:szCs w:val="21"/>
                <w:highlight w:val="none"/>
                <w:lang w:eastAsia="zh-CN"/>
              </w:rPr>
              <w:t>（响应文件中提供证书复印件）</w:t>
            </w:r>
          </w:p>
          <w:p w14:paraId="12626C62">
            <w:pPr>
              <w:pStyle w:val="91"/>
              <w:numPr>
                <w:ilvl w:val="0"/>
                <w:numId w:val="0"/>
              </w:numPr>
              <w:rPr>
                <w:rFonts w:hint="eastAsia"/>
                <w:b/>
                <w:bCs/>
                <w:color w:val="auto"/>
                <w:highlight w:val="none"/>
                <w:lang w:eastAsia="zh-CN"/>
              </w:rPr>
            </w:pP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7</w:t>
            </w:r>
            <w:r>
              <w:rPr>
                <w:rFonts w:hint="eastAsia"/>
                <w:b w:val="0"/>
                <w:bCs w:val="0"/>
                <w:color w:val="auto"/>
                <w:sz w:val="21"/>
                <w:szCs w:val="21"/>
                <w:highlight w:val="none"/>
                <w:lang w:eastAsia="zh-CN"/>
              </w:rPr>
              <w:t>）供应商自2021年1月1日以来具有咨询、设计项目的业绩，每个</w:t>
            </w:r>
            <w:r>
              <w:rPr>
                <w:rFonts w:hint="eastAsia"/>
                <w:b w:val="0"/>
                <w:bCs w:val="0"/>
                <w:color w:val="auto"/>
                <w:sz w:val="21"/>
                <w:szCs w:val="21"/>
                <w:highlight w:val="none"/>
                <w:lang w:val="en-US" w:eastAsia="zh-CN"/>
              </w:rPr>
              <w:t>2</w:t>
            </w:r>
            <w:r>
              <w:rPr>
                <w:rFonts w:hint="eastAsia"/>
                <w:b w:val="0"/>
                <w:bCs w:val="0"/>
                <w:color w:val="auto"/>
                <w:sz w:val="21"/>
                <w:szCs w:val="21"/>
                <w:highlight w:val="none"/>
                <w:lang w:eastAsia="zh-CN"/>
              </w:rPr>
              <w:t>分，满分</w:t>
            </w:r>
            <w:r>
              <w:rPr>
                <w:rFonts w:hint="eastAsia"/>
                <w:b/>
                <w:bCs/>
                <w:color w:val="auto"/>
                <w:sz w:val="21"/>
                <w:szCs w:val="21"/>
                <w:highlight w:val="none"/>
                <w:lang w:val="en-US" w:eastAsia="zh-CN"/>
              </w:rPr>
              <w:t>4</w:t>
            </w:r>
            <w:r>
              <w:rPr>
                <w:rFonts w:hint="eastAsia"/>
                <w:b/>
                <w:bCs/>
                <w:color w:val="auto"/>
                <w:sz w:val="21"/>
                <w:szCs w:val="21"/>
                <w:highlight w:val="none"/>
                <w:lang w:eastAsia="zh-CN"/>
              </w:rPr>
              <w:t>分。</w:t>
            </w:r>
            <w:r>
              <w:rPr>
                <w:rFonts w:hint="eastAsia"/>
                <w:b w:val="0"/>
                <w:bCs w:val="0"/>
                <w:color w:val="auto"/>
                <w:sz w:val="21"/>
                <w:szCs w:val="21"/>
                <w:highlight w:val="none"/>
                <w:lang w:eastAsia="zh-CN"/>
              </w:rPr>
              <w:t>（提供中标通知书或合同复印件并加盖公章）</w:t>
            </w:r>
          </w:p>
        </w:tc>
      </w:tr>
      <w:tr w14:paraId="487E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11EDF288">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ACCC766">
      <w:pPr>
        <w:spacing w:line="360" w:lineRule="auto"/>
        <w:ind w:firstLine="422" w:firstLineChars="200"/>
        <w:rPr>
          <w:rFonts w:hint="eastAsia" w:ascii="宋体" w:hAnsi="宋体" w:cs="宋体"/>
          <w:b/>
          <w:color w:val="auto"/>
          <w:szCs w:val="21"/>
          <w:highlight w:val="none"/>
        </w:rPr>
      </w:pPr>
    </w:p>
    <w:p w14:paraId="1C218B88">
      <w:pPr>
        <w:spacing w:line="360" w:lineRule="auto"/>
        <w:ind w:firstLine="422" w:firstLineChars="200"/>
        <w:rPr>
          <w:rFonts w:hint="eastAsia" w:ascii="宋体" w:hAnsi="宋体" w:cs="宋体"/>
          <w:b/>
          <w:color w:val="auto"/>
          <w:szCs w:val="21"/>
          <w:highlight w:val="none"/>
        </w:rPr>
      </w:pPr>
    </w:p>
    <w:p w14:paraId="35B2F36C">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96A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5A9BB84">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70F28E4">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1E4C6F30">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6055B487">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2C66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7C12A63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3B59C9E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6066CAB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44F9F2D4">
            <w:pPr>
              <w:pStyle w:val="18"/>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1299BA41">
            <w:pPr>
              <w:pStyle w:val="18"/>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w:t>
            </w:r>
            <w:r>
              <w:rPr>
                <w:rFonts w:hint="eastAsia" w:hAnsi="宋体" w:cs="宋体"/>
                <w:bCs/>
                <w:color w:val="auto"/>
                <w:sz w:val="21"/>
                <w:highlight w:val="none"/>
                <w:lang w:val="en-US" w:eastAsia="zh-CN"/>
              </w:rPr>
              <w:t>小微</w:t>
            </w:r>
            <w:r>
              <w:rPr>
                <w:rFonts w:hint="eastAsia" w:hAnsi="宋体" w:cs="宋体"/>
                <w:bCs/>
                <w:color w:val="auto"/>
                <w:sz w:val="21"/>
                <w:highlight w:val="none"/>
              </w:rPr>
              <w:t>企业采购的项目，不再享受价格扣除优惠政策。</w:t>
            </w:r>
          </w:p>
          <w:p w14:paraId="33FDB825">
            <w:pPr>
              <w:rPr>
                <w:rFonts w:ascii="宋体" w:hAnsi="宋体" w:cs="宋体"/>
                <w:b/>
                <w:bCs/>
                <w:color w:val="auto"/>
                <w:szCs w:val="21"/>
                <w:highlight w:val="none"/>
              </w:rPr>
            </w:pPr>
            <w:r>
              <w:rPr>
                <w:rFonts w:hint="eastAsia" w:ascii="宋体" w:hAnsi="宋体" w:cs="宋体"/>
                <w:b/>
                <w:bCs/>
                <w:color w:val="auto"/>
                <w:szCs w:val="21"/>
                <w:highlight w:val="none"/>
              </w:rPr>
              <w:t>二、报价分（满分10分）</w:t>
            </w:r>
          </w:p>
          <w:p w14:paraId="595E1620">
            <w:pPr>
              <w:pStyle w:val="18"/>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5623303B">
            <w:pPr>
              <w:pStyle w:val="18"/>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3DA090CE">
            <w:pPr>
              <w:pStyle w:val="18"/>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某有效供应商的报价分=（评标基准价／某有效供应商最后报价）×10分</w:t>
            </w:r>
          </w:p>
        </w:tc>
      </w:tr>
      <w:tr w14:paraId="60FB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6E743DCA">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p>
        </w:tc>
        <w:tc>
          <w:tcPr>
            <w:tcW w:w="1280" w:type="dxa"/>
            <w:vMerge w:val="restart"/>
            <w:vAlign w:val="center"/>
          </w:tcPr>
          <w:p w14:paraId="1A0EE36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6697914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满分7</w:t>
            </w:r>
            <w:r>
              <w:rPr>
                <w:rFonts w:hint="eastAsia" w:ascii="宋体" w:hAnsi="宋体" w:cs="宋体"/>
                <w:b/>
                <w:color w:val="auto"/>
                <w:szCs w:val="21"/>
                <w:highlight w:val="none"/>
              </w:rPr>
              <w:t>0分</w:t>
            </w:r>
          </w:p>
        </w:tc>
        <w:tc>
          <w:tcPr>
            <w:tcW w:w="1244" w:type="dxa"/>
            <w:vAlign w:val="center"/>
          </w:tcPr>
          <w:p w14:paraId="1DE96AD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项目设计方案（满分12分）</w:t>
            </w:r>
          </w:p>
        </w:tc>
        <w:tc>
          <w:tcPr>
            <w:tcW w:w="5665" w:type="dxa"/>
            <w:vAlign w:val="center"/>
          </w:tcPr>
          <w:p w14:paraId="3F8FD18C">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由磋商小组根据供应商提供的项目设计方案确定各供应商所属档次及分值。达不到一档要求或不提供的得0分。</w:t>
            </w:r>
          </w:p>
          <w:p w14:paraId="41BB376F">
            <w:pPr>
              <w:spacing w:line="360" w:lineRule="auto"/>
              <w:ind w:firstLine="56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一档（4分）：项目方案简单，内容、结构不完整，针对性、可操作性不强；</w:t>
            </w:r>
          </w:p>
          <w:p w14:paraId="6BF2B4BB">
            <w:pPr>
              <w:spacing w:line="360" w:lineRule="auto"/>
              <w:ind w:firstLine="56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二档（8分）：项目方案较详细，结构基本完整，内容较科学、合理，具有较强的针对性和可操作性，基本满足采购要求；</w:t>
            </w:r>
          </w:p>
          <w:p w14:paraId="37DB794D">
            <w:pPr>
              <w:spacing w:line="360" w:lineRule="auto"/>
              <w:ind w:firstLine="560"/>
              <w:rPr>
                <w:rFonts w:hint="eastAsia" w:ascii="宋体" w:hAnsi="宋体" w:eastAsia="宋体" w:cs="宋体"/>
                <w:bCs/>
                <w:color w:val="auto"/>
                <w:sz w:val="21"/>
                <w:highlight w:val="none"/>
              </w:rPr>
            </w:pPr>
            <w:r>
              <w:rPr>
                <w:rFonts w:hint="eastAsia" w:ascii="宋体" w:hAnsi="宋体" w:eastAsia="宋体" w:cs="宋体"/>
                <w:color w:val="auto"/>
                <w:kern w:val="1"/>
                <w:szCs w:val="21"/>
                <w:highlight w:val="none"/>
              </w:rPr>
              <w:t>三档（12分）：对本项目有较深的理解，项目方案详细，结构完整，内容科学、合理，对</w:t>
            </w:r>
            <w:r>
              <w:rPr>
                <w:rFonts w:hint="eastAsia" w:ascii="宋体" w:hAnsi="宋体" w:eastAsia="宋体" w:cs="宋体"/>
                <w:color w:val="auto"/>
                <w:kern w:val="0"/>
                <w:szCs w:val="21"/>
                <w:highlight w:val="none"/>
              </w:rPr>
              <w:t>咨询设计编制规范、概算编制规范的认识与描述，对项目进行详细需求分析，针对项目存在的重点、难点提出合理化建议</w:t>
            </w:r>
            <w:r>
              <w:rPr>
                <w:rFonts w:hint="eastAsia" w:ascii="宋体" w:hAnsi="宋体" w:eastAsia="宋体" w:cs="宋体"/>
                <w:color w:val="auto"/>
                <w:kern w:val="1"/>
                <w:szCs w:val="21"/>
                <w:highlight w:val="none"/>
              </w:rPr>
              <w:t>，完全满足采购要求。</w:t>
            </w:r>
          </w:p>
        </w:tc>
      </w:tr>
      <w:tr w14:paraId="0163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D403C6B">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358B117B">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5763607">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DA01AE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服务方案（满分15分）</w:t>
            </w:r>
          </w:p>
        </w:tc>
        <w:tc>
          <w:tcPr>
            <w:tcW w:w="5665" w:type="dxa"/>
            <w:vAlign w:val="center"/>
          </w:tcPr>
          <w:p w14:paraId="5D264B14">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由磋商小组根据供应商提供的服务方案确定各供应商所属档次及分值。达不到一档要求或不提供的得0分。</w:t>
            </w:r>
          </w:p>
          <w:p w14:paraId="5CBC7EAC">
            <w:pPr>
              <w:spacing w:line="360" w:lineRule="auto"/>
              <w:ind w:firstLine="560"/>
              <w:rPr>
                <w:rFonts w:hint="eastAsia" w:ascii="宋体" w:hAnsi="宋体" w:eastAsia="宋体" w:cs="宋体"/>
                <w:color w:val="auto"/>
                <w:kern w:val="1"/>
                <w:szCs w:val="21"/>
                <w:highlight w:val="none"/>
              </w:rPr>
            </w:pPr>
            <w:r>
              <w:rPr>
                <w:rFonts w:hint="eastAsia" w:ascii="宋体" w:hAnsi="宋体" w:eastAsia="宋体" w:cs="宋体"/>
                <w:bCs/>
                <w:color w:val="auto"/>
                <w:kern w:val="1"/>
                <w:szCs w:val="21"/>
                <w:highlight w:val="none"/>
              </w:rPr>
              <w:t>一档（5分）：</w:t>
            </w:r>
            <w:r>
              <w:rPr>
                <w:rFonts w:hint="eastAsia" w:ascii="宋体" w:hAnsi="宋体" w:eastAsia="宋体" w:cs="宋体"/>
                <w:color w:val="auto"/>
                <w:kern w:val="1"/>
                <w:szCs w:val="21"/>
                <w:highlight w:val="none"/>
              </w:rPr>
              <w:t>服务方案基本满足采购要求，方案简单、基本可行的；</w:t>
            </w:r>
          </w:p>
          <w:p w14:paraId="1F0C4A14">
            <w:pPr>
              <w:spacing w:line="360" w:lineRule="auto"/>
              <w:ind w:firstLine="560"/>
              <w:rPr>
                <w:rFonts w:hint="eastAsia" w:ascii="宋体" w:hAnsi="宋体" w:eastAsia="宋体" w:cs="宋体"/>
                <w:color w:val="auto"/>
                <w:kern w:val="1"/>
                <w:szCs w:val="21"/>
                <w:highlight w:val="none"/>
              </w:rPr>
            </w:pPr>
            <w:r>
              <w:rPr>
                <w:rFonts w:hint="eastAsia" w:ascii="宋体" w:hAnsi="宋体" w:eastAsia="宋体" w:cs="宋体"/>
                <w:bCs/>
                <w:color w:val="auto"/>
                <w:kern w:val="1"/>
                <w:szCs w:val="21"/>
                <w:highlight w:val="none"/>
              </w:rPr>
              <w:t>二档（10分）：</w:t>
            </w:r>
            <w:r>
              <w:rPr>
                <w:rFonts w:hint="eastAsia" w:ascii="宋体" w:hAnsi="宋体" w:eastAsia="宋体" w:cs="宋体"/>
                <w:color w:val="auto"/>
                <w:kern w:val="1"/>
                <w:szCs w:val="21"/>
                <w:highlight w:val="none"/>
              </w:rPr>
              <w:t>服务方案包含有项目组织计划、进度计划、保障措施等，措施切实可行，有明确的工程进度，方法严谨，方案合理、可行、较全面，方案内容及措施较完整的；</w:t>
            </w:r>
          </w:p>
          <w:p w14:paraId="58AECEEA">
            <w:pPr>
              <w:spacing w:line="360" w:lineRule="auto"/>
              <w:ind w:firstLine="560"/>
              <w:rPr>
                <w:rFonts w:hint="eastAsia" w:ascii="宋体" w:hAnsi="宋体" w:eastAsia="宋体" w:cs="宋体"/>
                <w:color w:val="auto"/>
                <w:szCs w:val="21"/>
                <w:highlight w:val="none"/>
              </w:rPr>
            </w:pPr>
            <w:r>
              <w:rPr>
                <w:rFonts w:hint="eastAsia" w:ascii="宋体" w:hAnsi="宋体" w:eastAsia="宋体" w:cs="宋体"/>
                <w:bCs/>
                <w:color w:val="auto"/>
                <w:kern w:val="1"/>
                <w:szCs w:val="21"/>
                <w:highlight w:val="none"/>
              </w:rPr>
              <w:t>三档（15分）：</w:t>
            </w:r>
            <w:r>
              <w:rPr>
                <w:rFonts w:hint="eastAsia" w:ascii="宋体" w:hAnsi="宋体" w:eastAsia="宋体" w:cs="宋体"/>
                <w:color w:val="auto"/>
                <w:kern w:val="1"/>
                <w:szCs w:val="21"/>
                <w:highlight w:val="none"/>
              </w:rPr>
              <w:t>服务方案包含有项目组织计划、进度计划、保障措施、廉洁承诺等，且描述了保障措施的方法和实现方式并且考虑周全完整，有明确的工程进度和管理措施，方案详细全面、先进性及可操作性强，各项措施合理、可行，具有针对性强的。</w:t>
            </w:r>
          </w:p>
        </w:tc>
      </w:tr>
      <w:tr w14:paraId="0F9E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1844FF15">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10716995">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438C3FE4">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101CDED3">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售后服务方案（满分9分）</w:t>
            </w:r>
          </w:p>
        </w:tc>
        <w:tc>
          <w:tcPr>
            <w:tcW w:w="5665" w:type="dxa"/>
            <w:vAlign w:val="center"/>
          </w:tcPr>
          <w:p w14:paraId="3DF173C3">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由磋商小组根据供应商提供的售后服务方案确定各供应商所属档次及分值。达不到一档要求或不提供的得0分。</w:t>
            </w:r>
          </w:p>
          <w:p w14:paraId="2CADC0D5">
            <w:pPr>
              <w:spacing w:line="360" w:lineRule="auto"/>
              <w:ind w:firstLine="56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一档（3分）：能提供简单的售后服务方案；</w:t>
            </w:r>
          </w:p>
          <w:p w14:paraId="55AE9213">
            <w:pPr>
              <w:spacing w:line="360" w:lineRule="auto"/>
              <w:ind w:firstLine="56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二档（6分）：售后服务方案具备售后服务承诺、服务内容、服务流程，响应与处置等有详细描述；</w:t>
            </w:r>
          </w:p>
          <w:p w14:paraId="08A6E491">
            <w:pPr>
              <w:spacing w:line="360" w:lineRule="auto"/>
              <w:ind w:firstLine="560"/>
              <w:rPr>
                <w:rFonts w:hint="eastAsia" w:ascii="宋体" w:hAnsi="宋体" w:eastAsia="宋体" w:cs="宋体"/>
                <w:color w:val="auto"/>
                <w:sz w:val="21"/>
                <w:highlight w:val="none"/>
              </w:rPr>
            </w:pPr>
            <w:r>
              <w:rPr>
                <w:rFonts w:hint="eastAsia" w:ascii="宋体" w:hAnsi="宋体" w:eastAsia="宋体" w:cs="宋体"/>
                <w:bCs/>
                <w:color w:val="auto"/>
                <w:kern w:val="1"/>
                <w:szCs w:val="21"/>
                <w:highlight w:val="none"/>
              </w:rPr>
              <w:t>三档（9分）：售后服务方案包括售后服务内容及要求、售后服务流程、售后服务响应与处置体系、本地化服务体系与措施等内容，并针对售后服务内容提供资源保障体系与措施、保密管理管理体系与措施、文档管理体系与措施、成果提交与验收服务服务体系及措施、投诉处理体系与措施以及客户回访体系与措施等后续保障服务等方案。</w:t>
            </w:r>
          </w:p>
        </w:tc>
      </w:tr>
      <w:tr w14:paraId="27D5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094B647D">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747F52C7">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79AEE46E">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A1315A0">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拟投入</w:t>
            </w:r>
            <w:r>
              <w:rPr>
                <w:rFonts w:hint="eastAsia" w:ascii="宋体" w:hAnsi="宋体" w:cs="宋体"/>
                <w:b/>
                <w:bCs w:val="0"/>
                <w:color w:val="auto"/>
                <w:szCs w:val="21"/>
                <w:highlight w:val="none"/>
              </w:rPr>
              <w:t>项目人员配备</w:t>
            </w:r>
            <w:r>
              <w:rPr>
                <w:rFonts w:hint="eastAsia" w:ascii="宋体" w:hAnsi="宋体" w:cs="宋体"/>
                <w:b/>
                <w:bCs w:val="0"/>
                <w:color w:val="auto"/>
                <w:szCs w:val="21"/>
                <w:highlight w:val="none"/>
                <w:lang w:val="en-US" w:eastAsia="zh-CN"/>
              </w:rPr>
              <w:t>分（满分34分）</w:t>
            </w:r>
          </w:p>
        </w:tc>
        <w:tc>
          <w:tcPr>
            <w:tcW w:w="5665" w:type="dxa"/>
            <w:vAlign w:val="center"/>
          </w:tcPr>
          <w:p w14:paraId="6BE0115A">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项目经理1人：</w:t>
            </w:r>
          </w:p>
          <w:p w14:paraId="3470F4C5">
            <w:pPr>
              <w:pStyle w:val="7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拟投入项目经理除</w:t>
            </w:r>
            <w:r>
              <w:rPr>
                <w:rFonts w:hint="eastAsia" w:ascii="宋体" w:hAnsi="宋体" w:cs="宋体"/>
                <w:bCs/>
                <w:color w:val="auto"/>
                <w:kern w:val="0"/>
                <w:sz w:val="21"/>
                <w:szCs w:val="21"/>
                <w:highlight w:val="none"/>
              </w:rPr>
              <w:t>持有有效的信息系统项目管理师证书</w:t>
            </w:r>
            <w:r>
              <w:rPr>
                <w:rFonts w:hint="eastAsia" w:ascii="宋体" w:hAnsi="宋体" w:cs="宋体"/>
                <w:bCs/>
                <w:color w:val="auto"/>
                <w:kern w:val="0"/>
                <w:sz w:val="21"/>
                <w:szCs w:val="21"/>
                <w:highlight w:val="none"/>
                <w:lang w:val="en-US" w:eastAsia="zh-CN"/>
              </w:rPr>
              <w:t>外</w:t>
            </w:r>
            <w:r>
              <w:rPr>
                <w:rFonts w:hint="eastAsia" w:ascii="宋体" w:hAnsi="宋体" w:cs="宋体"/>
                <w:bCs/>
                <w:color w:val="auto"/>
                <w:kern w:val="0"/>
                <w:sz w:val="21"/>
                <w:szCs w:val="21"/>
                <w:highlight w:val="none"/>
              </w:rPr>
              <w:t>，</w:t>
            </w:r>
            <w:r>
              <w:rPr>
                <w:rFonts w:hint="eastAsia" w:ascii="宋体" w:hAnsi="宋体"/>
                <w:color w:val="auto"/>
                <w:sz w:val="21"/>
                <w:szCs w:val="21"/>
                <w:highlight w:val="none"/>
                <w:lang w:val="en-US" w:eastAsia="zh-CN"/>
              </w:rPr>
              <w:t>同时</w:t>
            </w:r>
            <w:r>
              <w:rPr>
                <w:rFonts w:hint="eastAsia" w:ascii="宋体" w:hAnsi="宋体"/>
                <w:color w:val="auto"/>
                <w:sz w:val="21"/>
                <w:szCs w:val="21"/>
                <w:highlight w:val="none"/>
              </w:rPr>
              <w:t>持有以下证书的每个证书得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b/>
                <w:bCs/>
                <w:color w:val="auto"/>
                <w:sz w:val="21"/>
                <w:szCs w:val="21"/>
                <w:highlight w:val="none"/>
              </w:rPr>
              <w:t>满分</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p w14:paraId="5D8B0FCD">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①</w:t>
            </w:r>
            <w:r>
              <w:rPr>
                <w:rFonts w:hint="eastAsia" w:ascii="宋体" w:hAnsi="宋体" w:cs="宋体"/>
                <w:bCs/>
                <w:color w:val="auto"/>
                <w:kern w:val="0"/>
                <w:sz w:val="21"/>
                <w:szCs w:val="21"/>
                <w:highlight w:val="none"/>
              </w:rPr>
              <w:t>高级工程师职称证书（专业：计算机类或通信类或工程类）</w:t>
            </w:r>
            <w:r>
              <w:rPr>
                <w:rFonts w:hint="eastAsia" w:ascii="宋体" w:hAnsi="宋体" w:cs="宋体"/>
                <w:bCs/>
                <w:color w:val="auto"/>
                <w:kern w:val="0"/>
                <w:sz w:val="21"/>
                <w:szCs w:val="21"/>
                <w:highlight w:val="none"/>
                <w:lang w:eastAsia="zh-CN"/>
              </w:rPr>
              <w:t>；</w:t>
            </w:r>
          </w:p>
          <w:p w14:paraId="2E2902CB">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②</w:t>
            </w:r>
            <w:r>
              <w:rPr>
                <w:rFonts w:hint="eastAsia" w:ascii="宋体" w:hAnsi="宋体" w:cs="宋体"/>
                <w:bCs/>
                <w:color w:val="auto"/>
                <w:kern w:val="0"/>
                <w:sz w:val="21"/>
                <w:szCs w:val="21"/>
                <w:highlight w:val="none"/>
              </w:rPr>
              <w:t>中华人民共和国咨询工程师（投资）登记证书[专业：电子、信息工程（含通信、广电、信息化）]</w:t>
            </w:r>
            <w:r>
              <w:rPr>
                <w:rFonts w:hint="eastAsia" w:ascii="宋体" w:hAnsi="宋体" w:cs="宋体"/>
                <w:bCs/>
                <w:color w:val="auto"/>
                <w:kern w:val="0"/>
                <w:sz w:val="21"/>
                <w:szCs w:val="21"/>
                <w:highlight w:val="none"/>
                <w:lang w:eastAsia="zh-CN"/>
              </w:rPr>
              <w:t>；</w:t>
            </w:r>
          </w:p>
          <w:p w14:paraId="6DC2893A">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③</w:t>
            </w:r>
            <w:r>
              <w:rPr>
                <w:rFonts w:hint="eastAsia" w:ascii="宋体" w:hAnsi="宋体" w:cs="宋体"/>
                <w:bCs/>
                <w:color w:val="auto"/>
                <w:kern w:val="0"/>
                <w:sz w:val="21"/>
                <w:szCs w:val="21"/>
                <w:highlight w:val="none"/>
              </w:rPr>
              <w:t>软考系统规划与管理师证书</w:t>
            </w:r>
            <w:r>
              <w:rPr>
                <w:rFonts w:hint="eastAsia" w:ascii="宋体" w:hAnsi="宋体" w:cs="宋体"/>
                <w:bCs/>
                <w:color w:val="auto"/>
                <w:kern w:val="0"/>
                <w:sz w:val="21"/>
                <w:szCs w:val="21"/>
                <w:highlight w:val="none"/>
                <w:lang w:eastAsia="zh-CN"/>
              </w:rPr>
              <w:t>；</w:t>
            </w:r>
          </w:p>
          <w:p w14:paraId="1754D9D0">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④</w:t>
            </w:r>
            <w:r>
              <w:rPr>
                <w:rFonts w:hint="eastAsia" w:ascii="宋体" w:hAnsi="宋体" w:cs="宋体"/>
                <w:bCs/>
                <w:color w:val="auto"/>
                <w:kern w:val="0"/>
                <w:sz w:val="21"/>
                <w:szCs w:val="21"/>
                <w:highlight w:val="none"/>
              </w:rPr>
              <w:t>软考系统分析师证书</w:t>
            </w:r>
            <w:r>
              <w:rPr>
                <w:rFonts w:hint="eastAsia" w:ascii="宋体" w:hAnsi="宋体" w:cs="宋体"/>
                <w:bCs/>
                <w:color w:val="auto"/>
                <w:kern w:val="0"/>
                <w:sz w:val="21"/>
                <w:szCs w:val="21"/>
                <w:highlight w:val="none"/>
                <w:lang w:eastAsia="zh-CN"/>
              </w:rPr>
              <w:t>；</w:t>
            </w:r>
          </w:p>
          <w:p w14:paraId="34FFD50C">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color w:val="auto"/>
                <w:sz w:val="21"/>
                <w:szCs w:val="21"/>
                <w:highlight w:val="none"/>
              </w:rPr>
              <w:t>⑤</w:t>
            </w:r>
            <w:r>
              <w:rPr>
                <w:rFonts w:hint="eastAsia" w:ascii="宋体" w:hAnsi="宋体" w:cs="宋体"/>
                <w:bCs/>
                <w:color w:val="auto"/>
                <w:kern w:val="0"/>
                <w:sz w:val="21"/>
                <w:szCs w:val="21"/>
                <w:highlight w:val="none"/>
              </w:rPr>
              <w:t>软考系统架构设计师证书</w:t>
            </w:r>
            <w:r>
              <w:rPr>
                <w:rFonts w:hint="eastAsia" w:ascii="宋体" w:hAnsi="宋体" w:cs="宋体"/>
                <w:bCs/>
                <w:color w:val="auto"/>
                <w:kern w:val="0"/>
                <w:sz w:val="21"/>
                <w:szCs w:val="21"/>
                <w:highlight w:val="none"/>
                <w:lang w:eastAsia="zh-CN"/>
              </w:rPr>
              <w:t>。</w:t>
            </w:r>
          </w:p>
          <w:p w14:paraId="5C8EB120">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技术负责人1人（除项目经理外）：</w:t>
            </w:r>
          </w:p>
          <w:p w14:paraId="3276A752">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拟投入技术负责人</w:t>
            </w:r>
            <w:r>
              <w:rPr>
                <w:rFonts w:hint="eastAsia" w:ascii="宋体" w:hAnsi="宋体" w:cs="宋体"/>
                <w:bCs/>
                <w:color w:val="auto"/>
                <w:kern w:val="0"/>
                <w:sz w:val="21"/>
                <w:szCs w:val="21"/>
                <w:highlight w:val="none"/>
              </w:rPr>
              <w:t>持有有效的信息系统项目管理师证书</w:t>
            </w:r>
            <w:r>
              <w:rPr>
                <w:rFonts w:hint="eastAsia" w:ascii="宋体" w:hAnsi="宋体" w:cs="宋体"/>
                <w:bCs/>
                <w:color w:val="auto"/>
                <w:kern w:val="0"/>
                <w:sz w:val="21"/>
                <w:szCs w:val="21"/>
                <w:highlight w:val="none"/>
                <w:lang w:val="en-US" w:eastAsia="zh-CN"/>
              </w:rPr>
              <w:t>外</w:t>
            </w:r>
            <w:r>
              <w:rPr>
                <w:rFonts w:hint="eastAsia" w:ascii="宋体" w:hAnsi="宋体" w:cs="宋体"/>
                <w:bCs/>
                <w:color w:val="auto"/>
                <w:kern w:val="0"/>
                <w:sz w:val="21"/>
                <w:szCs w:val="21"/>
                <w:highlight w:val="none"/>
              </w:rPr>
              <w:t>，</w:t>
            </w:r>
            <w:r>
              <w:rPr>
                <w:rFonts w:hint="eastAsia" w:ascii="宋体" w:hAnsi="宋体"/>
                <w:color w:val="auto"/>
                <w:sz w:val="21"/>
                <w:szCs w:val="21"/>
                <w:highlight w:val="none"/>
                <w:lang w:val="en-US" w:eastAsia="zh-CN"/>
              </w:rPr>
              <w:t>同时</w:t>
            </w:r>
            <w:r>
              <w:rPr>
                <w:rFonts w:hint="eastAsia" w:ascii="宋体" w:hAnsi="宋体"/>
                <w:color w:val="auto"/>
                <w:sz w:val="21"/>
                <w:szCs w:val="21"/>
                <w:highlight w:val="none"/>
              </w:rPr>
              <w:t>持有以下证书的每个证书得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b/>
                <w:bCs/>
                <w:color w:val="auto"/>
                <w:sz w:val="21"/>
                <w:szCs w:val="21"/>
                <w:highlight w:val="none"/>
              </w:rPr>
              <w:t>满分</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分。</w:t>
            </w:r>
          </w:p>
          <w:p w14:paraId="7B17AA76">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①</w:t>
            </w:r>
            <w:r>
              <w:rPr>
                <w:rFonts w:hint="eastAsia" w:ascii="宋体" w:hAnsi="宋体" w:cs="宋体"/>
                <w:bCs/>
                <w:color w:val="auto"/>
                <w:kern w:val="0"/>
                <w:sz w:val="21"/>
                <w:szCs w:val="21"/>
                <w:highlight w:val="none"/>
              </w:rPr>
              <w:t>高级工程师职称证书（专业：计算机类或通信类或工程类）</w:t>
            </w:r>
            <w:r>
              <w:rPr>
                <w:rFonts w:hint="eastAsia" w:ascii="宋体" w:hAnsi="宋体" w:cs="宋体"/>
                <w:bCs/>
                <w:color w:val="auto"/>
                <w:kern w:val="0"/>
                <w:sz w:val="21"/>
                <w:szCs w:val="21"/>
                <w:highlight w:val="none"/>
                <w:lang w:eastAsia="zh-CN"/>
              </w:rPr>
              <w:t>；</w:t>
            </w:r>
          </w:p>
          <w:p w14:paraId="3567133F">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②</w:t>
            </w:r>
            <w:r>
              <w:rPr>
                <w:rFonts w:hint="eastAsia" w:ascii="宋体" w:hAnsi="宋体" w:cs="宋体"/>
                <w:bCs/>
                <w:color w:val="auto"/>
                <w:kern w:val="0"/>
                <w:sz w:val="21"/>
                <w:szCs w:val="21"/>
                <w:highlight w:val="none"/>
              </w:rPr>
              <w:t>中华人民共和国咨询工程师（投资）登记证书[专业：电子、信息工程（含通信、广电、信息化）]</w:t>
            </w:r>
            <w:r>
              <w:rPr>
                <w:rFonts w:hint="eastAsia" w:ascii="宋体" w:hAnsi="宋体" w:cs="宋体"/>
                <w:bCs/>
                <w:color w:val="auto"/>
                <w:kern w:val="0"/>
                <w:sz w:val="21"/>
                <w:szCs w:val="21"/>
                <w:highlight w:val="none"/>
                <w:lang w:eastAsia="zh-CN"/>
              </w:rPr>
              <w:t>；</w:t>
            </w:r>
          </w:p>
          <w:p w14:paraId="64B1E2C8">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 w:val="21"/>
                <w:szCs w:val="21"/>
                <w:highlight w:val="none"/>
                <w:lang w:eastAsia="zh-CN"/>
              </w:rPr>
            </w:pPr>
            <w:r>
              <w:rPr>
                <w:rFonts w:hint="eastAsia" w:ascii="宋体" w:hAnsi="宋体"/>
                <w:color w:val="auto"/>
                <w:sz w:val="21"/>
                <w:szCs w:val="21"/>
                <w:highlight w:val="none"/>
              </w:rPr>
              <w:t>③</w:t>
            </w:r>
            <w:r>
              <w:rPr>
                <w:rFonts w:hint="eastAsia" w:ascii="宋体" w:hAnsi="宋体" w:cs="宋体"/>
                <w:color w:val="auto"/>
                <w:sz w:val="21"/>
                <w:szCs w:val="21"/>
                <w:highlight w:val="none"/>
              </w:rPr>
              <w:t>注册信息安全专业人员证（CISP）</w:t>
            </w:r>
            <w:r>
              <w:rPr>
                <w:rFonts w:hint="eastAsia" w:ascii="宋体" w:hAnsi="宋体" w:cs="宋体"/>
                <w:bCs/>
                <w:color w:val="auto"/>
                <w:kern w:val="0"/>
                <w:sz w:val="21"/>
                <w:szCs w:val="21"/>
                <w:highlight w:val="none"/>
                <w:lang w:eastAsia="zh-CN"/>
              </w:rPr>
              <w:t>；</w:t>
            </w:r>
          </w:p>
          <w:p w14:paraId="60561AD4">
            <w:pPr>
              <w:pStyle w:val="7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④</w:t>
            </w:r>
            <w:r>
              <w:rPr>
                <w:rFonts w:hint="eastAsia" w:ascii="宋体" w:hAnsi="宋体" w:cs="宋体"/>
                <w:bCs/>
                <w:color w:val="auto"/>
                <w:kern w:val="0"/>
                <w:sz w:val="21"/>
                <w:szCs w:val="21"/>
                <w:highlight w:val="none"/>
              </w:rPr>
              <w:t>软考软件设计师证书</w:t>
            </w:r>
            <w:r>
              <w:rPr>
                <w:rFonts w:hint="eastAsia" w:ascii="宋体" w:hAnsi="宋体" w:cs="宋体"/>
                <w:bCs/>
                <w:color w:val="auto"/>
                <w:kern w:val="0"/>
                <w:sz w:val="21"/>
                <w:szCs w:val="21"/>
                <w:highlight w:val="none"/>
                <w:lang w:eastAsia="zh-CN"/>
              </w:rPr>
              <w:t>。</w:t>
            </w:r>
          </w:p>
          <w:p w14:paraId="584E8C6A">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 xml:space="preserve">专业负责人 </w:t>
            </w:r>
            <w:r>
              <w:rPr>
                <w:rFonts w:ascii="宋体" w:hAnsi="宋体" w:cs="宋体"/>
                <w:b/>
                <w:bCs/>
                <w:color w:val="auto"/>
                <w:sz w:val="21"/>
                <w:szCs w:val="21"/>
                <w:highlight w:val="none"/>
              </w:rPr>
              <w:t>4</w:t>
            </w:r>
            <w:r>
              <w:rPr>
                <w:rFonts w:hint="eastAsia" w:ascii="宋体" w:hAnsi="宋体" w:cs="宋体"/>
                <w:b/>
                <w:bCs/>
                <w:color w:val="auto"/>
                <w:sz w:val="21"/>
                <w:szCs w:val="21"/>
                <w:highlight w:val="none"/>
              </w:rPr>
              <w:t>人（除项目经理、技术负责人外）</w:t>
            </w:r>
            <w:r>
              <w:rPr>
                <w:rFonts w:hint="eastAsia" w:ascii="宋体" w:hAnsi="宋体" w:cs="宋体"/>
                <w:b/>
                <w:bCs/>
                <w:color w:val="auto"/>
                <w:sz w:val="21"/>
                <w:szCs w:val="21"/>
                <w:highlight w:val="none"/>
                <w:lang w:eastAsia="zh-CN"/>
              </w:rPr>
              <w:t>：</w:t>
            </w:r>
          </w:p>
          <w:p w14:paraId="4788014C">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b/>
                <w:bCs/>
                <w:color w:val="auto"/>
                <w:sz w:val="21"/>
                <w:szCs w:val="21"/>
                <w:highlight w:val="none"/>
              </w:rPr>
            </w:pPr>
            <w:r>
              <w:rPr>
                <w:rFonts w:hint="eastAsia" w:ascii="宋体" w:hAnsi="宋体" w:cs="宋体"/>
                <w:bCs/>
                <w:color w:val="auto"/>
                <w:kern w:val="0"/>
                <w:sz w:val="21"/>
                <w:szCs w:val="21"/>
                <w:highlight w:val="none"/>
                <w:lang w:val="en-US" w:eastAsia="zh-CN"/>
              </w:rPr>
              <w:t>拟投入专业负责人</w:t>
            </w:r>
            <w:r>
              <w:rPr>
                <w:rFonts w:hint="eastAsia" w:hAnsi="宋体" w:cs="宋体"/>
                <w:bCs/>
                <w:color w:val="auto"/>
                <w:kern w:val="0"/>
                <w:sz w:val="21"/>
                <w:szCs w:val="21"/>
                <w:highlight w:val="none"/>
                <w:lang w:val="en-US" w:eastAsia="zh-CN"/>
              </w:rPr>
              <w:t>除</w:t>
            </w:r>
            <w:r>
              <w:rPr>
                <w:rFonts w:hint="eastAsia" w:hAnsi="宋体" w:cs="宋体"/>
                <w:bCs/>
                <w:color w:val="auto"/>
                <w:sz w:val="21"/>
                <w:szCs w:val="21"/>
                <w:highlight w:val="none"/>
              </w:rPr>
              <w:t>持有有效的信息系统项目管理师证书</w:t>
            </w:r>
            <w:r>
              <w:rPr>
                <w:rFonts w:hint="eastAsia" w:hAnsi="宋体" w:cs="宋体"/>
                <w:bCs/>
                <w:color w:val="auto"/>
                <w:sz w:val="21"/>
                <w:szCs w:val="21"/>
                <w:highlight w:val="none"/>
                <w:lang w:val="en-US" w:eastAsia="zh-CN"/>
              </w:rPr>
              <w:t>外</w:t>
            </w:r>
            <w:r>
              <w:rPr>
                <w:rFonts w:hint="eastAsia" w:hAnsi="宋体" w:cs="宋体"/>
                <w:bCs/>
                <w:color w:val="auto"/>
                <w:sz w:val="21"/>
                <w:szCs w:val="21"/>
                <w:highlight w:val="none"/>
              </w:rPr>
              <w:t>，</w:t>
            </w:r>
            <w:r>
              <w:rPr>
                <w:rFonts w:hint="eastAsia" w:ascii="宋体" w:hAnsi="宋体"/>
                <w:color w:val="auto"/>
                <w:sz w:val="21"/>
                <w:szCs w:val="21"/>
                <w:highlight w:val="none"/>
                <w:lang w:val="en-US" w:eastAsia="zh-CN"/>
              </w:rPr>
              <w:t>同时</w:t>
            </w:r>
            <w:r>
              <w:rPr>
                <w:rFonts w:hint="eastAsia" w:ascii="宋体" w:hAnsi="宋体"/>
                <w:color w:val="auto"/>
                <w:sz w:val="21"/>
                <w:szCs w:val="21"/>
                <w:highlight w:val="none"/>
              </w:rPr>
              <w:t>持有以下证书的每个证书得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b/>
                <w:bCs/>
                <w:color w:val="auto"/>
                <w:sz w:val="21"/>
                <w:szCs w:val="21"/>
                <w:highlight w:val="none"/>
              </w:rPr>
              <w:t>满分</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分。</w:t>
            </w:r>
          </w:p>
          <w:p w14:paraId="7E08B610">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hAnsi="宋体" w:cs="宋体"/>
                <w:bCs/>
                <w:color w:val="auto"/>
                <w:sz w:val="21"/>
                <w:szCs w:val="21"/>
                <w:highlight w:val="none"/>
                <w:lang w:eastAsia="zh-CN"/>
              </w:rPr>
            </w:pPr>
            <w:r>
              <w:rPr>
                <w:rFonts w:hint="eastAsia" w:ascii="宋体" w:hAnsi="宋体"/>
                <w:color w:val="auto"/>
                <w:sz w:val="21"/>
                <w:szCs w:val="21"/>
                <w:highlight w:val="none"/>
              </w:rPr>
              <w:t>①</w:t>
            </w:r>
            <w:r>
              <w:rPr>
                <w:rFonts w:hint="eastAsia" w:hAnsi="宋体" w:cs="宋体"/>
                <w:bCs/>
                <w:color w:val="auto"/>
                <w:sz w:val="21"/>
                <w:szCs w:val="21"/>
                <w:highlight w:val="none"/>
              </w:rPr>
              <w:t>软考网络工程师证书</w:t>
            </w:r>
            <w:r>
              <w:rPr>
                <w:rFonts w:hint="eastAsia" w:hAnsi="宋体" w:cs="宋体"/>
                <w:bCs/>
                <w:color w:val="auto"/>
                <w:sz w:val="21"/>
                <w:szCs w:val="21"/>
                <w:highlight w:val="none"/>
                <w:lang w:eastAsia="zh-CN"/>
              </w:rPr>
              <w:t>；</w:t>
            </w:r>
          </w:p>
          <w:p w14:paraId="0E143271">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hAnsi="宋体" w:cs="宋体"/>
                <w:bCs/>
                <w:color w:val="auto"/>
                <w:sz w:val="21"/>
                <w:szCs w:val="21"/>
                <w:highlight w:val="none"/>
                <w:lang w:eastAsia="zh-CN"/>
              </w:rPr>
            </w:pPr>
            <w:r>
              <w:rPr>
                <w:rFonts w:hint="eastAsia" w:ascii="宋体" w:hAnsi="宋体"/>
                <w:color w:val="auto"/>
                <w:sz w:val="21"/>
                <w:szCs w:val="21"/>
                <w:highlight w:val="none"/>
              </w:rPr>
              <w:t>②</w:t>
            </w:r>
            <w:r>
              <w:rPr>
                <w:rFonts w:hint="eastAsia" w:hAnsi="宋体" w:cs="宋体"/>
                <w:bCs/>
                <w:color w:val="auto"/>
                <w:sz w:val="21"/>
                <w:szCs w:val="21"/>
                <w:highlight w:val="none"/>
              </w:rPr>
              <w:t>软考系统集成项目管理工程师证书</w:t>
            </w:r>
            <w:r>
              <w:rPr>
                <w:rFonts w:hint="eastAsia" w:hAnsi="宋体" w:cs="宋体"/>
                <w:bCs/>
                <w:color w:val="auto"/>
                <w:sz w:val="21"/>
                <w:szCs w:val="21"/>
                <w:highlight w:val="none"/>
                <w:lang w:eastAsia="zh-CN"/>
              </w:rPr>
              <w:t>；</w:t>
            </w:r>
          </w:p>
          <w:p w14:paraId="330B1024">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hAnsi="宋体" w:cs="宋体"/>
                <w:bCs/>
                <w:color w:val="auto"/>
                <w:sz w:val="21"/>
                <w:szCs w:val="21"/>
                <w:highlight w:val="none"/>
                <w:lang w:eastAsia="zh-CN"/>
              </w:rPr>
            </w:pPr>
            <w:r>
              <w:rPr>
                <w:rFonts w:hint="eastAsia" w:ascii="宋体" w:hAnsi="宋体"/>
                <w:color w:val="auto"/>
                <w:sz w:val="21"/>
                <w:szCs w:val="21"/>
                <w:highlight w:val="none"/>
              </w:rPr>
              <w:t>③</w:t>
            </w:r>
            <w:r>
              <w:rPr>
                <w:rFonts w:hint="eastAsia" w:hAnsi="宋体" w:cs="宋体"/>
                <w:bCs/>
                <w:color w:val="auto"/>
                <w:sz w:val="21"/>
                <w:szCs w:val="21"/>
                <w:highlight w:val="none"/>
              </w:rPr>
              <w:t>信息安全保障人员认证证书</w:t>
            </w:r>
            <w:r>
              <w:rPr>
                <w:rFonts w:hint="eastAsia" w:hAnsi="宋体" w:cs="宋体"/>
                <w:bCs/>
                <w:color w:val="auto"/>
                <w:sz w:val="21"/>
                <w:szCs w:val="21"/>
                <w:highlight w:val="none"/>
                <w:lang w:eastAsia="zh-CN"/>
              </w:rPr>
              <w:t>；</w:t>
            </w:r>
          </w:p>
          <w:p w14:paraId="4468D13C">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bCs/>
                <w:color w:val="auto"/>
                <w:sz w:val="21"/>
                <w:szCs w:val="21"/>
                <w:highlight w:val="none"/>
              </w:rPr>
            </w:pPr>
            <w:r>
              <w:rPr>
                <w:rFonts w:hint="eastAsia" w:ascii="宋体" w:hAnsi="宋体"/>
                <w:color w:val="auto"/>
                <w:sz w:val="21"/>
                <w:szCs w:val="21"/>
                <w:highlight w:val="none"/>
              </w:rPr>
              <w:t>④</w:t>
            </w:r>
            <w:r>
              <w:rPr>
                <w:rFonts w:hint="eastAsia" w:hAnsi="宋体" w:cs="宋体"/>
                <w:bCs/>
                <w:color w:val="auto"/>
                <w:sz w:val="21"/>
                <w:szCs w:val="21"/>
                <w:highlight w:val="none"/>
              </w:rPr>
              <w:t>软件及信息化工程造价评估师证书</w:t>
            </w:r>
            <w:r>
              <w:rPr>
                <w:rFonts w:hint="eastAsia" w:hAnsi="宋体" w:cs="宋体"/>
                <w:color w:val="auto"/>
                <w:sz w:val="21"/>
                <w:szCs w:val="21"/>
                <w:highlight w:val="none"/>
              </w:rPr>
              <w:t>。</w:t>
            </w:r>
          </w:p>
          <w:p w14:paraId="744FBEA6">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设计人员配备（除项目经理、技术负责人、专业负责人外）：</w:t>
            </w:r>
            <w:r>
              <w:rPr>
                <w:rFonts w:hint="eastAsia" w:ascii="宋体" w:hAnsi="宋体" w:eastAsia="宋体" w:cs="宋体"/>
                <w:b/>
                <w:bCs w:val="0"/>
                <w:color w:val="auto"/>
                <w:kern w:val="0"/>
                <w:sz w:val="21"/>
                <w:szCs w:val="21"/>
                <w:highlight w:val="none"/>
                <w:lang w:val="en-US" w:eastAsia="zh-CN" w:bidi="ar-SA"/>
              </w:rPr>
              <w:t>满分8分</w:t>
            </w:r>
            <w:r>
              <w:rPr>
                <w:rFonts w:hint="eastAsia" w:ascii="宋体" w:hAnsi="宋体" w:cs="宋体"/>
                <w:b/>
                <w:bCs w:val="0"/>
                <w:color w:val="auto"/>
                <w:kern w:val="0"/>
                <w:sz w:val="21"/>
                <w:szCs w:val="21"/>
                <w:highlight w:val="none"/>
                <w:lang w:val="en-US" w:eastAsia="zh-CN" w:bidi="ar-SA"/>
              </w:rPr>
              <w:t>。</w:t>
            </w:r>
          </w:p>
          <w:p w14:paraId="3EA2E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 w:val="21"/>
                <w:szCs w:val="21"/>
                <w:highlight w:val="none"/>
              </w:rPr>
              <w:t>①</w:t>
            </w:r>
            <w:r>
              <w:rPr>
                <w:rFonts w:hint="eastAsia" w:ascii="宋体" w:hAnsi="宋体" w:eastAsia="宋体" w:cs="宋体"/>
                <w:bCs/>
                <w:color w:val="auto"/>
                <w:kern w:val="0"/>
                <w:sz w:val="21"/>
                <w:szCs w:val="21"/>
                <w:highlight w:val="none"/>
                <w:lang w:val="en-US" w:eastAsia="zh-CN" w:bidi="ar-SA"/>
              </w:rPr>
              <w:t>持有中华人民共和国咨询工程师（投资）登记证书[专业：电子、信息工程（含通信、广电、信息化）]</w:t>
            </w:r>
            <w:r>
              <w:rPr>
                <w:rFonts w:hint="eastAsia" w:ascii="宋体" w:hAnsi="宋体" w:cs="宋体"/>
                <w:bCs/>
                <w:color w:val="auto"/>
                <w:kern w:val="0"/>
                <w:sz w:val="21"/>
                <w:szCs w:val="21"/>
                <w:highlight w:val="none"/>
                <w:lang w:val="en-US" w:eastAsia="zh-CN" w:bidi="ar-SA"/>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p w14:paraId="180954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 w:val="21"/>
                <w:szCs w:val="21"/>
                <w:highlight w:val="none"/>
              </w:rPr>
              <w:t>②</w:t>
            </w:r>
            <w:r>
              <w:rPr>
                <w:rFonts w:hint="eastAsia" w:ascii="宋体" w:hAnsi="宋体"/>
                <w:color w:val="auto"/>
                <w:sz w:val="21"/>
                <w:szCs w:val="21"/>
                <w:highlight w:val="none"/>
                <w:lang w:val="en-US" w:eastAsia="zh-CN"/>
              </w:rPr>
              <w:t>持有</w:t>
            </w:r>
            <w:r>
              <w:rPr>
                <w:rFonts w:hint="eastAsia" w:ascii="宋体" w:hAnsi="宋体" w:eastAsia="宋体" w:cs="宋体"/>
                <w:bCs/>
                <w:color w:val="auto"/>
                <w:kern w:val="0"/>
                <w:sz w:val="21"/>
                <w:szCs w:val="21"/>
                <w:highlight w:val="none"/>
                <w:lang w:val="en-US" w:eastAsia="zh-CN" w:bidi="ar-SA"/>
              </w:rPr>
              <w:t>软考网络工程师证书</w:t>
            </w:r>
            <w:r>
              <w:rPr>
                <w:rFonts w:hint="eastAsia" w:ascii="宋体" w:hAnsi="宋体" w:cs="宋体"/>
                <w:bCs/>
                <w:color w:val="auto"/>
                <w:kern w:val="0"/>
                <w:sz w:val="21"/>
                <w:szCs w:val="21"/>
                <w:highlight w:val="none"/>
                <w:lang w:val="en-US" w:eastAsia="zh-CN" w:bidi="ar-SA"/>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14:paraId="30B34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 w:val="21"/>
                <w:szCs w:val="21"/>
                <w:highlight w:val="none"/>
              </w:rPr>
              <w:t>③</w:t>
            </w:r>
            <w:r>
              <w:rPr>
                <w:rFonts w:hint="eastAsia" w:ascii="宋体" w:hAnsi="宋体"/>
                <w:color w:val="auto"/>
                <w:sz w:val="21"/>
                <w:szCs w:val="21"/>
                <w:highlight w:val="none"/>
                <w:lang w:val="en-US" w:eastAsia="zh-CN"/>
              </w:rPr>
              <w:t>持有</w:t>
            </w:r>
            <w:r>
              <w:rPr>
                <w:rFonts w:hint="eastAsia" w:ascii="宋体" w:hAnsi="宋体" w:eastAsia="宋体" w:cs="宋体"/>
                <w:bCs/>
                <w:color w:val="auto"/>
                <w:kern w:val="0"/>
                <w:sz w:val="21"/>
                <w:szCs w:val="21"/>
                <w:highlight w:val="none"/>
                <w:lang w:val="en-US" w:eastAsia="zh-CN" w:bidi="ar-SA"/>
              </w:rPr>
              <w:t>注册信息安全专业人员证（CISP）</w:t>
            </w:r>
            <w:r>
              <w:rPr>
                <w:rFonts w:hint="eastAsia" w:ascii="宋体" w:hAnsi="宋体" w:cs="宋体"/>
                <w:bCs/>
                <w:color w:val="auto"/>
                <w:kern w:val="0"/>
                <w:sz w:val="21"/>
                <w:szCs w:val="21"/>
                <w:highlight w:val="none"/>
                <w:lang w:val="en-US" w:eastAsia="zh-CN" w:bidi="ar-SA"/>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p w14:paraId="7A9AF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 w:val="21"/>
                <w:szCs w:val="21"/>
                <w:highlight w:val="none"/>
              </w:rPr>
              <w:t>④</w:t>
            </w:r>
            <w:r>
              <w:rPr>
                <w:rFonts w:hint="eastAsia" w:ascii="宋体" w:hAnsi="宋体"/>
                <w:color w:val="auto"/>
                <w:sz w:val="21"/>
                <w:szCs w:val="21"/>
                <w:highlight w:val="none"/>
                <w:lang w:val="en-US" w:eastAsia="zh-CN"/>
              </w:rPr>
              <w:t>持有</w:t>
            </w:r>
            <w:r>
              <w:rPr>
                <w:rFonts w:hint="eastAsia" w:ascii="宋体" w:hAnsi="宋体" w:eastAsia="宋体" w:cs="宋体"/>
                <w:bCs/>
                <w:color w:val="auto"/>
                <w:kern w:val="0"/>
                <w:sz w:val="21"/>
                <w:szCs w:val="21"/>
                <w:highlight w:val="none"/>
                <w:lang w:val="en-US" w:eastAsia="zh-CN" w:bidi="ar-SA"/>
              </w:rPr>
              <w:t>一级注册造价工程师(安装专业)证书</w:t>
            </w:r>
            <w:r>
              <w:rPr>
                <w:rFonts w:hint="eastAsia" w:ascii="宋体" w:hAnsi="宋体" w:cs="宋体"/>
                <w:bCs/>
                <w:color w:val="auto"/>
                <w:kern w:val="0"/>
                <w:sz w:val="21"/>
                <w:szCs w:val="21"/>
                <w:highlight w:val="none"/>
                <w:lang w:val="en-US" w:eastAsia="zh-CN" w:bidi="ar-SA"/>
              </w:rPr>
              <w:t>的</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（每项仅评一次，同一人不重复计分）。</w:t>
            </w:r>
          </w:p>
          <w:p w14:paraId="2DC62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sz w:val="21"/>
                <w:highlight w:val="none"/>
              </w:rPr>
            </w:pPr>
            <w:r>
              <w:rPr>
                <w:rFonts w:hint="eastAsia" w:ascii="宋体" w:hAnsi="宋体" w:eastAsia="宋体" w:cs="宋体"/>
                <w:bCs/>
                <w:color w:val="auto"/>
                <w:kern w:val="0"/>
                <w:sz w:val="21"/>
                <w:szCs w:val="21"/>
                <w:highlight w:val="none"/>
                <w:lang w:val="en-US" w:eastAsia="zh-CN" w:bidi="ar-SA"/>
              </w:rPr>
              <w:t>注：</w:t>
            </w:r>
            <w:r>
              <w:rPr>
                <w:rFonts w:hint="eastAsia"/>
                <w:color w:val="auto"/>
                <w:highlight w:val="none"/>
              </w:rPr>
              <w:t>响应文件中须提供以上证书及</w:t>
            </w:r>
            <w:r>
              <w:rPr>
                <w:rFonts w:hint="eastAsia"/>
                <w:color w:val="auto"/>
                <w:highlight w:val="none"/>
                <w:lang w:eastAsia="zh-CN"/>
              </w:rPr>
              <w:t>供应商为拟投入人员缴纳的2025年1月-7月期间任意1个月有效社保证明（如拟投入人员属于退休人员返聘无社保证明的，需提供退休证、返聘证明；如供应商为截标时间前60日以内成立的公司或</w:t>
            </w:r>
            <w:r>
              <w:rPr>
                <w:rFonts w:hint="eastAsia"/>
                <w:color w:val="auto"/>
                <w:highlight w:val="none"/>
                <w:lang w:val="en-US" w:eastAsia="zh-CN"/>
              </w:rPr>
              <w:t>拟投入</w:t>
            </w:r>
            <w:r>
              <w:rPr>
                <w:rFonts w:hint="eastAsia"/>
                <w:color w:val="auto"/>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color w:val="auto"/>
                <w:highlight w:val="none"/>
              </w:rPr>
              <w:t>，以上相关证书若能在互联网查询验证的须提供查询网址及截图，加盖</w:t>
            </w:r>
            <w:r>
              <w:rPr>
                <w:rFonts w:hint="eastAsia"/>
                <w:color w:val="auto"/>
                <w:highlight w:val="none"/>
                <w:lang w:val="en-US" w:eastAsia="zh-CN"/>
              </w:rPr>
              <w:t>供应商</w:t>
            </w:r>
            <w:r>
              <w:rPr>
                <w:rFonts w:hint="eastAsia"/>
                <w:color w:val="auto"/>
                <w:highlight w:val="none"/>
              </w:rPr>
              <w:t>章，若无法在互联网查询的均须提供人员证书原件扫描件加盖</w:t>
            </w:r>
            <w:r>
              <w:rPr>
                <w:rFonts w:hint="eastAsia"/>
                <w:color w:val="auto"/>
                <w:highlight w:val="none"/>
                <w:lang w:val="en-US" w:eastAsia="zh-CN"/>
              </w:rPr>
              <w:t>供应商</w:t>
            </w:r>
            <w:r>
              <w:rPr>
                <w:rFonts w:hint="eastAsia"/>
                <w:color w:val="auto"/>
                <w:highlight w:val="none"/>
              </w:rPr>
              <w:t>公章，原件备查，否则该项不予计分</w:t>
            </w:r>
            <w:r>
              <w:rPr>
                <w:rFonts w:hint="eastAsia" w:ascii="宋体" w:hAnsi="宋体" w:eastAsia="宋体" w:cs="宋体"/>
                <w:bCs/>
                <w:color w:val="auto"/>
                <w:kern w:val="0"/>
                <w:sz w:val="21"/>
                <w:szCs w:val="21"/>
                <w:highlight w:val="none"/>
                <w:lang w:val="en-US" w:eastAsia="zh-CN" w:bidi="ar-SA"/>
              </w:rPr>
              <w:t xml:space="preserve">，否则不计分。 </w:t>
            </w:r>
          </w:p>
        </w:tc>
      </w:tr>
      <w:tr w14:paraId="7812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278D8EA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6E1E111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1D36163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满分20</w:t>
            </w:r>
            <w:r>
              <w:rPr>
                <w:rFonts w:hint="eastAsia" w:ascii="宋体" w:hAnsi="宋体" w:cs="宋体"/>
                <w:b/>
                <w:color w:val="auto"/>
                <w:kern w:val="0"/>
                <w:szCs w:val="21"/>
                <w:highlight w:val="none"/>
              </w:rPr>
              <w:t>分</w:t>
            </w:r>
          </w:p>
        </w:tc>
        <w:tc>
          <w:tcPr>
            <w:tcW w:w="6909" w:type="dxa"/>
            <w:gridSpan w:val="2"/>
            <w:vAlign w:val="center"/>
          </w:tcPr>
          <w:p w14:paraId="2CA57A79">
            <w:pPr>
              <w:pStyle w:val="91"/>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cs="宋体"/>
                <w:color w:val="auto"/>
                <w:sz w:val="21"/>
                <w:highlight w:val="none"/>
                <w:lang w:val="en-US" w:eastAsia="zh-CN"/>
              </w:rPr>
              <w:t>供应商自2021年以来同类咨询或设计项目业绩，每个1分，</w:t>
            </w:r>
            <w:r>
              <w:rPr>
                <w:rFonts w:hint="eastAsia" w:cs="宋体"/>
                <w:b/>
                <w:bCs/>
                <w:color w:val="auto"/>
                <w:sz w:val="21"/>
                <w:highlight w:val="none"/>
                <w:lang w:val="en-US" w:eastAsia="zh-CN"/>
              </w:rPr>
              <w:t>满分5分</w:t>
            </w:r>
            <w:r>
              <w:rPr>
                <w:rFonts w:hint="eastAsia" w:cs="宋体"/>
                <w:color w:val="auto"/>
                <w:sz w:val="21"/>
                <w:highlight w:val="none"/>
                <w:lang w:val="en-US" w:eastAsia="zh-CN"/>
              </w:rPr>
              <w:t>（以有效合同或中标通知书复印件为准）。</w:t>
            </w:r>
          </w:p>
          <w:p w14:paraId="017BBCF5">
            <w:pPr>
              <w:pStyle w:val="91"/>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cs="宋体"/>
                <w:color w:val="auto"/>
                <w:sz w:val="21"/>
                <w:highlight w:val="none"/>
                <w:lang w:val="en-US" w:eastAsia="zh-CN"/>
              </w:rPr>
              <w:t>供应商通过质量管理体系认证证书、职业健康安全管理体系认证、信息安全管理体系认证、信息技术服务管理体系认证，每个证书得0.5分，</w:t>
            </w:r>
            <w:r>
              <w:rPr>
                <w:rFonts w:hint="eastAsia" w:cs="宋体"/>
                <w:b/>
                <w:bCs/>
                <w:color w:val="auto"/>
                <w:sz w:val="21"/>
                <w:highlight w:val="none"/>
                <w:lang w:val="en-US" w:eastAsia="zh-CN"/>
              </w:rPr>
              <w:t>满分2分。</w:t>
            </w:r>
          </w:p>
          <w:p w14:paraId="33FC05AA">
            <w:pPr>
              <w:pStyle w:val="91"/>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cs="宋体"/>
                <w:color w:val="auto"/>
                <w:sz w:val="21"/>
                <w:highlight w:val="none"/>
                <w:lang w:val="en-US" w:eastAsia="zh-CN"/>
              </w:rPr>
              <w:t>供应商具有有效的ITSS信息技术服务标准符合性证书（服务领域：咨询设计）的，得3分，</w:t>
            </w:r>
            <w:r>
              <w:rPr>
                <w:rFonts w:hint="eastAsia" w:cs="宋体"/>
                <w:b/>
                <w:bCs/>
                <w:color w:val="auto"/>
                <w:sz w:val="21"/>
                <w:highlight w:val="none"/>
                <w:lang w:val="en-US" w:eastAsia="zh-CN"/>
              </w:rPr>
              <w:t>满分3分。</w:t>
            </w:r>
          </w:p>
          <w:p w14:paraId="7C09B5C2">
            <w:pPr>
              <w:pStyle w:val="91"/>
              <w:keepNext w:val="0"/>
              <w:keepLines w:val="0"/>
              <w:pageBreakBefore w:val="0"/>
              <w:widowControl w:val="0"/>
              <w:numPr>
                <w:ilvl w:val="0"/>
                <w:numId w:val="0"/>
              </w:numPr>
              <w:kinsoku/>
              <w:wordWrap/>
              <w:overflowPunct/>
              <w:topLinePunct w:val="0"/>
              <w:autoSpaceDE/>
              <w:autoSpaceDN/>
              <w:bidi w:val="0"/>
              <w:adjustRightInd w:val="0"/>
              <w:snapToGrid/>
              <w:ind w:firstLine="420" w:firstLineChars="200"/>
              <w:textAlignment w:val="auto"/>
              <w:rPr>
                <w:rFonts w:hint="eastAsia"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cs="宋体"/>
                <w:color w:val="auto"/>
                <w:sz w:val="21"/>
                <w:highlight w:val="none"/>
                <w:lang w:val="en-US" w:eastAsia="zh-CN"/>
              </w:rPr>
              <w:t>供应商具有有效的信息安全服务资质认证证书（认证范围：信息安全风险评估服务），得2分；</w:t>
            </w:r>
            <w:r>
              <w:rPr>
                <w:rFonts w:hint="eastAsia" w:cs="宋体"/>
                <w:b/>
                <w:bCs/>
                <w:color w:val="auto"/>
                <w:sz w:val="21"/>
                <w:highlight w:val="none"/>
                <w:lang w:val="en-US" w:eastAsia="zh-CN"/>
              </w:rPr>
              <w:t>满分2分。</w:t>
            </w:r>
          </w:p>
          <w:p w14:paraId="38553924">
            <w:pPr>
              <w:pStyle w:val="91"/>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cs="宋体"/>
                <w:color w:val="auto"/>
                <w:sz w:val="21"/>
                <w:highlight w:val="none"/>
                <w:lang w:eastAsia="zh-CN"/>
              </w:rPr>
            </w:pPr>
            <w:r>
              <w:rPr>
                <w:rFonts w:hint="eastAsia" w:cs="宋体"/>
                <w:color w:val="auto"/>
                <w:sz w:val="21"/>
                <w:highlight w:val="none"/>
                <w:lang w:eastAsia="zh-CN"/>
              </w:rPr>
              <w:t>（</w:t>
            </w:r>
            <w:r>
              <w:rPr>
                <w:rFonts w:hint="eastAsia" w:cs="宋体"/>
                <w:color w:val="auto"/>
                <w:sz w:val="21"/>
                <w:highlight w:val="none"/>
                <w:lang w:val="en-US" w:eastAsia="zh-CN"/>
              </w:rPr>
              <w:t>5</w:t>
            </w:r>
            <w:r>
              <w:rPr>
                <w:rFonts w:hint="eastAsia" w:cs="宋体"/>
                <w:color w:val="auto"/>
                <w:sz w:val="21"/>
                <w:highlight w:val="none"/>
                <w:lang w:eastAsia="zh-CN"/>
              </w:rPr>
              <w:t>）</w:t>
            </w:r>
            <w:r>
              <w:rPr>
                <w:rFonts w:hint="eastAsia" w:eastAsia="宋体" w:cs="宋体"/>
                <w:color w:val="auto"/>
                <w:sz w:val="21"/>
                <w:highlight w:val="none"/>
                <w:lang w:eastAsia="zh-CN"/>
              </w:rPr>
              <w:t>供应商具有 “方案设计评估系统”、“工期节点控制管理系统”、“概预算编审系统”、“信息安全风险评估服务系统”软件著作权，每提供一个有效的软件著作权证书得2分，</w:t>
            </w:r>
            <w:r>
              <w:rPr>
                <w:rFonts w:hint="eastAsia" w:eastAsia="宋体" w:cs="宋体"/>
                <w:b/>
                <w:bCs/>
                <w:color w:val="auto"/>
                <w:sz w:val="21"/>
                <w:highlight w:val="none"/>
                <w:lang w:eastAsia="zh-CN"/>
              </w:rPr>
              <w:t>满分8分。</w:t>
            </w:r>
          </w:p>
        </w:tc>
      </w:tr>
      <w:tr w14:paraId="551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372486A0">
            <w:pPr>
              <w:pStyle w:val="18"/>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5EF961F">
      <w:pPr>
        <w:rPr>
          <w:rFonts w:ascii="宋体" w:cs="宋体"/>
          <w:bCs/>
          <w:color w:val="auto"/>
          <w:szCs w:val="21"/>
          <w:highlight w:val="none"/>
        </w:rPr>
      </w:pPr>
    </w:p>
    <w:p w14:paraId="7805ABA7">
      <w:pPr>
        <w:rPr>
          <w:rFonts w:ascii="宋体" w:cs="宋体"/>
          <w:color w:val="auto"/>
          <w:highlight w:val="none"/>
        </w:rPr>
      </w:pPr>
      <w:r>
        <w:rPr>
          <w:rFonts w:ascii="宋体" w:hAnsi="宋体" w:cs="宋体"/>
          <w:bCs/>
          <w:color w:val="auto"/>
          <w:szCs w:val="21"/>
          <w:highlight w:val="none"/>
        </w:rPr>
        <w:t>7.</w:t>
      </w: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名成交候选供应商，并编写评审报告。符合本章第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家成交候选供应商。评审得分相同的，按照最后报价（不计算价格折扣）由低到高的顺序推荐。评审得分且最后报价（不计算价格折扣）相同的，按照技术分高低顺序推荐。</w:t>
      </w:r>
    </w:p>
    <w:p w14:paraId="4117889A">
      <w:pPr>
        <w:pStyle w:val="2"/>
        <w:rPr>
          <w:rFonts w:ascii="宋体" w:cs="宋体"/>
          <w:color w:val="auto"/>
          <w:highlight w:val="none"/>
        </w:rPr>
      </w:pPr>
      <w:r>
        <w:rPr>
          <w:rFonts w:ascii="宋体" w:cs="宋体"/>
          <w:color w:val="auto"/>
          <w:highlight w:val="none"/>
        </w:rPr>
        <w:br w:type="page"/>
      </w:r>
    </w:p>
    <w:p w14:paraId="270FF88B">
      <w:pPr>
        <w:pStyle w:val="2"/>
        <w:rPr>
          <w:rFonts w:hint="eastAsia" w:ascii="宋体" w:hAnsi="宋体" w:cs="宋体"/>
          <w:color w:val="auto"/>
          <w:highlight w:val="none"/>
        </w:rPr>
      </w:pPr>
      <w:bookmarkStart w:id="45" w:name="_Toc16056"/>
      <w:bookmarkStart w:id="46" w:name="_Toc22926"/>
    </w:p>
    <w:p w14:paraId="78274D32">
      <w:pPr>
        <w:pStyle w:val="2"/>
        <w:rPr>
          <w:rFonts w:hint="eastAsia" w:ascii="宋体" w:hAnsi="宋体" w:cs="宋体"/>
          <w:color w:val="auto"/>
          <w:highlight w:val="none"/>
        </w:rPr>
      </w:pPr>
    </w:p>
    <w:p w14:paraId="01F62A3D">
      <w:pPr>
        <w:pStyle w:val="2"/>
        <w:rPr>
          <w:rFonts w:hint="eastAsia" w:ascii="宋体" w:hAnsi="宋体" w:cs="宋体"/>
          <w:color w:val="auto"/>
          <w:highlight w:val="none"/>
        </w:rPr>
      </w:pPr>
    </w:p>
    <w:p w14:paraId="044D5C79">
      <w:pPr>
        <w:pStyle w:val="2"/>
        <w:rPr>
          <w:rFonts w:ascii="宋体" w:cs="宋体"/>
          <w:color w:val="auto"/>
          <w:highlight w:val="none"/>
        </w:rPr>
      </w:pPr>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45"/>
      <w:bookmarkEnd w:id="46"/>
    </w:p>
    <w:p w14:paraId="11909E9E">
      <w:pPr>
        <w:spacing w:line="240" w:lineRule="atLeast"/>
        <w:rPr>
          <w:rFonts w:ascii="宋体" w:cs="宋体"/>
          <w:b/>
          <w:color w:val="auto"/>
          <w:sz w:val="32"/>
          <w:szCs w:val="32"/>
          <w:highlight w:val="none"/>
        </w:rPr>
      </w:pPr>
    </w:p>
    <w:p w14:paraId="053EF11E">
      <w:pPr>
        <w:spacing w:line="240" w:lineRule="atLeast"/>
        <w:rPr>
          <w:rFonts w:ascii="宋体" w:cs="宋体"/>
          <w:b/>
          <w:color w:val="auto"/>
          <w:sz w:val="32"/>
          <w:szCs w:val="32"/>
          <w:highlight w:val="none"/>
        </w:rPr>
      </w:pPr>
    </w:p>
    <w:p w14:paraId="4C5349FB">
      <w:pPr>
        <w:spacing w:line="240" w:lineRule="atLeast"/>
        <w:rPr>
          <w:rFonts w:ascii="宋体" w:cs="宋体"/>
          <w:b/>
          <w:color w:val="auto"/>
          <w:sz w:val="32"/>
          <w:szCs w:val="32"/>
          <w:highlight w:val="none"/>
        </w:rPr>
      </w:pPr>
    </w:p>
    <w:p w14:paraId="08F6F1E0">
      <w:pPr>
        <w:spacing w:line="240" w:lineRule="atLeast"/>
        <w:rPr>
          <w:rFonts w:ascii="宋体" w:cs="宋体"/>
          <w:b/>
          <w:color w:val="auto"/>
          <w:sz w:val="32"/>
          <w:szCs w:val="32"/>
          <w:highlight w:val="none"/>
        </w:rPr>
      </w:pPr>
    </w:p>
    <w:p w14:paraId="3741AFC8">
      <w:pPr>
        <w:spacing w:line="240" w:lineRule="atLeast"/>
        <w:rPr>
          <w:rFonts w:ascii="宋体" w:cs="宋体"/>
          <w:b/>
          <w:color w:val="auto"/>
          <w:sz w:val="32"/>
          <w:szCs w:val="32"/>
          <w:highlight w:val="none"/>
        </w:rPr>
      </w:pPr>
    </w:p>
    <w:p w14:paraId="4BD53F53">
      <w:pPr>
        <w:spacing w:line="240" w:lineRule="atLeast"/>
        <w:rPr>
          <w:rFonts w:ascii="宋体" w:cs="宋体"/>
          <w:b/>
          <w:color w:val="auto"/>
          <w:sz w:val="32"/>
          <w:szCs w:val="32"/>
          <w:highlight w:val="none"/>
        </w:rPr>
      </w:pPr>
    </w:p>
    <w:p w14:paraId="78F5C647">
      <w:pPr>
        <w:spacing w:line="240" w:lineRule="atLeast"/>
        <w:rPr>
          <w:rFonts w:ascii="宋体" w:cs="宋体"/>
          <w:b/>
          <w:color w:val="auto"/>
          <w:sz w:val="32"/>
          <w:szCs w:val="32"/>
          <w:highlight w:val="none"/>
        </w:rPr>
      </w:pPr>
    </w:p>
    <w:p w14:paraId="0A66F577">
      <w:pPr>
        <w:spacing w:line="240" w:lineRule="atLeast"/>
        <w:rPr>
          <w:rFonts w:ascii="宋体" w:cs="宋体"/>
          <w:b/>
          <w:color w:val="auto"/>
          <w:sz w:val="32"/>
          <w:szCs w:val="32"/>
          <w:highlight w:val="none"/>
        </w:rPr>
      </w:pPr>
    </w:p>
    <w:p w14:paraId="766FFD75">
      <w:pPr>
        <w:spacing w:line="240" w:lineRule="atLeast"/>
        <w:rPr>
          <w:rFonts w:ascii="宋体" w:cs="宋体"/>
          <w:b/>
          <w:color w:val="auto"/>
          <w:sz w:val="32"/>
          <w:szCs w:val="32"/>
          <w:highlight w:val="none"/>
        </w:rPr>
      </w:pPr>
    </w:p>
    <w:p w14:paraId="06A1C413">
      <w:pPr>
        <w:spacing w:line="240" w:lineRule="atLeast"/>
        <w:rPr>
          <w:rFonts w:ascii="宋体" w:cs="宋体"/>
          <w:bCs/>
          <w:color w:val="auto"/>
          <w:sz w:val="32"/>
          <w:szCs w:val="32"/>
          <w:highlight w:val="none"/>
        </w:rPr>
      </w:pPr>
    </w:p>
    <w:p w14:paraId="51A3C3E0">
      <w:pPr>
        <w:rPr>
          <w:rFonts w:ascii="宋体" w:cs="宋体"/>
          <w:b/>
          <w:color w:val="auto"/>
          <w:sz w:val="32"/>
          <w:szCs w:val="32"/>
          <w:highlight w:val="none"/>
        </w:rPr>
      </w:pPr>
      <w:bookmarkStart w:id="47" w:name="_Toc35611516"/>
      <w:bookmarkStart w:id="48" w:name="_Toc71365925"/>
      <w:bookmarkStart w:id="49" w:name="_Toc31723070"/>
      <w:bookmarkStart w:id="50" w:name="_Toc31728084"/>
      <w:bookmarkStart w:id="51" w:name="_Toc44229899"/>
      <w:bookmarkStart w:id="52" w:name="_Toc35611438"/>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7"/>
      <w:bookmarkEnd w:id="48"/>
      <w:bookmarkEnd w:id="49"/>
      <w:bookmarkEnd w:id="50"/>
      <w:bookmarkEnd w:id="51"/>
      <w:bookmarkEnd w:id="52"/>
    </w:p>
    <w:p w14:paraId="295F7565">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r>
        <w:rPr>
          <w:rFonts w:ascii="宋体" w:hAnsi="宋体" w:cs="宋体"/>
          <w:b/>
          <w:color w:val="auto"/>
          <w:sz w:val="24"/>
          <w:highlight w:val="none"/>
        </w:rPr>
        <w:t xml:space="preserve"> </w:t>
      </w:r>
    </w:p>
    <w:p w14:paraId="1622880F">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E7DB0F1">
      <w:pPr>
        <w:snapToGrid w:val="0"/>
        <w:spacing w:beforeLines="50" w:after="50"/>
        <w:rPr>
          <w:rFonts w:ascii="宋体" w:cs="宋体"/>
          <w:color w:val="auto"/>
          <w:sz w:val="24"/>
          <w:szCs w:val="20"/>
          <w:highlight w:val="none"/>
        </w:rPr>
      </w:pPr>
    </w:p>
    <w:p w14:paraId="60982ECF">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4CA263FD">
      <w:pPr>
        <w:snapToGrid w:val="0"/>
        <w:spacing w:beforeLines="50" w:after="50"/>
        <w:jc w:val="center"/>
        <w:rPr>
          <w:rFonts w:ascii="宋体" w:cs="宋体"/>
          <w:bCs/>
          <w:color w:val="auto"/>
          <w:sz w:val="44"/>
          <w:szCs w:val="44"/>
          <w:highlight w:val="none"/>
        </w:rPr>
      </w:pPr>
    </w:p>
    <w:p w14:paraId="4E770336">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6A6992D4">
      <w:pPr>
        <w:snapToGrid w:val="0"/>
        <w:spacing w:beforeLines="50" w:after="50"/>
        <w:rPr>
          <w:rFonts w:ascii="宋体" w:cs="宋体"/>
          <w:bCs/>
          <w:color w:val="auto"/>
          <w:sz w:val="24"/>
          <w:szCs w:val="20"/>
          <w:highlight w:val="none"/>
        </w:rPr>
      </w:pPr>
    </w:p>
    <w:p w14:paraId="546C4718">
      <w:pPr>
        <w:snapToGrid w:val="0"/>
        <w:spacing w:beforeLines="50" w:after="50"/>
        <w:rPr>
          <w:rFonts w:ascii="宋体" w:cs="宋体"/>
          <w:bCs/>
          <w:color w:val="auto"/>
          <w:sz w:val="24"/>
          <w:szCs w:val="20"/>
          <w:highlight w:val="none"/>
        </w:rPr>
      </w:pPr>
    </w:p>
    <w:p w14:paraId="5F9DD161">
      <w:pPr>
        <w:snapToGrid w:val="0"/>
        <w:spacing w:beforeLines="50" w:after="50"/>
        <w:rPr>
          <w:rFonts w:ascii="宋体" w:cs="宋体"/>
          <w:bCs/>
          <w:color w:val="auto"/>
          <w:sz w:val="24"/>
          <w:szCs w:val="20"/>
          <w:highlight w:val="none"/>
        </w:rPr>
      </w:pPr>
    </w:p>
    <w:p w14:paraId="7F01D88C">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47F12338">
      <w:pPr>
        <w:snapToGrid w:val="0"/>
        <w:spacing w:beforeLines="50" w:after="50"/>
        <w:ind w:firstLine="720" w:firstLineChars="225"/>
        <w:rPr>
          <w:rFonts w:ascii="宋体" w:cs="宋体"/>
          <w:bCs/>
          <w:color w:val="auto"/>
          <w:sz w:val="32"/>
          <w:szCs w:val="32"/>
          <w:highlight w:val="none"/>
        </w:rPr>
      </w:pPr>
    </w:p>
    <w:p w14:paraId="09026B7A">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369F6BA1">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63F39B0B">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3260F492">
      <w:pPr>
        <w:snapToGrid w:val="0"/>
        <w:spacing w:beforeLines="50" w:after="50"/>
        <w:ind w:firstLine="720" w:firstLineChars="225"/>
        <w:rPr>
          <w:rFonts w:ascii="宋体" w:cs="宋体"/>
          <w:bCs/>
          <w:color w:val="auto"/>
          <w:sz w:val="32"/>
          <w:szCs w:val="32"/>
          <w:highlight w:val="none"/>
        </w:rPr>
      </w:pPr>
    </w:p>
    <w:p w14:paraId="4B8B0F17">
      <w:pPr>
        <w:pStyle w:val="7"/>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2C46DA63">
      <w:pPr>
        <w:pStyle w:val="7"/>
        <w:snapToGrid w:val="0"/>
        <w:spacing w:before="50" w:after="50"/>
        <w:ind w:firstLine="720" w:firstLineChars="225"/>
        <w:rPr>
          <w:rFonts w:ascii="宋体" w:cs="宋体"/>
          <w:bCs/>
          <w:color w:val="auto"/>
          <w:sz w:val="32"/>
          <w:szCs w:val="32"/>
          <w:highlight w:val="none"/>
        </w:rPr>
      </w:pPr>
    </w:p>
    <w:p w14:paraId="081EDD11">
      <w:pPr>
        <w:pStyle w:val="7"/>
        <w:snapToGrid w:val="0"/>
        <w:spacing w:before="50" w:after="50"/>
        <w:ind w:firstLine="720" w:firstLineChars="225"/>
        <w:rPr>
          <w:rFonts w:ascii="宋体" w:cs="宋体"/>
          <w:bCs/>
          <w:color w:val="auto"/>
          <w:sz w:val="32"/>
          <w:szCs w:val="32"/>
          <w:highlight w:val="none"/>
        </w:rPr>
      </w:pPr>
    </w:p>
    <w:p w14:paraId="340257BD">
      <w:pPr>
        <w:pStyle w:val="7"/>
        <w:snapToGrid w:val="0"/>
        <w:spacing w:before="50" w:after="50"/>
        <w:ind w:firstLine="1280" w:firstLineChars="400"/>
        <w:rPr>
          <w:rFonts w:ascii="宋体" w:cs="宋体"/>
          <w:bCs/>
          <w:color w:val="auto"/>
          <w:sz w:val="32"/>
          <w:szCs w:val="32"/>
          <w:highlight w:val="none"/>
        </w:rPr>
      </w:pPr>
    </w:p>
    <w:p w14:paraId="711CEB06">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2F2F32FD">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资格证明文件目录</w:t>
      </w:r>
    </w:p>
    <w:p w14:paraId="7ABF944B">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41A1046">
      <w:pPr>
        <w:snapToGrid w:val="0"/>
        <w:spacing w:beforeLines="50" w:after="50"/>
        <w:rPr>
          <w:rFonts w:ascii="宋体" w:cs="宋体"/>
          <w:color w:val="auto"/>
          <w:sz w:val="24"/>
          <w:szCs w:val="20"/>
          <w:highlight w:val="none"/>
        </w:rPr>
      </w:pPr>
      <w:r>
        <w:rPr>
          <w:rFonts w:ascii="宋体" w:hAnsi="宋体" w:cs="宋体"/>
          <w:color w:val="auto"/>
          <w:sz w:val="24"/>
          <w:szCs w:val="20"/>
          <w:highlight w:val="none"/>
        </w:rPr>
        <w:t xml:space="preserve"> </w:t>
      </w:r>
    </w:p>
    <w:p w14:paraId="2C194D7C">
      <w:pPr>
        <w:spacing w:line="300" w:lineRule="auto"/>
        <w:rPr>
          <w:rFonts w:ascii="宋体" w:cs="宋体"/>
          <w:color w:val="auto"/>
          <w:szCs w:val="21"/>
          <w:highlight w:val="none"/>
        </w:rPr>
      </w:pPr>
    </w:p>
    <w:p w14:paraId="1997A449">
      <w:pPr>
        <w:spacing w:line="300" w:lineRule="auto"/>
        <w:rPr>
          <w:rFonts w:ascii="宋体" w:cs="宋体"/>
          <w:color w:val="auto"/>
          <w:szCs w:val="21"/>
          <w:highlight w:val="none"/>
        </w:rPr>
      </w:pPr>
    </w:p>
    <w:p w14:paraId="64151AB8">
      <w:pPr>
        <w:spacing w:line="300" w:lineRule="auto"/>
        <w:rPr>
          <w:rFonts w:ascii="宋体" w:cs="宋体"/>
          <w:color w:val="auto"/>
          <w:szCs w:val="21"/>
          <w:highlight w:val="none"/>
        </w:rPr>
      </w:pPr>
    </w:p>
    <w:p w14:paraId="6418EDBA">
      <w:pPr>
        <w:spacing w:line="300" w:lineRule="auto"/>
        <w:rPr>
          <w:rFonts w:ascii="宋体" w:cs="宋体"/>
          <w:color w:val="auto"/>
          <w:szCs w:val="21"/>
          <w:highlight w:val="none"/>
        </w:rPr>
      </w:pPr>
    </w:p>
    <w:p w14:paraId="1EE03B2D">
      <w:pPr>
        <w:spacing w:line="300" w:lineRule="auto"/>
        <w:rPr>
          <w:rFonts w:ascii="宋体" w:cs="宋体"/>
          <w:color w:val="auto"/>
          <w:szCs w:val="21"/>
          <w:highlight w:val="none"/>
        </w:rPr>
      </w:pPr>
    </w:p>
    <w:p w14:paraId="2B0EC5A1">
      <w:pPr>
        <w:spacing w:line="300" w:lineRule="auto"/>
        <w:rPr>
          <w:rFonts w:ascii="宋体" w:cs="宋体"/>
          <w:color w:val="auto"/>
          <w:szCs w:val="21"/>
          <w:highlight w:val="none"/>
        </w:rPr>
      </w:pPr>
    </w:p>
    <w:p w14:paraId="2212660B">
      <w:pPr>
        <w:spacing w:line="300" w:lineRule="auto"/>
        <w:rPr>
          <w:rFonts w:ascii="宋体" w:cs="宋体"/>
          <w:color w:val="auto"/>
          <w:szCs w:val="21"/>
          <w:highlight w:val="none"/>
        </w:rPr>
      </w:pPr>
    </w:p>
    <w:p w14:paraId="17FE9D99">
      <w:pPr>
        <w:spacing w:line="300" w:lineRule="auto"/>
        <w:rPr>
          <w:rFonts w:ascii="宋体" w:cs="宋体"/>
          <w:color w:val="auto"/>
          <w:szCs w:val="21"/>
          <w:highlight w:val="none"/>
        </w:rPr>
      </w:pPr>
    </w:p>
    <w:p w14:paraId="4B6C5282">
      <w:pPr>
        <w:spacing w:line="300" w:lineRule="auto"/>
        <w:rPr>
          <w:rFonts w:ascii="宋体" w:cs="宋体"/>
          <w:color w:val="auto"/>
          <w:szCs w:val="21"/>
          <w:highlight w:val="none"/>
        </w:rPr>
      </w:pPr>
    </w:p>
    <w:p w14:paraId="5AF076D3">
      <w:pPr>
        <w:spacing w:line="300" w:lineRule="auto"/>
        <w:rPr>
          <w:rFonts w:ascii="宋体" w:cs="宋体"/>
          <w:color w:val="auto"/>
          <w:szCs w:val="21"/>
          <w:highlight w:val="none"/>
        </w:rPr>
      </w:pPr>
    </w:p>
    <w:p w14:paraId="154EBD6C">
      <w:pPr>
        <w:spacing w:line="300" w:lineRule="auto"/>
        <w:rPr>
          <w:rFonts w:ascii="宋体" w:cs="宋体"/>
          <w:color w:val="auto"/>
          <w:szCs w:val="21"/>
          <w:highlight w:val="none"/>
        </w:rPr>
      </w:pPr>
    </w:p>
    <w:p w14:paraId="02F78A57">
      <w:pPr>
        <w:spacing w:line="300" w:lineRule="auto"/>
        <w:rPr>
          <w:rFonts w:ascii="宋体" w:cs="宋体"/>
          <w:color w:val="auto"/>
          <w:szCs w:val="21"/>
          <w:highlight w:val="none"/>
        </w:rPr>
      </w:pPr>
    </w:p>
    <w:p w14:paraId="61E40595">
      <w:pPr>
        <w:spacing w:line="300" w:lineRule="auto"/>
        <w:rPr>
          <w:rFonts w:ascii="宋体" w:cs="宋体"/>
          <w:color w:val="auto"/>
          <w:szCs w:val="21"/>
          <w:highlight w:val="none"/>
        </w:rPr>
      </w:pPr>
    </w:p>
    <w:p w14:paraId="709F5A85">
      <w:pPr>
        <w:spacing w:line="300" w:lineRule="auto"/>
        <w:rPr>
          <w:rFonts w:ascii="宋体" w:cs="宋体"/>
          <w:color w:val="auto"/>
          <w:szCs w:val="21"/>
          <w:highlight w:val="none"/>
        </w:rPr>
      </w:pPr>
    </w:p>
    <w:p w14:paraId="03E1A1D4">
      <w:pPr>
        <w:spacing w:line="300" w:lineRule="auto"/>
        <w:rPr>
          <w:rFonts w:ascii="宋体" w:cs="宋体"/>
          <w:color w:val="auto"/>
          <w:szCs w:val="21"/>
          <w:highlight w:val="none"/>
        </w:rPr>
      </w:pPr>
    </w:p>
    <w:p w14:paraId="4E209119">
      <w:pPr>
        <w:spacing w:line="320" w:lineRule="exact"/>
        <w:jc w:val="left"/>
        <w:rPr>
          <w:rFonts w:ascii="宋体" w:cs="宋体"/>
          <w:color w:val="auto"/>
          <w:szCs w:val="21"/>
          <w:highlight w:val="none"/>
        </w:rPr>
      </w:pPr>
      <w:r>
        <w:rPr>
          <w:rFonts w:ascii="宋体" w:cs="宋体"/>
          <w:color w:val="auto"/>
          <w:szCs w:val="21"/>
          <w:highlight w:val="none"/>
        </w:rPr>
        <w:br w:type="page"/>
      </w:r>
      <w:r>
        <w:rPr>
          <w:rFonts w:ascii="宋体" w:hAnsi="宋体" w:cs="宋体"/>
          <w:color w:val="auto"/>
          <w:szCs w:val="21"/>
          <w:highlight w:val="none"/>
        </w:rPr>
        <w:t xml:space="preserve"> </w:t>
      </w:r>
    </w:p>
    <w:p w14:paraId="5474B602">
      <w:pPr>
        <w:wordWrap w:val="0"/>
        <w:spacing w:beforeLines="50" w:after="50" w:line="320" w:lineRule="exact"/>
        <w:ind w:right="482" w:firstLine="210" w:firstLineChars="100"/>
        <w:contextualSpacing/>
        <w:jc w:val="center"/>
        <w:rPr>
          <w:rFonts w:ascii="宋体" w:cs="宋体"/>
          <w:color w:val="auto"/>
          <w:szCs w:val="21"/>
          <w:highlight w:val="none"/>
        </w:rPr>
      </w:pPr>
    </w:p>
    <w:p w14:paraId="2FE2366C">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7D4016BD">
      <w:pPr>
        <w:snapToGrid w:val="0"/>
        <w:spacing w:beforeLines="50" w:after="50" w:line="360" w:lineRule="auto"/>
        <w:jc w:val="center"/>
        <w:rPr>
          <w:rFonts w:ascii="宋体" w:cs="宋体"/>
          <w:b/>
          <w:color w:val="auto"/>
          <w:sz w:val="24"/>
          <w:highlight w:val="none"/>
        </w:rPr>
      </w:pPr>
    </w:p>
    <w:p w14:paraId="5C3C0791">
      <w:pPr>
        <w:spacing w:line="360" w:lineRule="auto"/>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4642EC36">
      <w:pPr>
        <w:spacing w:line="360" w:lineRule="auto"/>
        <w:contextualSpacing/>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80"/>
        <w:gridCol w:w="2655"/>
        <w:gridCol w:w="1455"/>
        <w:gridCol w:w="4287"/>
        <w:gridCol w:w="870"/>
      </w:tblGrid>
      <w:tr w14:paraId="72C67FC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8FEB4C">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293A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8E68DE">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9A94B1">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F99EF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6D3F66F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81F5D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3B3731">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9F623">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D6930A">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8E5C5C">
            <w:pPr>
              <w:widowControl/>
              <w:spacing w:line="360" w:lineRule="auto"/>
              <w:contextualSpacing/>
              <w:jc w:val="center"/>
              <w:rPr>
                <w:rFonts w:ascii="宋体" w:cs="宋体"/>
                <w:color w:val="auto"/>
                <w:kern w:val="0"/>
                <w:sz w:val="24"/>
                <w:highlight w:val="none"/>
              </w:rPr>
            </w:pPr>
          </w:p>
        </w:tc>
      </w:tr>
      <w:tr w14:paraId="19A488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3342E8">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9F245">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5922B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907F07">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75B1D">
            <w:pPr>
              <w:widowControl/>
              <w:spacing w:line="360" w:lineRule="auto"/>
              <w:contextualSpacing/>
              <w:jc w:val="center"/>
              <w:rPr>
                <w:rFonts w:ascii="宋体" w:cs="宋体"/>
                <w:color w:val="auto"/>
                <w:kern w:val="0"/>
                <w:sz w:val="24"/>
                <w:highlight w:val="none"/>
              </w:rPr>
            </w:pPr>
          </w:p>
        </w:tc>
      </w:tr>
      <w:tr w14:paraId="7AB1D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DFAEB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E86476">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8305AF">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38C17F">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50AFCF">
            <w:pPr>
              <w:widowControl/>
              <w:spacing w:line="360" w:lineRule="auto"/>
              <w:contextualSpacing/>
              <w:jc w:val="center"/>
              <w:rPr>
                <w:rFonts w:ascii="宋体" w:cs="宋体"/>
                <w:color w:val="auto"/>
                <w:kern w:val="0"/>
                <w:sz w:val="24"/>
                <w:highlight w:val="none"/>
              </w:rPr>
            </w:pPr>
          </w:p>
        </w:tc>
      </w:tr>
      <w:tr w14:paraId="69175EF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1D7E8B">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988A08">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9BBDC">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86E4B5">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A503F">
            <w:pPr>
              <w:widowControl/>
              <w:spacing w:line="360" w:lineRule="auto"/>
              <w:contextualSpacing/>
              <w:jc w:val="center"/>
              <w:rPr>
                <w:rFonts w:ascii="宋体" w:cs="宋体"/>
                <w:color w:val="auto"/>
                <w:kern w:val="0"/>
                <w:sz w:val="24"/>
                <w:highlight w:val="none"/>
              </w:rPr>
            </w:pPr>
          </w:p>
        </w:tc>
      </w:tr>
    </w:tbl>
    <w:p w14:paraId="2E777039">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2B349CFC">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AF0B6E">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181A841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14:paraId="39AED456">
      <w:pPr>
        <w:snapToGrid w:val="0"/>
        <w:spacing w:line="360" w:lineRule="auto"/>
        <w:jc w:val="left"/>
        <w:rPr>
          <w:rFonts w:ascii="宋体" w:cs="宋体"/>
          <w:color w:val="auto"/>
          <w:sz w:val="24"/>
          <w:highlight w:val="none"/>
        </w:rPr>
      </w:pPr>
    </w:p>
    <w:p w14:paraId="2A26DF07">
      <w:pPr>
        <w:snapToGrid w:val="0"/>
        <w:spacing w:line="360" w:lineRule="auto"/>
        <w:jc w:val="left"/>
        <w:rPr>
          <w:rFonts w:ascii="宋体" w:cs="宋体"/>
          <w:color w:val="auto"/>
          <w:sz w:val="24"/>
          <w:highlight w:val="none"/>
        </w:rPr>
      </w:pPr>
    </w:p>
    <w:p w14:paraId="53E10F1D">
      <w:pPr>
        <w:snapToGrid w:val="0"/>
        <w:spacing w:line="360" w:lineRule="auto"/>
        <w:jc w:val="left"/>
        <w:rPr>
          <w:rFonts w:ascii="宋体" w:cs="宋体"/>
          <w:color w:val="auto"/>
          <w:sz w:val="24"/>
          <w:highlight w:val="none"/>
        </w:rPr>
      </w:pPr>
    </w:p>
    <w:p w14:paraId="2928BD02">
      <w:pPr>
        <w:snapToGrid w:val="0"/>
        <w:spacing w:beforeLines="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216FF4EF">
      <w:pPr>
        <w:snapToGrid w:val="0"/>
        <w:spacing w:beforeLines="50" w:after="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3E4FA705">
      <w:pPr>
        <w:snapToGrid w:val="0"/>
        <w:spacing w:beforeLines="50" w:after="50" w:line="360" w:lineRule="auto"/>
        <w:ind w:right="480" w:firstLine="5280" w:firstLineChars="2200"/>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CABC38C">
      <w:pPr>
        <w:snapToGrid w:val="0"/>
        <w:jc w:val="center"/>
        <w:rPr>
          <w:rFonts w:ascii="宋体" w:cs="宋体"/>
          <w:b/>
          <w:color w:val="auto"/>
          <w:sz w:val="28"/>
          <w:szCs w:val="28"/>
          <w:highlight w:val="none"/>
        </w:rPr>
      </w:pPr>
      <w:r>
        <w:rPr>
          <w:rFonts w:ascii="宋体" w:cs="宋体"/>
          <w:b/>
          <w:color w:val="auto"/>
          <w:sz w:val="28"/>
          <w:szCs w:val="28"/>
          <w:highlight w:val="none"/>
        </w:rPr>
        <w:br w:type="page"/>
      </w:r>
    </w:p>
    <w:p w14:paraId="32E4CE34">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1F48B89">
      <w:pPr>
        <w:snapToGrid w:val="0"/>
        <w:spacing w:line="360" w:lineRule="auto"/>
        <w:jc w:val="center"/>
        <w:rPr>
          <w:rFonts w:ascii="宋体" w:cs="宋体"/>
          <w:b/>
          <w:color w:val="auto"/>
          <w:sz w:val="24"/>
          <w:highlight w:val="none"/>
        </w:rPr>
      </w:pPr>
    </w:p>
    <w:tbl>
      <w:tblPr>
        <w:tblStyle w:val="32"/>
        <w:tblW w:w="0" w:type="auto"/>
        <w:jc w:val="center"/>
        <w:tblLayout w:type="fixed"/>
        <w:tblCellMar>
          <w:top w:w="0" w:type="dxa"/>
          <w:left w:w="0" w:type="dxa"/>
          <w:bottom w:w="0" w:type="dxa"/>
          <w:right w:w="0" w:type="dxa"/>
        </w:tblCellMar>
      </w:tblPr>
      <w:tblGrid>
        <w:gridCol w:w="808"/>
        <w:gridCol w:w="3600"/>
        <w:gridCol w:w="3555"/>
        <w:gridCol w:w="1689"/>
      </w:tblGrid>
      <w:tr w14:paraId="185940A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D4886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D6DB75">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6183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787DD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0BA75D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5259C3">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9A629B">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6EEADA">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F93386">
            <w:pPr>
              <w:widowControl/>
              <w:spacing w:line="360" w:lineRule="auto"/>
              <w:contextualSpacing/>
              <w:jc w:val="center"/>
              <w:rPr>
                <w:rFonts w:ascii="宋体" w:cs="宋体"/>
                <w:color w:val="auto"/>
                <w:kern w:val="0"/>
                <w:sz w:val="24"/>
                <w:highlight w:val="none"/>
              </w:rPr>
            </w:pPr>
          </w:p>
        </w:tc>
      </w:tr>
      <w:tr w14:paraId="43BE0C5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9A47E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E545A7">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56E467">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918314">
            <w:pPr>
              <w:widowControl/>
              <w:spacing w:line="360" w:lineRule="auto"/>
              <w:contextualSpacing/>
              <w:jc w:val="center"/>
              <w:rPr>
                <w:rFonts w:ascii="宋体" w:cs="宋体"/>
                <w:color w:val="auto"/>
                <w:kern w:val="0"/>
                <w:sz w:val="24"/>
                <w:highlight w:val="none"/>
              </w:rPr>
            </w:pPr>
          </w:p>
        </w:tc>
      </w:tr>
      <w:tr w14:paraId="597B444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3765F2">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649608">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BE008E">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50B627">
            <w:pPr>
              <w:widowControl/>
              <w:spacing w:line="360" w:lineRule="auto"/>
              <w:contextualSpacing/>
              <w:jc w:val="center"/>
              <w:rPr>
                <w:rFonts w:ascii="宋体" w:cs="宋体"/>
                <w:color w:val="auto"/>
                <w:kern w:val="0"/>
                <w:sz w:val="24"/>
                <w:highlight w:val="none"/>
              </w:rPr>
            </w:pPr>
          </w:p>
        </w:tc>
      </w:tr>
      <w:tr w14:paraId="6030A17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4BB107">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B36C79">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CC2404">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5B0BEC">
            <w:pPr>
              <w:widowControl/>
              <w:spacing w:line="360" w:lineRule="auto"/>
              <w:contextualSpacing/>
              <w:jc w:val="center"/>
              <w:rPr>
                <w:rFonts w:ascii="宋体" w:cs="宋体"/>
                <w:color w:val="auto"/>
                <w:kern w:val="0"/>
                <w:sz w:val="24"/>
                <w:highlight w:val="none"/>
              </w:rPr>
            </w:pPr>
          </w:p>
        </w:tc>
      </w:tr>
    </w:tbl>
    <w:p w14:paraId="1980C4A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5869A27D">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14:paraId="7B4E9EAF">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0320013">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14:paraId="1F4DBA11">
      <w:pPr>
        <w:spacing w:line="360" w:lineRule="auto"/>
        <w:contextualSpacing/>
        <w:jc w:val="left"/>
        <w:rPr>
          <w:rFonts w:ascii="宋体" w:cs="宋体"/>
          <w:color w:val="auto"/>
          <w:sz w:val="24"/>
          <w:highlight w:val="none"/>
        </w:rPr>
      </w:pPr>
    </w:p>
    <w:p w14:paraId="2914FEA6">
      <w:pPr>
        <w:spacing w:line="360" w:lineRule="auto"/>
        <w:contextualSpacing/>
        <w:jc w:val="left"/>
        <w:rPr>
          <w:rFonts w:ascii="宋体" w:cs="宋体"/>
          <w:color w:val="auto"/>
          <w:sz w:val="24"/>
          <w:highlight w:val="none"/>
        </w:rPr>
      </w:pPr>
    </w:p>
    <w:p w14:paraId="3BD08D7E">
      <w:pPr>
        <w:spacing w:line="360" w:lineRule="auto"/>
        <w:contextualSpacing/>
        <w:jc w:val="left"/>
        <w:rPr>
          <w:rFonts w:ascii="宋体" w:cs="宋体"/>
          <w:color w:val="auto"/>
          <w:sz w:val="24"/>
          <w:highlight w:val="none"/>
        </w:rPr>
      </w:pPr>
    </w:p>
    <w:p w14:paraId="44A1E6B5">
      <w:pPr>
        <w:spacing w:line="360" w:lineRule="auto"/>
        <w:contextualSpacing/>
        <w:jc w:val="left"/>
        <w:rPr>
          <w:rFonts w:ascii="宋体" w:cs="宋体"/>
          <w:color w:val="auto"/>
          <w:sz w:val="24"/>
          <w:highlight w:val="none"/>
        </w:rPr>
      </w:pPr>
    </w:p>
    <w:p w14:paraId="6FFC8BBE">
      <w:pPr>
        <w:spacing w:line="360" w:lineRule="auto"/>
        <w:contextualSpacing/>
        <w:jc w:val="left"/>
        <w:rPr>
          <w:rFonts w:ascii="宋体" w:cs="宋体"/>
          <w:color w:val="auto"/>
          <w:sz w:val="24"/>
          <w:highlight w:val="none"/>
        </w:rPr>
      </w:pPr>
    </w:p>
    <w:p w14:paraId="366E44A7">
      <w:pPr>
        <w:spacing w:line="360" w:lineRule="auto"/>
        <w:contextualSpacing/>
        <w:jc w:val="left"/>
        <w:rPr>
          <w:rFonts w:ascii="宋体" w:cs="宋体"/>
          <w:color w:val="auto"/>
          <w:sz w:val="24"/>
          <w:highlight w:val="none"/>
        </w:rPr>
      </w:pPr>
    </w:p>
    <w:p w14:paraId="5A72DE85">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53B338FC">
      <w:pPr>
        <w:spacing w:line="360" w:lineRule="auto"/>
        <w:ind w:right="480" w:firstLine="3360" w:firstLineChars="14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10DC5DF5">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1B5DFF2">
      <w:pPr>
        <w:spacing w:line="320" w:lineRule="exact"/>
        <w:jc w:val="center"/>
        <w:rPr>
          <w:rFonts w:ascii="宋体" w:cs="宋体"/>
          <w:b/>
          <w:color w:val="auto"/>
          <w:sz w:val="32"/>
          <w:szCs w:val="32"/>
          <w:highlight w:val="none"/>
        </w:rPr>
      </w:pPr>
      <w:r>
        <w:rPr>
          <w:rFonts w:ascii="宋体" w:cs="宋体"/>
          <w:color w:val="auto"/>
          <w:sz w:val="28"/>
          <w:szCs w:val="28"/>
          <w:highlight w:val="none"/>
        </w:rPr>
        <w:br w:type="page"/>
      </w:r>
      <w:r>
        <w:rPr>
          <w:rFonts w:hint="eastAsia" w:ascii="宋体" w:hAnsi="宋体" w:cs="宋体"/>
          <w:b/>
          <w:color w:val="auto"/>
          <w:sz w:val="32"/>
          <w:szCs w:val="32"/>
          <w:highlight w:val="none"/>
        </w:rPr>
        <w:t>竞标声明</w:t>
      </w:r>
    </w:p>
    <w:p w14:paraId="489025B9">
      <w:pPr>
        <w:spacing w:line="320" w:lineRule="exact"/>
        <w:jc w:val="center"/>
        <w:rPr>
          <w:rFonts w:ascii="宋体" w:cs="宋体"/>
          <w:color w:val="auto"/>
          <w:sz w:val="24"/>
          <w:szCs w:val="20"/>
          <w:highlight w:val="none"/>
        </w:rPr>
      </w:pPr>
    </w:p>
    <w:p w14:paraId="48F807E5">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3507C8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D128A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2FA4B8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2BD19BF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14:paraId="4E5820D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38B2D8E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2B71FD0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738EFD8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0DA547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18AC6D0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5402837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79292E1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5324928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17D2273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70C0F1F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76CB3C6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61D4BEA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6F8421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3F1383D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8F99B4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88EEF5">
      <w:pPr>
        <w:pStyle w:val="18"/>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73EB4EB8">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2B924BF1">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4446985F">
      <w:pPr>
        <w:pStyle w:val="17"/>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C86B17F">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174D20D5">
      <w:pPr>
        <w:pStyle w:val="17"/>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09FD1AF9">
      <w:pPr>
        <w:pStyle w:val="17"/>
        <w:tabs>
          <w:tab w:val="left" w:pos="939"/>
        </w:tabs>
        <w:spacing w:line="360" w:lineRule="auto"/>
        <w:ind w:left="0" w:leftChars="0" w:firstLine="480" w:firstLineChars="200"/>
        <w:rPr>
          <w:rFonts w:ascii="宋体" w:cs="宋体"/>
          <w:color w:val="auto"/>
          <w:sz w:val="24"/>
          <w:highlight w:val="none"/>
        </w:rPr>
      </w:pPr>
    </w:p>
    <w:p w14:paraId="1EF04A26">
      <w:pPr>
        <w:spacing w:line="360" w:lineRule="auto"/>
        <w:ind w:firstLine="4320" w:firstLineChars="1800"/>
        <w:contextualSpacing/>
        <w:rPr>
          <w:rFonts w:ascii="宋体" w:cs="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AA719AC">
      <w:pPr>
        <w:spacing w:line="360" w:lineRule="auto"/>
        <w:ind w:firstLine="4320" w:firstLineChars="18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CD64061">
      <w:pPr>
        <w:spacing w:line="360" w:lineRule="auto"/>
        <w:ind w:right="480" w:firstLine="240" w:firstLineChars="1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7E6E635">
      <w:pPr>
        <w:pStyle w:val="7"/>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r>
        <w:rPr>
          <w:rFonts w:ascii="宋体" w:cs="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10AE1028">
      <w:pPr>
        <w:pStyle w:val="7"/>
        <w:overflowPunct w:val="0"/>
        <w:spacing w:line="360" w:lineRule="auto"/>
        <w:ind w:firstLine="0"/>
        <w:rPr>
          <w:rFonts w:hint="eastAsia" w:ascii="宋体" w:hAnsi="宋体"/>
          <w:color w:val="auto"/>
          <w:sz w:val="24"/>
          <w:szCs w:val="24"/>
          <w:highlight w:val="none"/>
        </w:rPr>
      </w:pPr>
    </w:p>
    <w:p w14:paraId="4F713108">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41B41FD7">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7A9B462C">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084131C">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1226EDBE">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600A2350">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345EE1B1">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14198355">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注：本协议书由法定代表人（单位负责人）签字的，应附法定代表人（单位负责人）身份证明书；由委托代理人签字的，应附联合体协议签订授权委托书（格式自拟）。</w:t>
      </w:r>
    </w:p>
    <w:p w14:paraId="15E88007">
      <w:pPr>
        <w:pStyle w:val="7"/>
        <w:overflowPunct w:val="0"/>
        <w:spacing w:line="360" w:lineRule="auto"/>
        <w:ind w:firstLineChars="175"/>
        <w:contextualSpacing/>
        <w:rPr>
          <w:rFonts w:hint="eastAsia" w:ascii="宋体" w:hAnsi="宋体" w:cs="仿宋_GB2312"/>
          <w:color w:val="auto"/>
          <w:sz w:val="24"/>
          <w:szCs w:val="24"/>
          <w:highlight w:val="none"/>
        </w:rPr>
      </w:pPr>
    </w:p>
    <w:p w14:paraId="73C576F0">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联合体牵头人名称（盖公章）：</w:t>
      </w:r>
    </w:p>
    <w:p w14:paraId="1BEE38AF">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法定代表人（单位负责人）或者其委托代理人（签字）：</w:t>
      </w:r>
    </w:p>
    <w:p w14:paraId="20084446">
      <w:pPr>
        <w:pStyle w:val="7"/>
        <w:overflowPunct w:val="0"/>
        <w:spacing w:line="360" w:lineRule="auto"/>
        <w:ind w:firstLine="0"/>
        <w:contextualSpacing/>
        <w:rPr>
          <w:rFonts w:hint="eastAsia" w:ascii="宋体" w:hAnsi="宋体" w:cs="仿宋_GB2312"/>
          <w:color w:val="auto"/>
          <w:sz w:val="24"/>
          <w:szCs w:val="24"/>
          <w:highlight w:val="none"/>
        </w:rPr>
      </w:pPr>
    </w:p>
    <w:p w14:paraId="41A59BA7">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w:t>
      </w:r>
    </w:p>
    <w:p w14:paraId="56546F21">
      <w:pPr>
        <w:pStyle w:val="7"/>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法定代表人（单位负责人）或者其委托代理人（签字）：</w:t>
      </w:r>
    </w:p>
    <w:p w14:paraId="040C08CB">
      <w:pPr>
        <w:pStyle w:val="7"/>
        <w:overflowPunct w:val="0"/>
        <w:spacing w:line="360" w:lineRule="auto"/>
        <w:ind w:firstLine="0"/>
        <w:contextualSpacing/>
        <w:rPr>
          <w:rFonts w:hint="eastAsia" w:ascii="宋体" w:hAnsi="宋体" w:cs="仿宋_GB2312"/>
          <w:color w:val="auto"/>
          <w:sz w:val="24"/>
          <w:szCs w:val="24"/>
          <w:highlight w:val="none"/>
        </w:rPr>
      </w:pPr>
    </w:p>
    <w:p w14:paraId="5F24B844">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w:t>
      </w:r>
    </w:p>
    <w:p w14:paraId="6B9395C1">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法定代表人（单位负责人）或者其委托代理人（签字）：</w:t>
      </w:r>
    </w:p>
    <w:p w14:paraId="0DCB13F3">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14:paraId="3E9C352F">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1DA1890E">
      <w:pPr>
        <w:rPr>
          <w:rFonts w:ascii="宋体" w:cs="宋体"/>
          <w:color w:val="auto"/>
          <w:sz w:val="24"/>
          <w:highlight w:val="none"/>
        </w:rPr>
      </w:pPr>
      <w:r>
        <w:rPr>
          <w:rFonts w:ascii="宋体" w:cs="宋体"/>
          <w:color w:val="auto"/>
          <w:sz w:val="24"/>
          <w:highlight w:val="none"/>
        </w:rPr>
        <w:br w:type="page"/>
      </w:r>
    </w:p>
    <w:p w14:paraId="213C03B2">
      <w:pPr>
        <w:snapToGrid w:val="0"/>
        <w:spacing w:beforeLines="50" w:after="50" w:line="360" w:lineRule="auto"/>
        <w:ind w:right="480"/>
        <w:rPr>
          <w:rFonts w:asci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409330F9">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报价商务技术文件封面格式</w:t>
      </w:r>
    </w:p>
    <w:p w14:paraId="0D75BF78">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101284BB">
      <w:pPr>
        <w:snapToGrid w:val="0"/>
        <w:spacing w:beforeLines="50" w:after="50"/>
        <w:rPr>
          <w:rFonts w:ascii="宋体" w:cs="宋体"/>
          <w:color w:val="auto"/>
          <w:sz w:val="24"/>
          <w:szCs w:val="20"/>
          <w:highlight w:val="none"/>
        </w:rPr>
      </w:pPr>
    </w:p>
    <w:p w14:paraId="43829BFA">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5122626E">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1A92F627">
      <w:pPr>
        <w:snapToGrid w:val="0"/>
        <w:spacing w:beforeLines="50" w:after="50"/>
        <w:rPr>
          <w:rFonts w:ascii="宋体" w:cs="宋体"/>
          <w:bCs/>
          <w:color w:val="auto"/>
          <w:sz w:val="24"/>
          <w:szCs w:val="20"/>
          <w:highlight w:val="none"/>
        </w:rPr>
      </w:pPr>
    </w:p>
    <w:p w14:paraId="63AD94AF">
      <w:pPr>
        <w:snapToGrid w:val="0"/>
        <w:spacing w:beforeLines="50" w:after="50"/>
        <w:rPr>
          <w:rFonts w:ascii="宋体" w:cs="宋体"/>
          <w:bCs/>
          <w:color w:val="auto"/>
          <w:sz w:val="24"/>
          <w:szCs w:val="20"/>
          <w:highlight w:val="none"/>
        </w:rPr>
      </w:pPr>
    </w:p>
    <w:p w14:paraId="1A998AC0">
      <w:pPr>
        <w:snapToGrid w:val="0"/>
        <w:spacing w:beforeLines="50" w:after="50"/>
        <w:rPr>
          <w:rFonts w:ascii="宋体" w:cs="宋体"/>
          <w:bCs/>
          <w:color w:val="auto"/>
          <w:sz w:val="24"/>
          <w:szCs w:val="20"/>
          <w:highlight w:val="none"/>
        </w:rPr>
      </w:pPr>
    </w:p>
    <w:p w14:paraId="1A97269F">
      <w:pPr>
        <w:snapToGrid w:val="0"/>
        <w:spacing w:beforeLines="50" w:after="50"/>
        <w:rPr>
          <w:rFonts w:ascii="宋体" w:cs="宋体"/>
          <w:bCs/>
          <w:color w:val="auto"/>
          <w:sz w:val="24"/>
          <w:szCs w:val="20"/>
          <w:highlight w:val="none"/>
        </w:rPr>
      </w:pPr>
    </w:p>
    <w:p w14:paraId="79EC65F1">
      <w:pPr>
        <w:snapToGrid w:val="0"/>
        <w:spacing w:beforeLines="50" w:after="50"/>
        <w:rPr>
          <w:rFonts w:ascii="宋体" w:cs="宋体"/>
          <w:bCs/>
          <w:color w:val="auto"/>
          <w:sz w:val="24"/>
          <w:szCs w:val="20"/>
          <w:highlight w:val="none"/>
        </w:rPr>
      </w:pPr>
    </w:p>
    <w:p w14:paraId="55F488C5">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05E0F536">
      <w:pPr>
        <w:snapToGrid w:val="0"/>
        <w:spacing w:beforeLines="50" w:after="50"/>
        <w:ind w:firstLine="720" w:firstLineChars="225"/>
        <w:rPr>
          <w:rFonts w:ascii="宋体" w:cs="宋体"/>
          <w:bCs/>
          <w:color w:val="auto"/>
          <w:sz w:val="32"/>
          <w:szCs w:val="32"/>
          <w:highlight w:val="none"/>
        </w:rPr>
      </w:pPr>
    </w:p>
    <w:p w14:paraId="477A9459">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2395A7FD">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16E95ED2">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50D74E76">
      <w:pPr>
        <w:snapToGrid w:val="0"/>
        <w:spacing w:beforeLines="50" w:after="50"/>
        <w:ind w:firstLine="720" w:firstLineChars="225"/>
        <w:rPr>
          <w:rFonts w:ascii="宋体" w:cs="宋体"/>
          <w:bCs/>
          <w:color w:val="auto"/>
          <w:sz w:val="32"/>
          <w:szCs w:val="32"/>
          <w:highlight w:val="none"/>
        </w:rPr>
      </w:pPr>
    </w:p>
    <w:p w14:paraId="0E0D2BF6">
      <w:pPr>
        <w:pStyle w:val="7"/>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1DD5D162">
      <w:pPr>
        <w:pStyle w:val="7"/>
        <w:snapToGrid w:val="0"/>
        <w:spacing w:before="50" w:after="50"/>
        <w:ind w:firstLine="720" w:firstLineChars="225"/>
        <w:rPr>
          <w:rFonts w:ascii="宋体" w:cs="宋体"/>
          <w:bCs/>
          <w:color w:val="auto"/>
          <w:sz w:val="32"/>
          <w:szCs w:val="32"/>
          <w:highlight w:val="none"/>
        </w:rPr>
      </w:pPr>
    </w:p>
    <w:p w14:paraId="78AC1F06">
      <w:pPr>
        <w:pStyle w:val="7"/>
        <w:snapToGrid w:val="0"/>
        <w:spacing w:before="50" w:after="50"/>
        <w:ind w:firstLine="720" w:firstLineChars="225"/>
        <w:rPr>
          <w:rFonts w:ascii="宋体" w:cs="宋体"/>
          <w:bCs/>
          <w:color w:val="auto"/>
          <w:sz w:val="32"/>
          <w:szCs w:val="32"/>
          <w:highlight w:val="none"/>
        </w:rPr>
      </w:pPr>
    </w:p>
    <w:p w14:paraId="600E0D7C">
      <w:pPr>
        <w:pStyle w:val="7"/>
        <w:snapToGrid w:val="0"/>
        <w:spacing w:before="50" w:after="50"/>
        <w:ind w:firstLine="1280" w:firstLineChars="400"/>
        <w:rPr>
          <w:rFonts w:ascii="宋体" w:cs="宋体"/>
          <w:bCs/>
          <w:color w:val="auto"/>
          <w:sz w:val="32"/>
          <w:szCs w:val="32"/>
          <w:highlight w:val="none"/>
        </w:rPr>
      </w:pPr>
    </w:p>
    <w:p w14:paraId="3A18476E">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5E6F43FB">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报价商务技术文件目录</w:t>
      </w:r>
    </w:p>
    <w:p w14:paraId="2B6A3709">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80812BD">
      <w:pPr>
        <w:spacing w:line="400" w:lineRule="exact"/>
        <w:rPr>
          <w:rFonts w:ascii="宋体" w:cs="宋体"/>
          <w:color w:val="auto"/>
          <w:sz w:val="32"/>
          <w:szCs w:val="32"/>
          <w:highlight w:val="none"/>
        </w:rPr>
      </w:pPr>
    </w:p>
    <w:p w14:paraId="7446F960">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48508FDC">
      <w:pPr>
        <w:spacing w:line="360" w:lineRule="auto"/>
        <w:ind w:firstLine="640" w:firstLineChars="200"/>
        <w:contextualSpacing/>
        <w:rPr>
          <w:rFonts w:ascii="宋体" w:cs="宋体"/>
          <w:color w:val="auto"/>
          <w:sz w:val="32"/>
          <w:szCs w:val="32"/>
          <w:highlight w:val="none"/>
        </w:rPr>
      </w:pPr>
    </w:p>
    <w:p w14:paraId="2DA73123">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694C82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r>
        <w:rPr>
          <w:rFonts w:ascii="宋体" w:hAnsi="宋体" w:cs="宋体"/>
          <w:color w:val="auto"/>
          <w:sz w:val="24"/>
          <w:highlight w:val="none"/>
        </w:rPr>
        <w:t xml:space="preserve"> </w:t>
      </w:r>
    </w:p>
    <w:p w14:paraId="1488201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378D2F5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0A14846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14:paraId="0BB58A4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1F076FE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6F7C21DE">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18378AF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4FB3C5D4">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2C61AC7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51BD51F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5A58214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3140C3D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6A025C6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F6F7CA1">
      <w:pPr>
        <w:spacing w:line="360" w:lineRule="auto"/>
        <w:ind w:firstLine="480" w:firstLineChars="200"/>
        <w:contextualSpacing/>
        <w:rPr>
          <w:rFonts w:ascii="宋体" w:cs="宋体"/>
          <w:color w:val="auto"/>
          <w:sz w:val="24"/>
          <w:highlight w:val="none"/>
        </w:rPr>
      </w:pPr>
    </w:p>
    <w:p w14:paraId="47D0F1A8">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65C3BE8">
      <w:pPr>
        <w:spacing w:line="360" w:lineRule="auto"/>
        <w:contextualSpacing/>
        <w:rPr>
          <w:rFonts w:ascii="宋体" w:cs="宋体"/>
          <w:color w:val="auto"/>
          <w:sz w:val="24"/>
          <w:highlight w:val="none"/>
        </w:rPr>
      </w:pPr>
    </w:p>
    <w:p w14:paraId="0127D225">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p>
    <w:p w14:paraId="17D784AA">
      <w:pPr>
        <w:spacing w:line="360" w:lineRule="auto"/>
        <w:ind w:firstLine="480" w:firstLineChars="200"/>
        <w:contextualSpacing/>
        <w:jc w:val="center"/>
        <w:rPr>
          <w:rFonts w:ascii="宋体" w:cs="宋体"/>
          <w:color w:val="auto"/>
          <w:sz w:val="32"/>
          <w:szCs w:val="32"/>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1F5D489">
      <w:pPr>
        <w:pStyle w:val="23"/>
        <w:tabs>
          <w:tab w:val="right" w:leader="dot" w:pos="8398"/>
        </w:tabs>
        <w:rPr>
          <w:color w:val="auto"/>
          <w:highlight w:val="none"/>
        </w:rPr>
      </w:pPr>
      <w:r>
        <w:rPr>
          <w:rFonts w:ascii="宋体" w:cs="宋体"/>
          <w:bCs/>
          <w:color w:val="auto"/>
          <w:sz w:val="44"/>
          <w:szCs w:val="44"/>
          <w:highlight w:val="none"/>
        </w:rPr>
        <w:br w:type="page"/>
      </w:r>
    </w:p>
    <w:p w14:paraId="0EAFA444">
      <w:pPr>
        <w:spacing w:line="520" w:lineRule="exact"/>
        <w:jc w:val="center"/>
        <w:rPr>
          <w:rFonts w:ascii="宋体" w:cs="宋体"/>
          <w:bCs/>
          <w:color w:val="auto"/>
          <w:sz w:val="32"/>
          <w:szCs w:val="32"/>
          <w:highlight w:val="none"/>
        </w:rPr>
      </w:pP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14:paraId="03FA49BD">
      <w:pPr>
        <w:spacing w:line="440" w:lineRule="exact"/>
        <w:jc w:val="center"/>
        <w:rPr>
          <w:rFonts w:ascii="宋体" w:cs="宋体"/>
          <w:bCs/>
          <w:color w:val="auto"/>
          <w:sz w:val="32"/>
          <w:szCs w:val="32"/>
          <w:highlight w:val="none"/>
        </w:rPr>
      </w:pPr>
    </w:p>
    <w:p w14:paraId="4313325B">
      <w:pPr>
        <w:spacing w:line="360" w:lineRule="auto"/>
        <w:contextualSpacing/>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p w14:paraId="3FC6213A">
      <w:pPr>
        <w:spacing w:line="360" w:lineRule="auto"/>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20A6A26">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单位：元</w:t>
      </w:r>
    </w:p>
    <w:tbl>
      <w:tblPr>
        <w:tblStyle w:val="32"/>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14C2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5910A7BB">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序号</w:t>
            </w:r>
          </w:p>
        </w:tc>
        <w:tc>
          <w:tcPr>
            <w:tcW w:w="2633" w:type="dxa"/>
            <w:vAlign w:val="center"/>
          </w:tcPr>
          <w:p w14:paraId="36B518C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标的名称</w:t>
            </w:r>
          </w:p>
        </w:tc>
        <w:tc>
          <w:tcPr>
            <w:tcW w:w="1009" w:type="dxa"/>
            <w:vAlign w:val="center"/>
          </w:tcPr>
          <w:p w14:paraId="6DB167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数量</w:t>
            </w:r>
          </w:p>
        </w:tc>
        <w:tc>
          <w:tcPr>
            <w:tcW w:w="767" w:type="dxa"/>
            <w:vAlign w:val="center"/>
          </w:tcPr>
          <w:p w14:paraId="5D160FC0">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单位</w:t>
            </w:r>
          </w:p>
        </w:tc>
        <w:tc>
          <w:tcPr>
            <w:tcW w:w="2044" w:type="dxa"/>
            <w:vAlign w:val="center"/>
          </w:tcPr>
          <w:p w14:paraId="6AC3120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单价</w:t>
            </w:r>
          </w:p>
        </w:tc>
        <w:tc>
          <w:tcPr>
            <w:tcW w:w="1303" w:type="dxa"/>
            <w:vAlign w:val="center"/>
          </w:tcPr>
          <w:p w14:paraId="7DD6C6E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总价</w:t>
            </w:r>
          </w:p>
        </w:tc>
        <w:tc>
          <w:tcPr>
            <w:tcW w:w="1327" w:type="dxa"/>
            <w:vAlign w:val="center"/>
          </w:tcPr>
          <w:p w14:paraId="3AAA9613">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备注</w:t>
            </w:r>
          </w:p>
        </w:tc>
      </w:tr>
      <w:tr w14:paraId="1DE3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2A93D2EE">
            <w:pPr>
              <w:spacing w:line="360" w:lineRule="auto"/>
              <w:contextualSpacing/>
              <w:jc w:val="center"/>
              <w:rPr>
                <w:rFonts w:ascii="宋体" w:cs="宋体"/>
                <w:color w:val="auto"/>
                <w:sz w:val="24"/>
                <w:highlight w:val="none"/>
              </w:rPr>
            </w:pPr>
            <w:r>
              <w:rPr>
                <w:rFonts w:ascii="宋体" w:hAnsi="宋体" w:cs="宋体"/>
                <w:color w:val="auto"/>
                <w:sz w:val="24"/>
                <w:highlight w:val="none"/>
              </w:rPr>
              <w:t>1</w:t>
            </w:r>
          </w:p>
        </w:tc>
        <w:tc>
          <w:tcPr>
            <w:tcW w:w="2633" w:type="dxa"/>
            <w:vAlign w:val="center"/>
          </w:tcPr>
          <w:p w14:paraId="34B52D76">
            <w:pPr>
              <w:spacing w:line="360" w:lineRule="auto"/>
              <w:contextualSpacing/>
              <w:jc w:val="center"/>
              <w:rPr>
                <w:rFonts w:ascii="宋体" w:cs="宋体"/>
                <w:color w:val="auto"/>
                <w:sz w:val="24"/>
                <w:highlight w:val="none"/>
              </w:rPr>
            </w:pPr>
          </w:p>
        </w:tc>
        <w:tc>
          <w:tcPr>
            <w:tcW w:w="1009" w:type="dxa"/>
            <w:vAlign w:val="center"/>
          </w:tcPr>
          <w:p w14:paraId="1AABD3E1">
            <w:pPr>
              <w:spacing w:line="360" w:lineRule="auto"/>
              <w:contextualSpacing/>
              <w:jc w:val="center"/>
              <w:rPr>
                <w:rFonts w:ascii="宋体" w:cs="宋体"/>
                <w:color w:val="auto"/>
                <w:sz w:val="24"/>
                <w:highlight w:val="none"/>
              </w:rPr>
            </w:pPr>
          </w:p>
        </w:tc>
        <w:tc>
          <w:tcPr>
            <w:tcW w:w="767" w:type="dxa"/>
          </w:tcPr>
          <w:p w14:paraId="37B81904">
            <w:pPr>
              <w:spacing w:line="360" w:lineRule="auto"/>
              <w:contextualSpacing/>
              <w:rPr>
                <w:rFonts w:ascii="宋体" w:cs="宋体"/>
                <w:color w:val="auto"/>
                <w:sz w:val="24"/>
                <w:highlight w:val="none"/>
              </w:rPr>
            </w:pPr>
          </w:p>
        </w:tc>
        <w:tc>
          <w:tcPr>
            <w:tcW w:w="2044" w:type="dxa"/>
          </w:tcPr>
          <w:p w14:paraId="2E73BD10">
            <w:pPr>
              <w:spacing w:line="360" w:lineRule="auto"/>
              <w:contextualSpacing/>
              <w:rPr>
                <w:rFonts w:ascii="宋体" w:cs="宋体"/>
                <w:color w:val="auto"/>
                <w:sz w:val="24"/>
                <w:highlight w:val="none"/>
              </w:rPr>
            </w:pPr>
          </w:p>
        </w:tc>
        <w:tc>
          <w:tcPr>
            <w:tcW w:w="1303" w:type="dxa"/>
          </w:tcPr>
          <w:p w14:paraId="42E8A26C">
            <w:pPr>
              <w:spacing w:line="360" w:lineRule="auto"/>
              <w:contextualSpacing/>
              <w:rPr>
                <w:rFonts w:ascii="宋体" w:cs="宋体"/>
                <w:color w:val="auto"/>
                <w:sz w:val="24"/>
                <w:highlight w:val="none"/>
              </w:rPr>
            </w:pPr>
          </w:p>
        </w:tc>
        <w:tc>
          <w:tcPr>
            <w:tcW w:w="1327" w:type="dxa"/>
            <w:vAlign w:val="center"/>
          </w:tcPr>
          <w:p w14:paraId="678A745D">
            <w:pPr>
              <w:spacing w:line="360" w:lineRule="auto"/>
              <w:contextualSpacing/>
              <w:rPr>
                <w:rFonts w:ascii="宋体" w:cs="宋体"/>
                <w:color w:val="auto"/>
                <w:sz w:val="24"/>
                <w:highlight w:val="none"/>
              </w:rPr>
            </w:pPr>
          </w:p>
        </w:tc>
      </w:tr>
      <w:tr w14:paraId="652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76B84293">
            <w:pPr>
              <w:spacing w:line="360" w:lineRule="auto"/>
              <w:contextualSpacing/>
              <w:rPr>
                <w:rFonts w:ascii="宋体" w:cs="宋体"/>
                <w:color w:val="auto"/>
                <w:sz w:val="24"/>
                <w:highlight w:val="none"/>
              </w:rPr>
            </w:pPr>
            <w:r>
              <w:rPr>
                <w:rFonts w:hint="eastAsia" w:ascii="宋体" w:hAnsi="宋体" w:cs="宋体"/>
                <w:color w:val="auto"/>
                <w:sz w:val="24"/>
                <w:highlight w:val="none"/>
              </w:rPr>
              <w:t>合计金额大写：人民币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14:paraId="3253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5398C236">
            <w:pPr>
              <w:spacing w:line="360" w:lineRule="auto"/>
              <w:contextualSpacing/>
              <w:rPr>
                <w:rFonts w:ascii="宋体" w:cs="宋体"/>
                <w:color w:val="auto"/>
                <w:sz w:val="24"/>
                <w:highlight w:val="none"/>
              </w:rPr>
            </w:pPr>
            <w:r>
              <w:rPr>
                <w:rFonts w:hint="eastAsia" w:ascii="宋体" w:hAnsi="宋体" w:cs="宋体"/>
                <w:color w:val="auto"/>
                <w:sz w:val="24"/>
                <w:highlight w:val="none"/>
              </w:rPr>
              <w:t>合同履约期限：</w:t>
            </w:r>
          </w:p>
        </w:tc>
      </w:tr>
    </w:tbl>
    <w:p w14:paraId="25E0E630">
      <w:pPr>
        <w:spacing w:line="360" w:lineRule="auto"/>
        <w:contextualSpacing/>
        <w:jc w:val="left"/>
        <w:rPr>
          <w:rFonts w:ascii="宋体" w:cs="宋体"/>
          <w:color w:val="auto"/>
          <w:sz w:val="24"/>
          <w:highlight w:val="none"/>
        </w:rPr>
      </w:pPr>
    </w:p>
    <w:p w14:paraId="404F627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5B02BBC">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1.供应商的报价表必须加盖供应商公章并由法定代表人或者委托代理人签字，</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59A7CF9A">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报价一经涂改，应在涂改处加盖供应商公章或者由法定代表人或者委托代理人签字或者盖章</w:t>
      </w:r>
      <w:r>
        <w:rPr>
          <w:rFonts w:hint="eastAsia" w:ascii="宋体" w:hAnsi="宋体" w:cs="仿宋_GB2312"/>
          <w:b/>
          <w:color w:val="auto"/>
          <w:sz w:val="24"/>
          <w:highlight w:val="none"/>
        </w:rPr>
        <w:t>，否则其响应文件按无效响应处理。</w:t>
      </w:r>
    </w:p>
    <w:p w14:paraId="43AEF998">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7F407500">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.如为联合体竞标，盖章处加盖联合体牵头人公章</w:t>
      </w:r>
      <w:r>
        <w:rPr>
          <w:rFonts w:hint="eastAsia" w:ascii="宋体" w:hAnsi="宋体" w:cs="仿宋_GB2312"/>
          <w:color w:val="auto"/>
          <w:sz w:val="24"/>
          <w:highlight w:val="none"/>
          <w:lang w:val="en-US" w:eastAsia="zh-CN"/>
        </w:rPr>
        <w:t>即可</w:t>
      </w:r>
      <w:r>
        <w:rPr>
          <w:rFonts w:hint="eastAsia" w:ascii="宋体" w:hAnsi="宋体" w:cs="仿宋_GB2312"/>
          <w:color w:val="auto"/>
          <w:sz w:val="24"/>
          <w:highlight w:val="none"/>
        </w:rPr>
        <w:t>，</w:t>
      </w:r>
      <w:bookmarkStart w:id="53" w:name="_Hlk65851776"/>
      <w:r>
        <w:rPr>
          <w:rFonts w:hint="eastAsia" w:ascii="宋体" w:hAnsi="宋体" w:cs="仿宋_GB2312"/>
          <w:b/>
          <w:color w:val="auto"/>
          <w:sz w:val="24"/>
          <w:highlight w:val="none"/>
        </w:rPr>
        <w:t>否则其响应文件按无效响应处理。</w:t>
      </w:r>
      <w:bookmarkEnd w:id="53"/>
    </w:p>
    <w:p w14:paraId="490E87B3">
      <w:pPr>
        <w:spacing w:line="360" w:lineRule="auto"/>
        <w:ind w:firstLine="480" w:firstLineChars="200"/>
        <w:contextualSpacing/>
        <w:jc w:val="left"/>
        <w:rPr>
          <w:rFonts w:ascii="宋体" w:cs="宋体"/>
          <w:b/>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0E9FB131">
      <w:pPr>
        <w:spacing w:line="360" w:lineRule="auto"/>
        <w:ind w:right="-817" w:rightChars="-389"/>
        <w:contextualSpacing/>
        <w:rPr>
          <w:rFonts w:ascii="宋体" w:cs="宋体"/>
          <w:color w:val="auto"/>
          <w:sz w:val="24"/>
          <w:highlight w:val="none"/>
        </w:rPr>
      </w:pPr>
    </w:p>
    <w:p w14:paraId="48E3D138">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28D919A3">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15AF3E03">
      <w:pPr>
        <w:spacing w:line="360" w:lineRule="auto"/>
        <w:ind w:right="-817" w:rightChars="-389" w:firstLine="4080" w:firstLineChars="1700"/>
        <w:contextualSpacing/>
        <w:rPr>
          <w:rFonts w:ascii="宋体" w:cs="宋体"/>
          <w:b/>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3A7C0F7">
      <w:pPr>
        <w:spacing w:beforeLines="100" w:afterLines="50" w:line="520" w:lineRule="exact"/>
        <w:jc w:val="center"/>
        <w:rPr>
          <w:rFonts w:ascii="宋体" w:cs="宋体"/>
          <w:color w:val="auto"/>
          <w:sz w:val="32"/>
          <w:szCs w:val="32"/>
          <w:highlight w:val="none"/>
        </w:rPr>
      </w:pPr>
      <w:r>
        <w:rPr>
          <w:rFonts w:asci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7CC0CA3F">
      <w:pPr>
        <w:spacing w:line="360" w:lineRule="auto"/>
        <w:ind w:left="540"/>
        <w:contextualSpacing/>
        <w:rPr>
          <w:rFonts w:ascii="宋体" w:cs="宋体"/>
          <w:color w:val="auto"/>
          <w:sz w:val="32"/>
          <w:szCs w:val="32"/>
          <w:highlight w:val="none"/>
        </w:rPr>
      </w:pPr>
    </w:p>
    <w:p w14:paraId="598C9901">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73350433">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0C247EEF">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3E229B74">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102FA367">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050F3E6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9752458">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5CC60327">
      <w:pPr>
        <w:spacing w:line="360" w:lineRule="auto"/>
        <w:ind w:left="540"/>
        <w:contextualSpacing/>
        <w:rPr>
          <w:rFonts w:ascii="宋体" w:cs="宋体"/>
          <w:color w:val="auto"/>
          <w:sz w:val="24"/>
          <w:highlight w:val="none"/>
        </w:rPr>
      </w:pPr>
    </w:p>
    <w:p w14:paraId="0E7DEC7F">
      <w:pPr>
        <w:spacing w:line="360" w:lineRule="auto"/>
        <w:ind w:left="540"/>
        <w:contextualSpacing/>
        <w:rPr>
          <w:rFonts w:ascii="宋体" w:cs="宋体"/>
          <w:color w:val="auto"/>
          <w:sz w:val="24"/>
          <w:highlight w:val="none"/>
        </w:rPr>
      </w:pPr>
    </w:p>
    <w:p w14:paraId="4ED1DCD7">
      <w:pPr>
        <w:spacing w:line="360" w:lineRule="auto"/>
        <w:ind w:left="540"/>
        <w:contextualSpacing/>
        <w:rPr>
          <w:rFonts w:ascii="宋体" w:cs="宋体"/>
          <w:color w:val="auto"/>
          <w:sz w:val="24"/>
          <w:highlight w:val="none"/>
        </w:rPr>
      </w:pPr>
    </w:p>
    <w:p w14:paraId="10582F7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586333DF">
      <w:pPr>
        <w:spacing w:line="360" w:lineRule="auto"/>
        <w:ind w:left="540"/>
        <w:contextualSpacing/>
        <w:rPr>
          <w:rFonts w:ascii="宋体" w:cs="宋体"/>
          <w:color w:val="auto"/>
          <w:sz w:val="24"/>
          <w:highlight w:val="none"/>
        </w:rPr>
      </w:pPr>
    </w:p>
    <w:p w14:paraId="36D408BF">
      <w:pPr>
        <w:spacing w:line="360" w:lineRule="auto"/>
        <w:ind w:left="54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3F5907FD">
      <w:pPr>
        <w:spacing w:line="360" w:lineRule="auto"/>
        <w:contextualSpacing/>
        <w:jc w:val="righ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412490F">
      <w:pPr>
        <w:spacing w:line="360" w:lineRule="auto"/>
        <w:contextualSpacing/>
        <w:jc w:val="center"/>
        <w:rPr>
          <w:rFonts w:ascii="宋体" w:cs="宋体"/>
          <w:b/>
          <w:color w:val="auto"/>
          <w:sz w:val="24"/>
          <w:highlight w:val="none"/>
        </w:rPr>
      </w:pPr>
    </w:p>
    <w:p w14:paraId="44562953">
      <w:pPr>
        <w:spacing w:line="360" w:lineRule="auto"/>
        <w:contextualSpacing/>
        <w:jc w:val="left"/>
        <w:rPr>
          <w:rFonts w:ascii="宋体" w:cs="宋体"/>
          <w:color w:val="auto"/>
          <w:sz w:val="24"/>
          <w:highlight w:val="none"/>
        </w:rPr>
      </w:pPr>
    </w:p>
    <w:p w14:paraId="5FDB06F1">
      <w:pPr>
        <w:adjustRightInd w:val="0"/>
        <w:snapToGrid w:val="0"/>
        <w:spacing w:line="300" w:lineRule="auto"/>
        <w:jc w:val="left"/>
        <w:rPr>
          <w:rFonts w:ascii="宋体" w:cs="宋体"/>
          <w:b/>
          <w:color w:val="auto"/>
          <w:szCs w:val="21"/>
          <w:highlight w:val="none"/>
        </w:rPr>
      </w:pPr>
    </w:p>
    <w:p w14:paraId="27ABC1E5">
      <w:pPr>
        <w:spacing w:line="500" w:lineRule="exact"/>
        <w:jc w:val="left"/>
        <w:rPr>
          <w:rFonts w:ascii="宋体" w:cs="宋体"/>
          <w:color w:val="auto"/>
          <w:sz w:val="44"/>
          <w:szCs w:val="44"/>
          <w:highlight w:val="none"/>
        </w:rPr>
      </w:pPr>
      <w:r>
        <w:rPr>
          <w:rFonts w:hint="eastAsia" w:ascii="宋体" w:hAnsi="宋体" w:cs="仿宋_GB2312"/>
          <w:color w:val="auto"/>
          <w:sz w:val="24"/>
          <w:highlight w:val="none"/>
        </w:rPr>
        <w:t>注：自然人竞标的无需提供，联合体竞标的只需牵头人出具。</w:t>
      </w:r>
      <w:r>
        <w:rPr>
          <w:rFonts w:ascii="宋体" w:cs="宋体"/>
          <w:color w:val="auto"/>
          <w:sz w:val="44"/>
          <w:szCs w:val="44"/>
          <w:highlight w:val="none"/>
        </w:rPr>
        <w:br w:type="page"/>
      </w:r>
      <w:r>
        <w:rPr>
          <w:rFonts w:ascii="宋体" w:hAnsi="宋体" w:cs="宋体"/>
          <w:color w:val="auto"/>
          <w:sz w:val="44"/>
          <w:szCs w:val="44"/>
          <w:highlight w:val="none"/>
        </w:rPr>
        <w:t xml:space="preserve"> </w:t>
      </w:r>
    </w:p>
    <w:p w14:paraId="2D7FFF2B">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54" w:name="_Hlk65853643"/>
      <w:r>
        <w:rPr>
          <w:rFonts w:hint="eastAsia" w:ascii="方正小标宋简体" w:hAnsi="方正小标宋简体" w:eastAsia="方正小标宋简体" w:cs="方正小标宋简体"/>
          <w:color w:val="auto"/>
          <w:sz w:val="44"/>
          <w:szCs w:val="44"/>
          <w:highlight w:val="none"/>
        </w:rPr>
        <w:t>授权委托书</w:t>
      </w:r>
    </w:p>
    <w:p w14:paraId="64A16A69">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7324DF3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073AE9A">
      <w:pPr>
        <w:spacing w:line="520" w:lineRule="exact"/>
        <w:rPr>
          <w:rFonts w:hint="eastAsia" w:ascii="仿宋_GB2312" w:hAnsi="仿宋_GB2312" w:eastAsia="仿宋_GB2312" w:cs="仿宋_GB2312"/>
          <w:color w:val="auto"/>
          <w:sz w:val="32"/>
          <w:szCs w:val="32"/>
          <w:highlight w:val="none"/>
        </w:rPr>
      </w:pPr>
    </w:p>
    <w:p w14:paraId="44C9E2C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58D1AD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663307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908C3E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1E314F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9EF064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0E6F089E">
      <w:pPr>
        <w:spacing w:line="360" w:lineRule="auto"/>
        <w:rPr>
          <w:rFonts w:hint="eastAsia" w:ascii="宋体" w:hAnsi="宋体" w:cs="仿宋_GB2312"/>
          <w:color w:val="auto"/>
          <w:sz w:val="24"/>
          <w:highlight w:val="none"/>
        </w:rPr>
      </w:pPr>
    </w:p>
    <w:p w14:paraId="0154A60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2F95343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372068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0E06FCE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供应商（盖公章）：                      </w:t>
      </w:r>
    </w:p>
    <w:p w14:paraId="23154F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82486A0">
      <w:pPr>
        <w:spacing w:line="360" w:lineRule="auto"/>
        <w:rPr>
          <w:rFonts w:hint="eastAsia" w:ascii="宋体" w:hAnsi="宋体" w:cs="仿宋_GB2312"/>
          <w:color w:val="auto"/>
          <w:sz w:val="24"/>
          <w:highlight w:val="none"/>
        </w:rPr>
      </w:pPr>
    </w:p>
    <w:p w14:paraId="3E6047E1">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584EB8A0">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55" w:name="_Hlk65853109"/>
      <w:bookmarkStart w:id="56" w:name="_Hlk65853542"/>
      <w:r>
        <w:rPr>
          <w:rFonts w:hint="eastAsia" w:ascii="宋体" w:hAnsi="宋体" w:cs="仿宋_GB2312"/>
          <w:color w:val="auto"/>
          <w:sz w:val="24"/>
          <w:highlight w:val="none"/>
        </w:rPr>
        <w:t>法人、其他组织竞标时“我方”是指“我单位”，自然人竞标时“我方”是指“本人”。</w:t>
      </w:r>
      <w:bookmarkEnd w:id="55"/>
    </w:p>
    <w:bookmarkEnd w:id="56"/>
    <w:p w14:paraId="4ACC6075">
      <w:pPr>
        <w:spacing w:line="360" w:lineRule="auto"/>
        <w:ind w:firstLine="420" w:firstLineChars="200"/>
        <w:jc w:val="left"/>
        <w:rPr>
          <w:rFonts w:hint="eastAsia" w:ascii="仿宋_GB2312" w:hAnsi="仿宋_GB2312" w:eastAsia="仿宋_GB2312" w:cs="仿宋_GB2312"/>
          <w:color w:val="auto"/>
          <w:szCs w:val="21"/>
          <w:highlight w:val="none"/>
        </w:rPr>
      </w:pPr>
    </w:p>
    <w:p w14:paraId="31F4F17A">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3310ABB">
      <w:pPr>
        <w:spacing w:line="5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586ADD6C">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473A92D">
      <w:pPr>
        <w:spacing w:line="500" w:lineRule="exact"/>
        <w:jc w:val="center"/>
        <w:rPr>
          <w:rFonts w:ascii="方正小标宋简体" w:hAnsi="方正小标宋简体" w:eastAsia="方正小标宋简体" w:cs="方正小标宋简体"/>
          <w:color w:val="auto"/>
          <w:sz w:val="44"/>
          <w:szCs w:val="44"/>
          <w:highlight w:val="none"/>
        </w:rPr>
      </w:pPr>
    </w:p>
    <w:p w14:paraId="6050D6E7">
      <w:pPr>
        <w:spacing w:line="500" w:lineRule="exact"/>
        <w:jc w:val="center"/>
        <w:rPr>
          <w:rFonts w:hint="eastAsia" w:ascii="仿宋_GB2312" w:hAnsi="仿宋_GB2312" w:eastAsia="仿宋_GB2312" w:cs="仿宋_GB2312"/>
          <w:color w:val="auto"/>
          <w:sz w:val="32"/>
          <w:szCs w:val="32"/>
          <w:highlight w:val="none"/>
        </w:rPr>
      </w:pPr>
    </w:p>
    <w:p w14:paraId="0CFC0D5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4CA73CF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59A934E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0866C3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BE4163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附：法定代表人身份证明及委托代理人有效身份证正反面复印件</w:t>
      </w:r>
    </w:p>
    <w:p w14:paraId="15B2A49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牵头人法定代表人（签字或者盖章）：</w:t>
      </w:r>
    </w:p>
    <w:p w14:paraId="5C3EED8A">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牵头人（盖公章）：</w:t>
      </w:r>
    </w:p>
    <w:p w14:paraId="1F447321">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BA7C63C">
      <w:pPr>
        <w:spacing w:line="360" w:lineRule="auto"/>
        <w:rPr>
          <w:rFonts w:hint="eastAsia" w:ascii="宋体" w:hAnsi="宋体" w:cs="仿宋_GB2312"/>
          <w:color w:val="auto"/>
          <w:sz w:val="24"/>
          <w:highlight w:val="none"/>
        </w:rPr>
      </w:pPr>
    </w:p>
    <w:p w14:paraId="73EFE7CE">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366AD396">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104284F7">
      <w:pPr>
        <w:spacing w:line="360" w:lineRule="auto"/>
        <w:rPr>
          <w:rFonts w:hint="eastAsia" w:ascii="宋体" w:hAnsi="宋体" w:cs="仿宋_GB2312"/>
          <w:color w:val="auto"/>
          <w:sz w:val="24"/>
          <w:highlight w:val="none"/>
        </w:rPr>
      </w:pPr>
    </w:p>
    <w:p w14:paraId="66A21F1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1BB87300">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734628A1">
      <w:pPr>
        <w:spacing w:line="360" w:lineRule="auto"/>
        <w:ind w:firstLine="480" w:firstLineChars="200"/>
        <w:jc w:val="left"/>
        <w:rPr>
          <w:rFonts w:hint="eastAsia" w:ascii="宋体" w:hAnsi="宋体" w:cs="仿宋_GB2312"/>
          <w:color w:val="auto"/>
          <w:spacing w:val="-11"/>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pacing w:val="-11"/>
          <w:sz w:val="24"/>
          <w:highlight w:val="none"/>
        </w:rPr>
        <w:t>法人、其他组织竞标时“我方”是指“我单位”，自然人竞标时“我方”是指“本人”。</w:t>
      </w:r>
    </w:p>
    <w:p w14:paraId="0534BE61">
      <w:pPr>
        <w:spacing w:line="360" w:lineRule="auto"/>
        <w:ind w:firstLine="420" w:firstLineChars="200"/>
        <w:jc w:val="left"/>
        <w:rPr>
          <w:rFonts w:ascii="宋体" w:cs="宋体"/>
          <w:color w:val="auto"/>
          <w:szCs w:val="21"/>
          <w:highlight w:val="none"/>
        </w:rPr>
      </w:pPr>
    </w:p>
    <w:bookmarkEnd w:id="54"/>
    <w:p w14:paraId="06F47942">
      <w:pPr>
        <w:rPr>
          <w:rFonts w:ascii="宋体" w:cs="宋体"/>
          <w:bCs/>
          <w:color w:val="auto"/>
          <w:sz w:val="44"/>
          <w:szCs w:val="44"/>
          <w:highlight w:val="none"/>
        </w:rPr>
      </w:pPr>
      <w:r>
        <w:rPr>
          <w:rFonts w:ascii="宋体" w:cs="宋体"/>
          <w:bCs/>
          <w:color w:val="auto"/>
          <w:sz w:val="44"/>
          <w:szCs w:val="44"/>
          <w:highlight w:val="none"/>
        </w:rPr>
        <w:br w:type="page"/>
      </w:r>
    </w:p>
    <w:p w14:paraId="6A92ACAC">
      <w:pPr>
        <w:spacing w:line="500" w:lineRule="exact"/>
        <w:jc w:val="center"/>
        <w:rPr>
          <w:rFonts w:ascii="宋体" w:cs="宋体"/>
          <w:bCs/>
          <w:color w:val="auto"/>
          <w:sz w:val="44"/>
          <w:szCs w:val="44"/>
          <w:highlight w:val="none"/>
        </w:rPr>
      </w:pPr>
      <w:r>
        <w:rPr>
          <w:rFonts w:hint="eastAsia" w:ascii="宋体" w:hAnsi="宋体" w:cs="宋体"/>
          <w:bCs/>
          <w:color w:val="auto"/>
          <w:sz w:val="44"/>
          <w:szCs w:val="44"/>
          <w:highlight w:val="none"/>
        </w:rPr>
        <w:t>商务要求偏离表</w:t>
      </w:r>
    </w:p>
    <w:p w14:paraId="2E9A5E64">
      <w:pPr>
        <w:spacing w:line="360" w:lineRule="auto"/>
        <w:contextualSpacing/>
        <w:jc w:val="left"/>
        <w:rPr>
          <w:rFonts w:ascii="宋体" w:cs="宋体"/>
          <w:color w:val="auto"/>
          <w:sz w:val="24"/>
          <w:highlight w:val="none"/>
        </w:rPr>
      </w:pPr>
    </w:p>
    <w:p w14:paraId="6AD45F9E">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p>
    <w:p w14:paraId="2E7421ED">
      <w:pPr>
        <w:spacing w:line="360" w:lineRule="auto"/>
        <w:contextualSpacing/>
        <w:jc w:val="left"/>
        <w:rPr>
          <w:rFonts w:ascii="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7188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612996D4">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D8DFA9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D1EF32">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6FC8A6F8">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偏离说明</w:t>
            </w:r>
          </w:p>
        </w:tc>
      </w:tr>
      <w:tr w14:paraId="7E25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11CD9BA4">
            <w:pPr>
              <w:jc w:val="center"/>
              <w:rPr>
                <w:rFonts w:asci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660F5742">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6B2461">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6B12292">
            <w:pPr>
              <w:spacing w:line="360" w:lineRule="auto"/>
              <w:contextualSpacing/>
              <w:jc w:val="center"/>
              <w:rPr>
                <w:rFonts w:ascii="宋体" w:cs="宋体"/>
                <w:color w:val="auto"/>
                <w:sz w:val="24"/>
                <w:highlight w:val="none"/>
              </w:rPr>
            </w:pPr>
          </w:p>
        </w:tc>
      </w:tr>
      <w:tr w14:paraId="77F8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bottom w:val="single" w:color="auto" w:sz="4" w:space="0"/>
              <w:right w:val="single" w:color="auto" w:sz="4" w:space="0"/>
            </w:tcBorders>
            <w:vAlign w:val="center"/>
          </w:tcPr>
          <w:p w14:paraId="75FA95AB">
            <w:pPr>
              <w:jc w:val="center"/>
              <w:rPr>
                <w:rFonts w:asci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3036FDCF">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271057">
            <w:pPr>
              <w:spacing w:line="360" w:lineRule="auto"/>
              <w:ind w:left="43"/>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E93FD69">
            <w:pPr>
              <w:spacing w:line="360" w:lineRule="auto"/>
              <w:ind w:left="43"/>
              <w:contextualSpacing/>
              <w:jc w:val="center"/>
              <w:rPr>
                <w:rFonts w:ascii="宋体" w:cs="宋体"/>
                <w:color w:val="auto"/>
                <w:sz w:val="24"/>
                <w:highlight w:val="none"/>
              </w:rPr>
            </w:pPr>
          </w:p>
        </w:tc>
      </w:tr>
      <w:tr w14:paraId="2E9A8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B8FB17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04F4C7B">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9F46EB">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1E3D593">
            <w:pPr>
              <w:spacing w:line="360" w:lineRule="auto"/>
              <w:contextualSpacing/>
              <w:jc w:val="center"/>
              <w:rPr>
                <w:rFonts w:ascii="宋体" w:cs="宋体"/>
                <w:color w:val="auto"/>
                <w:sz w:val="24"/>
                <w:highlight w:val="none"/>
              </w:rPr>
            </w:pPr>
          </w:p>
        </w:tc>
      </w:tr>
      <w:tr w14:paraId="3242B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6C5B7E85">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49E9D574">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59C193E">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FF4C88C">
            <w:pPr>
              <w:spacing w:line="360" w:lineRule="auto"/>
              <w:contextualSpacing/>
              <w:jc w:val="center"/>
              <w:rPr>
                <w:rFonts w:ascii="宋体" w:cs="宋体"/>
                <w:color w:val="auto"/>
                <w:sz w:val="24"/>
                <w:highlight w:val="none"/>
              </w:rPr>
            </w:pPr>
          </w:p>
        </w:tc>
      </w:tr>
    </w:tbl>
    <w:p w14:paraId="47390503">
      <w:pPr>
        <w:pStyle w:val="14"/>
        <w:spacing w:after="0" w:line="360" w:lineRule="auto"/>
        <w:contextualSpacing/>
        <w:rPr>
          <w:rFonts w:ascii="宋体" w:cs="宋体"/>
          <w:color w:val="auto"/>
          <w:kern w:val="0"/>
          <w:sz w:val="24"/>
          <w:szCs w:val="24"/>
          <w:highlight w:val="none"/>
        </w:rPr>
      </w:pPr>
    </w:p>
    <w:p w14:paraId="5224F740">
      <w:pPr>
        <w:pStyle w:val="14"/>
        <w:spacing w:after="0" w:line="360" w:lineRule="auto"/>
        <w:ind w:firstLine="240" w:firstLineChars="100"/>
        <w:contextualSpacing/>
        <w:rPr>
          <w:rFonts w:ascii="宋体" w:cs="宋体"/>
          <w:color w:val="auto"/>
          <w:kern w:val="0"/>
          <w:sz w:val="24"/>
          <w:szCs w:val="24"/>
          <w:highlight w:val="none"/>
        </w:rPr>
      </w:pPr>
    </w:p>
    <w:p w14:paraId="4E2CC127">
      <w:pPr>
        <w:pStyle w:val="14"/>
        <w:spacing w:after="0" w:line="360" w:lineRule="auto"/>
        <w:ind w:firstLine="240" w:firstLineChars="100"/>
        <w:contextualSpacing/>
        <w:rPr>
          <w:rFonts w:ascii="宋体" w:cs="宋体"/>
          <w:color w:val="auto"/>
          <w:kern w:val="0"/>
          <w:sz w:val="24"/>
          <w:szCs w:val="24"/>
          <w:highlight w:val="none"/>
        </w:rPr>
      </w:pPr>
    </w:p>
    <w:p w14:paraId="5C7615BC">
      <w:pPr>
        <w:pStyle w:val="14"/>
        <w:spacing w:after="0" w:line="360" w:lineRule="auto"/>
        <w:ind w:firstLine="240" w:firstLineChars="100"/>
        <w:contextualSpacing/>
        <w:rPr>
          <w:rFonts w:ascii="宋体" w:cs="宋体"/>
          <w:color w:val="auto"/>
          <w:kern w:val="0"/>
          <w:sz w:val="24"/>
          <w:szCs w:val="24"/>
          <w:highlight w:val="none"/>
        </w:rPr>
      </w:pPr>
    </w:p>
    <w:p w14:paraId="1FCBCA46">
      <w:pPr>
        <w:pStyle w:val="14"/>
        <w:spacing w:after="0" w:line="360" w:lineRule="auto"/>
        <w:ind w:firstLine="240" w:firstLineChars="100"/>
        <w:contextualSpacing/>
        <w:rPr>
          <w:rFonts w:ascii="宋体" w:cs="宋体"/>
          <w:color w:val="auto"/>
          <w:kern w:val="0"/>
          <w:sz w:val="24"/>
          <w:szCs w:val="24"/>
          <w:highlight w:val="none"/>
        </w:rPr>
      </w:pPr>
    </w:p>
    <w:p w14:paraId="6BCD7684">
      <w:pPr>
        <w:pStyle w:val="14"/>
        <w:spacing w:after="0" w:line="360" w:lineRule="auto"/>
        <w:ind w:firstLine="240" w:firstLineChars="100"/>
        <w:contextualSpacing/>
        <w:rPr>
          <w:rFonts w:ascii="宋体" w:cs="宋体"/>
          <w:color w:val="auto"/>
          <w:kern w:val="0"/>
          <w:sz w:val="24"/>
          <w:szCs w:val="24"/>
          <w:highlight w:val="none"/>
        </w:rPr>
      </w:pPr>
    </w:p>
    <w:p w14:paraId="124B10EF">
      <w:pPr>
        <w:pStyle w:val="14"/>
        <w:spacing w:after="0" w:line="360" w:lineRule="auto"/>
        <w:ind w:firstLine="240" w:firstLineChars="100"/>
        <w:contextualSpacing/>
        <w:rPr>
          <w:rFonts w:ascii="宋体" w:cs="宋体"/>
          <w:color w:val="auto"/>
          <w:kern w:val="0"/>
          <w:sz w:val="24"/>
          <w:szCs w:val="24"/>
          <w:highlight w:val="none"/>
        </w:rPr>
      </w:pPr>
    </w:p>
    <w:p w14:paraId="7EFF4793">
      <w:pPr>
        <w:pStyle w:val="14"/>
        <w:spacing w:after="0" w:line="360" w:lineRule="auto"/>
        <w:ind w:firstLine="240" w:firstLineChars="100"/>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043C4E74">
      <w:pPr>
        <w:pStyle w:val="14"/>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说明：应对照磋商文件“第三章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采购需求”中的商务要求逐条作出明确响应，并作出偏离说明。</w:t>
      </w:r>
    </w:p>
    <w:p w14:paraId="608BCA49">
      <w:pPr>
        <w:spacing w:line="360" w:lineRule="auto"/>
        <w:contextualSpacing/>
        <w:jc w:val="left"/>
        <w:rPr>
          <w:rFonts w:ascii="宋体" w:cs="宋体"/>
          <w:color w:val="auto"/>
          <w:sz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供应商应根据自身的承诺，对照磋商文件要求在“偏离说明”中注明“正偏离”、“负偏离”或者“无偏离”。既不属于“正偏离”也不属于“负偏离”即为“无偏离”。</w:t>
      </w:r>
    </w:p>
    <w:p w14:paraId="1BEAE2B6">
      <w:pPr>
        <w:spacing w:line="360" w:lineRule="auto"/>
        <w:ind w:right="-817" w:rightChars="-389"/>
        <w:contextualSpacing/>
        <w:rPr>
          <w:rFonts w:ascii="宋体" w:cs="宋体"/>
          <w:color w:val="auto"/>
          <w:sz w:val="24"/>
          <w:highlight w:val="none"/>
        </w:rPr>
      </w:pPr>
    </w:p>
    <w:p w14:paraId="7ADBB66F">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0EEC26C8">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2CAD6F54">
      <w:pPr>
        <w:spacing w:line="360" w:lineRule="auto"/>
        <w:ind w:right="-817" w:rightChars="-389" w:firstLine="4800" w:firstLineChars="2000"/>
        <w:contextualSpacing/>
        <w:rPr>
          <w:rFonts w:ascii="宋体" w:cs="宋体"/>
          <w:b/>
          <w:color w:val="auto"/>
          <w:sz w:val="32"/>
          <w:szCs w:val="32"/>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56A1CFA">
      <w:pPr>
        <w:adjustRightInd w:val="0"/>
        <w:snapToGrid w:val="0"/>
        <w:spacing w:line="520" w:lineRule="exact"/>
        <w:ind w:firstLine="7040" w:firstLineChars="1600"/>
        <w:jc w:val="center"/>
        <w:rPr>
          <w:rFonts w:ascii="宋体" w:cs="宋体"/>
          <w:bCs/>
          <w:color w:val="auto"/>
          <w:sz w:val="44"/>
          <w:szCs w:val="44"/>
          <w:highlight w:val="none"/>
        </w:rPr>
      </w:pPr>
    </w:p>
    <w:p w14:paraId="5661DECA">
      <w:pPr>
        <w:adjustRightInd w:val="0"/>
        <w:snapToGrid w:val="0"/>
        <w:spacing w:line="520" w:lineRule="exact"/>
        <w:ind w:firstLine="7040" w:firstLineChars="1600"/>
        <w:jc w:val="center"/>
        <w:rPr>
          <w:rFonts w:ascii="宋体" w:cs="宋体"/>
          <w:bCs/>
          <w:color w:val="auto"/>
          <w:sz w:val="44"/>
          <w:szCs w:val="44"/>
          <w:highlight w:val="none"/>
        </w:rPr>
      </w:pPr>
    </w:p>
    <w:p w14:paraId="2B01008D">
      <w:pPr>
        <w:adjustRightInd w:val="0"/>
        <w:snapToGrid w:val="0"/>
        <w:spacing w:line="520" w:lineRule="exact"/>
        <w:ind w:firstLine="7040" w:firstLineChars="1600"/>
        <w:jc w:val="center"/>
        <w:rPr>
          <w:rFonts w:ascii="宋体" w:cs="宋体"/>
          <w:bCs/>
          <w:color w:val="auto"/>
          <w:sz w:val="44"/>
          <w:szCs w:val="44"/>
          <w:highlight w:val="none"/>
        </w:rPr>
      </w:pPr>
    </w:p>
    <w:p w14:paraId="5E8CBB7E">
      <w:pPr>
        <w:adjustRightInd w:val="0"/>
        <w:snapToGrid w:val="0"/>
        <w:spacing w:line="520" w:lineRule="exact"/>
        <w:ind w:firstLine="7040" w:firstLineChars="1600"/>
        <w:jc w:val="center"/>
        <w:rPr>
          <w:rFonts w:ascii="宋体" w:cs="宋体"/>
          <w:bCs/>
          <w:color w:val="auto"/>
          <w:sz w:val="44"/>
          <w:szCs w:val="44"/>
          <w:highlight w:val="none"/>
        </w:rPr>
      </w:pPr>
    </w:p>
    <w:p w14:paraId="17BDA182">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5CF732ED">
      <w:pPr>
        <w:spacing w:line="520" w:lineRule="exact"/>
        <w:rPr>
          <w:rFonts w:ascii="宋体" w:cs="宋体"/>
          <w:color w:val="auto"/>
          <w:sz w:val="32"/>
          <w:szCs w:val="32"/>
          <w:highlight w:val="none"/>
        </w:rPr>
      </w:pPr>
    </w:p>
    <w:p w14:paraId="5853341C">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single"/>
        </w:rPr>
        <w:t xml:space="preserve">                 </w:t>
      </w:r>
    </w:p>
    <w:p w14:paraId="2E63F684">
      <w:pPr>
        <w:spacing w:line="360" w:lineRule="auto"/>
        <w:contextualSpacing/>
        <w:rPr>
          <w:rFonts w:asci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u w:val="single"/>
        </w:rPr>
        <w:t xml:space="preserve">                 </w:t>
      </w:r>
    </w:p>
    <w:p w14:paraId="3F48BD39">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014"/>
        <w:gridCol w:w="3368"/>
        <w:gridCol w:w="3031"/>
        <w:gridCol w:w="1655"/>
      </w:tblGrid>
      <w:tr w14:paraId="1CDA9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tcBorders>
              <w:top w:val="single" w:color="auto" w:sz="4" w:space="0"/>
            </w:tcBorders>
            <w:vAlign w:val="center"/>
          </w:tcPr>
          <w:p w14:paraId="6D56741C">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57" w:name="_Toc297193185"/>
            <w:bookmarkStart w:id="58" w:name="_Toc301781611"/>
            <w:bookmarkStart w:id="59" w:name="_Toc383699906"/>
            <w:bookmarkStart w:id="60" w:name="_Toc254970588"/>
            <w:bookmarkStart w:id="61" w:name="_Toc373333689"/>
            <w:bookmarkStart w:id="62" w:name="_Toc173066401"/>
            <w:bookmarkStart w:id="63" w:name="_Toc173211900"/>
            <w:bookmarkStart w:id="64" w:name="_Toc254970729"/>
            <w:bookmarkStart w:id="65" w:name="_Toc295404981"/>
            <w:r>
              <w:rPr>
                <w:rFonts w:hint="eastAsia" w:ascii="宋体" w:hAnsi="宋体" w:eastAsia="宋体" w:cs="宋体"/>
                <w:color w:val="auto"/>
                <w:kern w:val="2"/>
                <w:sz w:val="24"/>
                <w:szCs w:val="24"/>
                <w:highlight w:val="none"/>
              </w:rPr>
              <w:t>序号</w:t>
            </w:r>
            <w:bookmarkEnd w:id="57"/>
            <w:bookmarkEnd w:id="58"/>
            <w:bookmarkEnd w:id="59"/>
            <w:bookmarkEnd w:id="60"/>
            <w:bookmarkEnd w:id="61"/>
            <w:bookmarkEnd w:id="62"/>
            <w:bookmarkEnd w:id="63"/>
            <w:bookmarkEnd w:id="64"/>
            <w:bookmarkEnd w:id="65"/>
          </w:p>
        </w:tc>
        <w:tc>
          <w:tcPr>
            <w:tcW w:w="503" w:type="pct"/>
            <w:tcBorders>
              <w:top w:val="single" w:color="auto" w:sz="4" w:space="0"/>
              <w:right w:val="single" w:color="auto" w:sz="4" w:space="0"/>
            </w:tcBorders>
            <w:vAlign w:val="center"/>
          </w:tcPr>
          <w:p w14:paraId="3CB89BF7">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top w:val="single" w:color="auto" w:sz="4" w:space="0"/>
              <w:left w:val="single" w:color="auto" w:sz="4" w:space="0"/>
            </w:tcBorders>
            <w:vAlign w:val="center"/>
          </w:tcPr>
          <w:p w14:paraId="7F69B5CA">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tcBorders>
              <w:top w:val="single" w:color="auto" w:sz="4" w:space="0"/>
            </w:tcBorders>
            <w:vAlign w:val="center"/>
          </w:tcPr>
          <w:p w14:paraId="71E88677">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66" w:name="_Toc383699908"/>
            <w:bookmarkStart w:id="67" w:name="_Toc373333691"/>
            <w:bookmarkStart w:id="68" w:name="_Toc173066403"/>
            <w:bookmarkStart w:id="69" w:name="_Toc254970731"/>
            <w:bookmarkStart w:id="70" w:name="_Toc295404983"/>
            <w:bookmarkStart w:id="71" w:name="_Toc254970590"/>
            <w:bookmarkStart w:id="72" w:name="_Toc297193187"/>
            <w:bookmarkStart w:id="73" w:name="_Toc173211902"/>
            <w:bookmarkStart w:id="74" w:name="_Toc301781613"/>
            <w:r>
              <w:rPr>
                <w:rFonts w:hint="eastAsia" w:ascii="宋体" w:hAnsi="宋体" w:eastAsia="宋体" w:cs="宋体"/>
                <w:color w:val="auto"/>
                <w:kern w:val="2"/>
                <w:sz w:val="24"/>
                <w:szCs w:val="24"/>
                <w:highlight w:val="none"/>
              </w:rPr>
              <w:t>竞标响应</w:t>
            </w:r>
            <w:bookmarkEnd w:id="66"/>
            <w:bookmarkEnd w:id="67"/>
            <w:bookmarkEnd w:id="68"/>
            <w:bookmarkEnd w:id="69"/>
            <w:bookmarkEnd w:id="70"/>
            <w:bookmarkEnd w:id="71"/>
            <w:bookmarkEnd w:id="72"/>
            <w:bookmarkEnd w:id="73"/>
            <w:bookmarkEnd w:id="74"/>
          </w:p>
        </w:tc>
        <w:tc>
          <w:tcPr>
            <w:tcW w:w="820" w:type="pct"/>
            <w:tcBorders>
              <w:top w:val="single" w:color="auto" w:sz="4" w:space="0"/>
            </w:tcBorders>
            <w:vAlign w:val="center"/>
          </w:tcPr>
          <w:p w14:paraId="7FCA796A">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5" w:name="_Toc383699909"/>
            <w:bookmarkStart w:id="76" w:name="_Toc173066404"/>
            <w:bookmarkStart w:id="77" w:name="_Toc254970732"/>
            <w:bookmarkStart w:id="78" w:name="_Toc173211903"/>
            <w:bookmarkStart w:id="79" w:name="_Toc373333692"/>
            <w:bookmarkStart w:id="80" w:name="_Toc254970591"/>
            <w:bookmarkStart w:id="81" w:name="_Toc295404984"/>
            <w:bookmarkStart w:id="82" w:name="_Toc297193188"/>
            <w:bookmarkStart w:id="83" w:name="_Toc301781614"/>
            <w:r>
              <w:rPr>
                <w:rFonts w:hint="eastAsia" w:ascii="宋体" w:hAnsi="宋体" w:eastAsia="宋体" w:cs="宋体"/>
                <w:color w:val="auto"/>
                <w:kern w:val="2"/>
                <w:sz w:val="24"/>
                <w:szCs w:val="24"/>
                <w:highlight w:val="none"/>
              </w:rPr>
              <w:t>偏离</w:t>
            </w:r>
            <w:bookmarkEnd w:id="75"/>
            <w:bookmarkEnd w:id="76"/>
            <w:bookmarkEnd w:id="77"/>
            <w:bookmarkEnd w:id="78"/>
            <w:bookmarkEnd w:id="79"/>
            <w:bookmarkEnd w:id="80"/>
            <w:bookmarkEnd w:id="81"/>
            <w:bookmarkEnd w:id="82"/>
            <w:bookmarkEnd w:id="83"/>
            <w:bookmarkStart w:id="84" w:name="_Toc254970733"/>
            <w:bookmarkStart w:id="85" w:name="_Toc373333693"/>
            <w:bookmarkStart w:id="86" w:name="_Toc173066405"/>
            <w:bookmarkStart w:id="87" w:name="_Toc254970592"/>
            <w:bookmarkStart w:id="88" w:name="_Toc173211904"/>
            <w:bookmarkStart w:id="89" w:name="_Toc301781615"/>
            <w:bookmarkStart w:id="90" w:name="_Toc297193189"/>
            <w:bookmarkStart w:id="91" w:name="_Toc295404985"/>
            <w:bookmarkStart w:id="92" w:name="_Toc383699910"/>
            <w:r>
              <w:rPr>
                <w:rFonts w:hint="eastAsia" w:ascii="宋体" w:hAnsi="宋体" w:eastAsia="宋体" w:cs="宋体"/>
                <w:color w:val="auto"/>
                <w:kern w:val="2"/>
                <w:sz w:val="24"/>
                <w:szCs w:val="24"/>
                <w:highlight w:val="none"/>
              </w:rPr>
              <w:t>说明</w:t>
            </w:r>
            <w:bookmarkEnd w:id="84"/>
            <w:bookmarkEnd w:id="85"/>
            <w:bookmarkEnd w:id="86"/>
            <w:bookmarkEnd w:id="87"/>
            <w:bookmarkEnd w:id="88"/>
            <w:bookmarkEnd w:id="89"/>
            <w:bookmarkEnd w:id="90"/>
            <w:bookmarkEnd w:id="91"/>
            <w:bookmarkEnd w:id="92"/>
          </w:p>
        </w:tc>
      </w:tr>
      <w:tr w14:paraId="4AD53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82B4521">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3" w:name="_Toc295404986"/>
            <w:bookmarkStart w:id="94" w:name="_Toc173066406"/>
            <w:bookmarkStart w:id="95" w:name="_Toc297193190"/>
            <w:bookmarkStart w:id="96" w:name="_Toc254970593"/>
            <w:bookmarkStart w:id="97" w:name="_Toc173211905"/>
            <w:bookmarkStart w:id="98" w:name="_Toc254970734"/>
            <w:bookmarkStart w:id="99" w:name="_Toc373333694"/>
            <w:bookmarkStart w:id="100" w:name="_Toc383699911"/>
            <w:bookmarkStart w:id="101" w:name="_Toc301781616"/>
            <w:r>
              <w:rPr>
                <w:rFonts w:ascii="宋体" w:hAnsi="宋体" w:eastAsia="宋体" w:cs="宋体"/>
                <w:color w:val="auto"/>
                <w:kern w:val="2"/>
                <w:sz w:val="24"/>
                <w:szCs w:val="24"/>
                <w:highlight w:val="none"/>
              </w:rPr>
              <w:t>1</w:t>
            </w:r>
            <w:bookmarkEnd w:id="93"/>
            <w:bookmarkEnd w:id="94"/>
            <w:bookmarkEnd w:id="95"/>
            <w:bookmarkEnd w:id="96"/>
            <w:bookmarkEnd w:id="97"/>
            <w:bookmarkEnd w:id="98"/>
            <w:bookmarkEnd w:id="99"/>
            <w:bookmarkEnd w:id="100"/>
            <w:bookmarkEnd w:id="101"/>
          </w:p>
        </w:tc>
        <w:tc>
          <w:tcPr>
            <w:tcW w:w="503" w:type="pct"/>
            <w:tcBorders>
              <w:right w:val="single" w:color="auto" w:sz="4" w:space="0"/>
            </w:tcBorders>
            <w:vAlign w:val="center"/>
          </w:tcPr>
          <w:p w14:paraId="3E395FE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C983DD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DF15C3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23D78655">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1DC5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3C22FD0">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2" w:name="_Toc301781617"/>
            <w:bookmarkStart w:id="103" w:name="_Toc173211906"/>
            <w:bookmarkStart w:id="104" w:name="_Toc254970594"/>
            <w:bookmarkStart w:id="105" w:name="_Toc383699912"/>
            <w:bookmarkStart w:id="106" w:name="_Toc297193191"/>
            <w:bookmarkStart w:id="107" w:name="_Toc173066407"/>
            <w:bookmarkStart w:id="108" w:name="_Toc295404987"/>
            <w:bookmarkStart w:id="109" w:name="_Toc373333695"/>
            <w:bookmarkStart w:id="110" w:name="_Toc254970735"/>
            <w:r>
              <w:rPr>
                <w:rFonts w:ascii="宋体" w:hAnsi="宋体" w:eastAsia="宋体" w:cs="宋体"/>
                <w:color w:val="auto"/>
                <w:kern w:val="2"/>
                <w:sz w:val="24"/>
                <w:szCs w:val="24"/>
                <w:highlight w:val="none"/>
              </w:rPr>
              <w:t>2</w:t>
            </w:r>
            <w:bookmarkEnd w:id="102"/>
            <w:bookmarkEnd w:id="103"/>
            <w:bookmarkEnd w:id="104"/>
            <w:bookmarkEnd w:id="105"/>
            <w:bookmarkEnd w:id="106"/>
            <w:bookmarkEnd w:id="107"/>
            <w:bookmarkEnd w:id="108"/>
            <w:bookmarkEnd w:id="109"/>
            <w:bookmarkEnd w:id="110"/>
          </w:p>
        </w:tc>
        <w:tc>
          <w:tcPr>
            <w:tcW w:w="503" w:type="pct"/>
            <w:tcBorders>
              <w:right w:val="single" w:color="auto" w:sz="4" w:space="0"/>
            </w:tcBorders>
            <w:vAlign w:val="center"/>
          </w:tcPr>
          <w:p w14:paraId="14B71CA6">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38877AF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74BF5D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106EA6D">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71D0E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BC2DD8C">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1" w:name="_Toc173066408"/>
            <w:bookmarkStart w:id="112" w:name="_Toc173211907"/>
            <w:bookmarkStart w:id="113" w:name="_Toc383699913"/>
            <w:bookmarkStart w:id="114" w:name="_Toc295404988"/>
            <w:bookmarkStart w:id="115" w:name="_Toc297193192"/>
            <w:bookmarkStart w:id="116" w:name="_Toc373333696"/>
            <w:bookmarkStart w:id="117" w:name="_Toc254970595"/>
            <w:bookmarkStart w:id="118" w:name="_Toc254970736"/>
            <w:bookmarkStart w:id="119" w:name="_Toc301781618"/>
            <w:r>
              <w:rPr>
                <w:rFonts w:ascii="宋体" w:hAnsi="宋体" w:eastAsia="宋体" w:cs="宋体"/>
                <w:color w:val="auto"/>
                <w:kern w:val="2"/>
                <w:sz w:val="24"/>
                <w:szCs w:val="24"/>
                <w:highlight w:val="none"/>
              </w:rPr>
              <w:t>3</w:t>
            </w:r>
            <w:bookmarkEnd w:id="111"/>
            <w:bookmarkEnd w:id="112"/>
            <w:bookmarkEnd w:id="113"/>
            <w:bookmarkEnd w:id="114"/>
            <w:bookmarkEnd w:id="115"/>
            <w:bookmarkEnd w:id="116"/>
            <w:bookmarkEnd w:id="117"/>
            <w:bookmarkEnd w:id="118"/>
            <w:bookmarkEnd w:id="119"/>
          </w:p>
        </w:tc>
        <w:tc>
          <w:tcPr>
            <w:tcW w:w="503" w:type="pct"/>
            <w:tcBorders>
              <w:right w:val="single" w:color="auto" w:sz="4" w:space="0"/>
            </w:tcBorders>
            <w:vAlign w:val="center"/>
          </w:tcPr>
          <w:p w14:paraId="184B715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3F511EE">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BE84DE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25164D9">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1A3F4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7E40B5">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0" w:name="_Toc254970737"/>
            <w:bookmarkStart w:id="121" w:name="_Toc295404989"/>
            <w:bookmarkStart w:id="122" w:name="_Toc373333697"/>
            <w:bookmarkStart w:id="123" w:name="_Toc301781619"/>
            <w:bookmarkStart w:id="124" w:name="_Toc297193193"/>
            <w:bookmarkStart w:id="125" w:name="_Toc173066409"/>
            <w:bookmarkStart w:id="126" w:name="_Toc254970596"/>
            <w:bookmarkStart w:id="127" w:name="_Toc383699914"/>
            <w:bookmarkStart w:id="128" w:name="_Toc173211908"/>
            <w:r>
              <w:rPr>
                <w:rFonts w:ascii="宋体" w:hAnsi="宋体" w:eastAsia="宋体" w:cs="宋体"/>
                <w:color w:val="auto"/>
                <w:kern w:val="2"/>
                <w:sz w:val="24"/>
                <w:szCs w:val="24"/>
                <w:highlight w:val="none"/>
              </w:rPr>
              <w:t>4</w:t>
            </w:r>
            <w:bookmarkEnd w:id="120"/>
            <w:bookmarkEnd w:id="121"/>
            <w:bookmarkEnd w:id="122"/>
            <w:bookmarkEnd w:id="123"/>
            <w:bookmarkEnd w:id="124"/>
            <w:bookmarkEnd w:id="125"/>
            <w:bookmarkEnd w:id="126"/>
            <w:bookmarkEnd w:id="127"/>
            <w:bookmarkEnd w:id="128"/>
          </w:p>
        </w:tc>
        <w:tc>
          <w:tcPr>
            <w:tcW w:w="503" w:type="pct"/>
            <w:tcBorders>
              <w:right w:val="single" w:color="auto" w:sz="4" w:space="0"/>
            </w:tcBorders>
            <w:vAlign w:val="center"/>
          </w:tcPr>
          <w:p w14:paraId="408FC84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0A9D181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1A52BE6">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58DD94D">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78081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AED1A29">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9" w:name="_Toc373333698"/>
            <w:bookmarkStart w:id="130" w:name="_Toc383699915"/>
            <w:bookmarkStart w:id="131" w:name="_Toc297193194"/>
            <w:bookmarkStart w:id="132" w:name="_Toc301781620"/>
            <w:bookmarkStart w:id="133" w:name="_Toc254970738"/>
            <w:bookmarkStart w:id="134" w:name="_Toc173211909"/>
            <w:bookmarkStart w:id="135" w:name="_Toc173066410"/>
            <w:bookmarkStart w:id="136" w:name="_Toc295404990"/>
            <w:bookmarkStart w:id="137" w:name="_Toc254970597"/>
            <w:r>
              <w:rPr>
                <w:rFonts w:ascii="宋体" w:hAnsi="宋体" w:eastAsia="宋体" w:cs="宋体"/>
                <w:color w:val="auto"/>
                <w:kern w:val="2"/>
                <w:sz w:val="24"/>
                <w:szCs w:val="24"/>
                <w:highlight w:val="none"/>
              </w:rPr>
              <w:t>5</w:t>
            </w:r>
            <w:bookmarkEnd w:id="129"/>
            <w:bookmarkEnd w:id="130"/>
            <w:bookmarkEnd w:id="131"/>
            <w:bookmarkEnd w:id="132"/>
            <w:bookmarkEnd w:id="133"/>
            <w:bookmarkEnd w:id="134"/>
            <w:bookmarkEnd w:id="135"/>
            <w:bookmarkEnd w:id="136"/>
            <w:bookmarkEnd w:id="137"/>
          </w:p>
        </w:tc>
        <w:tc>
          <w:tcPr>
            <w:tcW w:w="503" w:type="pct"/>
            <w:tcBorders>
              <w:right w:val="single" w:color="auto" w:sz="4" w:space="0"/>
            </w:tcBorders>
            <w:vAlign w:val="center"/>
          </w:tcPr>
          <w:p w14:paraId="6872C0E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201E9B03">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AB171C8">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49B1C2A">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261A2D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tcBorders>
              <w:bottom w:val="single" w:color="auto" w:sz="4" w:space="0"/>
            </w:tcBorders>
            <w:vAlign w:val="center"/>
          </w:tcPr>
          <w:p w14:paraId="26734E6F">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8" w:name="_Toc297193195"/>
            <w:bookmarkStart w:id="139" w:name="_Toc254970743"/>
            <w:bookmarkStart w:id="140" w:name="_Toc173211914"/>
            <w:bookmarkStart w:id="141" w:name="_Toc301781621"/>
            <w:bookmarkStart w:id="142" w:name="_Toc173066415"/>
            <w:bookmarkStart w:id="143" w:name="_Toc373333699"/>
            <w:bookmarkStart w:id="144" w:name="_Toc254970602"/>
            <w:bookmarkStart w:id="145" w:name="_Toc295404991"/>
            <w:bookmarkStart w:id="146" w:name="_Toc383699916"/>
            <w:r>
              <w:rPr>
                <w:rFonts w:hint="eastAsia" w:ascii="宋体" w:hAnsi="宋体" w:eastAsia="宋体" w:cs="宋体"/>
                <w:color w:val="auto"/>
                <w:kern w:val="2"/>
                <w:sz w:val="24"/>
                <w:szCs w:val="24"/>
                <w:highlight w:val="none"/>
              </w:rPr>
              <w:t>…</w:t>
            </w:r>
            <w:bookmarkEnd w:id="138"/>
            <w:bookmarkEnd w:id="139"/>
            <w:bookmarkEnd w:id="140"/>
            <w:bookmarkEnd w:id="141"/>
            <w:bookmarkEnd w:id="142"/>
            <w:bookmarkEnd w:id="143"/>
            <w:bookmarkEnd w:id="144"/>
            <w:bookmarkEnd w:id="145"/>
            <w:bookmarkEnd w:id="146"/>
          </w:p>
        </w:tc>
        <w:tc>
          <w:tcPr>
            <w:tcW w:w="503" w:type="pct"/>
            <w:tcBorders>
              <w:bottom w:val="single" w:color="auto" w:sz="4" w:space="0"/>
              <w:right w:val="single" w:color="auto" w:sz="4" w:space="0"/>
            </w:tcBorders>
            <w:vAlign w:val="center"/>
          </w:tcPr>
          <w:p w14:paraId="4A0B40F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bottom w:val="single" w:color="auto" w:sz="4" w:space="0"/>
            </w:tcBorders>
            <w:vAlign w:val="center"/>
          </w:tcPr>
          <w:p w14:paraId="6440596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tcBorders>
              <w:bottom w:val="single" w:color="auto" w:sz="4" w:space="0"/>
            </w:tcBorders>
            <w:vAlign w:val="center"/>
          </w:tcPr>
          <w:p w14:paraId="189DF79E">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bottom w:val="single" w:color="auto" w:sz="4" w:space="0"/>
            </w:tcBorders>
            <w:vAlign w:val="center"/>
          </w:tcPr>
          <w:p w14:paraId="4B917036">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14:paraId="4A69886B">
      <w:pPr>
        <w:adjustRightInd w:val="0"/>
        <w:spacing w:line="360" w:lineRule="auto"/>
        <w:contextualSpacing/>
        <w:rPr>
          <w:rFonts w:ascii="宋体" w:cs="宋体"/>
          <w:color w:val="auto"/>
          <w:sz w:val="24"/>
          <w:highlight w:val="none"/>
        </w:rPr>
      </w:pPr>
    </w:p>
    <w:p w14:paraId="044C32E0">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4C5934A">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说明：应对照磋商文件“第三章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采购需求”中的技术要求逐条作出明确响应，并作出偏离说明。</w:t>
      </w:r>
    </w:p>
    <w:p w14:paraId="403CDC89">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供应商应根据自身的承诺，对照磋商文件要求，在“偏离说明”中注明“正偏离”、“负偏离”或者“无偏离”。既不属于“正偏离”也不属于“负偏离”即为“无偏离”。</w:t>
      </w:r>
    </w:p>
    <w:p w14:paraId="53161283">
      <w:pPr>
        <w:spacing w:line="360" w:lineRule="auto"/>
        <w:ind w:right="-817" w:rightChars="-389"/>
        <w:contextualSpacing/>
        <w:rPr>
          <w:rFonts w:ascii="宋体" w:cs="宋体"/>
          <w:color w:val="auto"/>
          <w:sz w:val="24"/>
          <w:highlight w:val="none"/>
        </w:rPr>
      </w:pPr>
    </w:p>
    <w:p w14:paraId="0A1684AA">
      <w:pPr>
        <w:spacing w:line="360" w:lineRule="auto"/>
        <w:ind w:right="-817" w:rightChars="-389" w:firstLine="960" w:firstLineChars="4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18282DD4">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7A2856C1">
      <w:pPr>
        <w:spacing w:line="360" w:lineRule="auto"/>
        <w:ind w:right="-817" w:rightChars="-389" w:firstLine="4080" w:firstLineChars="170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720099E">
      <w:pPr>
        <w:snapToGrid w:val="0"/>
        <w:spacing w:beforeLines="50" w:after="50"/>
        <w:ind w:left="142"/>
        <w:jc w:val="left"/>
        <w:rPr>
          <w:rFonts w:ascii="宋体" w:cs="宋体"/>
          <w:b/>
          <w:color w:val="auto"/>
          <w:sz w:val="24"/>
          <w:highlight w:val="none"/>
        </w:rPr>
      </w:pPr>
      <w:r>
        <w:rPr>
          <w:rFonts w:ascii="宋体" w:cs="宋体"/>
          <w:color w:val="auto"/>
          <w:sz w:val="24"/>
          <w:highlight w:val="none"/>
        </w:rPr>
        <w:br w:type="page"/>
      </w:r>
      <w:r>
        <w:rPr>
          <w:rFonts w:hint="eastAsia" w:ascii="宋体" w:hAnsi="宋体" w:cs="宋体"/>
          <w:b/>
          <w:color w:val="auto"/>
          <w:sz w:val="24"/>
          <w:highlight w:val="none"/>
        </w:rPr>
        <w:t>项目实施人员一览表格式</w:t>
      </w:r>
    </w:p>
    <w:p w14:paraId="2A55D357">
      <w:pPr>
        <w:snapToGrid w:val="0"/>
        <w:spacing w:beforeLines="50" w:after="50"/>
        <w:ind w:left="142"/>
        <w:jc w:val="left"/>
        <w:rPr>
          <w:rFonts w:ascii="宋体" w:cs="宋体"/>
          <w:b/>
          <w:color w:val="auto"/>
          <w:sz w:val="24"/>
          <w:highlight w:val="none"/>
        </w:rPr>
      </w:pPr>
    </w:p>
    <w:p w14:paraId="066FCCEE">
      <w:pPr>
        <w:spacing w:line="360" w:lineRule="auto"/>
        <w:ind w:left="142"/>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项目实施人员一览表</w:t>
      </w:r>
    </w:p>
    <w:p w14:paraId="79BB438D">
      <w:pPr>
        <w:pStyle w:val="18"/>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129C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77CBA8">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6DEE7B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0DAC62BE">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0AF0C3DA">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2DD3A672">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参加本单位</w:t>
            </w:r>
          </w:p>
          <w:p w14:paraId="43D3D90C">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1DF3B20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劳动合同编号</w:t>
            </w:r>
          </w:p>
        </w:tc>
      </w:tr>
      <w:tr w14:paraId="50A7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E9A682">
            <w:pPr>
              <w:spacing w:line="360" w:lineRule="auto"/>
              <w:contextualSpacing/>
              <w:jc w:val="center"/>
              <w:rPr>
                <w:rFonts w:ascii="宋体" w:cs="宋体"/>
                <w:color w:val="auto"/>
                <w:sz w:val="24"/>
                <w:szCs w:val="20"/>
                <w:highlight w:val="none"/>
              </w:rPr>
            </w:pPr>
          </w:p>
        </w:tc>
        <w:tc>
          <w:tcPr>
            <w:tcW w:w="709" w:type="dxa"/>
            <w:vAlign w:val="center"/>
          </w:tcPr>
          <w:p w14:paraId="5E945FE1">
            <w:pPr>
              <w:spacing w:line="360" w:lineRule="auto"/>
              <w:contextualSpacing/>
              <w:jc w:val="center"/>
              <w:rPr>
                <w:rFonts w:ascii="宋体" w:cs="宋体"/>
                <w:color w:val="auto"/>
                <w:sz w:val="24"/>
                <w:szCs w:val="20"/>
                <w:highlight w:val="none"/>
              </w:rPr>
            </w:pPr>
          </w:p>
        </w:tc>
        <w:tc>
          <w:tcPr>
            <w:tcW w:w="2905" w:type="dxa"/>
            <w:vAlign w:val="center"/>
          </w:tcPr>
          <w:p w14:paraId="7FC5B32F">
            <w:pPr>
              <w:spacing w:line="360" w:lineRule="auto"/>
              <w:contextualSpacing/>
              <w:jc w:val="center"/>
              <w:rPr>
                <w:rFonts w:ascii="宋体" w:cs="宋体"/>
                <w:color w:val="auto"/>
                <w:sz w:val="24"/>
                <w:szCs w:val="20"/>
                <w:highlight w:val="none"/>
              </w:rPr>
            </w:pPr>
          </w:p>
        </w:tc>
        <w:tc>
          <w:tcPr>
            <w:tcW w:w="1309" w:type="dxa"/>
            <w:vAlign w:val="center"/>
          </w:tcPr>
          <w:p w14:paraId="5D8B36A1">
            <w:pPr>
              <w:spacing w:line="360" w:lineRule="auto"/>
              <w:contextualSpacing/>
              <w:jc w:val="center"/>
              <w:rPr>
                <w:rFonts w:ascii="宋体" w:cs="宋体"/>
                <w:color w:val="auto"/>
                <w:sz w:val="24"/>
                <w:szCs w:val="20"/>
                <w:highlight w:val="none"/>
              </w:rPr>
            </w:pPr>
          </w:p>
        </w:tc>
        <w:tc>
          <w:tcPr>
            <w:tcW w:w="1956" w:type="dxa"/>
            <w:vAlign w:val="center"/>
          </w:tcPr>
          <w:p w14:paraId="06B247A4">
            <w:pPr>
              <w:spacing w:line="360" w:lineRule="auto"/>
              <w:contextualSpacing/>
              <w:jc w:val="center"/>
              <w:rPr>
                <w:rFonts w:ascii="宋体" w:cs="宋体"/>
                <w:color w:val="auto"/>
                <w:sz w:val="24"/>
                <w:szCs w:val="20"/>
                <w:highlight w:val="none"/>
              </w:rPr>
            </w:pPr>
          </w:p>
        </w:tc>
        <w:tc>
          <w:tcPr>
            <w:tcW w:w="1935" w:type="dxa"/>
            <w:vAlign w:val="center"/>
          </w:tcPr>
          <w:p w14:paraId="3E100639">
            <w:pPr>
              <w:spacing w:line="360" w:lineRule="auto"/>
              <w:contextualSpacing/>
              <w:jc w:val="center"/>
              <w:rPr>
                <w:rFonts w:ascii="宋体" w:cs="宋体"/>
                <w:color w:val="auto"/>
                <w:sz w:val="24"/>
                <w:szCs w:val="20"/>
                <w:highlight w:val="none"/>
              </w:rPr>
            </w:pPr>
          </w:p>
        </w:tc>
      </w:tr>
      <w:tr w14:paraId="087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76F2DA">
            <w:pPr>
              <w:spacing w:line="360" w:lineRule="auto"/>
              <w:contextualSpacing/>
              <w:jc w:val="center"/>
              <w:rPr>
                <w:rFonts w:ascii="宋体" w:cs="宋体"/>
                <w:color w:val="auto"/>
                <w:sz w:val="24"/>
                <w:szCs w:val="20"/>
                <w:highlight w:val="none"/>
              </w:rPr>
            </w:pPr>
          </w:p>
        </w:tc>
        <w:tc>
          <w:tcPr>
            <w:tcW w:w="709" w:type="dxa"/>
            <w:vAlign w:val="center"/>
          </w:tcPr>
          <w:p w14:paraId="02D9E692">
            <w:pPr>
              <w:spacing w:line="360" w:lineRule="auto"/>
              <w:contextualSpacing/>
              <w:jc w:val="center"/>
              <w:rPr>
                <w:rFonts w:ascii="宋体" w:cs="宋体"/>
                <w:color w:val="auto"/>
                <w:sz w:val="24"/>
                <w:szCs w:val="20"/>
                <w:highlight w:val="none"/>
              </w:rPr>
            </w:pPr>
          </w:p>
        </w:tc>
        <w:tc>
          <w:tcPr>
            <w:tcW w:w="2905" w:type="dxa"/>
            <w:vAlign w:val="center"/>
          </w:tcPr>
          <w:p w14:paraId="755F4B39">
            <w:pPr>
              <w:spacing w:line="360" w:lineRule="auto"/>
              <w:contextualSpacing/>
              <w:jc w:val="center"/>
              <w:rPr>
                <w:rFonts w:ascii="宋体" w:cs="宋体"/>
                <w:color w:val="auto"/>
                <w:sz w:val="24"/>
                <w:szCs w:val="20"/>
                <w:highlight w:val="none"/>
              </w:rPr>
            </w:pPr>
          </w:p>
        </w:tc>
        <w:tc>
          <w:tcPr>
            <w:tcW w:w="1309" w:type="dxa"/>
            <w:vAlign w:val="center"/>
          </w:tcPr>
          <w:p w14:paraId="19B4F246">
            <w:pPr>
              <w:spacing w:line="360" w:lineRule="auto"/>
              <w:contextualSpacing/>
              <w:jc w:val="center"/>
              <w:rPr>
                <w:rFonts w:ascii="宋体" w:cs="宋体"/>
                <w:color w:val="auto"/>
                <w:sz w:val="24"/>
                <w:szCs w:val="20"/>
                <w:highlight w:val="none"/>
              </w:rPr>
            </w:pPr>
          </w:p>
        </w:tc>
        <w:tc>
          <w:tcPr>
            <w:tcW w:w="1956" w:type="dxa"/>
            <w:vAlign w:val="center"/>
          </w:tcPr>
          <w:p w14:paraId="5F95D113">
            <w:pPr>
              <w:spacing w:line="360" w:lineRule="auto"/>
              <w:contextualSpacing/>
              <w:jc w:val="center"/>
              <w:rPr>
                <w:rFonts w:ascii="宋体" w:cs="宋体"/>
                <w:color w:val="auto"/>
                <w:sz w:val="24"/>
                <w:szCs w:val="20"/>
                <w:highlight w:val="none"/>
              </w:rPr>
            </w:pPr>
          </w:p>
        </w:tc>
        <w:tc>
          <w:tcPr>
            <w:tcW w:w="1935" w:type="dxa"/>
            <w:vAlign w:val="center"/>
          </w:tcPr>
          <w:p w14:paraId="15B72F8F">
            <w:pPr>
              <w:spacing w:line="360" w:lineRule="auto"/>
              <w:contextualSpacing/>
              <w:jc w:val="center"/>
              <w:rPr>
                <w:rFonts w:ascii="宋体" w:cs="宋体"/>
                <w:color w:val="auto"/>
                <w:sz w:val="24"/>
                <w:szCs w:val="20"/>
                <w:highlight w:val="none"/>
              </w:rPr>
            </w:pPr>
          </w:p>
        </w:tc>
      </w:tr>
      <w:tr w14:paraId="4127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1C7CF2">
            <w:pPr>
              <w:spacing w:line="360" w:lineRule="auto"/>
              <w:contextualSpacing/>
              <w:jc w:val="center"/>
              <w:rPr>
                <w:rFonts w:ascii="宋体" w:cs="宋体"/>
                <w:color w:val="auto"/>
                <w:sz w:val="24"/>
                <w:szCs w:val="20"/>
                <w:highlight w:val="none"/>
              </w:rPr>
            </w:pPr>
          </w:p>
        </w:tc>
        <w:tc>
          <w:tcPr>
            <w:tcW w:w="709" w:type="dxa"/>
            <w:vAlign w:val="center"/>
          </w:tcPr>
          <w:p w14:paraId="3A96D1A3">
            <w:pPr>
              <w:spacing w:line="360" w:lineRule="auto"/>
              <w:contextualSpacing/>
              <w:jc w:val="center"/>
              <w:rPr>
                <w:rFonts w:ascii="宋体" w:cs="宋体"/>
                <w:color w:val="auto"/>
                <w:sz w:val="24"/>
                <w:szCs w:val="20"/>
                <w:highlight w:val="none"/>
              </w:rPr>
            </w:pPr>
          </w:p>
        </w:tc>
        <w:tc>
          <w:tcPr>
            <w:tcW w:w="2905" w:type="dxa"/>
            <w:vAlign w:val="center"/>
          </w:tcPr>
          <w:p w14:paraId="0ABC598A">
            <w:pPr>
              <w:spacing w:line="360" w:lineRule="auto"/>
              <w:contextualSpacing/>
              <w:jc w:val="center"/>
              <w:rPr>
                <w:rFonts w:ascii="宋体" w:cs="宋体"/>
                <w:color w:val="auto"/>
                <w:sz w:val="24"/>
                <w:szCs w:val="20"/>
                <w:highlight w:val="none"/>
              </w:rPr>
            </w:pPr>
          </w:p>
        </w:tc>
        <w:tc>
          <w:tcPr>
            <w:tcW w:w="1309" w:type="dxa"/>
            <w:vAlign w:val="center"/>
          </w:tcPr>
          <w:p w14:paraId="6648DC32">
            <w:pPr>
              <w:spacing w:line="360" w:lineRule="auto"/>
              <w:contextualSpacing/>
              <w:jc w:val="center"/>
              <w:rPr>
                <w:rFonts w:ascii="宋体" w:cs="宋体"/>
                <w:color w:val="auto"/>
                <w:sz w:val="24"/>
                <w:szCs w:val="20"/>
                <w:highlight w:val="none"/>
              </w:rPr>
            </w:pPr>
          </w:p>
        </w:tc>
        <w:tc>
          <w:tcPr>
            <w:tcW w:w="1956" w:type="dxa"/>
            <w:vAlign w:val="center"/>
          </w:tcPr>
          <w:p w14:paraId="5603B1E4">
            <w:pPr>
              <w:spacing w:line="360" w:lineRule="auto"/>
              <w:contextualSpacing/>
              <w:jc w:val="center"/>
              <w:rPr>
                <w:rFonts w:ascii="宋体" w:cs="宋体"/>
                <w:color w:val="auto"/>
                <w:sz w:val="24"/>
                <w:szCs w:val="20"/>
                <w:highlight w:val="none"/>
              </w:rPr>
            </w:pPr>
          </w:p>
        </w:tc>
        <w:tc>
          <w:tcPr>
            <w:tcW w:w="1935" w:type="dxa"/>
            <w:vAlign w:val="center"/>
          </w:tcPr>
          <w:p w14:paraId="50127203">
            <w:pPr>
              <w:spacing w:line="360" w:lineRule="auto"/>
              <w:contextualSpacing/>
              <w:jc w:val="center"/>
              <w:rPr>
                <w:rFonts w:ascii="宋体" w:cs="宋体"/>
                <w:color w:val="auto"/>
                <w:sz w:val="24"/>
                <w:szCs w:val="20"/>
                <w:highlight w:val="none"/>
              </w:rPr>
            </w:pPr>
          </w:p>
        </w:tc>
      </w:tr>
    </w:tbl>
    <w:p w14:paraId="4CA4872E">
      <w:pPr>
        <w:spacing w:line="360" w:lineRule="auto"/>
        <w:contextualSpacing/>
        <w:jc w:val="left"/>
        <w:rPr>
          <w:rFonts w:ascii="宋体" w:cs="宋体"/>
          <w:color w:val="auto"/>
          <w:sz w:val="24"/>
          <w:szCs w:val="20"/>
          <w:highlight w:val="none"/>
        </w:rPr>
      </w:pPr>
      <w:r>
        <w:rPr>
          <w:rFonts w:hint="eastAsia" w:ascii="宋体" w:hAnsi="宋体" w:cs="宋体"/>
          <w:color w:val="auto"/>
          <w:sz w:val="24"/>
          <w:szCs w:val="20"/>
          <w:highlight w:val="none"/>
        </w:rPr>
        <w:t>注：</w:t>
      </w:r>
    </w:p>
    <w:p w14:paraId="0CEA331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1.</w:t>
      </w:r>
      <w:r>
        <w:rPr>
          <w:rFonts w:hint="eastAsia" w:ascii="宋体" w:hAnsi="宋体" w:cs="宋体"/>
          <w:color w:val="auto"/>
          <w:sz w:val="24"/>
          <w:szCs w:val="20"/>
          <w:highlight w:val="none"/>
        </w:rPr>
        <w:t>在填写时，如本表格不适合供应商的实际情况，可根据本表格式自行制表填写。</w:t>
      </w:r>
    </w:p>
    <w:p w14:paraId="427A64F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2.</w:t>
      </w:r>
      <w:r>
        <w:rPr>
          <w:rFonts w:hint="eastAsia" w:ascii="宋体" w:hAnsi="宋体" w:cs="宋体"/>
          <w:color w:val="auto"/>
          <w:sz w:val="24"/>
          <w:szCs w:val="20"/>
          <w:highlight w:val="none"/>
        </w:rPr>
        <w:t>供应商应当附本表所列证书的复印件并加盖供应商公章。</w:t>
      </w:r>
    </w:p>
    <w:p w14:paraId="32FB2C13">
      <w:pPr>
        <w:spacing w:line="360" w:lineRule="auto"/>
        <w:contextualSpacing/>
        <w:rPr>
          <w:rFonts w:asci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ascii="宋体" w:hAnsi="宋体" w:cs="宋体"/>
          <w:color w:val="auto"/>
          <w:spacing w:val="20"/>
          <w:sz w:val="24"/>
          <w:highlight w:val="none"/>
          <w:u w:val="single"/>
        </w:rPr>
        <w:t xml:space="preserve">        </w:t>
      </w:r>
    </w:p>
    <w:p w14:paraId="14330F76">
      <w:pPr>
        <w:spacing w:line="360" w:lineRule="auto"/>
        <w:contextualSpacing/>
        <w:jc w:val="left"/>
        <w:rPr>
          <w:rFonts w:ascii="宋体" w:cs="宋体"/>
          <w:color w:val="auto"/>
          <w:sz w:val="24"/>
          <w:szCs w:val="20"/>
          <w:highlight w:val="none"/>
        </w:rPr>
      </w:pPr>
      <w:r>
        <w:rPr>
          <w:rFonts w:hint="eastAsia" w:ascii="宋体" w:hAnsi="宋体" w:cs="宋体"/>
          <w:color w:val="auto"/>
          <w:spacing w:val="20"/>
          <w:sz w:val="24"/>
          <w:highlight w:val="none"/>
        </w:rPr>
        <w:t>供应商（盖公章）：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14:paraId="46EA37B2">
      <w:pPr>
        <w:snapToGrid w:val="0"/>
        <w:spacing w:before="50" w:afterLines="50"/>
        <w:jc w:val="left"/>
        <w:rPr>
          <w:rFonts w:ascii="宋体" w:cs="宋体"/>
          <w:color w:val="auto"/>
          <w:sz w:val="24"/>
          <w:szCs w:val="20"/>
          <w:highlight w:val="none"/>
        </w:rPr>
      </w:pPr>
    </w:p>
    <w:p w14:paraId="581F2346">
      <w:pPr>
        <w:snapToGrid w:val="0"/>
        <w:spacing w:before="50" w:after="50" w:line="360" w:lineRule="auto"/>
        <w:ind w:right="-817" w:rightChars="-389" w:firstLine="5461" w:firstLineChars="1700"/>
        <w:rPr>
          <w:rFonts w:ascii="宋体" w:cs="宋体"/>
          <w:b/>
          <w:color w:val="auto"/>
          <w:sz w:val="32"/>
          <w:szCs w:val="32"/>
          <w:highlight w:val="none"/>
        </w:rPr>
      </w:pPr>
    </w:p>
    <w:p w14:paraId="4A8F33B8">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14:paraId="386E2DD8">
      <w:pPr>
        <w:jc w:val="center"/>
        <w:rPr>
          <w:rFonts w:ascii="宋体" w:cs="宋体"/>
          <w:color w:val="auto"/>
          <w:sz w:val="44"/>
          <w:szCs w:val="44"/>
          <w:highlight w:val="none"/>
        </w:rPr>
      </w:pPr>
      <w:bookmarkStart w:id="147" w:name="_Toc71365926"/>
      <w:r>
        <w:rPr>
          <w:rFonts w:hint="eastAsia" w:ascii="宋体" w:hAnsi="宋体" w:cs="宋体"/>
          <w:color w:val="auto"/>
          <w:sz w:val="44"/>
          <w:szCs w:val="44"/>
          <w:highlight w:val="none"/>
        </w:rPr>
        <w:t>中小企业声明函（服务）</w:t>
      </w:r>
      <w:bookmarkEnd w:id="147"/>
    </w:p>
    <w:p w14:paraId="42C025DF">
      <w:pPr>
        <w:spacing w:before="2" w:line="500" w:lineRule="exact"/>
        <w:ind w:firstLine="708" w:firstLineChars="294"/>
        <w:rPr>
          <w:rFonts w:ascii="宋体" w:cs="宋体"/>
          <w:b/>
          <w:bCs/>
          <w:color w:val="auto"/>
          <w:sz w:val="24"/>
          <w:highlight w:val="none"/>
        </w:rPr>
      </w:pPr>
    </w:p>
    <w:p w14:paraId="1B638BEB">
      <w:pPr>
        <w:pStyle w:val="15"/>
        <w:spacing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E2F8FC5">
      <w:pPr>
        <w:tabs>
          <w:tab w:val="left" w:pos="1384"/>
          <w:tab w:val="left" w:pos="4562"/>
          <w:tab w:val="left" w:pos="6803"/>
        </w:tabs>
        <w:spacing w:before="13" w:line="500" w:lineRule="exact"/>
        <w:ind w:right="142" w:firstLine="772" w:firstLineChars="322"/>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1E1C9F0">
      <w:pPr>
        <w:tabs>
          <w:tab w:val="left" w:pos="1065"/>
          <w:tab w:val="left" w:pos="4262"/>
          <w:tab w:val="left" w:pos="6477"/>
        </w:tabs>
        <w:spacing w:before="20" w:line="500" w:lineRule="exact"/>
        <w:ind w:right="84" w:firstLine="772" w:firstLineChars="322"/>
        <w:rPr>
          <w:rFonts w:asci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066F073">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14:paraId="4DFF9E85">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D421BBA">
      <w:pPr>
        <w:pStyle w:val="15"/>
        <w:spacing w:before="25"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7329AF6">
      <w:pPr>
        <w:pStyle w:val="15"/>
        <w:spacing w:before="56" w:line="500" w:lineRule="exact"/>
        <w:ind w:right="1808" w:firstLine="705" w:firstLineChars="294"/>
        <w:rPr>
          <w:rFonts w:ascii="宋体" w:cs="宋体"/>
          <w:color w:val="auto"/>
          <w:sz w:val="24"/>
          <w:highlight w:val="none"/>
        </w:rPr>
      </w:pPr>
    </w:p>
    <w:p w14:paraId="1DF15C62">
      <w:pPr>
        <w:pStyle w:val="15"/>
        <w:spacing w:before="56" w:line="500" w:lineRule="exact"/>
        <w:ind w:right="650" w:firstLine="5625" w:firstLineChars="2344"/>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14:paraId="41FE56CA">
      <w:pPr>
        <w:pStyle w:val="15"/>
        <w:spacing w:before="56" w:line="500" w:lineRule="exact"/>
        <w:ind w:right="1808" w:firstLine="5625" w:firstLineChars="2344"/>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4C3309DA">
      <w:pPr>
        <w:spacing w:line="520" w:lineRule="exact"/>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17BE62B6">
      <w:pPr>
        <w:spacing w:line="520" w:lineRule="exact"/>
        <w:jc w:val="center"/>
        <w:rPr>
          <w:rFonts w:ascii="宋体" w:cs="宋体"/>
          <w:color w:val="auto"/>
          <w:sz w:val="24"/>
          <w:highlight w:val="none"/>
        </w:rPr>
      </w:pPr>
    </w:p>
    <w:p w14:paraId="3C6DB6D3">
      <w:pPr>
        <w:pStyle w:val="18"/>
        <w:jc w:val="left"/>
        <w:rPr>
          <w:rFonts w:hAnsi="宋体" w:cs="宋体"/>
          <w:color w:val="auto"/>
          <w:sz w:val="32"/>
          <w:szCs w:val="32"/>
          <w:highlight w:val="none"/>
        </w:rPr>
      </w:pPr>
      <w:r>
        <w:rPr>
          <w:rFonts w:hAnsi="宋体" w:cs="宋体"/>
          <w:color w:val="auto"/>
          <w:sz w:val="24"/>
          <w:highlight w:val="none"/>
        </w:rPr>
        <w:br w:type="page"/>
      </w:r>
      <w:r>
        <w:rPr>
          <w:rFonts w:hint="eastAsia" w:hAnsi="宋体" w:cs="宋体"/>
          <w:color w:val="auto"/>
          <w:sz w:val="32"/>
          <w:szCs w:val="32"/>
          <w:highlight w:val="none"/>
        </w:rPr>
        <w:t>附：</w:t>
      </w:r>
    </w:p>
    <w:p w14:paraId="78549301">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14:paraId="3406DA0C">
      <w:pPr>
        <w:ind w:left="1871"/>
        <w:rPr>
          <w:rFonts w:ascii="宋体" w:cs="宋体"/>
          <w:color w:val="auto"/>
          <w:szCs w:val="21"/>
          <w:highlight w:val="none"/>
        </w:rPr>
      </w:pPr>
    </w:p>
    <w:tbl>
      <w:tblPr>
        <w:tblStyle w:val="3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AF3932E">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4CE11F0">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0FC9A7E">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2B0675F">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9C58BDF">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3E9FA0A">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78ACFBC">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2F4C7BC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D9712D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E95F96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77C330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6050F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AB977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3553402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17284F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BF3A7C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A8FA2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681DC1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477A7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0B808B2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7D45B5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05B3CE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1C987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B1F232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0F5D7F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ABB7F4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174BB7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3B28E6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518E4CA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1CAF6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6C61B9B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8E6AE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55EB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6C6432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14:paraId="475978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4CCE17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DC667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AFCAC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765FCF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208A6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1B5074E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21F0DC0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3EB2A1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E02AE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D35CB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842B3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63CA7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082F6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14:paraId="52906AB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5C7749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591602">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BD14B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4C2688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AB9702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5D56E62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75F8B8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541872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85F44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DF906B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661E18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39751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0399B07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14:paraId="14F62A9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AE4C95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F45726">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9C7F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90AA2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00C32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5E8DA15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18965DD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846875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045013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C88B3E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D8B7A4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DCF9A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92031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63F4CA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499AEA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FC45E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D8CFA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89F018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9C33FE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1ED2725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14:paraId="16C6BD4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79DBB5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5178B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6E6A5E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E71F4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57BD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4EEDEB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6A1A08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261655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CB02A0">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363DF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D6991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7E437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02DB072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36DDE09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0B7B22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1594B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24747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84585D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E6F2E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25F2BC9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5C0E69F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B43FE7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FF65E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225C0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E27FFD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861E72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6A337F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0193443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BBD17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14D94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17604B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132F2D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7DD58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F57D8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54EEE6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F94FA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0BA95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79F2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ECD328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75DE85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719705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619BFAB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B1170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1DB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DFA086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298FC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E5F9A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390983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3C845F6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699183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969C9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CD969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E7E861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144FC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BA947D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F67AE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DE321E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60C8DC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7102C6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F7A1D2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D55C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14:paraId="212CF0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2A9C53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6EA841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218FC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14A3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4B9140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AC064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14:paraId="2100D56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D70DB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756584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1FD24A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CD4361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92A39A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8F5026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6192310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F387D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27F9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A715D4">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B5560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ABDF20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DB3DFD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11411D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18C452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084F04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85F2D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31097B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12E01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0180C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14:paraId="1ECA074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0E8C94E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00AC5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58BCFF">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56142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BC6939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A80A4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4A22F37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4930E27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6AF7302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77AF0E">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B6C390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775668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0663B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719E4F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8E0D2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38A316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79412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9B113F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63D6A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2F0DD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14:paraId="2862C72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274994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5786F27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E61AD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25B85C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01352F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2B01E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1203E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ACFD61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7435F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665CBBD">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5D0D7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C383C6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E1CE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14:paraId="3118403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14:paraId="5793113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02F2304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650305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83E33F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487672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7FCA6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D6C06C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4278A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67D32B17">
      <w:pPr>
        <w:spacing w:line="360" w:lineRule="auto"/>
        <w:ind w:firstLine="525" w:firstLineChars="250"/>
        <w:rPr>
          <w:rFonts w:ascii="宋体" w:cs="宋体"/>
          <w:color w:val="auto"/>
          <w:szCs w:val="21"/>
          <w:highlight w:val="none"/>
        </w:rPr>
      </w:pPr>
    </w:p>
    <w:p w14:paraId="7C5E5DD9">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6A7BFBB5">
      <w:pPr>
        <w:spacing w:line="520" w:lineRule="exact"/>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14:paraId="5C8CD41C">
      <w:pPr>
        <w:spacing w:line="360" w:lineRule="auto"/>
        <w:contextualSpacing/>
        <w:rPr>
          <w:rFonts w:ascii="宋体" w:cs="宋体"/>
          <w:color w:val="auto"/>
          <w:sz w:val="32"/>
          <w:szCs w:val="32"/>
          <w:highlight w:val="none"/>
        </w:rPr>
      </w:pPr>
    </w:p>
    <w:p w14:paraId="250C994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4DA982F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779932A">
      <w:pPr>
        <w:spacing w:line="360" w:lineRule="auto"/>
        <w:contextualSpacing/>
        <w:rPr>
          <w:rFonts w:ascii="宋体" w:cs="宋体"/>
          <w:color w:val="auto"/>
          <w:sz w:val="24"/>
          <w:highlight w:val="none"/>
        </w:rPr>
      </w:pPr>
    </w:p>
    <w:p w14:paraId="31714101">
      <w:pPr>
        <w:spacing w:line="360" w:lineRule="auto"/>
        <w:contextualSpacing/>
        <w:rPr>
          <w:rFonts w:ascii="宋体" w:cs="宋体"/>
          <w:color w:val="auto"/>
          <w:sz w:val="24"/>
          <w:highlight w:val="none"/>
        </w:rPr>
      </w:pPr>
    </w:p>
    <w:p w14:paraId="33707957">
      <w:pPr>
        <w:spacing w:line="360" w:lineRule="auto"/>
        <w:contextualSpacing/>
        <w:rPr>
          <w:rFonts w:ascii="宋体" w:cs="宋体"/>
          <w:color w:val="auto"/>
          <w:sz w:val="24"/>
          <w:highlight w:val="none"/>
        </w:rPr>
      </w:pPr>
    </w:p>
    <w:p w14:paraId="011EA9DF">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14:paraId="5C4B36B8">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7BE9C0B4">
      <w:pPr>
        <w:spacing w:line="360" w:lineRule="auto"/>
        <w:contextualSpacing/>
        <w:rPr>
          <w:rFonts w:ascii="宋体" w:cs="宋体"/>
          <w:color w:val="auto"/>
          <w:sz w:val="24"/>
          <w:highlight w:val="none"/>
        </w:rPr>
      </w:pPr>
    </w:p>
    <w:p w14:paraId="40709908">
      <w:pPr>
        <w:spacing w:line="360" w:lineRule="auto"/>
        <w:contextualSpacing/>
        <w:rPr>
          <w:rFonts w:ascii="宋体" w:cs="宋体"/>
          <w:color w:val="auto"/>
          <w:sz w:val="24"/>
          <w:highlight w:val="none"/>
        </w:rPr>
      </w:pPr>
    </w:p>
    <w:p w14:paraId="64114FE8">
      <w:pPr>
        <w:spacing w:line="360" w:lineRule="auto"/>
        <w:contextualSpacing/>
        <w:rPr>
          <w:rFonts w:ascii="宋体" w:cs="宋体"/>
          <w:color w:val="auto"/>
          <w:sz w:val="24"/>
          <w:highlight w:val="none"/>
        </w:rPr>
      </w:pPr>
    </w:p>
    <w:p w14:paraId="6E75C939">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240E189">
      <w:pPr>
        <w:spacing w:line="360" w:lineRule="auto"/>
        <w:jc w:val="center"/>
        <w:rPr>
          <w:rFonts w:ascii="宋体" w:cs="宋体"/>
          <w:color w:val="auto"/>
          <w:sz w:val="24"/>
          <w:highlight w:val="none"/>
        </w:rPr>
      </w:pPr>
      <w:r>
        <w:rPr>
          <w:rFonts w:ascii="宋体" w:cs="宋体"/>
          <w:color w:val="auto"/>
          <w:sz w:val="24"/>
          <w:highlight w:val="none"/>
        </w:rPr>
        <w:br w:type="page"/>
      </w:r>
    </w:p>
    <w:p w14:paraId="70DD731F">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4BE5765F">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12F56D8">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8B09ACD">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99AB326">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A72AEC6">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2DA28E44">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F89ED0B">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E7C7BE2">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47D3CB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68B63FF">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637D52FB">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25B92BD7">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5875420E">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2891BD9F">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507F8198">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566B77B4">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A03C86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21DACF1F">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683D2193">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2E216BE1">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7EFCC090">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555D5E6">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C83F914">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2C920BD0">
      <w:pPr>
        <w:pStyle w:val="18"/>
        <w:spacing w:line="360" w:lineRule="auto"/>
        <w:ind w:left="25" w:leftChars="12" w:firstLine="352" w:firstLineChars="147"/>
        <w:contextualSpacing/>
        <w:rPr>
          <w:rFonts w:hAnsi="宋体" w:cs="宋体"/>
          <w:color w:val="auto"/>
          <w:sz w:val="24"/>
          <w:szCs w:val="24"/>
          <w:highlight w:val="none"/>
        </w:rPr>
      </w:pPr>
    </w:p>
    <w:p w14:paraId="7AC9E7F8">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1882260">
      <w:pPr>
        <w:pStyle w:val="18"/>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60268531">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C64DBDA">
      <w:pPr>
        <w:pStyle w:val="18"/>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494BE60C">
      <w:pPr>
        <w:pStyle w:val="18"/>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1B820B">
      <w:pPr>
        <w:pStyle w:val="18"/>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6D8D5A94">
      <w:pPr>
        <w:pStyle w:val="18"/>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5446818B">
      <w:pPr>
        <w:pStyle w:val="18"/>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70A06A8">
      <w:pPr>
        <w:pStyle w:val="18"/>
        <w:snapToGrid w:val="0"/>
        <w:rPr>
          <w:rFonts w:hAnsi="宋体" w:cs="宋体"/>
          <w:b/>
          <w:color w:val="auto"/>
          <w:sz w:val="24"/>
          <w:szCs w:val="24"/>
          <w:highlight w:val="none"/>
        </w:rPr>
      </w:pPr>
    </w:p>
    <w:p w14:paraId="1C6B8531">
      <w:pPr>
        <w:rPr>
          <w:rFonts w:ascii="宋体" w:cs="宋体"/>
          <w:color w:val="auto"/>
          <w:sz w:val="32"/>
          <w:szCs w:val="40"/>
          <w:highlight w:val="none"/>
        </w:rPr>
      </w:pPr>
    </w:p>
    <w:p w14:paraId="79B143CF">
      <w:pPr>
        <w:rPr>
          <w:rFonts w:ascii="宋体" w:cs="宋体"/>
          <w:color w:val="auto"/>
          <w:sz w:val="32"/>
          <w:szCs w:val="40"/>
          <w:highlight w:val="none"/>
        </w:rPr>
      </w:pPr>
    </w:p>
    <w:p w14:paraId="2C384432">
      <w:pPr>
        <w:rPr>
          <w:rFonts w:ascii="宋体" w:cs="宋体"/>
          <w:color w:val="auto"/>
          <w:sz w:val="32"/>
          <w:szCs w:val="40"/>
          <w:highlight w:val="none"/>
        </w:rPr>
      </w:pPr>
    </w:p>
    <w:p w14:paraId="682A24FE">
      <w:pPr>
        <w:rPr>
          <w:rFonts w:ascii="宋体" w:cs="宋体"/>
          <w:color w:val="auto"/>
          <w:sz w:val="32"/>
          <w:szCs w:val="40"/>
          <w:highlight w:val="none"/>
        </w:rPr>
      </w:pPr>
    </w:p>
    <w:p w14:paraId="259032F6">
      <w:pPr>
        <w:rPr>
          <w:rFonts w:ascii="宋体" w:cs="宋体"/>
          <w:color w:val="auto"/>
          <w:sz w:val="32"/>
          <w:szCs w:val="40"/>
          <w:highlight w:val="none"/>
        </w:rPr>
      </w:pPr>
    </w:p>
    <w:p w14:paraId="54CC1195">
      <w:pPr>
        <w:rPr>
          <w:rFonts w:ascii="宋体" w:cs="宋体"/>
          <w:color w:val="auto"/>
          <w:sz w:val="32"/>
          <w:szCs w:val="40"/>
          <w:highlight w:val="none"/>
        </w:rPr>
      </w:pPr>
    </w:p>
    <w:p w14:paraId="7AF9D2F1">
      <w:pPr>
        <w:rPr>
          <w:rFonts w:ascii="宋体" w:cs="宋体"/>
          <w:color w:val="auto"/>
          <w:sz w:val="32"/>
          <w:szCs w:val="40"/>
          <w:highlight w:val="none"/>
        </w:rPr>
      </w:pPr>
    </w:p>
    <w:p w14:paraId="7F34133C">
      <w:pPr>
        <w:rPr>
          <w:rFonts w:ascii="宋体" w:cs="宋体"/>
          <w:color w:val="auto"/>
          <w:sz w:val="32"/>
          <w:szCs w:val="40"/>
          <w:highlight w:val="none"/>
        </w:rPr>
      </w:pPr>
    </w:p>
    <w:p w14:paraId="44ED4CA3">
      <w:pPr>
        <w:rPr>
          <w:rFonts w:ascii="宋体" w:cs="宋体"/>
          <w:color w:val="auto"/>
          <w:sz w:val="32"/>
          <w:szCs w:val="40"/>
          <w:highlight w:val="none"/>
        </w:rPr>
      </w:pPr>
    </w:p>
    <w:p w14:paraId="4514DD95">
      <w:pPr>
        <w:rPr>
          <w:rFonts w:ascii="宋体" w:cs="宋体"/>
          <w:color w:val="auto"/>
          <w:sz w:val="32"/>
          <w:szCs w:val="40"/>
          <w:highlight w:val="none"/>
        </w:rPr>
      </w:pPr>
    </w:p>
    <w:p w14:paraId="19FAAD1C">
      <w:pPr>
        <w:rPr>
          <w:rFonts w:ascii="宋体" w:cs="宋体"/>
          <w:color w:val="auto"/>
          <w:sz w:val="32"/>
          <w:szCs w:val="40"/>
          <w:highlight w:val="none"/>
        </w:rPr>
      </w:pPr>
    </w:p>
    <w:p w14:paraId="72D6340E">
      <w:pPr>
        <w:rPr>
          <w:rFonts w:ascii="宋体" w:cs="宋体"/>
          <w:color w:val="auto"/>
          <w:sz w:val="32"/>
          <w:szCs w:val="40"/>
          <w:highlight w:val="none"/>
        </w:rPr>
      </w:pPr>
    </w:p>
    <w:p w14:paraId="0423751D">
      <w:pPr>
        <w:rPr>
          <w:rFonts w:ascii="宋体" w:cs="宋体"/>
          <w:color w:val="auto"/>
          <w:sz w:val="32"/>
          <w:szCs w:val="40"/>
          <w:highlight w:val="none"/>
        </w:rPr>
      </w:pPr>
    </w:p>
    <w:p w14:paraId="2FD4935B">
      <w:pPr>
        <w:rPr>
          <w:rFonts w:ascii="宋体" w:cs="宋体"/>
          <w:color w:val="auto"/>
          <w:sz w:val="32"/>
          <w:szCs w:val="40"/>
          <w:highlight w:val="none"/>
        </w:rPr>
      </w:pPr>
    </w:p>
    <w:p w14:paraId="7C776C27">
      <w:pPr>
        <w:spacing w:line="360" w:lineRule="auto"/>
        <w:jc w:val="center"/>
        <w:rPr>
          <w:rFonts w:ascii="宋体" w:cs="宋体"/>
          <w:color w:val="auto"/>
          <w:sz w:val="2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5F775262">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15CB727">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B51D217">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B77C3B3">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26EACACB">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1DA22C8">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94FB3F9">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6796E55">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1959070">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77363CA3">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AB9AD92">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24F970E">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07E89429">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2A184970">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71576B3F">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45E6BA3A">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10F7F221">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306AF62">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E683063">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D471029">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DA69E78">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68EE3EC6">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766270C4">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0528434F">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7897DEF8">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998C581">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C67168E">
      <w:pPr>
        <w:pStyle w:val="18"/>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0FAFA5F9">
      <w:pPr>
        <w:pStyle w:val="18"/>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2F1D2DAF">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3EDF397A">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8487A63">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1A4F829D">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6E64C1C9">
      <w:pPr>
        <w:pStyle w:val="18"/>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027AE0FE">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190EEDAD">
      <w:pPr>
        <w:pStyle w:val="18"/>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6348AB12">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76FE1574">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2A8AE69">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677B4AEA">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732D9FA5">
      <w:pPr>
        <w:pStyle w:val="18"/>
        <w:spacing w:line="360" w:lineRule="auto"/>
        <w:ind w:left="25" w:leftChars="12" w:firstLine="352" w:firstLineChars="147"/>
        <w:rPr>
          <w:rFonts w:hAnsi="宋体" w:cs="宋体"/>
          <w:color w:val="auto"/>
          <w:sz w:val="24"/>
          <w:szCs w:val="24"/>
          <w:highlight w:val="none"/>
        </w:rPr>
      </w:pPr>
    </w:p>
    <w:p w14:paraId="16EB6540">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4A39B951">
      <w:pPr>
        <w:pStyle w:val="18"/>
        <w:spacing w:line="360" w:lineRule="auto"/>
        <w:ind w:left="25" w:leftChars="12" w:firstLine="352" w:firstLineChars="147"/>
        <w:rPr>
          <w:rFonts w:hAnsi="宋体" w:cs="宋体"/>
          <w:color w:val="auto"/>
          <w:sz w:val="24"/>
          <w:szCs w:val="24"/>
          <w:highlight w:val="none"/>
        </w:rPr>
      </w:pPr>
    </w:p>
    <w:p w14:paraId="1E6BCF3E">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7AA96E6">
      <w:pPr>
        <w:pStyle w:val="18"/>
        <w:spacing w:line="360" w:lineRule="auto"/>
        <w:ind w:left="25" w:leftChars="12" w:firstLine="472" w:firstLineChars="197"/>
        <w:rPr>
          <w:rFonts w:hAnsi="宋体" w:cs="宋体"/>
          <w:b/>
          <w:color w:val="auto"/>
          <w:sz w:val="24"/>
          <w:szCs w:val="24"/>
          <w:highlight w:val="none"/>
        </w:rPr>
      </w:pPr>
      <w:r>
        <w:rPr>
          <w:rFonts w:hAnsi="宋体" w:cs="宋体"/>
          <w:bCs/>
          <w:color w:val="auto"/>
          <w:sz w:val="24"/>
          <w:szCs w:val="24"/>
          <w:highlight w:val="none"/>
        </w:rPr>
        <w:t xml:space="preserve">                                                                                 </w:t>
      </w:r>
    </w:p>
    <w:p w14:paraId="603C2868">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DA547CE">
      <w:pPr>
        <w:pStyle w:val="18"/>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646EA30">
      <w:pPr>
        <w:pStyle w:val="18"/>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13FE08D8">
      <w:pPr>
        <w:pStyle w:val="18"/>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40A9F596">
      <w:pPr>
        <w:pStyle w:val="18"/>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41BE7C87">
      <w:pPr>
        <w:pStyle w:val="18"/>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1BF29525">
      <w:pPr>
        <w:pStyle w:val="18"/>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5C009180">
      <w:pPr>
        <w:rPr>
          <w:color w:val="auto"/>
          <w:highlight w:val="none"/>
        </w:rPr>
      </w:pPr>
      <w:bookmarkStart w:id="148" w:name="_Toc10662"/>
      <w:bookmarkStart w:id="149" w:name="_Toc1723"/>
      <w:bookmarkStart w:id="150" w:name="_Toc19603"/>
      <w:bookmarkStart w:id="151" w:name="_Toc11130"/>
      <w:bookmarkStart w:id="152" w:name="_Toc20110"/>
      <w:r>
        <w:rPr>
          <w:color w:val="auto"/>
          <w:highlight w:val="none"/>
        </w:rPr>
        <w:br w:type="page"/>
      </w:r>
    </w:p>
    <w:p w14:paraId="2195325A">
      <w:pPr>
        <w:pStyle w:val="2"/>
        <w:rPr>
          <w:rFonts w:ascii="宋体" w:cs="宋体"/>
          <w:color w:val="auto"/>
          <w:szCs w:val="21"/>
          <w:highlight w:val="none"/>
        </w:rPr>
      </w:pPr>
      <w:r>
        <w:rPr>
          <w:rFonts w:hint="eastAsia"/>
          <w:color w:val="auto"/>
          <w:highlight w:val="none"/>
        </w:rPr>
        <w:t>第六章</w:t>
      </w:r>
      <w:r>
        <w:rPr>
          <w:color w:val="auto"/>
          <w:highlight w:val="none"/>
        </w:rPr>
        <w:t xml:space="preserve"> </w:t>
      </w:r>
      <w:r>
        <w:rPr>
          <w:rFonts w:hint="eastAsia"/>
          <w:color w:val="auto"/>
          <w:highlight w:val="none"/>
        </w:rPr>
        <w:t>合同文本</w:t>
      </w:r>
      <w:bookmarkEnd w:id="148"/>
      <w:bookmarkEnd w:id="149"/>
      <w:bookmarkEnd w:id="150"/>
      <w:bookmarkEnd w:id="151"/>
      <w:bookmarkEnd w:id="152"/>
      <w:r>
        <w:rPr>
          <w:rFonts w:ascii="宋体" w:hAnsi="宋体" w:cs="宋体"/>
          <w:color w:val="auto"/>
          <w:szCs w:val="21"/>
          <w:highlight w:val="none"/>
        </w:rPr>
        <w:t xml:space="preserve">                                                            </w:t>
      </w:r>
    </w:p>
    <w:p w14:paraId="366EF15D">
      <w:pPr>
        <w:spacing w:line="360" w:lineRule="auto"/>
        <w:ind w:right="800"/>
        <w:rPr>
          <w:rFonts w:ascii="宋体" w:cs="宋体"/>
          <w:color w:val="auto"/>
          <w:szCs w:val="21"/>
          <w:highlight w:val="none"/>
        </w:rPr>
      </w:pPr>
      <w:r>
        <w:rPr>
          <w:rFonts w:hint="eastAsia" w:ascii="宋体" w:hAnsi="宋体" w:cs="宋体"/>
          <w:color w:val="auto"/>
          <w:szCs w:val="21"/>
          <w:highlight w:val="none"/>
        </w:rPr>
        <w:t>分标：</w:t>
      </w:r>
    </w:p>
    <w:p w14:paraId="6FF8AC82">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12CFE67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C93D259">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2BD2AE74">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2F1819EB">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5B98D0D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342A85D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2C652D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CD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18F21F7A">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6266A98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3487BBF5">
            <w:pPr>
              <w:spacing w:line="360" w:lineRule="auto"/>
              <w:jc w:val="center"/>
              <w:rPr>
                <w:rFonts w:asci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4967B1A2">
            <w:pPr>
              <w:spacing w:line="360" w:lineRule="auto"/>
              <w:jc w:val="center"/>
              <w:rPr>
                <w:rFonts w:ascii="宋体" w:cs="宋体"/>
                <w:color w:val="auto"/>
                <w:szCs w:val="21"/>
                <w:highlight w:val="none"/>
              </w:rPr>
            </w:pPr>
            <w:r>
              <w:rPr>
                <w:rFonts w:hint="eastAsia" w:ascii="宋体" w:hAnsi="宋体" w:cs="宋体"/>
                <w:color w:val="auto"/>
                <w:szCs w:val="21"/>
                <w:highlight w:val="none"/>
              </w:rPr>
              <w:t>数</w:t>
            </w:r>
            <w:r>
              <w:rPr>
                <w:rFonts w:ascii="宋体" w:hAnsi="宋体" w:cs="宋体"/>
                <w:color w:val="auto"/>
                <w:szCs w:val="21"/>
                <w:highlight w:val="none"/>
              </w:rPr>
              <w:t xml:space="preserve">  </w:t>
            </w:r>
            <w:r>
              <w:rPr>
                <w:rFonts w:hint="eastAsia" w:ascii="宋体" w:hAnsi="宋体" w:cs="宋体"/>
                <w:color w:val="auto"/>
                <w:szCs w:val="21"/>
                <w:highlight w:val="none"/>
              </w:rPr>
              <w:t>量</w:t>
            </w:r>
          </w:p>
        </w:tc>
        <w:tc>
          <w:tcPr>
            <w:tcW w:w="1200" w:type="dxa"/>
            <w:vAlign w:val="center"/>
          </w:tcPr>
          <w:p w14:paraId="767C1DC6">
            <w:pPr>
              <w:spacing w:line="360" w:lineRule="auto"/>
              <w:jc w:val="center"/>
              <w:rPr>
                <w:rFonts w:asci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56257176">
            <w:pPr>
              <w:spacing w:line="360" w:lineRule="auto"/>
              <w:jc w:val="center"/>
              <w:rPr>
                <w:rFonts w:asci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1BAEE4F7">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0D1C365C">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632A16BD">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r>
      <w:tr w14:paraId="5631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7F610F9F">
            <w:pPr>
              <w:spacing w:line="360" w:lineRule="auto"/>
              <w:jc w:val="center"/>
              <w:rPr>
                <w:rFonts w:ascii="宋体" w:cs="宋体"/>
                <w:color w:val="auto"/>
                <w:szCs w:val="21"/>
                <w:highlight w:val="none"/>
              </w:rPr>
            </w:pPr>
          </w:p>
        </w:tc>
        <w:tc>
          <w:tcPr>
            <w:tcW w:w="1213" w:type="dxa"/>
            <w:vAlign w:val="center"/>
          </w:tcPr>
          <w:p w14:paraId="602ABC23">
            <w:pPr>
              <w:spacing w:line="360" w:lineRule="auto"/>
              <w:jc w:val="center"/>
              <w:rPr>
                <w:rFonts w:ascii="宋体" w:cs="宋体"/>
                <w:color w:val="auto"/>
                <w:szCs w:val="21"/>
                <w:highlight w:val="none"/>
              </w:rPr>
            </w:pPr>
          </w:p>
        </w:tc>
        <w:tc>
          <w:tcPr>
            <w:tcW w:w="2400" w:type="dxa"/>
            <w:vAlign w:val="center"/>
          </w:tcPr>
          <w:p w14:paraId="05A9AD38">
            <w:pPr>
              <w:spacing w:line="360" w:lineRule="auto"/>
              <w:jc w:val="center"/>
              <w:rPr>
                <w:rFonts w:ascii="宋体" w:cs="宋体"/>
                <w:color w:val="auto"/>
                <w:szCs w:val="21"/>
                <w:highlight w:val="none"/>
              </w:rPr>
            </w:pPr>
          </w:p>
        </w:tc>
        <w:tc>
          <w:tcPr>
            <w:tcW w:w="1320" w:type="dxa"/>
            <w:vAlign w:val="center"/>
          </w:tcPr>
          <w:p w14:paraId="22A50B1E">
            <w:pPr>
              <w:spacing w:line="360" w:lineRule="auto"/>
              <w:jc w:val="center"/>
              <w:rPr>
                <w:rFonts w:ascii="宋体" w:cs="宋体"/>
                <w:color w:val="auto"/>
                <w:szCs w:val="21"/>
                <w:highlight w:val="none"/>
              </w:rPr>
            </w:pPr>
          </w:p>
        </w:tc>
        <w:tc>
          <w:tcPr>
            <w:tcW w:w="1200" w:type="dxa"/>
            <w:vAlign w:val="center"/>
          </w:tcPr>
          <w:p w14:paraId="419D65A3">
            <w:pPr>
              <w:spacing w:line="360" w:lineRule="auto"/>
              <w:jc w:val="center"/>
              <w:rPr>
                <w:rFonts w:ascii="宋体" w:cs="宋体"/>
                <w:color w:val="auto"/>
                <w:szCs w:val="21"/>
                <w:highlight w:val="none"/>
              </w:rPr>
            </w:pPr>
          </w:p>
        </w:tc>
        <w:tc>
          <w:tcPr>
            <w:tcW w:w="1300" w:type="dxa"/>
            <w:vAlign w:val="center"/>
          </w:tcPr>
          <w:p w14:paraId="61979FDE">
            <w:pPr>
              <w:spacing w:line="360" w:lineRule="auto"/>
              <w:jc w:val="center"/>
              <w:rPr>
                <w:rFonts w:ascii="宋体" w:cs="宋体"/>
                <w:color w:val="auto"/>
                <w:szCs w:val="21"/>
                <w:highlight w:val="none"/>
              </w:rPr>
            </w:pPr>
          </w:p>
        </w:tc>
        <w:tc>
          <w:tcPr>
            <w:tcW w:w="1207" w:type="dxa"/>
            <w:vAlign w:val="center"/>
          </w:tcPr>
          <w:p w14:paraId="54327C1E">
            <w:pPr>
              <w:spacing w:line="360" w:lineRule="auto"/>
              <w:jc w:val="center"/>
              <w:rPr>
                <w:rFonts w:ascii="宋体" w:cs="宋体"/>
                <w:color w:val="auto"/>
                <w:szCs w:val="21"/>
                <w:highlight w:val="none"/>
              </w:rPr>
            </w:pPr>
          </w:p>
        </w:tc>
      </w:tr>
      <w:tr w14:paraId="1300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7D0FC4B">
            <w:pPr>
              <w:spacing w:line="360" w:lineRule="auto"/>
              <w:jc w:val="center"/>
              <w:rPr>
                <w:rFonts w:ascii="宋体" w:cs="宋体"/>
                <w:color w:val="auto"/>
                <w:szCs w:val="21"/>
                <w:highlight w:val="none"/>
              </w:rPr>
            </w:pPr>
            <w:r>
              <w:rPr>
                <w:rFonts w:hint="eastAsia" w:ascii="宋体" w:hAnsi="宋体" w:cs="宋体"/>
                <w:color w:val="auto"/>
                <w:szCs w:val="21"/>
                <w:highlight w:val="none"/>
              </w:rPr>
              <w:t>详见报价表</w:t>
            </w:r>
          </w:p>
        </w:tc>
      </w:tr>
      <w:tr w14:paraId="50E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636F4D6">
            <w:pPr>
              <w:spacing w:line="360" w:lineRule="auto"/>
              <w:rPr>
                <w:rFonts w:asci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tc>
      </w:tr>
    </w:tbl>
    <w:p w14:paraId="4AE5C9C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5F58F5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第二条　质量保证</w:t>
      </w:r>
    </w:p>
    <w:p w14:paraId="5E038FE7">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59CC63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492BBE2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、乙方应保证所提供服务在使用时不会侵犯任何第三方的专利权、商标权、著作权等知识产权及其他合法权利，且所有权、处分权等没有受到任何限制。</w:t>
      </w:r>
    </w:p>
    <w:p w14:paraId="649E594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CEBE45D">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647348E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、合同履约期限：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D76845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、乙方应按响应文件的承诺向甲方提供相应的服务，并提供所服务内容的相关技术资料。</w:t>
      </w:r>
    </w:p>
    <w:p w14:paraId="38FE86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、乙方提供不符合响应文件和本合同规定的服务成果，甲方有权拒绝接受。</w:t>
      </w:r>
    </w:p>
    <w:p w14:paraId="7C81A6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F8C0B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、甲乙双方应按照《广西壮族自治区政府采购项目履约验收管理办法》、双方合同、响应文件验收。</w:t>
      </w:r>
    </w:p>
    <w:p w14:paraId="4B2403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5CC55D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1EFA80B3">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后续服务及培训</w:t>
      </w:r>
    </w:p>
    <w:p w14:paraId="15A405F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、乙方应按照国家有关法律法规和本合同所附的《后续服务承诺》要求为甲方提供相应的后续服务。</w:t>
      </w:r>
    </w:p>
    <w:p w14:paraId="22176C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、甲方应提供必要测试条件（如场地、电源、水源等）。</w:t>
      </w:r>
    </w:p>
    <w:p w14:paraId="1EC2241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、乙方负责甲方有关人员的培训。培训时间、地点：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AF3DD0">
      <w:pPr>
        <w:snapToGrid w:val="0"/>
        <w:spacing w:line="360" w:lineRule="auto"/>
        <w:ind w:firstLine="422" w:firstLineChars="200"/>
        <w:rPr>
          <w:rFonts w:ascii="宋体" w:cs="宋体"/>
          <w:color w:val="auto"/>
          <w:szCs w:val="21"/>
          <w:highlight w:val="none"/>
          <w:u w:val="single"/>
        </w:rPr>
      </w:pPr>
      <w:r>
        <w:rPr>
          <w:rFonts w:hint="eastAsia" w:ascii="宋体" w:hAnsi="宋体" w:cs="宋体"/>
          <w:b/>
          <w:color w:val="auto"/>
          <w:szCs w:val="21"/>
          <w:highlight w:val="none"/>
        </w:rPr>
        <w:t>第六条　付款方式</w:t>
      </w:r>
    </w:p>
    <w:p w14:paraId="19F87403">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付款方式：</w:t>
      </w:r>
      <w:r>
        <w:rPr>
          <w:rFonts w:ascii="宋体" w:hAnsi="宋体" w:cs="宋体"/>
          <w:bCs/>
          <w:color w:val="auto"/>
          <w:szCs w:val="21"/>
          <w:highlight w:val="none"/>
          <w:u w:val="single"/>
        </w:rPr>
        <w:t xml:space="preserve">                       </w:t>
      </w:r>
    </w:p>
    <w:p w14:paraId="79A7EB47">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第七条　履约保证金</w:t>
      </w:r>
    </w:p>
    <w:p w14:paraId="7E53387A">
      <w:pPr>
        <w:spacing w:line="360" w:lineRule="auto"/>
        <w:ind w:firstLine="420" w:firstLineChars="200"/>
        <w:rPr>
          <w:rFonts w:ascii="宋体" w:cs="宋体"/>
          <w:b/>
          <w:color w:val="auto"/>
          <w:szCs w:val="21"/>
          <w:highlight w:val="none"/>
        </w:rPr>
      </w:pPr>
      <w:r>
        <w:rPr>
          <w:rFonts w:hint="eastAsia" w:ascii="宋体" w:hAnsi="宋体" w:cs="宋体"/>
          <w:color w:val="auto"/>
          <w:szCs w:val="21"/>
          <w:highlight w:val="none"/>
        </w:rPr>
        <w:t>本项目不收取履约保证金</w:t>
      </w:r>
    </w:p>
    <w:p w14:paraId="7FE6073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4B933EF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60052A95">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第九条　违约责任</w:t>
      </w:r>
    </w:p>
    <w:p w14:paraId="70DC1967">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、除不可抗力原因外，乙方没有按照合同规定的时间提供服务的，甲方可要求乙方支付违约金。每推迟一天按合同金额的</w:t>
      </w:r>
      <w:r>
        <w:rPr>
          <w:rFonts w:ascii="宋体" w:hAnsi="宋体" w:cs="宋体"/>
          <w:color w:val="auto"/>
          <w:szCs w:val="21"/>
          <w:highlight w:val="none"/>
        </w:rPr>
        <w:t>3</w:t>
      </w:r>
      <w:r>
        <w:rPr>
          <w:rFonts w:hint="eastAsia" w:ascii="宋体" w:hAnsi="宋体" w:cs="宋体"/>
          <w:color w:val="auto"/>
          <w:szCs w:val="21"/>
          <w:highlight w:val="none"/>
        </w:rPr>
        <w:t>‰支付违约金，该违约金累计不超过合同金额的</w:t>
      </w: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3CCCC8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、乙方提供的服务如侵犯了第三方合法权益而引发的任何纠纷或者诉讼，均由乙方负责交涉并承担全部责任。同时，甲方有权单方解除合同，合同金额没有支付的，不再支付；已经支付的，甲方有权追回，</w:t>
      </w:r>
    </w:p>
    <w:p w14:paraId="4F6C2159">
      <w:pPr>
        <w:snapToGrid w:val="0"/>
        <w:spacing w:line="360" w:lineRule="auto"/>
        <w:rPr>
          <w:rFonts w:ascii="宋体" w:cs="宋体"/>
          <w:color w:val="auto"/>
          <w:szCs w:val="21"/>
          <w:highlight w:val="none"/>
        </w:rPr>
      </w:pPr>
      <w:r>
        <w:rPr>
          <w:rFonts w:hint="eastAsia" w:ascii="宋体" w:hAnsi="宋体" w:cs="宋体"/>
          <w:color w:val="auto"/>
          <w:szCs w:val="21"/>
          <w:highlight w:val="none"/>
        </w:rPr>
        <w:t>且乙方应按合同金额</w:t>
      </w:r>
      <w:r>
        <w:rPr>
          <w:rFonts w:ascii="宋体" w:hAnsi="宋体" w:cs="宋体"/>
          <w:color w:val="auto"/>
          <w:szCs w:val="21"/>
          <w:highlight w:val="none"/>
        </w:rPr>
        <w:t>20%</w:t>
      </w:r>
      <w:r>
        <w:rPr>
          <w:rFonts w:hint="eastAsia" w:ascii="宋体" w:hAnsi="宋体" w:cs="宋体"/>
          <w:color w:val="auto"/>
          <w:szCs w:val="21"/>
          <w:highlight w:val="none"/>
        </w:rPr>
        <w:t>承担违约金，违约金无法弥补甲方损失的，乙方应当继续赔偿。</w:t>
      </w:r>
    </w:p>
    <w:p w14:paraId="7B8893A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、甲方延期付款的，每天向乙方偿付延期款额</w:t>
      </w:r>
      <w:r>
        <w:rPr>
          <w:rFonts w:ascii="宋体" w:hAnsi="宋体" w:cs="宋体"/>
          <w:color w:val="auto"/>
          <w:szCs w:val="21"/>
          <w:highlight w:val="none"/>
        </w:rPr>
        <w:t>3</w:t>
      </w:r>
      <w:r>
        <w:rPr>
          <w:rFonts w:hint="eastAsia" w:ascii="宋体" w:hAnsi="宋体" w:cs="宋体"/>
          <w:color w:val="auto"/>
          <w:szCs w:val="21"/>
          <w:highlight w:val="none"/>
        </w:rPr>
        <w:t>‰违约金，但违约金累计不得超过延期款额</w:t>
      </w:r>
      <w:r>
        <w:rPr>
          <w:rFonts w:ascii="宋体" w:hAnsi="宋体" w:cs="宋体"/>
          <w:color w:val="auto"/>
          <w:szCs w:val="21"/>
          <w:highlight w:val="none"/>
        </w:rPr>
        <w:t>5%</w:t>
      </w:r>
      <w:r>
        <w:rPr>
          <w:rFonts w:hint="eastAsia" w:ascii="宋体" w:hAnsi="宋体" w:cs="宋体"/>
          <w:color w:val="auto"/>
          <w:szCs w:val="21"/>
          <w:highlight w:val="none"/>
        </w:rPr>
        <w:t>。</w:t>
      </w:r>
    </w:p>
    <w:p w14:paraId="22B816A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、乙方所提供的服务成果、数量、技术参数要求</w:t>
      </w:r>
      <w:r>
        <w:rPr>
          <w:rFonts w:ascii="宋体" w:hAnsi="宋体" w:cs="宋体"/>
          <w:color w:val="auto"/>
          <w:szCs w:val="21"/>
          <w:highlight w:val="none"/>
        </w:rPr>
        <w:t>(</w:t>
      </w:r>
      <w:r>
        <w:rPr>
          <w:rFonts w:hint="eastAsia" w:ascii="宋体" w:hAnsi="宋体" w:cs="宋体"/>
          <w:color w:val="auto"/>
          <w:szCs w:val="21"/>
          <w:highlight w:val="none"/>
        </w:rPr>
        <w:t>技术参数需求</w:t>
      </w:r>
      <w:r>
        <w:rPr>
          <w:rFonts w:ascii="宋体" w:hAnsi="宋体" w:cs="宋体"/>
          <w:color w:val="auto"/>
          <w:szCs w:val="21"/>
          <w:highlight w:val="none"/>
        </w:rPr>
        <w:t>)</w:t>
      </w:r>
      <w:r>
        <w:rPr>
          <w:rFonts w:hint="eastAsia" w:ascii="宋体" w:hAnsi="宋体" w:cs="宋体"/>
          <w:color w:val="auto"/>
          <w:szCs w:val="21"/>
          <w:highlight w:val="none"/>
        </w:rPr>
        <w:t>等不符合甲方要求的，应及时整改；乙方在甲方规定期限内不能完成整改的或无正当理由拒绝整改或经整改后仍不能达到甲方要求的，甲方有权终止合同，追回已付款项，并按本合同总价的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673D61D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、甲方有权依据采购文件、响应文件及乙方的磋商承诺对乙方的服务人员进行管理或要求更换，对于甲方要求更换服务人员的，乙方应无条件及时更换</w:t>
      </w:r>
      <w:r>
        <w:rPr>
          <w:rFonts w:ascii="宋体" w:hAnsi="宋体" w:cs="宋体"/>
          <w:color w:val="auto"/>
          <w:szCs w:val="21"/>
          <w:highlight w:val="none"/>
        </w:rPr>
        <w:t>;</w:t>
      </w:r>
      <w:r>
        <w:rPr>
          <w:rFonts w:hint="eastAsia" w:ascii="宋体" w:hAnsi="宋体" w:cs="宋体"/>
          <w:color w:val="auto"/>
          <w:szCs w:val="21"/>
          <w:highlight w:val="none"/>
        </w:rPr>
        <w:t>乙方拒绝更换的，甲方有权终止合同，并按本合同总价的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5C1C173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、乙方未按本合同和响应文件中规定的服务承诺提供后续服务的，乙方应按本合同总金额的</w:t>
      </w:r>
      <w:r>
        <w:rPr>
          <w:rFonts w:ascii="宋体" w:hAnsi="宋体" w:cs="宋体"/>
          <w:color w:val="auto"/>
          <w:szCs w:val="21"/>
          <w:highlight w:val="none"/>
        </w:rPr>
        <w:t>5%/</w:t>
      </w:r>
      <w:r>
        <w:rPr>
          <w:rFonts w:hint="eastAsia" w:ascii="宋体" w:hAnsi="宋体" w:cs="宋体"/>
          <w:color w:val="auto"/>
          <w:szCs w:val="21"/>
          <w:highlight w:val="none"/>
        </w:rPr>
        <w:t>次向甲方支付违约金。</w:t>
      </w:r>
    </w:p>
    <w:p w14:paraId="51DF95D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、乙方提供的服务及其成果在服务期及售后期内，因设计缺陷或其它质量原因造成的问题，由乙方负责处理并承担费用。</w:t>
      </w:r>
    </w:p>
    <w:p w14:paraId="6D817B3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76169F9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、乙方不能就所成交的项目进行分包、转包，如发现乙方有分包、转包现象，甲方有权单方解除合同，同时乙方应向甲方支付合同总金额</w:t>
      </w:r>
      <w:r>
        <w:rPr>
          <w:rFonts w:ascii="宋体" w:hAnsi="宋体" w:cs="宋体"/>
          <w:color w:val="auto"/>
          <w:szCs w:val="21"/>
          <w:highlight w:val="none"/>
        </w:rPr>
        <w:t>20%</w:t>
      </w:r>
      <w:r>
        <w:rPr>
          <w:rFonts w:hint="eastAsia" w:ascii="宋体" w:hAnsi="宋体" w:cs="宋体"/>
          <w:color w:val="auto"/>
          <w:szCs w:val="21"/>
          <w:highlight w:val="none"/>
        </w:rPr>
        <w:t>的违约金，由此造成的损失由乙方负责。</w:t>
      </w:r>
    </w:p>
    <w:p w14:paraId="37FCB67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、本合同有效期内，乙方因自身原因要求终止或解除合同，应返还甲方已付款项，并按合同总价款的</w:t>
      </w:r>
      <w:r>
        <w:rPr>
          <w:rFonts w:ascii="宋体" w:hAnsi="宋体" w:cs="宋体"/>
          <w:color w:val="auto"/>
          <w:szCs w:val="21"/>
          <w:highlight w:val="none"/>
        </w:rPr>
        <w:t>20%</w:t>
      </w:r>
      <w:r>
        <w:rPr>
          <w:rFonts w:hint="eastAsia" w:ascii="宋体" w:hAnsi="宋体" w:cs="宋体"/>
          <w:color w:val="auto"/>
          <w:szCs w:val="21"/>
          <w:highlight w:val="none"/>
        </w:rPr>
        <w:t>承担违约责任。</w:t>
      </w:r>
    </w:p>
    <w:p w14:paraId="1EBE1E2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、如乙方违反合同约定的信息安全及保密要求，每违反一次收取合同总金额</w:t>
      </w:r>
      <w:r>
        <w:rPr>
          <w:rFonts w:ascii="宋体" w:hAnsi="宋体" w:cs="宋体"/>
          <w:color w:val="auto"/>
          <w:szCs w:val="21"/>
          <w:highlight w:val="none"/>
        </w:rPr>
        <w:t>0.2%</w:t>
      </w:r>
      <w:r>
        <w:rPr>
          <w:rFonts w:hint="eastAsia" w:ascii="宋体" w:hAnsi="宋体" w:cs="宋体"/>
          <w:color w:val="auto"/>
          <w:szCs w:val="21"/>
          <w:highlight w:val="none"/>
        </w:rPr>
        <w:t>的违约金，累计不超过合同总金额的</w:t>
      </w:r>
      <w:r>
        <w:rPr>
          <w:rFonts w:ascii="宋体" w:hAnsi="宋体" w:cs="宋体"/>
          <w:color w:val="auto"/>
          <w:szCs w:val="21"/>
          <w:highlight w:val="none"/>
        </w:rPr>
        <w:t>30%</w:t>
      </w:r>
      <w:r>
        <w:rPr>
          <w:rFonts w:hint="eastAsia" w:ascii="宋体" w:hAnsi="宋体" w:cs="宋体"/>
          <w:color w:val="auto"/>
          <w:szCs w:val="21"/>
          <w:highlight w:val="none"/>
        </w:rPr>
        <w:t>，违约金不足以弥补甲方实际损失的，乙方还应支付赔偿金。</w:t>
      </w:r>
    </w:p>
    <w:p w14:paraId="6C206F8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、其它违约行为按合同总金额的</w:t>
      </w:r>
      <w:r>
        <w:rPr>
          <w:rFonts w:ascii="宋体" w:hAnsi="宋体" w:cs="宋体"/>
          <w:color w:val="auto"/>
          <w:szCs w:val="21"/>
          <w:highlight w:val="none"/>
        </w:rPr>
        <w:t>5%</w:t>
      </w:r>
      <w:r>
        <w:rPr>
          <w:rFonts w:hint="eastAsia" w:ascii="宋体" w:hAnsi="宋体" w:cs="宋体"/>
          <w:color w:val="auto"/>
          <w:szCs w:val="21"/>
          <w:highlight w:val="none"/>
        </w:rPr>
        <w:t>收取违约金。</w:t>
      </w:r>
    </w:p>
    <w:p w14:paraId="4FD4A77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、本条所称损失是指一方因另一方违约而遭受的全部经济损失</w:t>
      </w:r>
      <w:r>
        <w:rPr>
          <w:rFonts w:ascii="宋体" w:hAnsi="宋体" w:cs="宋体"/>
          <w:color w:val="auto"/>
          <w:szCs w:val="21"/>
          <w:highlight w:val="none"/>
        </w:rPr>
        <w:t>(</w:t>
      </w:r>
      <w:r>
        <w:rPr>
          <w:rFonts w:hint="eastAsia" w:ascii="宋体" w:hAnsi="宋体" w:cs="宋体"/>
          <w:color w:val="auto"/>
          <w:szCs w:val="21"/>
          <w:highlight w:val="none"/>
        </w:rPr>
        <w:t>包括但不限于直接损失、间接损失及实现债权的费用，如诉讼费、律师费、差旅费、调查费、财产保全责任险保险费等</w:t>
      </w:r>
      <w:r>
        <w:rPr>
          <w:rFonts w:ascii="宋体" w:hAnsi="宋体" w:cs="宋体"/>
          <w:color w:val="auto"/>
          <w:szCs w:val="21"/>
          <w:highlight w:val="none"/>
        </w:rPr>
        <w:t>)</w:t>
      </w:r>
      <w:r>
        <w:rPr>
          <w:rFonts w:hint="eastAsia" w:ascii="宋体" w:hAnsi="宋体" w:cs="宋体"/>
          <w:color w:val="auto"/>
          <w:szCs w:val="21"/>
          <w:highlight w:val="none"/>
        </w:rPr>
        <w:t>。</w:t>
      </w:r>
    </w:p>
    <w:p w14:paraId="57CD31D0">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p>
    <w:p w14:paraId="799361A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61F6F77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14:paraId="2D90AF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5E471748">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5D134EF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07918D5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40CEFF3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2ECB64E6">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p>
    <w:p w14:paraId="57CFC01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、合同经双方法定代表人或者授权代表签字并加盖单位公章后生效。</w:t>
      </w:r>
    </w:p>
    <w:p w14:paraId="508C0B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68246D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、本合同未尽事宜，遵照《中华人民共和国民法典》有关条文执行。</w:t>
      </w:r>
    </w:p>
    <w:p w14:paraId="6D4D850A">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第十三条　合同的变更、终止与转让</w:t>
      </w:r>
    </w:p>
    <w:p w14:paraId="0143A8A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319B89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04B06E0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第十四条　签订本合同依据</w:t>
      </w:r>
    </w:p>
    <w:p w14:paraId="2CF542D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、成交通知书；</w:t>
      </w:r>
    </w:p>
    <w:p w14:paraId="15DF7E8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w:t>
      </w:r>
    </w:p>
    <w:p w14:paraId="3F893E2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、商务要求偏离表和技术要求偏离表；</w:t>
      </w:r>
    </w:p>
    <w:p w14:paraId="28F3354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3A90C51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、响应文件中的其他相关文件。</w:t>
      </w:r>
    </w:p>
    <w:p w14:paraId="54FB63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C23403B">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六份</w:t>
      </w:r>
      <w:r>
        <w:rPr>
          <w:rFonts w:hint="eastAsia" w:ascii="宋体" w:hAnsi="宋体" w:cs="宋体"/>
          <w:color w:val="auto"/>
          <w:szCs w:val="21"/>
          <w:highlight w:val="none"/>
        </w:rPr>
        <w:t>，具有同等法律效力，采购代理机构一份，甲</w:t>
      </w:r>
      <w:r>
        <w:rPr>
          <w:rFonts w:hint="eastAsia" w:ascii="宋体" w:hAnsi="宋体" w:cs="宋体"/>
          <w:color w:val="auto"/>
          <w:szCs w:val="21"/>
          <w:highlight w:val="none"/>
          <w:lang w:eastAsia="zh-CN"/>
        </w:rPr>
        <w:t>方三份</w:t>
      </w:r>
      <w:r>
        <w:rPr>
          <w:rFonts w:hint="eastAsia" w:ascii="宋体" w:hAnsi="宋体" w:cs="宋体"/>
          <w:color w:val="auto"/>
          <w:szCs w:val="21"/>
          <w:highlight w:val="none"/>
        </w:rPr>
        <w:t>、乙方两份。</w:t>
      </w:r>
    </w:p>
    <w:p w14:paraId="17BBD44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本合同甲乙双方签字盖章后生效，本合同自签订之日起</w:t>
      </w:r>
      <w:r>
        <w:rPr>
          <w:rFonts w:ascii="宋体" w:hAnsi="宋体" w:cs="宋体"/>
          <w:color w:val="auto"/>
          <w:szCs w:val="21"/>
          <w:highlight w:val="none"/>
        </w:rPr>
        <w:t>2</w:t>
      </w:r>
      <w:r>
        <w:rPr>
          <w:rFonts w:hint="eastAsia" w:ascii="宋体" w:hAnsi="宋体" w:cs="宋体"/>
          <w:color w:val="auto"/>
          <w:szCs w:val="21"/>
          <w:highlight w:val="none"/>
        </w:rPr>
        <w:t>个工作日内，甲方应当将采购合同在广西壮族自治区财政厅指定的媒体上公告。</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18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0123EA1F">
            <w:pPr>
              <w:snapToGrid w:val="0"/>
              <w:spacing w:line="360" w:lineRule="auto"/>
              <w:rPr>
                <w:rFonts w:ascii="宋体" w:cs="宋体"/>
                <w:color w:val="auto"/>
                <w:szCs w:val="21"/>
                <w:highlight w:val="none"/>
              </w:rPr>
            </w:pPr>
            <w:r>
              <w:rPr>
                <w:rFonts w:hint="eastAsia" w:ascii="宋体" w:hAnsi="宋体" w:cs="宋体"/>
                <w:color w:val="auto"/>
                <w:szCs w:val="21"/>
                <w:highlight w:val="none"/>
              </w:rPr>
              <w:t>甲方：（章）</w:t>
            </w:r>
          </w:p>
          <w:p w14:paraId="3172FEA1">
            <w:pPr>
              <w:snapToGrid w:val="0"/>
              <w:spacing w:line="360" w:lineRule="auto"/>
              <w:rPr>
                <w:rFonts w:ascii="宋体" w:cs="宋体"/>
                <w:color w:val="auto"/>
                <w:szCs w:val="21"/>
                <w:highlight w:val="none"/>
              </w:rPr>
            </w:pPr>
          </w:p>
          <w:p w14:paraId="34B87928">
            <w:pPr>
              <w:snapToGrid w:val="0"/>
              <w:spacing w:line="360" w:lineRule="auto"/>
              <w:rPr>
                <w:rFonts w:ascii="宋体" w:cs="宋体"/>
                <w:color w:val="auto"/>
                <w:szCs w:val="21"/>
                <w:highlight w:val="none"/>
              </w:rPr>
            </w:pPr>
          </w:p>
          <w:p w14:paraId="46696436">
            <w:pPr>
              <w:snapToGrid w:val="0"/>
              <w:spacing w:line="360" w:lineRule="auto"/>
              <w:ind w:firstLine="945" w:firstLineChars="450"/>
              <w:jc w:val="right"/>
              <w:rPr>
                <w:rFonts w:ascii="宋体" w:cs="宋体"/>
                <w:color w:val="auto"/>
                <w:szCs w:val="21"/>
                <w:highlight w:val="none"/>
              </w:rPr>
            </w:pPr>
          </w:p>
          <w:p w14:paraId="58DF032B">
            <w:pPr>
              <w:snapToGrid w:val="0"/>
              <w:spacing w:line="360" w:lineRule="auto"/>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4583" w:type="dxa"/>
            <w:vAlign w:val="center"/>
          </w:tcPr>
          <w:p w14:paraId="0B8D9FE2">
            <w:pPr>
              <w:snapToGrid w:val="0"/>
              <w:spacing w:line="360" w:lineRule="auto"/>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0B326207">
            <w:pPr>
              <w:snapToGrid w:val="0"/>
              <w:spacing w:line="360" w:lineRule="auto"/>
              <w:rPr>
                <w:rFonts w:ascii="宋体" w:cs="宋体"/>
                <w:color w:val="auto"/>
                <w:szCs w:val="21"/>
                <w:highlight w:val="none"/>
              </w:rPr>
            </w:pPr>
          </w:p>
          <w:p w14:paraId="6123E271">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p>
          <w:p w14:paraId="459B5BD3">
            <w:pPr>
              <w:snapToGrid w:val="0"/>
              <w:spacing w:line="360" w:lineRule="auto"/>
              <w:jc w:val="right"/>
              <w:rPr>
                <w:rFonts w:ascii="宋体" w:cs="宋体"/>
                <w:color w:val="auto"/>
                <w:szCs w:val="21"/>
                <w:highlight w:val="none"/>
              </w:rPr>
            </w:pPr>
          </w:p>
          <w:p w14:paraId="2BA08892">
            <w:pPr>
              <w:snapToGrid w:val="0"/>
              <w:spacing w:line="360" w:lineRule="auto"/>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2012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3F91CE6">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vAlign w:val="center"/>
          </w:tcPr>
          <w:p w14:paraId="13190AA5">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r>
      <w:tr w14:paraId="30D4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9ED95EF">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130BD800">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r>
      <w:tr w14:paraId="31D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5EB52242">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726D5BCC">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r>
      <w:tr w14:paraId="5C25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43AE98C">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775800CA">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r>
      <w:tr w14:paraId="2B4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6101E69">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c>
          <w:tcPr>
            <w:tcW w:w="4583" w:type="dxa"/>
            <w:vAlign w:val="center"/>
          </w:tcPr>
          <w:p w14:paraId="4CB200A2">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r>
      <w:tr w14:paraId="464B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620CA72">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32F95A06">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r>
      <w:tr w14:paraId="7EDE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7D7FA726">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15B85A70">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r>
    </w:tbl>
    <w:p w14:paraId="4DB20430">
      <w:pPr>
        <w:widowControl/>
        <w:jc w:val="left"/>
        <w:rPr>
          <w:rFonts w:ascii="宋体" w:cs="宋体"/>
          <w:color w:val="auto"/>
          <w:sz w:val="20"/>
          <w:szCs w:val="20"/>
          <w:highlight w:val="none"/>
        </w:rPr>
      </w:pPr>
    </w:p>
    <w:p w14:paraId="774BB6B0">
      <w:pPr>
        <w:spacing w:before="4"/>
        <w:rPr>
          <w:rFonts w:ascii="宋体" w:cs="宋体"/>
          <w:color w:val="auto"/>
          <w:sz w:val="6"/>
          <w:szCs w:val="6"/>
          <w:highlight w:val="none"/>
        </w:rPr>
      </w:pPr>
    </w:p>
    <w:p w14:paraId="091FCD0C">
      <w:pPr>
        <w:spacing w:before="4"/>
        <w:rPr>
          <w:rFonts w:ascii="宋体" w:cs="宋体"/>
          <w:color w:val="auto"/>
          <w:sz w:val="6"/>
          <w:szCs w:val="6"/>
          <w:highlight w:val="none"/>
        </w:rPr>
      </w:pPr>
    </w:p>
    <w:sectPr>
      <w:footerReference r:id="rId12" w:type="first"/>
      <w:footerReference r:id="rId11" w:type="default"/>
      <w:pgSz w:w="11906" w:h="16838"/>
      <w:pgMar w:top="1134" w:right="1020" w:bottom="1134" w:left="102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0AC6">
    <w:pPr>
      <w:pStyle w:val="21"/>
      <w:tabs>
        <w:tab w:val="center" w:pos="4439"/>
        <w:tab w:val="clear" w:pos="4153"/>
      </w:tabs>
      <w:jc w:val="both"/>
    </w:pPr>
    <w:r>
      <w:pict>
        <v:shape id="文本框 5123"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path/>
          <v:fill on="f" focussize="0,0"/>
          <v:stroke on="f" joinstyle="miter"/>
          <v:imagedata o:title=""/>
          <o:lock v:ext="edit"/>
          <v:textbox inset="0mm,0mm,0mm,0mm" style="mso-fit-shape-to-text:t;">
            <w:txbxContent>
              <w:p w14:paraId="708272ED">
                <w:pPr>
                  <w:pStyle w:val="21"/>
                </w:pPr>
                <w:r>
                  <w:fldChar w:fldCharType="begin"/>
                </w:r>
                <w:r>
                  <w:instrText xml:space="preserve"> PAGE  \* MERGEFORMAT </w:instrText>
                </w:r>
                <w:r>
                  <w:fldChar w:fldCharType="separate"/>
                </w:r>
                <w:r>
                  <w:t>87</w:t>
                </w:r>
                <w:r>
                  <w:fldChar w:fldCharType="end"/>
                </w:r>
              </w:p>
            </w:txbxContent>
          </v:textbox>
        </v:shape>
      </w:pict>
    </w:r>
  </w:p>
  <w:p w14:paraId="769E306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ED9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FB0C">
    <w:pPr>
      <w:pStyle w:val="21"/>
      <w:tabs>
        <w:tab w:val="center" w:pos="4439"/>
        <w:tab w:val="clear" w:pos="4153"/>
      </w:tabs>
    </w:pPr>
    <w:r>
      <w:pict>
        <v:shape id="文本框 5124"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path/>
          <v:fill on="f" focussize="0,0"/>
          <v:stroke on="f" joinstyle="miter"/>
          <v:imagedata o:title=""/>
          <o:lock v:ext="edit"/>
          <v:textbox inset="0mm,0mm,0mm,0mm" style="mso-fit-shape-to-text:t;">
            <w:txbxContent>
              <w:p w14:paraId="58569CBC"/>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603B">
    <w:pPr>
      <w:pStyle w:val="21"/>
      <w:tabs>
        <w:tab w:val="center" w:pos="4439"/>
        <w:tab w:val="clear" w:pos="4153"/>
      </w:tabs>
      <w:jc w:val="both"/>
    </w:pPr>
  </w:p>
  <w:p w14:paraId="46F26FE1">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9AA8">
    <w:pPr>
      <w:pStyle w:val="21"/>
      <w:tabs>
        <w:tab w:val="center" w:pos="4439"/>
        <w:tab w:val="clear" w:pos="4153"/>
      </w:tabs>
    </w:pPr>
    <w:r>
      <w:pict>
        <v:shape id="文本框 5126"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path/>
          <v:fill on="f" focussize="0,0"/>
          <v:stroke on="f" joinstyle="miter"/>
          <v:imagedata o:title=""/>
          <o:lock v:ext="edit"/>
          <v:textbox inset="0mm,0mm,0mm,0mm" style="mso-fit-shape-to-text:t;">
            <w:txbxContent>
              <w:p w14:paraId="19DC24AC"/>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03AB">
    <w:pPr>
      <w:pStyle w:val="21"/>
      <w:jc w:val="center"/>
    </w:pPr>
    <w:r>
      <w:pict>
        <v:shape id="文本框 51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path/>
          <v:fill on="f" focussize="0,0"/>
          <v:stroke on="f" joinstyle="miter"/>
          <v:imagedata o:title=""/>
          <o:lock v:ext="edit"/>
          <v:textbox inset="0mm,0mm,0mm,0mm" style="mso-fit-shape-to-text:t;">
            <w:txbxContent>
              <w:p w14:paraId="20F497EC">
                <w:pPr>
                  <w:pStyle w:val="21"/>
                  <w:jc w:val="center"/>
                </w:pPr>
                <w:r>
                  <w:fldChar w:fldCharType="begin"/>
                </w:r>
                <w:r>
                  <w:instrText xml:space="preserve"> PAGE  \* MERGEFORMAT </w:instrText>
                </w:r>
                <w:r>
                  <w:fldChar w:fldCharType="separate"/>
                </w:r>
                <w:r>
                  <w:t>64</w:t>
                </w:r>
                <w:r>
                  <w:fldChar w:fldCharType="end"/>
                </w:r>
              </w:p>
            </w:txbxContent>
          </v:textbox>
        </v:shape>
      </w:pict>
    </w:r>
  </w:p>
  <w:p w14:paraId="66DEF420">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F8EA">
    <w:pPr>
      <w:pStyle w:val="21"/>
    </w:pPr>
    <w:r>
      <w:pict>
        <v:shape id="文本框 5122"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path/>
          <v:fill on="f" focussize="0,0"/>
          <v:stroke on="f" joinstyle="miter"/>
          <v:imagedata o:title=""/>
          <o:lock v:ext="edit"/>
          <v:textbox inset="0mm,0mm,0mm,0mm" style="mso-fit-shape-to-text:t;">
            <w:txbxContent>
              <w:p w14:paraId="20B6675C">
                <w:pPr>
                  <w:pStyle w:val="2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D6A9">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A0C2">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DF84">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90529"/>
    <w:multiLevelType w:val="singleLevel"/>
    <w:tmpl w:val="04890529"/>
    <w:lvl w:ilvl="0" w:tentative="0">
      <w:start w:val="1"/>
      <w:numFmt w:val="decimal"/>
      <w:suff w:val="nothing"/>
      <w:lvlText w:val="%1、"/>
      <w:lvlJc w:val="left"/>
    </w:lvl>
  </w:abstractNum>
  <w:abstractNum w:abstractNumId="1">
    <w:nsid w:val="47B35964"/>
    <w:multiLevelType w:val="singleLevel"/>
    <w:tmpl w:val="47B35964"/>
    <w:lvl w:ilvl="0" w:tentative="0">
      <w:start w:val="1"/>
      <w:numFmt w:val="decimal"/>
      <w:suff w:val="nothing"/>
      <w:lvlText w:val="（%1）"/>
      <w:lvlJc w:val="left"/>
    </w:lvl>
  </w:abstractNum>
  <w:abstractNum w:abstractNumId="2">
    <w:nsid w:val="5EE75099"/>
    <w:multiLevelType w:val="multilevel"/>
    <w:tmpl w:val="5EE75099"/>
    <w:lvl w:ilvl="0" w:tentative="0">
      <w:start w:val="1"/>
      <w:numFmt w:val="chineseCountingThousand"/>
      <w:pStyle w:val="92"/>
      <w:suff w:val="nothing"/>
      <w:lvlText w:val="第%1章 "/>
      <w:lvlJc w:val="left"/>
      <w:pPr>
        <w:ind w:left="200"/>
      </w:pPr>
      <w:rPr>
        <w:rFonts w:hint="eastAsia" w:ascii="黑体" w:hAnsi="黑体" w:eastAsia="黑体" w:cs="宋体"/>
        <w:b w:val="0"/>
        <w:i w:val="0"/>
        <w:sz w:val="36"/>
      </w:rPr>
    </w:lvl>
    <w:lvl w:ilvl="1" w:tentative="0">
      <w:start w:val="1"/>
      <w:numFmt w:val="chineseCountingThousand"/>
      <w:suff w:val="nothing"/>
      <w:lvlText w:val="%2、"/>
      <w:lvlJc w:val="left"/>
      <w:pPr>
        <w:ind w:left="2978"/>
      </w:pPr>
      <w:rPr>
        <w:rFonts w:hint="eastAsia" w:ascii="黑体" w:hAnsi="黑体" w:eastAsia="黑体" w:cs="宋体"/>
        <w:b w:val="0"/>
        <w:i w:val="0"/>
        <w:sz w:val="32"/>
      </w:rPr>
    </w:lvl>
    <w:lvl w:ilvl="2" w:tentative="0">
      <w:start w:val="1"/>
      <w:numFmt w:val="decimal"/>
      <w:suff w:val="nothing"/>
      <w:lvlText w:val="%3."/>
      <w:lvlJc w:val="left"/>
      <w:pPr>
        <w:ind w:left="20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pPr>
      <w:rPr>
        <w:rFonts w:hint="eastAsia" w:ascii="宋体" w:hAnsi="宋体" w:eastAsia="宋体" w:cs="宋体"/>
        <w:b/>
        <w:i w:val="0"/>
        <w:sz w:val="24"/>
      </w:rPr>
    </w:lvl>
    <w:lvl w:ilvl="4" w:tentative="0">
      <w:start w:val="1"/>
      <w:numFmt w:val="decimal"/>
      <w:suff w:val="nothing"/>
      <w:lvlText w:val="%3.%4.%5 "/>
      <w:lvlJc w:val="left"/>
      <w:pPr>
        <w:tabs>
          <w:tab w:val="left" w:pos="0"/>
        </w:tabs>
      </w:pPr>
      <w:rPr>
        <w:rFonts w:hint="eastAsia" w:ascii="宋体" w:hAnsi="宋体" w:eastAsia="宋体" w:cs="宋体"/>
        <w:b/>
      </w:rPr>
    </w:lvl>
    <w:lvl w:ilvl="5" w:tentative="0">
      <w:start w:val="1"/>
      <w:numFmt w:val="decimal"/>
      <w:suff w:val="nothing"/>
      <w:lvlText w:val="%3.%4.%5.%6 "/>
      <w:lvlJc w:val="left"/>
      <w:pPr>
        <w:tabs>
          <w:tab w:val="left" w:pos="0"/>
        </w:tabs>
        <w:ind w:left="20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cs="Times New Roman"/>
      </w:rPr>
    </w:lvl>
    <w:lvl w:ilvl="8" w:tentative="0">
      <w:start w:val="1"/>
      <w:numFmt w:val="lowerRoman"/>
      <w:suff w:val="nothing"/>
      <w:lvlText w:val="%9. "/>
      <w:lvlJc w:val="left"/>
      <w:pPr>
        <w:ind w:left="200" w:firstLine="402"/>
      </w:pPr>
      <w:rPr>
        <w:rFonts w:hint="eastAsia" w:cs="Times New Roman"/>
      </w:rPr>
    </w:lvl>
  </w:abstractNum>
  <w:abstractNum w:abstractNumId="3">
    <w:nsid w:val="692089AD"/>
    <w:multiLevelType w:val="singleLevel"/>
    <w:tmpl w:val="692089A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2"/>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97494"/>
    <w:rsid w:val="003A19C0"/>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3B99"/>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0500"/>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71"/>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8E"/>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97EEF"/>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130"/>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2EA2"/>
    <w:rsid w:val="00CA3451"/>
    <w:rsid w:val="00CA35C6"/>
    <w:rsid w:val="00CA4669"/>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55F"/>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7A677B"/>
    <w:rsid w:val="0296130E"/>
    <w:rsid w:val="02DB6B5E"/>
    <w:rsid w:val="03447834"/>
    <w:rsid w:val="035100F2"/>
    <w:rsid w:val="036543A8"/>
    <w:rsid w:val="03654FA1"/>
    <w:rsid w:val="03A03330"/>
    <w:rsid w:val="03A314B8"/>
    <w:rsid w:val="03B7227C"/>
    <w:rsid w:val="03BB1D6C"/>
    <w:rsid w:val="03C5243A"/>
    <w:rsid w:val="03D82B98"/>
    <w:rsid w:val="03E47515"/>
    <w:rsid w:val="03F83E8B"/>
    <w:rsid w:val="03FF37B7"/>
    <w:rsid w:val="04140663"/>
    <w:rsid w:val="04181B28"/>
    <w:rsid w:val="0451328B"/>
    <w:rsid w:val="046269DF"/>
    <w:rsid w:val="04BF763A"/>
    <w:rsid w:val="04CD61FB"/>
    <w:rsid w:val="04EF7F2B"/>
    <w:rsid w:val="04F55751"/>
    <w:rsid w:val="050140F6"/>
    <w:rsid w:val="05067536"/>
    <w:rsid w:val="051929AB"/>
    <w:rsid w:val="05305068"/>
    <w:rsid w:val="05A131E3"/>
    <w:rsid w:val="05AC1B2E"/>
    <w:rsid w:val="05C56868"/>
    <w:rsid w:val="05CB2E5F"/>
    <w:rsid w:val="05EC70EF"/>
    <w:rsid w:val="061C715B"/>
    <w:rsid w:val="06472F82"/>
    <w:rsid w:val="06611EF9"/>
    <w:rsid w:val="06705FB0"/>
    <w:rsid w:val="068F128E"/>
    <w:rsid w:val="0693415D"/>
    <w:rsid w:val="069D7E4F"/>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576D2"/>
    <w:rsid w:val="08B80099"/>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9D693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DDB49DD"/>
    <w:rsid w:val="0E14123E"/>
    <w:rsid w:val="0E6454B7"/>
    <w:rsid w:val="0E8A6F0A"/>
    <w:rsid w:val="0E9F560A"/>
    <w:rsid w:val="0ECE329B"/>
    <w:rsid w:val="0EE428AF"/>
    <w:rsid w:val="0EF645A0"/>
    <w:rsid w:val="0F094436"/>
    <w:rsid w:val="0F2A74C4"/>
    <w:rsid w:val="0F5A5D56"/>
    <w:rsid w:val="0F620A10"/>
    <w:rsid w:val="0F6E7A29"/>
    <w:rsid w:val="0F711E78"/>
    <w:rsid w:val="0F7729A5"/>
    <w:rsid w:val="0FA61B2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A249A7"/>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6140CAA"/>
    <w:rsid w:val="16290DB7"/>
    <w:rsid w:val="162A25EB"/>
    <w:rsid w:val="16353C00"/>
    <w:rsid w:val="165B1080"/>
    <w:rsid w:val="16735895"/>
    <w:rsid w:val="16816E45"/>
    <w:rsid w:val="16881F81"/>
    <w:rsid w:val="16A24A72"/>
    <w:rsid w:val="16B54D41"/>
    <w:rsid w:val="16C653F4"/>
    <w:rsid w:val="16D01B7A"/>
    <w:rsid w:val="16D93709"/>
    <w:rsid w:val="16ED6288"/>
    <w:rsid w:val="16FA4BD2"/>
    <w:rsid w:val="16FD2A55"/>
    <w:rsid w:val="17001FDA"/>
    <w:rsid w:val="17067C1A"/>
    <w:rsid w:val="17233A58"/>
    <w:rsid w:val="173619DD"/>
    <w:rsid w:val="17366761"/>
    <w:rsid w:val="174E2EC4"/>
    <w:rsid w:val="17514A69"/>
    <w:rsid w:val="17567E8F"/>
    <w:rsid w:val="1763654B"/>
    <w:rsid w:val="176F6C9D"/>
    <w:rsid w:val="177C01F0"/>
    <w:rsid w:val="179E3EFA"/>
    <w:rsid w:val="17A252C5"/>
    <w:rsid w:val="17C84600"/>
    <w:rsid w:val="17CE6630"/>
    <w:rsid w:val="17F4641B"/>
    <w:rsid w:val="180D1FB8"/>
    <w:rsid w:val="181D494B"/>
    <w:rsid w:val="18291A50"/>
    <w:rsid w:val="1844637C"/>
    <w:rsid w:val="184B6E30"/>
    <w:rsid w:val="18573BB3"/>
    <w:rsid w:val="185F6D12"/>
    <w:rsid w:val="18772542"/>
    <w:rsid w:val="187F3D33"/>
    <w:rsid w:val="18820F70"/>
    <w:rsid w:val="18972950"/>
    <w:rsid w:val="18F558C8"/>
    <w:rsid w:val="191C10A7"/>
    <w:rsid w:val="192F0F26"/>
    <w:rsid w:val="194A4B48"/>
    <w:rsid w:val="195474DE"/>
    <w:rsid w:val="195B507D"/>
    <w:rsid w:val="19BB7125"/>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E50DD1"/>
    <w:rsid w:val="1C1F23FA"/>
    <w:rsid w:val="1C4306F9"/>
    <w:rsid w:val="1C4526C3"/>
    <w:rsid w:val="1C5D5C5E"/>
    <w:rsid w:val="1C6B432E"/>
    <w:rsid w:val="1C8101E5"/>
    <w:rsid w:val="1C8409D2"/>
    <w:rsid w:val="1C8A12DB"/>
    <w:rsid w:val="1C970A1D"/>
    <w:rsid w:val="1CB97998"/>
    <w:rsid w:val="1CCE2EE5"/>
    <w:rsid w:val="1CDA72AF"/>
    <w:rsid w:val="1CDF6F49"/>
    <w:rsid w:val="1CEF7146"/>
    <w:rsid w:val="1D0A6375"/>
    <w:rsid w:val="1D181B85"/>
    <w:rsid w:val="1D322C47"/>
    <w:rsid w:val="1DB7314C"/>
    <w:rsid w:val="1DBE272D"/>
    <w:rsid w:val="1DC31AF1"/>
    <w:rsid w:val="1DE1641B"/>
    <w:rsid w:val="1DE5046B"/>
    <w:rsid w:val="1E00340E"/>
    <w:rsid w:val="1E1F1D09"/>
    <w:rsid w:val="1E3E4FB4"/>
    <w:rsid w:val="1E4852D2"/>
    <w:rsid w:val="1E4F2A7A"/>
    <w:rsid w:val="1E694596"/>
    <w:rsid w:val="1E70765E"/>
    <w:rsid w:val="1E9621D4"/>
    <w:rsid w:val="1EB202A6"/>
    <w:rsid w:val="1EBD7CC9"/>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6A78B8"/>
    <w:rsid w:val="20BD452B"/>
    <w:rsid w:val="20C3623F"/>
    <w:rsid w:val="20DA182C"/>
    <w:rsid w:val="20F46465"/>
    <w:rsid w:val="210900A7"/>
    <w:rsid w:val="212156C5"/>
    <w:rsid w:val="2148258B"/>
    <w:rsid w:val="214B3BC4"/>
    <w:rsid w:val="21611D4D"/>
    <w:rsid w:val="216B4602"/>
    <w:rsid w:val="21771E62"/>
    <w:rsid w:val="21781212"/>
    <w:rsid w:val="21B83F86"/>
    <w:rsid w:val="21EA380F"/>
    <w:rsid w:val="221178A8"/>
    <w:rsid w:val="221213CF"/>
    <w:rsid w:val="22327A92"/>
    <w:rsid w:val="223D23F1"/>
    <w:rsid w:val="2254540E"/>
    <w:rsid w:val="226C668D"/>
    <w:rsid w:val="22AD188F"/>
    <w:rsid w:val="22F250BE"/>
    <w:rsid w:val="22FF181D"/>
    <w:rsid w:val="230063DC"/>
    <w:rsid w:val="23151AAF"/>
    <w:rsid w:val="231D53A2"/>
    <w:rsid w:val="23447FE4"/>
    <w:rsid w:val="235B5EFE"/>
    <w:rsid w:val="236D5383"/>
    <w:rsid w:val="23863CED"/>
    <w:rsid w:val="238E67D4"/>
    <w:rsid w:val="239A7798"/>
    <w:rsid w:val="239F377F"/>
    <w:rsid w:val="23A35E53"/>
    <w:rsid w:val="23B24AE2"/>
    <w:rsid w:val="23B7504C"/>
    <w:rsid w:val="23C84DE9"/>
    <w:rsid w:val="2419690F"/>
    <w:rsid w:val="24571307"/>
    <w:rsid w:val="24715ECA"/>
    <w:rsid w:val="24754E93"/>
    <w:rsid w:val="247E43DB"/>
    <w:rsid w:val="24967F5F"/>
    <w:rsid w:val="249C557D"/>
    <w:rsid w:val="24D067A8"/>
    <w:rsid w:val="24F829C8"/>
    <w:rsid w:val="25110A2A"/>
    <w:rsid w:val="25145328"/>
    <w:rsid w:val="251A434E"/>
    <w:rsid w:val="25240D0A"/>
    <w:rsid w:val="256C0944"/>
    <w:rsid w:val="25733194"/>
    <w:rsid w:val="258F03E8"/>
    <w:rsid w:val="25967363"/>
    <w:rsid w:val="259A582D"/>
    <w:rsid w:val="259F2E44"/>
    <w:rsid w:val="25E65E18"/>
    <w:rsid w:val="26446DE3"/>
    <w:rsid w:val="2674607E"/>
    <w:rsid w:val="267A740D"/>
    <w:rsid w:val="267E514F"/>
    <w:rsid w:val="269669E7"/>
    <w:rsid w:val="269E134D"/>
    <w:rsid w:val="26A270C1"/>
    <w:rsid w:val="26CE2F65"/>
    <w:rsid w:val="26D7699F"/>
    <w:rsid w:val="26FB054E"/>
    <w:rsid w:val="27174C5C"/>
    <w:rsid w:val="27261F29"/>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7F4EE9"/>
    <w:rsid w:val="2A9D41C3"/>
    <w:rsid w:val="2AA212FD"/>
    <w:rsid w:val="2AA607D0"/>
    <w:rsid w:val="2AF61758"/>
    <w:rsid w:val="2B095AA2"/>
    <w:rsid w:val="2B195E43"/>
    <w:rsid w:val="2B430715"/>
    <w:rsid w:val="2B6C7A10"/>
    <w:rsid w:val="2B724B56"/>
    <w:rsid w:val="2B774624"/>
    <w:rsid w:val="2B81687D"/>
    <w:rsid w:val="2B8608E2"/>
    <w:rsid w:val="2B876854"/>
    <w:rsid w:val="2BA14AB8"/>
    <w:rsid w:val="2BB51EDD"/>
    <w:rsid w:val="2BD126E4"/>
    <w:rsid w:val="2BDD6474"/>
    <w:rsid w:val="2BEC6A86"/>
    <w:rsid w:val="2BEE242F"/>
    <w:rsid w:val="2BF074E3"/>
    <w:rsid w:val="2BF52B8C"/>
    <w:rsid w:val="2C35005E"/>
    <w:rsid w:val="2C45281E"/>
    <w:rsid w:val="2C7A72BE"/>
    <w:rsid w:val="2C864D5D"/>
    <w:rsid w:val="2C9A7D75"/>
    <w:rsid w:val="2CA64B3B"/>
    <w:rsid w:val="2CC17412"/>
    <w:rsid w:val="2CD60BF4"/>
    <w:rsid w:val="2CD86C3B"/>
    <w:rsid w:val="2D183B14"/>
    <w:rsid w:val="2D283E6C"/>
    <w:rsid w:val="2D770813"/>
    <w:rsid w:val="2D7C1E99"/>
    <w:rsid w:val="2D9350C5"/>
    <w:rsid w:val="2DA505AE"/>
    <w:rsid w:val="2DBB7A6F"/>
    <w:rsid w:val="2DC45B3D"/>
    <w:rsid w:val="2DE735DA"/>
    <w:rsid w:val="2DF57CF0"/>
    <w:rsid w:val="2DF87595"/>
    <w:rsid w:val="2E426A62"/>
    <w:rsid w:val="2E4507CD"/>
    <w:rsid w:val="2E4B4177"/>
    <w:rsid w:val="2E4C78E1"/>
    <w:rsid w:val="2E587F47"/>
    <w:rsid w:val="2E65368C"/>
    <w:rsid w:val="2E70537D"/>
    <w:rsid w:val="2E7B23A5"/>
    <w:rsid w:val="2E8452CD"/>
    <w:rsid w:val="2E9976CE"/>
    <w:rsid w:val="2E9A74E5"/>
    <w:rsid w:val="2EA60904"/>
    <w:rsid w:val="2EE00DC3"/>
    <w:rsid w:val="2EF01DEE"/>
    <w:rsid w:val="2EFF05E8"/>
    <w:rsid w:val="2F1877C3"/>
    <w:rsid w:val="2F3B2F8F"/>
    <w:rsid w:val="2F401D3C"/>
    <w:rsid w:val="2F4800A8"/>
    <w:rsid w:val="2F5051AF"/>
    <w:rsid w:val="2F5B24E1"/>
    <w:rsid w:val="2F80100D"/>
    <w:rsid w:val="2F9C5CDB"/>
    <w:rsid w:val="2FA23C5C"/>
    <w:rsid w:val="2FA95C88"/>
    <w:rsid w:val="2FBC149F"/>
    <w:rsid w:val="2FC93AD3"/>
    <w:rsid w:val="2FD61B58"/>
    <w:rsid w:val="2FD86E9B"/>
    <w:rsid w:val="2FDE37A5"/>
    <w:rsid w:val="2FE14059"/>
    <w:rsid w:val="2FF3270A"/>
    <w:rsid w:val="2FF80CC3"/>
    <w:rsid w:val="30221C48"/>
    <w:rsid w:val="3034687E"/>
    <w:rsid w:val="303B19BB"/>
    <w:rsid w:val="3041370F"/>
    <w:rsid w:val="304926A8"/>
    <w:rsid w:val="30570A65"/>
    <w:rsid w:val="3060369A"/>
    <w:rsid w:val="30B87FED"/>
    <w:rsid w:val="30CF0057"/>
    <w:rsid w:val="30D0332C"/>
    <w:rsid w:val="30DB6CFA"/>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576893"/>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53608"/>
    <w:rsid w:val="373D24BC"/>
    <w:rsid w:val="373D42AF"/>
    <w:rsid w:val="37517D16"/>
    <w:rsid w:val="37537F32"/>
    <w:rsid w:val="376D14AF"/>
    <w:rsid w:val="37EA5922"/>
    <w:rsid w:val="381D69EA"/>
    <w:rsid w:val="38251228"/>
    <w:rsid w:val="38276B93"/>
    <w:rsid w:val="382C2678"/>
    <w:rsid w:val="384344D3"/>
    <w:rsid w:val="386F48F8"/>
    <w:rsid w:val="387A3C2D"/>
    <w:rsid w:val="388C36FB"/>
    <w:rsid w:val="38A8605B"/>
    <w:rsid w:val="38AC3431"/>
    <w:rsid w:val="38CE39D9"/>
    <w:rsid w:val="38D66725"/>
    <w:rsid w:val="38DB59A9"/>
    <w:rsid w:val="38E31989"/>
    <w:rsid w:val="38FC35F8"/>
    <w:rsid w:val="390A63CE"/>
    <w:rsid w:val="392F2E16"/>
    <w:rsid w:val="39522A4F"/>
    <w:rsid w:val="39803873"/>
    <w:rsid w:val="39B43358"/>
    <w:rsid w:val="39DE1D35"/>
    <w:rsid w:val="39E00529"/>
    <w:rsid w:val="3A0B64A7"/>
    <w:rsid w:val="3A204FA3"/>
    <w:rsid w:val="3A2B2AA0"/>
    <w:rsid w:val="3A377697"/>
    <w:rsid w:val="3A3D0823"/>
    <w:rsid w:val="3A40479E"/>
    <w:rsid w:val="3A574DDA"/>
    <w:rsid w:val="3A7E2CEE"/>
    <w:rsid w:val="3AC32CD9"/>
    <w:rsid w:val="3AD3075A"/>
    <w:rsid w:val="3AF74C02"/>
    <w:rsid w:val="3B08125F"/>
    <w:rsid w:val="3B117D69"/>
    <w:rsid w:val="3B143534"/>
    <w:rsid w:val="3B1B48C3"/>
    <w:rsid w:val="3B535B37"/>
    <w:rsid w:val="3B6031D3"/>
    <w:rsid w:val="3B657F1A"/>
    <w:rsid w:val="3B6B6324"/>
    <w:rsid w:val="3B6C15C2"/>
    <w:rsid w:val="3B890DC1"/>
    <w:rsid w:val="3BA65070"/>
    <w:rsid w:val="3BBA50D2"/>
    <w:rsid w:val="3BD00F1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34F5C"/>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765169"/>
    <w:rsid w:val="3FB362C2"/>
    <w:rsid w:val="3FB45515"/>
    <w:rsid w:val="3FB6105E"/>
    <w:rsid w:val="3FB90C6E"/>
    <w:rsid w:val="3FC731E3"/>
    <w:rsid w:val="3FCA4E37"/>
    <w:rsid w:val="3FEC0F24"/>
    <w:rsid w:val="3FEE07F8"/>
    <w:rsid w:val="400022D9"/>
    <w:rsid w:val="40153FD6"/>
    <w:rsid w:val="40192BA6"/>
    <w:rsid w:val="40A54907"/>
    <w:rsid w:val="40D44BB8"/>
    <w:rsid w:val="40F63E08"/>
    <w:rsid w:val="40F8373D"/>
    <w:rsid w:val="41114D6F"/>
    <w:rsid w:val="41272213"/>
    <w:rsid w:val="416274F1"/>
    <w:rsid w:val="416B088F"/>
    <w:rsid w:val="41760AA5"/>
    <w:rsid w:val="41766EA9"/>
    <w:rsid w:val="41866B13"/>
    <w:rsid w:val="41935450"/>
    <w:rsid w:val="41AD09C3"/>
    <w:rsid w:val="41B146B1"/>
    <w:rsid w:val="41B65373"/>
    <w:rsid w:val="41C77F5B"/>
    <w:rsid w:val="41DE664A"/>
    <w:rsid w:val="41E6725D"/>
    <w:rsid w:val="41F77652"/>
    <w:rsid w:val="42131E80"/>
    <w:rsid w:val="4217445F"/>
    <w:rsid w:val="423D5A66"/>
    <w:rsid w:val="42550A18"/>
    <w:rsid w:val="426E308D"/>
    <w:rsid w:val="429D496A"/>
    <w:rsid w:val="42A038DB"/>
    <w:rsid w:val="42A16911"/>
    <w:rsid w:val="42C4395D"/>
    <w:rsid w:val="42F473A1"/>
    <w:rsid w:val="431A7B56"/>
    <w:rsid w:val="43362BE2"/>
    <w:rsid w:val="43602A2A"/>
    <w:rsid w:val="437217EA"/>
    <w:rsid w:val="4392187A"/>
    <w:rsid w:val="43AB7156"/>
    <w:rsid w:val="43DE0B83"/>
    <w:rsid w:val="441E62C0"/>
    <w:rsid w:val="442102EF"/>
    <w:rsid w:val="442D4712"/>
    <w:rsid w:val="4434212B"/>
    <w:rsid w:val="443C665A"/>
    <w:rsid w:val="44684A59"/>
    <w:rsid w:val="44916AD9"/>
    <w:rsid w:val="449D7506"/>
    <w:rsid w:val="44A71A4C"/>
    <w:rsid w:val="44C10289"/>
    <w:rsid w:val="45062140"/>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9F0ACD"/>
    <w:rsid w:val="47A0743D"/>
    <w:rsid w:val="47A617A5"/>
    <w:rsid w:val="47C56F66"/>
    <w:rsid w:val="47D31E1A"/>
    <w:rsid w:val="47DC4F5C"/>
    <w:rsid w:val="47FD39F9"/>
    <w:rsid w:val="4840005F"/>
    <w:rsid w:val="484F7DD9"/>
    <w:rsid w:val="48552BC8"/>
    <w:rsid w:val="4890732C"/>
    <w:rsid w:val="48B40671"/>
    <w:rsid w:val="48BC6F7A"/>
    <w:rsid w:val="48CF0271"/>
    <w:rsid w:val="48F8074C"/>
    <w:rsid w:val="49042FF5"/>
    <w:rsid w:val="49076335"/>
    <w:rsid w:val="4922291D"/>
    <w:rsid w:val="492B4C09"/>
    <w:rsid w:val="492B6619"/>
    <w:rsid w:val="49604478"/>
    <w:rsid w:val="499B5738"/>
    <w:rsid w:val="499F244D"/>
    <w:rsid w:val="49AA2030"/>
    <w:rsid w:val="49B900C8"/>
    <w:rsid w:val="49CF169A"/>
    <w:rsid w:val="49DB6FD4"/>
    <w:rsid w:val="4A1953E5"/>
    <w:rsid w:val="4A1E617D"/>
    <w:rsid w:val="4A7E670F"/>
    <w:rsid w:val="4A970798"/>
    <w:rsid w:val="4A973F3F"/>
    <w:rsid w:val="4A9D48C2"/>
    <w:rsid w:val="4AB87404"/>
    <w:rsid w:val="4ABB577A"/>
    <w:rsid w:val="4ABC3301"/>
    <w:rsid w:val="4AC31D20"/>
    <w:rsid w:val="4AC83F74"/>
    <w:rsid w:val="4ACE1952"/>
    <w:rsid w:val="4ACF10C7"/>
    <w:rsid w:val="4AF96BC7"/>
    <w:rsid w:val="4B0C003F"/>
    <w:rsid w:val="4B136655"/>
    <w:rsid w:val="4B643D98"/>
    <w:rsid w:val="4B702A09"/>
    <w:rsid w:val="4B862A85"/>
    <w:rsid w:val="4B8F39AF"/>
    <w:rsid w:val="4BA53E30"/>
    <w:rsid w:val="4BB94F2D"/>
    <w:rsid w:val="4BDD0672"/>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5674A9"/>
    <w:rsid w:val="4DA73DAA"/>
    <w:rsid w:val="4DAD1323"/>
    <w:rsid w:val="4DAE0576"/>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7C92"/>
    <w:rsid w:val="4F372380"/>
    <w:rsid w:val="4F372FFB"/>
    <w:rsid w:val="4F373BA2"/>
    <w:rsid w:val="4F50685F"/>
    <w:rsid w:val="4F552D33"/>
    <w:rsid w:val="4F604F02"/>
    <w:rsid w:val="4F6D6A9E"/>
    <w:rsid w:val="4FA5794C"/>
    <w:rsid w:val="4FAC106B"/>
    <w:rsid w:val="4FAD6032"/>
    <w:rsid w:val="4FDC1C12"/>
    <w:rsid w:val="4FDD1914"/>
    <w:rsid w:val="4FED287A"/>
    <w:rsid w:val="500D6A78"/>
    <w:rsid w:val="50137E07"/>
    <w:rsid w:val="501F792A"/>
    <w:rsid w:val="502320A0"/>
    <w:rsid w:val="5025116D"/>
    <w:rsid w:val="505C3744"/>
    <w:rsid w:val="505E5526"/>
    <w:rsid w:val="507B1980"/>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605933"/>
    <w:rsid w:val="54794B5F"/>
    <w:rsid w:val="549E1A80"/>
    <w:rsid w:val="54A77640"/>
    <w:rsid w:val="54BA1986"/>
    <w:rsid w:val="54C658F4"/>
    <w:rsid w:val="54EB3100"/>
    <w:rsid w:val="5503044A"/>
    <w:rsid w:val="550C4BD7"/>
    <w:rsid w:val="55102A40"/>
    <w:rsid w:val="551319D1"/>
    <w:rsid w:val="55275A0F"/>
    <w:rsid w:val="554B0C61"/>
    <w:rsid w:val="554C1D56"/>
    <w:rsid w:val="555109BF"/>
    <w:rsid w:val="555278AF"/>
    <w:rsid w:val="55572986"/>
    <w:rsid w:val="55757355"/>
    <w:rsid w:val="558E2819"/>
    <w:rsid w:val="558E61FF"/>
    <w:rsid w:val="55991055"/>
    <w:rsid w:val="55C37BD9"/>
    <w:rsid w:val="55CE6CAA"/>
    <w:rsid w:val="55D2686D"/>
    <w:rsid w:val="55E025CB"/>
    <w:rsid w:val="55E942E3"/>
    <w:rsid w:val="56233DAE"/>
    <w:rsid w:val="564E6D54"/>
    <w:rsid w:val="56507986"/>
    <w:rsid w:val="565340FA"/>
    <w:rsid w:val="565A22EB"/>
    <w:rsid w:val="565C6063"/>
    <w:rsid w:val="566841AB"/>
    <w:rsid w:val="568C38D5"/>
    <w:rsid w:val="568D27BB"/>
    <w:rsid w:val="56906C43"/>
    <w:rsid w:val="56AD5F59"/>
    <w:rsid w:val="56AE5057"/>
    <w:rsid w:val="56B04601"/>
    <w:rsid w:val="56B22127"/>
    <w:rsid w:val="56E764C8"/>
    <w:rsid w:val="570C524E"/>
    <w:rsid w:val="575136EE"/>
    <w:rsid w:val="57645F73"/>
    <w:rsid w:val="576E2576"/>
    <w:rsid w:val="579049BE"/>
    <w:rsid w:val="579B0E0D"/>
    <w:rsid w:val="57A350D2"/>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E30CB0"/>
    <w:rsid w:val="59EE5D29"/>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C6B06"/>
    <w:rsid w:val="5B5E10B5"/>
    <w:rsid w:val="5B6657AD"/>
    <w:rsid w:val="5B697EEF"/>
    <w:rsid w:val="5BD06439"/>
    <w:rsid w:val="5BFB00CD"/>
    <w:rsid w:val="5C10702D"/>
    <w:rsid w:val="5C1212B5"/>
    <w:rsid w:val="5C152601"/>
    <w:rsid w:val="5C2238AB"/>
    <w:rsid w:val="5C563555"/>
    <w:rsid w:val="5C581F57"/>
    <w:rsid w:val="5C591F03"/>
    <w:rsid w:val="5C5B5602"/>
    <w:rsid w:val="5C877BB2"/>
    <w:rsid w:val="5C8A1B2F"/>
    <w:rsid w:val="5C9F4EFC"/>
    <w:rsid w:val="5CBB785C"/>
    <w:rsid w:val="5CCB58BF"/>
    <w:rsid w:val="5CCD7F87"/>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1C56A1"/>
    <w:rsid w:val="5E251431"/>
    <w:rsid w:val="5E954808"/>
    <w:rsid w:val="5EA22C56"/>
    <w:rsid w:val="5EBA0DC9"/>
    <w:rsid w:val="5EFB006B"/>
    <w:rsid w:val="5F324EA1"/>
    <w:rsid w:val="5F3641AE"/>
    <w:rsid w:val="5F3B73F3"/>
    <w:rsid w:val="5F447FDD"/>
    <w:rsid w:val="5F463F63"/>
    <w:rsid w:val="5F561B72"/>
    <w:rsid w:val="5F5924E9"/>
    <w:rsid w:val="5FCF5AF8"/>
    <w:rsid w:val="5FF44DA7"/>
    <w:rsid w:val="5FF732CD"/>
    <w:rsid w:val="5FF75D1E"/>
    <w:rsid w:val="600D6620"/>
    <w:rsid w:val="6037544B"/>
    <w:rsid w:val="603900D0"/>
    <w:rsid w:val="603B318E"/>
    <w:rsid w:val="6052125F"/>
    <w:rsid w:val="606007BB"/>
    <w:rsid w:val="60771CEC"/>
    <w:rsid w:val="609E54CA"/>
    <w:rsid w:val="60AC7F66"/>
    <w:rsid w:val="60C50CA9"/>
    <w:rsid w:val="60C95281"/>
    <w:rsid w:val="60EE58F6"/>
    <w:rsid w:val="611F485D"/>
    <w:rsid w:val="6149254E"/>
    <w:rsid w:val="615B1CEA"/>
    <w:rsid w:val="61665FE8"/>
    <w:rsid w:val="61730EFA"/>
    <w:rsid w:val="6180680C"/>
    <w:rsid w:val="6181445A"/>
    <w:rsid w:val="619C1A0A"/>
    <w:rsid w:val="61AB60F1"/>
    <w:rsid w:val="61BF10D9"/>
    <w:rsid w:val="61FC6D54"/>
    <w:rsid w:val="620470D5"/>
    <w:rsid w:val="62224475"/>
    <w:rsid w:val="623B56C7"/>
    <w:rsid w:val="62400F9F"/>
    <w:rsid w:val="625B6730"/>
    <w:rsid w:val="627209BD"/>
    <w:rsid w:val="628726BA"/>
    <w:rsid w:val="62AC22DC"/>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F659AF"/>
    <w:rsid w:val="660E46E0"/>
    <w:rsid w:val="665C0356"/>
    <w:rsid w:val="666351EC"/>
    <w:rsid w:val="66640969"/>
    <w:rsid w:val="6691014E"/>
    <w:rsid w:val="6692427B"/>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AFE283B"/>
    <w:rsid w:val="6B4D4DA6"/>
    <w:rsid w:val="6B932832"/>
    <w:rsid w:val="6B9946B3"/>
    <w:rsid w:val="6BAC13E3"/>
    <w:rsid w:val="6BD13793"/>
    <w:rsid w:val="6BD71316"/>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231DB"/>
    <w:rsid w:val="6E932DE0"/>
    <w:rsid w:val="6EA7112B"/>
    <w:rsid w:val="6ECE2FB7"/>
    <w:rsid w:val="6EE47802"/>
    <w:rsid w:val="6EE964AB"/>
    <w:rsid w:val="6EE97C7B"/>
    <w:rsid w:val="6EF91340"/>
    <w:rsid w:val="6EFB3C2C"/>
    <w:rsid w:val="6EFC020C"/>
    <w:rsid w:val="6EFD3419"/>
    <w:rsid w:val="6F1141AB"/>
    <w:rsid w:val="6F1B6617"/>
    <w:rsid w:val="6F234695"/>
    <w:rsid w:val="6F2A7F88"/>
    <w:rsid w:val="6F385179"/>
    <w:rsid w:val="6F4E5CAC"/>
    <w:rsid w:val="6F4F27B2"/>
    <w:rsid w:val="6F5E1A6F"/>
    <w:rsid w:val="6F7F3327"/>
    <w:rsid w:val="6F80296B"/>
    <w:rsid w:val="6FB20BD4"/>
    <w:rsid w:val="6FB27657"/>
    <w:rsid w:val="6FBA59BE"/>
    <w:rsid w:val="6FE545C5"/>
    <w:rsid w:val="6FE949B4"/>
    <w:rsid w:val="70296B3E"/>
    <w:rsid w:val="7049646A"/>
    <w:rsid w:val="704C0C3E"/>
    <w:rsid w:val="7057153F"/>
    <w:rsid w:val="70611204"/>
    <w:rsid w:val="70BC724E"/>
    <w:rsid w:val="710C6DC7"/>
    <w:rsid w:val="7119271A"/>
    <w:rsid w:val="71621977"/>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3B061B"/>
    <w:rsid w:val="754D5C4B"/>
    <w:rsid w:val="755723C0"/>
    <w:rsid w:val="75981D9C"/>
    <w:rsid w:val="75B4710A"/>
    <w:rsid w:val="75D27C98"/>
    <w:rsid w:val="75E82186"/>
    <w:rsid w:val="75FD6934"/>
    <w:rsid w:val="761024BB"/>
    <w:rsid w:val="76183420"/>
    <w:rsid w:val="7630676D"/>
    <w:rsid w:val="764F0490"/>
    <w:rsid w:val="76591EC6"/>
    <w:rsid w:val="765C74B9"/>
    <w:rsid w:val="766F3739"/>
    <w:rsid w:val="76751ABE"/>
    <w:rsid w:val="76BA0E58"/>
    <w:rsid w:val="76C240A7"/>
    <w:rsid w:val="76CE33B8"/>
    <w:rsid w:val="76D637B8"/>
    <w:rsid w:val="76DA416A"/>
    <w:rsid w:val="76F229C2"/>
    <w:rsid w:val="770E33B0"/>
    <w:rsid w:val="771D13E7"/>
    <w:rsid w:val="77336515"/>
    <w:rsid w:val="774B401B"/>
    <w:rsid w:val="774B7D02"/>
    <w:rsid w:val="775246B7"/>
    <w:rsid w:val="776D5ECB"/>
    <w:rsid w:val="77705C44"/>
    <w:rsid w:val="7772528F"/>
    <w:rsid w:val="77A14BA4"/>
    <w:rsid w:val="77BA09E4"/>
    <w:rsid w:val="77DC4DFE"/>
    <w:rsid w:val="77E82702"/>
    <w:rsid w:val="780A719E"/>
    <w:rsid w:val="781E69D1"/>
    <w:rsid w:val="78395DAD"/>
    <w:rsid w:val="78914753"/>
    <w:rsid w:val="78957D19"/>
    <w:rsid w:val="78B90C9C"/>
    <w:rsid w:val="78B95140"/>
    <w:rsid w:val="78BD30E4"/>
    <w:rsid w:val="78E81581"/>
    <w:rsid w:val="7901747F"/>
    <w:rsid w:val="7908420F"/>
    <w:rsid w:val="79720EA4"/>
    <w:rsid w:val="79781D2E"/>
    <w:rsid w:val="79783BCF"/>
    <w:rsid w:val="798E4CA2"/>
    <w:rsid w:val="79AD7444"/>
    <w:rsid w:val="79C36276"/>
    <w:rsid w:val="79E32474"/>
    <w:rsid w:val="7A0348C4"/>
    <w:rsid w:val="7A0B6B44"/>
    <w:rsid w:val="7A263B6B"/>
    <w:rsid w:val="7A2B5BC9"/>
    <w:rsid w:val="7A3C7DD6"/>
    <w:rsid w:val="7A454EDD"/>
    <w:rsid w:val="7A650681"/>
    <w:rsid w:val="7A7A34B3"/>
    <w:rsid w:val="7AA1584C"/>
    <w:rsid w:val="7AD87333"/>
    <w:rsid w:val="7AEF309B"/>
    <w:rsid w:val="7AF46346"/>
    <w:rsid w:val="7AF53DCD"/>
    <w:rsid w:val="7B0703E4"/>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E521C3"/>
    <w:rsid w:val="7CF8403B"/>
    <w:rsid w:val="7D0C419B"/>
    <w:rsid w:val="7D181A6A"/>
    <w:rsid w:val="7D3D633F"/>
    <w:rsid w:val="7D513B99"/>
    <w:rsid w:val="7D537911"/>
    <w:rsid w:val="7D80675E"/>
    <w:rsid w:val="7D8F476B"/>
    <w:rsid w:val="7D951CD7"/>
    <w:rsid w:val="7DA03048"/>
    <w:rsid w:val="7DA37C8F"/>
    <w:rsid w:val="7DCF62C2"/>
    <w:rsid w:val="7DD11708"/>
    <w:rsid w:val="7DEE4A4F"/>
    <w:rsid w:val="7E036801"/>
    <w:rsid w:val="7E1339DF"/>
    <w:rsid w:val="7E171E3C"/>
    <w:rsid w:val="7E2412AD"/>
    <w:rsid w:val="7E3358F5"/>
    <w:rsid w:val="7E402F77"/>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9"/>
    <w:pPr>
      <w:keepNext/>
      <w:keepLines/>
      <w:spacing w:before="340" w:after="330" w:line="578" w:lineRule="auto"/>
      <w:jc w:val="center"/>
      <w:outlineLvl w:val="0"/>
    </w:pPr>
    <w:rPr>
      <w:b/>
      <w:bCs/>
      <w:kern w:val="44"/>
      <w:sz w:val="36"/>
      <w:szCs w:val="44"/>
    </w:rPr>
  </w:style>
  <w:style w:type="paragraph" w:styleId="3">
    <w:name w:val="heading 2"/>
    <w:basedOn w:val="1"/>
    <w:next w:val="1"/>
    <w:link w:val="3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41"/>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42"/>
    <w:qFormat/>
    <w:uiPriority w:val="99"/>
    <w:pPr>
      <w:keepNext/>
      <w:keepLines/>
      <w:spacing w:before="280" w:after="290" w:line="376" w:lineRule="auto"/>
      <w:outlineLvl w:val="4"/>
    </w:pPr>
    <w:rPr>
      <w:b/>
      <w:bCs/>
      <w:sz w:val="28"/>
      <w:szCs w:val="28"/>
    </w:rPr>
  </w:style>
  <w:style w:type="paragraph" w:styleId="8">
    <w:name w:val="heading 7"/>
    <w:basedOn w:val="1"/>
    <w:next w:val="1"/>
    <w:link w:val="43"/>
    <w:qFormat/>
    <w:uiPriority w:val="99"/>
    <w:pPr>
      <w:keepNext/>
      <w:keepLines/>
      <w:spacing w:before="240" w:after="64" w:line="320" w:lineRule="auto"/>
      <w:outlineLvl w:val="6"/>
    </w:pPr>
    <w:rPr>
      <w:b/>
      <w:bCs/>
      <w:sz w:val="24"/>
    </w:rPr>
  </w:style>
  <w:style w:type="paragraph" w:styleId="9">
    <w:name w:val="heading 8"/>
    <w:basedOn w:val="1"/>
    <w:next w:val="1"/>
    <w:link w:val="44"/>
    <w:qFormat/>
    <w:uiPriority w:val="9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0">
    <w:name w:val="index 8"/>
    <w:basedOn w:val="1"/>
    <w:next w:val="1"/>
    <w:qFormat/>
    <w:uiPriority w:val="99"/>
    <w:pPr>
      <w:ind w:left="2940"/>
    </w:pPr>
  </w:style>
  <w:style w:type="paragraph" w:styleId="11">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annotation text"/>
    <w:basedOn w:val="1"/>
    <w:link w:val="45"/>
    <w:qFormat/>
    <w:uiPriority w:val="99"/>
    <w:pPr>
      <w:jc w:val="left"/>
    </w:pPr>
  </w:style>
  <w:style w:type="paragraph" w:styleId="14">
    <w:name w:val="Body Text 3"/>
    <w:basedOn w:val="1"/>
    <w:link w:val="46"/>
    <w:qFormat/>
    <w:uiPriority w:val="99"/>
    <w:pPr>
      <w:spacing w:after="120"/>
    </w:pPr>
    <w:rPr>
      <w:sz w:val="16"/>
      <w:szCs w:val="16"/>
    </w:rPr>
  </w:style>
  <w:style w:type="paragraph" w:styleId="15">
    <w:name w:val="Body Text"/>
    <w:basedOn w:val="1"/>
    <w:link w:val="47"/>
    <w:qFormat/>
    <w:uiPriority w:val="99"/>
    <w:pPr>
      <w:spacing w:after="120"/>
    </w:pPr>
  </w:style>
  <w:style w:type="paragraph" w:styleId="16">
    <w:name w:val="Body Text Indent"/>
    <w:basedOn w:val="1"/>
    <w:link w:val="49"/>
    <w:qFormat/>
    <w:uiPriority w:val="99"/>
    <w:pPr>
      <w:ind w:firstLine="830" w:firstLineChars="352"/>
    </w:pPr>
    <w:rPr>
      <w:rFonts w:ascii="仿宋_GB2312" w:eastAsia="仿宋_GB2312"/>
      <w:kern w:val="0"/>
      <w:sz w:val="32"/>
      <w:szCs w:val="20"/>
    </w:rPr>
  </w:style>
  <w:style w:type="paragraph" w:styleId="17">
    <w:name w:val="List 2"/>
    <w:basedOn w:val="1"/>
    <w:qFormat/>
    <w:uiPriority w:val="99"/>
    <w:pPr>
      <w:ind w:left="100" w:leftChars="200" w:hanging="200" w:hangingChars="200"/>
      <w:contextualSpacing/>
    </w:pPr>
  </w:style>
  <w:style w:type="paragraph" w:styleId="18">
    <w:name w:val="Plain Text"/>
    <w:basedOn w:val="1"/>
    <w:next w:val="1"/>
    <w:link w:val="50"/>
    <w:qFormat/>
    <w:uiPriority w:val="99"/>
    <w:rPr>
      <w:rFonts w:ascii="宋体" w:hAnsi="Courier New"/>
      <w:kern w:val="0"/>
      <w:sz w:val="20"/>
      <w:szCs w:val="21"/>
    </w:rPr>
  </w:style>
  <w:style w:type="paragraph" w:styleId="19">
    <w:name w:val="Date"/>
    <w:basedOn w:val="1"/>
    <w:next w:val="1"/>
    <w:link w:val="51"/>
    <w:qFormat/>
    <w:uiPriority w:val="99"/>
    <w:pPr>
      <w:ind w:left="100" w:leftChars="2500"/>
    </w:pPr>
  </w:style>
  <w:style w:type="paragraph" w:styleId="20">
    <w:name w:val="Balloon Text"/>
    <w:basedOn w:val="1"/>
    <w:link w:val="52"/>
    <w:semiHidden/>
    <w:qFormat/>
    <w:uiPriority w:val="99"/>
    <w:rPr>
      <w:sz w:val="18"/>
      <w:szCs w:val="18"/>
    </w:rPr>
  </w:style>
  <w:style w:type="paragraph" w:styleId="21">
    <w:name w:val="footer"/>
    <w:basedOn w:val="1"/>
    <w:link w:val="53"/>
    <w:qFormat/>
    <w:uiPriority w:val="99"/>
    <w:pPr>
      <w:tabs>
        <w:tab w:val="center" w:pos="4153"/>
        <w:tab w:val="right" w:pos="8306"/>
      </w:tabs>
      <w:snapToGrid w:val="0"/>
      <w:jc w:val="left"/>
    </w:pPr>
    <w:rPr>
      <w:kern w:val="0"/>
      <w:sz w:val="18"/>
      <w:szCs w:val="18"/>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99"/>
  </w:style>
  <w:style w:type="paragraph" w:styleId="24">
    <w:name w:val="toc 6"/>
    <w:basedOn w:val="1"/>
    <w:next w:val="1"/>
    <w:semiHidden/>
    <w:qFormat/>
    <w:uiPriority w:val="99"/>
    <w:pPr>
      <w:ind w:left="2100" w:leftChars="1000"/>
    </w:pPr>
  </w:style>
  <w:style w:type="paragraph" w:styleId="25">
    <w:name w:val="toc 2"/>
    <w:basedOn w:val="1"/>
    <w:next w:val="1"/>
    <w:qFormat/>
    <w:uiPriority w:val="99"/>
    <w:pPr>
      <w:tabs>
        <w:tab w:val="right" w:leader="dot" w:pos="8296"/>
      </w:tabs>
      <w:ind w:left="420" w:leftChars="200"/>
    </w:pPr>
  </w:style>
  <w:style w:type="paragraph" w:styleId="26">
    <w:name w:val="Body Text 2"/>
    <w:basedOn w:val="1"/>
    <w:link w:val="55"/>
    <w:qFormat/>
    <w:uiPriority w:val="99"/>
    <w:pPr>
      <w:spacing w:line="480" w:lineRule="auto"/>
    </w:pPr>
    <w:rPr>
      <w:kern w:val="0"/>
      <w:sz w:val="20"/>
    </w:rPr>
  </w:style>
  <w:style w:type="paragraph" w:styleId="27">
    <w:name w:val="Normal (Web)"/>
    <w:basedOn w:val="1"/>
    <w:qFormat/>
    <w:uiPriority w:val="99"/>
    <w:rPr>
      <w:rFonts w:ascii="Calibri" w:hAnsi="Calibri"/>
      <w:kern w:val="0"/>
      <w:sz w:val="24"/>
    </w:rPr>
  </w:style>
  <w:style w:type="paragraph" w:styleId="28">
    <w:name w:val="Title"/>
    <w:basedOn w:val="1"/>
    <w:next w:val="1"/>
    <w:link w:val="56"/>
    <w:qFormat/>
    <w:uiPriority w:val="99"/>
    <w:pPr>
      <w:spacing w:before="60" w:after="120" w:line="560" w:lineRule="exact"/>
      <w:jc w:val="center"/>
      <w:outlineLvl w:val="0"/>
    </w:pPr>
    <w:rPr>
      <w:rFonts w:eastAsia="方正小标宋简体"/>
      <w:bCs/>
      <w:sz w:val="44"/>
      <w:szCs w:val="32"/>
    </w:rPr>
  </w:style>
  <w:style w:type="paragraph" w:styleId="29">
    <w:name w:val="annotation subject"/>
    <w:basedOn w:val="13"/>
    <w:next w:val="13"/>
    <w:link w:val="57"/>
    <w:qFormat/>
    <w:uiPriority w:val="99"/>
    <w:rPr>
      <w:b/>
      <w:bCs/>
    </w:rPr>
  </w:style>
  <w:style w:type="paragraph" w:styleId="30">
    <w:name w:val="Body Text First Indent"/>
    <w:basedOn w:val="15"/>
    <w:next w:val="24"/>
    <w:link w:val="48"/>
    <w:qFormat/>
    <w:uiPriority w:val="99"/>
    <w:pPr>
      <w:ind w:firstLine="420" w:firstLineChars="100"/>
    </w:pPr>
  </w:style>
  <w:style w:type="paragraph" w:styleId="31">
    <w:name w:val="Body Text First Indent 2"/>
    <w:basedOn w:val="16"/>
    <w:next w:val="1"/>
    <w:link w:val="58"/>
    <w:qFormat/>
    <w:uiPriority w:val="99"/>
    <w:pPr>
      <w:spacing w:line="360" w:lineRule="auto"/>
      <w:ind w:firstLine="0"/>
    </w:pPr>
    <w:rPr>
      <w:sz w:val="24"/>
    </w:r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qFormat/>
    <w:uiPriority w:val="99"/>
    <w:rPr>
      <w:rFonts w:cs="Times New Roman"/>
      <w:vertAlign w:val="superscript"/>
    </w:rPr>
  </w:style>
  <w:style w:type="character" w:styleId="36">
    <w:name w:val="Hyperlink"/>
    <w:basedOn w:val="34"/>
    <w:qFormat/>
    <w:uiPriority w:val="99"/>
    <w:rPr>
      <w:rFonts w:cs="Times New Roman"/>
      <w:color w:val="0000FF"/>
      <w:u w:val="single"/>
    </w:rPr>
  </w:style>
  <w:style w:type="character" w:styleId="37">
    <w:name w:val="annotation reference"/>
    <w:basedOn w:val="34"/>
    <w:qFormat/>
    <w:uiPriority w:val="99"/>
    <w:rPr>
      <w:rFonts w:cs="Times New Roman"/>
      <w:sz w:val="21"/>
    </w:rPr>
  </w:style>
  <w:style w:type="character" w:customStyle="1" w:styleId="38">
    <w:name w:val="标题 1 Char"/>
    <w:basedOn w:val="34"/>
    <w:link w:val="2"/>
    <w:qFormat/>
    <w:locked/>
    <w:uiPriority w:val="99"/>
    <w:rPr>
      <w:rFonts w:ascii="Times New Roman" w:hAnsi="Times New Roman" w:eastAsia="宋体"/>
      <w:b/>
      <w:kern w:val="44"/>
      <w:sz w:val="44"/>
    </w:rPr>
  </w:style>
  <w:style w:type="character" w:customStyle="1" w:styleId="39">
    <w:name w:val="标题 2 Char1"/>
    <w:basedOn w:val="34"/>
    <w:link w:val="3"/>
    <w:qFormat/>
    <w:locked/>
    <w:uiPriority w:val="99"/>
    <w:rPr>
      <w:rFonts w:ascii="Cambria" w:hAnsi="Cambria" w:eastAsia="宋体"/>
      <w:b/>
      <w:kern w:val="2"/>
      <w:sz w:val="32"/>
    </w:rPr>
  </w:style>
  <w:style w:type="character" w:customStyle="1" w:styleId="40">
    <w:name w:val="标题 3 Char"/>
    <w:basedOn w:val="34"/>
    <w:link w:val="4"/>
    <w:semiHidden/>
    <w:qFormat/>
    <w:uiPriority w:val="9"/>
    <w:rPr>
      <w:b/>
      <w:bCs/>
      <w:sz w:val="32"/>
      <w:szCs w:val="32"/>
    </w:rPr>
  </w:style>
  <w:style w:type="character" w:customStyle="1" w:styleId="41">
    <w:name w:val="标题 4 Char"/>
    <w:basedOn w:val="34"/>
    <w:link w:val="5"/>
    <w:semiHidden/>
    <w:qFormat/>
    <w:uiPriority w:val="9"/>
    <w:rPr>
      <w:rFonts w:asciiTheme="majorHAnsi" w:hAnsiTheme="majorHAnsi" w:eastAsiaTheme="majorEastAsia" w:cstheme="majorBidi"/>
      <w:b/>
      <w:bCs/>
      <w:sz w:val="28"/>
      <w:szCs w:val="28"/>
    </w:rPr>
  </w:style>
  <w:style w:type="character" w:customStyle="1" w:styleId="42">
    <w:name w:val="标题 5 Char"/>
    <w:basedOn w:val="34"/>
    <w:link w:val="6"/>
    <w:semiHidden/>
    <w:qFormat/>
    <w:locked/>
    <w:uiPriority w:val="99"/>
    <w:rPr>
      <w:rFonts w:ascii="Times New Roman" w:hAnsi="Times New Roman"/>
      <w:b/>
      <w:kern w:val="2"/>
      <w:sz w:val="28"/>
    </w:rPr>
  </w:style>
  <w:style w:type="character" w:customStyle="1" w:styleId="43">
    <w:name w:val="标题 7 Char"/>
    <w:basedOn w:val="34"/>
    <w:link w:val="8"/>
    <w:qFormat/>
    <w:locked/>
    <w:uiPriority w:val="99"/>
    <w:rPr>
      <w:b/>
      <w:kern w:val="2"/>
      <w:sz w:val="24"/>
    </w:rPr>
  </w:style>
  <w:style w:type="character" w:customStyle="1" w:styleId="44">
    <w:name w:val="标题 8 Char1"/>
    <w:basedOn w:val="34"/>
    <w:link w:val="9"/>
    <w:semiHidden/>
    <w:qFormat/>
    <w:locked/>
    <w:uiPriority w:val="99"/>
    <w:rPr>
      <w:rFonts w:ascii="等线 Light" w:hAnsi="等线 Light" w:eastAsia="等线 Light"/>
      <w:kern w:val="2"/>
      <w:sz w:val="24"/>
    </w:rPr>
  </w:style>
  <w:style w:type="character" w:customStyle="1" w:styleId="45">
    <w:name w:val="批注文字 Char1"/>
    <w:basedOn w:val="34"/>
    <w:link w:val="13"/>
    <w:qFormat/>
    <w:locked/>
    <w:uiPriority w:val="99"/>
    <w:rPr>
      <w:rFonts w:ascii="Times New Roman" w:hAnsi="Times New Roman"/>
      <w:kern w:val="2"/>
      <w:sz w:val="24"/>
    </w:rPr>
  </w:style>
  <w:style w:type="character" w:customStyle="1" w:styleId="46">
    <w:name w:val="正文文本 3 Char"/>
    <w:basedOn w:val="34"/>
    <w:link w:val="14"/>
    <w:semiHidden/>
    <w:qFormat/>
    <w:locked/>
    <w:uiPriority w:val="99"/>
    <w:rPr>
      <w:kern w:val="2"/>
      <w:sz w:val="16"/>
    </w:rPr>
  </w:style>
  <w:style w:type="character" w:customStyle="1" w:styleId="47">
    <w:name w:val="正文文本 Char1"/>
    <w:basedOn w:val="34"/>
    <w:link w:val="15"/>
    <w:qFormat/>
    <w:locked/>
    <w:uiPriority w:val="99"/>
    <w:rPr>
      <w:rFonts w:ascii="Times New Roman" w:hAnsi="Times New Roman"/>
      <w:kern w:val="2"/>
      <w:sz w:val="24"/>
    </w:rPr>
  </w:style>
  <w:style w:type="character" w:customStyle="1" w:styleId="48">
    <w:name w:val="正文首行缩进 Char"/>
    <w:basedOn w:val="47"/>
    <w:link w:val="30"/>
    <w:semiHidden/>
    <w:qFormat/>
    <w:uiPriority w:val="99"/>
    <w:rPr>
      <w:szCs w:val="24"/>
    </w:rPr>
  </w:style>
  <w:style w:type="character" w:customStyle="1" w:styleId="49">
    <w:name w:val="正文文本缩进 Char"/>
    <w:basedOn w:val="34"/>
    <w:link w:val="16"/>
    <w:qFormat/>
    <w:locked/>
    <w:uiPriority w:val="99"/>
    <w:rPr>
      <w:rFonts w:ascii="仿宋_GB2312" w:hAnsi="Times New Roman" w:eastAsia="仿宋_GB2312"/>
      <w:sz w:val="20"/>
    </w:rPr>
  </w:style>
  <w:style w:type="character" w:customStyle="1" w:styleId="50">
    <w:name w:val="纯文本 Char1"/>
    <w:basedOn w:val="34"/>
    <w:link w:val="18"/>
    <w:qFormat/>
    <w:locked/>
    <w:uiPriority w:val="99"/>
    <w:rPr>
      <w:rFonts w:ascii="宋体" w:hAnsi="Courier New" w:eastAsia="宋体"/>
      <w:sz w:val="21"/>
    </w:rPr>
  </w:style>
  <w:style w:type="character" w:customStyle="1" w:styleId="51">
    <w:name w:val="日期 Char"/>
    <w:basedOn w:val="34"/>
    <w:link w:val="19"/>
    <w:semiHidden/>
    <w:qFormat/>
    <w:locked/>
    <w:uiPriority w:val="99"/>
    <w:rPr>
      <w:rFonts w:ascii="Times New Roman" w:hAnsi="Times New Roman"/>
      <w:kern w:val="2"/>
      <w:sz w:val="24"/>
    </w:rPr>
  </w:style>
  <w:style w:type="character" w:customStyle="1" w:styleId="52">
    <w:name w:val="批注框文本 Char"/>
    <w:basedOn w:val="34"/>
    <w:link w:val="20"/>
    <w:semiHidden/>
    <w:qFormat/>
    <w:uiPriority w:val="99"/>
    <w:rPr>
      <w:sz w:val="0"/>
      <w:szCs w:val="0"/>
    </w:rPr>
  </w:style>
  <w:style w:type="character" w:customStyle="1" w:styleId="53">
    <w:name w:val="页脚 Char"/>
    <w:basedOn w:val="34"/>
    <w:link w:val="21"/>
    <w:qFormat/>
    <w:locked/>
    <w:uiPriority w:val="99"/>
    <w:rPr>
      <w:sz w:val="18"/>
    </w:rPr>
  </w:style>
  <w:style w:type="character" w:customStyle="1" w:styleId="54">
    <w:name w:val="页眉 Char"/>
    <w:basedOn w:val="34"/>
    <w:link w:val="22"/>
    <w:qFormat/>
    <w:locked/>
    <w:uiPriority w:val="99"/>
    <w:rPr>
      <w:sz w:val="18"/>
    </w:rPr>
  </w:style>
  <w:style w:type="character" w:customStyle="1" w:styleId="55">
    <w:name w:val="正文文本 2 Char"/>
    <w:basedOn w:val="34"/>
    <w:link w:val="26"/>
    <w:semiHidden/>
    <w:qFormat/>
    <w:uiPriority w:val="99"/>
    <w:rPr>
      <w:szCs w:val="24"/>
    </w:rPr>
  </w:style>
  <w:style w:type="character" w:customStyle="1" w:styleId="56">
    <w:name w:val="标题 Char"/>
    <w:basedOn w:val="34"/>
    <w:link w:val="28"/>
    <w:qFormat/>
    <w:uiPriority w:val="10"/>
    <w:rPr>
      <w:rFonts w:asciiTheme="majorHAnsi" w:hAnsiTheme="majorHAnsi" w:cstheme="majorBidi"/>
      <w:b/>
      <w:bCs/>
      <w:sz w:val="32"/>
      <w:szCs w:val="32"/>
    </w:rPr>
  </w:style>
  <w:style w:type="character" w:customStyle="1" w:styleId="57">
    <w:name w:val="批注主题 Char"/>
    <w:basedOn w:val="45"/>
    <w:link w:val="29"/>
    <w:qFormat/>
    <w:locked/>
    <w:uiPriority w:val="99"/>
    <w:rPr>
      <w:b/>
    </w:rPr>
  </w:style>
  <w:style w:type="character" w:customStyle="1" w:styleId="58">
    <w:name w:val="正文首行缩进 2 Char"/>
    <w:basedOn w:val="49"/>
    <w:link w:val="31"/>
    <w:semiHidden/>
    <w:qFormat/>
    <w:uiPriority w:val="99"/>
    <w:rPr>
      <w:szCs w:val="24"/>
    </w:rPr>
  </w:style>
  <w:style w:type="paragraph" w:customStyle="1" w:styleId="59">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6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1">
    <w:name w:val="表格文字"/>
    <w:basedOn w:val="1"/>
    <w:qFormat/>
    <w:uiPriority w:val="99"/>
    <w:pPr>
      <w:spacing w:before="25" w:after="25"/>
      <w:jc w:val="left"/>
    </w:pPr>
    <w:rPr>
      <w:bCs/>
      <w:spacing w:val="10"/>
      <w:kern w:val="0"/>
      <w:sz w:val="24"/>
    </w:rPr>
  </w:style>
  <w:style w:type="character" w:customStyle="1" w:styleId="62">
    <w:name w:val="标题 1 字符1"/>
    <w:qFormat/>
    <w:uiPriority w:val="99"/>
    <w:rPr>
      <w:b/>
      <w:kern w:val="44"/>
      <w:sz w:val="44"/>
    </w:rPr>
  </w:style>
  <w:style w:type="character" w:customStyle="1" w:styleId="63">
    <w:name w:val="textcontents"/>
    <w:qFormat/>
    <w:uiPriority w:val="99"/>
  </w:style>
  <w:style w:type="character" w:customStyle="1" w:styleId="64">
    <w:name w:val="批注文字 Char"/>
    <w:qFormat/>
    <w:uiPriority w:val="99"/>
    <w:rPr>
      <w:rFonts w:ascii="Times New Roman" w:hAnsi="Times New Roman"/>
      <w:kern w:val="2"/>
      <w:sz w:val="24"/>
    </w:rPr>
  </w:style>
  <w:style w:type="character" w:customStyle="1" w:styleId="65">
    <w:name w:val="纯文本 字符"/>
    <w:qFormat/>
    <w:uiPriority w:val="99"/>
    <w:rPr>
      <w:rFonts w:ascii="宋体" w:hAnsi="Courier New" w:eastAsia="宋体"/>
      <w:sz w:val="21"/>
    </w:rPr>
  </w:style>
  <w:style w:type="character" w:customStyle="1" w:styleId="66">
    <w:name w:val="纯文本 Char"/>
    <w:qFormat/>
    <w:uiPriority w:val="99"/>
    <w:rPr>
      <w:rFonts w:ascii="宋体" w:hAnsi="Courier New" w:eastAsia="宋体"/>
      <w:sz w:val="21"/>
    </w:rPr>
  </w:style>
  <w:style w:type="character" w:customStyle="1" w:styleId="67">
    <w:name w:val="纯文本 字符2"/>
    <w:qFormat/>
    <w:uiPriority w:val="99"/>
    <w:rPr>
      <w:rFonts w:ascii="宋体" w:hAnsi="Courier New" w:eastAsia="宋体"/>
      <w:sz w:val="21"/>
    </w:rPr>
  </w:style>
  <w:style w:type="character" w:customStyle="1" w:styleId="68">
    <w:name w:val="批注文字 字符1"/>
    <w:qFormat/>
    <w:uiPriority w:val="99"/>
    <w:rPr>
      <w:rFonts w:ascii="Times New Roman" w:hAnsi="Times New Roman"/>
      <w:kern w:val="2"/>
      <w:sz w:val="24"/>
    </w:rPr>
  </w:style>
  <w:style w:type="character" w:customStyle="1" w:styleId="69">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0">
    <w:name w:val="纯文本 字符1"/>
    <w:qFormat/>
    <w:uiPriority w:val="99"/>
    <w:rPr>
      <w:rFonts w:ascii="宋体" w:hAnsi="Courier New"/>
    </w:rPr>
  </w:style>
  <w:style w:type="character" w:customStyle="1" w:styleId="71">
    <w:name w:val="正文文本 Char"/>
    <w:qFormat/>
    <w:uiPriority w:val="99"/>
    <w:rPr>
      <w:rFonts w:ascii="Times New Roman" w:hAnsi="Times New Roman"/>
      <w:kern w:val="2"/>
      <w:sz w:val="24"/>
    </w:rPr>
  </w:style>
  <w:style w:type="character" w:customStyle="1" w:styleId="72">
    <w:name w:val="批注文字 字符"/>
    <w:qFormat/>
    <w:uiPriority w:val="99"/>
    <w:rPr>
      <w:rFonts w:ascii="Times New Roman" w:hAnsi="Times New Roman"/>
      <w:kern w:val="2"/>
      <w:sz w:val="24"/>
    </w:rPr>
  </w:style>
  <w:style w:type="character" w:customStyle="1" w:styleId="73">
    <w:name w:val="标题 2 Char"/>
    <w:qFormat/>
    <w:uiPriority w:val="99"/>
    <w:rPr>
      <w:rFonts w:ascii="Cambria" w:hAnsi="Cambria" w:eastAsia="宋体"/>
      <w:b/>
      <w:kern w:val="2"/>
      <w:sz w:val="32"/>
    </w:rPr>
  </w:style>
  <w:style w:type="character" w:customStyle="1" w:styleId="74">
    <w:name w:val="标题 8 Char"/>
    <w:qFormat/>
    <w:uiPriority w:val="99"/>
    <w:rPr>
      <w:rFonts w:ascii="Arial" w:hAnsi="Arial" w:eastAsia="黑体"/>
      <w:kern w:val="2"/>
      <w:sz w:val="24"/>
    </w:rPr>
  </w:style>
  <w:style w:type="character" w:customStyle="1" w:styleId="75">
    <w:name w:val="apple-style-span"/>
    <w:qFormat/>
    <w:uiPriority w:val="99"/>
  </w:style>
  <w:style w:type="paragraph" w:customStyle="1" w:styleId="76">
    <w:name w:val="默认段落字体 Para Char Char Char Char Char Char Char Char Char1 Char Char Char Char"/>
    <w:basedOn w:val="1"/>
    <w:qFormat/>
    <w:uiPriority w:val="99"/>
    <w:rPr>
      <w:rFonts w:ascii="Tahoma" w:hAnsi="Tahoma"/>
      <w:sz w:val="24"/>
      <w:szCs w:val="20"/>
    </w:rPr>
  </w:style>
  <w:style w:type="paragraph" w:customStyle="1" w:styleId="7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78">
    <w:name w:val="List Paragraph"/>
    <w:basedOn w:val="1"/>
    <w:qFormat/>
    <w:uiPriority w:val="99"/>
    <w:pPr>
      <w:ind w:firstLine="420" w:firstLineChars="200"/>
    </w:pPr>
  </w:style>
  <w:style w:type="paragraph" w:customStyle="1" w:styleId="79">
    <w:name w:val="Table Paragraph"/>
    <w:basedOn w:val="1"/>
    <w:qFormat/>
    <w:uiPriority w:val="99"/>
    <w:pPr>
      <w:jc w:val="left"/>
    </w:pPr>
    <w:rPr>
      <w:rFonts w:ascii="Calibri" w:hAnsi="Calibri"/>
      <w:kern w:val="0"/>
      <w:sz w:val="22"/>
      <w:szCs w:val="22"/>
      <w:lang w:eastAsia="en-US"/>
    </w:rPr>
  </w:style>
  <w:style w:type="character" w:customStyle="1" w:styleId="80">
    <w:name w:val="正文文本 字符"/>
    <w:qFormat/>
    <w:uiPriority w:val="99"/>
    <w:rPr>
      <w:rFonts w:ascii="Times New Roman" w:hAnsi="Times New Roman"/>
      <w:kern w:val="2"/>
      <w:sz w:val="24"/>
    </w:rPr>
  </w:style>
  <w:style w:type="character" w:customStyle="1" w:styleId="81">
    <w:name w:val="批注文字 Char2"/>
    <w:qFormat/>
    <w:uiPriority w:val="99"/>
    <w:rPr>
      <w:rFonts w:ascii="Times New Roman" w:hAnsi="Times New Roman"/>
      <w:kern w:val="2"/>
      <w:sz w:val="24"/>
    </w:rPr>
  </w:style>
  <w:style w:type="paragraph" w:customStyle="1" w:styleId="82">
    <w:name w:val="样式 正文缩进正文（首行缩进两字）首行缩进两字 + 首行缩进:  2 字符1"/>
    <w:basedOn w:val="7"/>
    <w:qFormat/>
    <w:uiPriority w:val="99"/>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83">
    <w:name w:val="列出段落3"/>
    <w:basedOn w:val="1"/>
    <w:qFormat/>
    <w:uiPriority w:val="99"/>
    <w:pPr>
      <w:widowControl/>
      <w:spacing w:line="400" w:lineRule="exact"/>
      <w:ind w:firstLine="420" w:firstLineChars="200"/>
      <w:jc w:val="left"/>
    </w:pPr>
  </w:style>
  <w:style w:type="paragraph" w:customStyle="1" w:styleId="84">
    <w:name w:val="正文文本2"/>
    <w:basedOn w:val="1"/>
    <w:qFormat/>
    <w:uiPriority w:val="99"/>
    <w:pPr>
      <w:shd w:val="clear" w:color="auto" w:fill="FFFFFF"/>
      <w:spacing w:after="300" w:line="240" w:lineRule="atLeast"/>
    </w:pPr>
    <w:rPr>
      <w:rFonts w:ascii="MingLiUfalt" w:hAnsi="MingLiUfalt" w:eastAsia="MingLiUfalt"/>
      <w:color w:val="000000"/>
      <w:kern w:val="0"/>
      <w:sz w:val="22"/>
      <w:szCs w:val="22"/>
      <w:shd w:val="clear" w:color="auto" w:fill="FFFFFF"/>
      <w:lang w:val="zh-TW"/>
    </w:rPr>
  </w:style>
  <w:style w:type="paragraph" w:customStyle="1" w:styleId="85">
    <w:name w:val="列出段落1"/>
    <w:qFormat/>
    <w:uiPriority w:val="99"/>
    <w:pPr>
      <w:ind w:firstLine="200" w:firstLineChars="200"/>
    </w:pPr>
    <w:rPr>
      <w:rFonts w:ascii="Calibri" w:hAnsi="Calibri" w:eastAsia="宋体" w:cs="Times New Roman"/>
      <w:kern w:val="2"/>
      <w:sz w:val="21"/>
      <w:szCs w:val="22"/>
      <w:lang w:val="en-US" w:eastAsia="zh-CN" w:bidi="ar-SA"/>
    </w:rPr>
  </w:style>
  <w:style w:type="table" w:customStyle="1" w:styleId="86">
    <w:name w:val="Table Normal1"/>
    <w:qFormat/>
    <w:uiPriority w:val="99"/>
    <w:tblPr>
      <w:tblCellMar>
        <w:top w:w="0" w:type="dxa"/>
        <w:left w:w="0" w:type="dxa"/>
        <w:bottom w:w="0" w:type="dxa"/>
        <w:right w:w="0" w:type="dxa"/>
      </w:tblCellMar>
    </w:tblPr>
  </w:style>
  <w:style w:type="paragraph" w:customStyle="1" w:styleId="87">
    <w:name w:val="正文文本首行缩进1"/>
    <w:basedOn w:val="15"/>
    <w:qFormat/>
    <w:uiPriority w:val="99"/>
    <w:pPr>
      <w:ind w:firstLine="100" w:firstLineChars="100"/>
    </w:pPr>
  </w:style>
  <w:style w:type="paragraph" w:customStyle="1" w:styleId="88">
    <w:name w:val="Table Text"/>
    <w:basedOn w:val="1"/>
    <w:semiHidden/>
    <w:qFormat/>
    <w:uiPriority w:val="99"/>
    <w:rPr>
      <w:rFonts w:ascii="宋体" w:hAnsi="宋体" w:cs="宋体"/>
      <w:sz w:val="24"/>
      <w:lang w:eastAsia="en-US"/>
    </w:rPr>
  </w:style>
  <w:style w:type="table" w:customStyle="1" w:styleId="89">
    <w:name w:val="网格型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
    <w:name w:val="正文缩进2"/>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91">
    <w:name w:val="正文@中勤招标"/>
    <w:basedOn w:val="1"/>
    <w:qFormat/>
    <w:uiPriority w:val="99"/>
    <w:pPr>
      <w:adjustRightInd w:val="0"/>
      <w:spacing w:line="360" w:lineRule="auto"/>
      <w:ind w:firstLine="200" w:firstLineChars="200"/>
    </w:pPr>
    <w:rPr>
      <w:rFonts w:ascii="宋体" w:hAnsi="宋体"/>
      <w:sz w:val="24"/>
      <w:szCs w:val="21"/>
    </w:rPr>
  </w:style>
  <w:style w:type="paragraph" w:customStyle="1" w:styleId="92">
    <w:name w:val="小标题"/>
    <w:basedOn w:val="1"/>
    <w:qFormat/>
    <w:uiPriority w:val="99"/>
    <w:pPr>
      <w:numPr>
        <w:ilvl w:val="0"/>
        <w:numId w:val="1"/>
      </w:numPr>
      <w:spacing w:line="360" w:lineRule="auto"/>
    </w:pPr>
    <w:rPr>
      <w:sz w:val="24"/>
    </w:rPr>
  </w:style>
  <w:style w:type="paragraph" w:customStyle="1" w:styleId="93">
    <w:name w:val="BodyText"/>
    <w:basedOn w:val="1"/>
    <w:qFormat/>
    <w:uiPriority w:val="99"/>
    <w:pPr>
      <w:spacing w:line="380" w:lineRule="exact"/>
      <w:textAlignment w:val="baseline"/>
    </w:pPr>
    <w:rPr>
      <w:kern w:val="0"/>
      <w:sz w:val="24"/>
    </w:rPr>
  </w:style>
  <w:style w:type="character" w:customStyle="1" w:styleId="94">
    <w:name w:val="font11"/>
    <w:basedOn w:val="34"/>
    <w:qFormat/>
    <w:uiPriority w:val="99"/>
    <w:rPr>
      <w:rFonts w:ascii="宋体" w:hAnsi="宋体" w:eastAsia="宋体" w:cs="宋体"/>
      <w:b/>
      <w:bCs/>
      <w:color w:val="000000"/>
      <w:sz w:val="20"/>
      <w:szCs w:val="20"/>
      <w:u w:val="none"/>
    </w:rPr>
  </w:style>
  <w:style w:type="character" w:customStyle="1" w:styleId="95">
    <w:name w:val="font21"/>
    <w:basedOn w:val="34"/>
    <w:qFormat/>
    <w:uiPriority w:val="99"/>
    <w:rPr>
      <w:rFonts w:ascii="宋体" w:hAnsi="宋体" w:eastAsia="宋体" w:cs="宋体"/>
      <w:color w:val="000000"/>
      <w:sz w:val="20"/>
      <w:szCs w:val="20"/>
      <w:u w:val="none"/>
    </w:rPr>
  </w:style>
  <w:style w:type="character" w:customStyle="1" w:styleId="96">
    <w:name w:val="font51"/>
    <w:basedOn w:val="34"/>
    <w:qFormat/>
    <w:uiPriority w:val="99"/>
    <w:rPr>
      <w:rFonts w:ascii="Times New Roman" w:hAnsi="Times New Roman" w:cs="Times New Roman"/>
      <w:color w:val="000000"/>
      <w:sz w:val="20"/>
      <w:szCs w:val="20"/>
      <w:u w:val="none"/>
    </w:rPr>
  </w:style>
  <w:style w:type="character" w:customStyle="1" w:styleId="97">
    <w:name w:val="font41"/>
    <w:basedOn w:val="34"/>
    <w:qFormat/>
    <w:uiPriority w:val="99"/>
    <w:rPr>
      <w:rFonts w:ascii="宋体" w:hAnsi="宋体" w:eastAsia="宋体" w:cs="宋体"/>
      <w:color w:val="000000"/>
      <w:sz w:val="20"/>
      <w:szCs w:val="20"/>
      <w:u w:val="none"/>
    </w:rPr>
  </w:style>
  <w:style w:type="paragraph" w:customStyle="1" w:styleId="98">
    <w:name w:val="表正文"/>
    <w:basedOn w:val="1"/>
    <w:qFormat/>
    <w:uiPriority w:val="0"/>
    <w:pPr>
      <w:spacing w:line="240" w:lineRule="auto"/>
      <w:ind w:firstLine="0" w:firstLineChars="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125</Pages>
  <Words>11163</Words>
  <Characters>12097</Characters>
  <Lines>337</Lines>
  <Paragraphs>95</Paragraphs>
  <TotalTime>52</TotalTime>
  <ScaleCrop>false</ScaleCrop>
  <LinksUpToDate>false</LinksUpToDate>
  <CharactersWithSpaces>12344</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a祖</cp:lastModifiedBy>
  <cp:lastPrinted>2025-07-18T08:58:00Z</cp:lastPrinted>
  <dcterms:modified xsi:type="dcterms:W3CDTF">2025-07-18T12:05:21Z</dcterms:modified>
  <dc:title>竞争性谈判文件规范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09BC406E974346C2806F39AD1DCC787D_13</vt:lpwstr>
  </property>
  <property fmtid="{D5CDD505-2E9C-101B-9397-08002B2CF9AE}" pid="4" name="KSOTemplateDocerSaveRecord">
    <vt:lpwstr>eyJoZGlkIjoiMjhkMThkOGYwZGZlODY3MzVhNDkyMTVhYzJkNDQxMWMiLCJ1c2VySWQiOiI0MTE2MDU5MjgifQ==</vt:lpwstr>
  </property>
</Properties>
</file>